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4CAB" w:rsidRDefault="002B1930">
      <w:pPr>
        <w:spacing w:line="360" w:lineRule="auto"/>
      </w:pPr>
      <w:r>
        <w:rPr>
          <w:noProof/>
          <w:color w:val="4C4747"/>
        </w:rPr>
        <w:drawing>
          <wp:anchor distT="0" distB="0" distL="114300" distR="114300" simplePos="0" relativeHeight="251658243" behindDoc="0" locked="0" layoutInCell="1" allowOverlap="1">
            <wp:simplePos x="0" y="0"/>
            <wp:positionH relativeFrom="margin">
              <wp:align>center</wp:align>
            </wp:positionH>
            <wp:positionV relativeFrom="paragraph">
              <wp:posOffset>261509</wp:posOffset>
            </wp:positionV>
            <wp:extent cx="1280160" cy="1207766"/>
            <wp:effectExtent l="0" t="0" r="0" b="0"/>
            <wp:wrapNone/>
            <wp:docPr id="10" name="Picture 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280160" cy="1207766"/>
                    </a:xfrm>
                    <a:prstGeom prst="rect">
                      <a:avLst/>
                    </a:prstGeom>
                    <a:noFill/>
                    <a:ln>
                      <a:noFill/>
                      <a:prstDash/>
                    </a:ln>
                  </pic:spPr>
                </pic:pic>
              </a:graphicData>
            </a:graphic>
          </wp:anchor>
        </w:drawing>
      </w:r>
    </w:p>
    <w:p w:rsidR="00184CAB" w:rsidRDefault="00184CAB">
      <w:pPr>
        <w:spacing w:line="360" w:lineRule="auto"/>
        <w:rPr>
          <w:color w:val="4C4747"/>
        </w:rPr>
      </w:pPr>
    </w:p>
    <w:p w:rsidR="00184CAB" w:rsidRDefault="00184CAB">
      <w:pPr>
        <w:spacing w:line="360" w:lineRule="auto"/>
        <w:rPr>
          <w:color w:val="4C4747"/>
        </w:rPr>
      </w:pPr>
    </w:p>
    <w:p w:rsidR="00184CAB" w:rsidRDefault="00184CAB">
      <w:pPr>
        <w:spacing w:line="360" w:lineRule="auto"/>
        <w:rPr>
          <w:color w:val="4C4747"/>
        </w:rPr>
      </w:pPr>
      <w:bookmarkStart w:id="0" w:name="_Hlk86404256"/>
      <w:bookmarkEnd w:id="0"/>
    </w:p>
    <w:p w:rsidR="00184CAB" w:rsidRDefault="00184CAB">
      <w:pPr>
        <w:spacing w:line="360" w:lineRule="auto"/>
        <w:rPr>
          <w:color w:val="4C4747"/>
        </w:rPr>
      </w:pPr>
    </w:p>
    <w:p w:rsidR="00184CAB" w:rsidRDefault="002B1930">
      <w:pPr>
        <w:spacing w:line="360" w:lineRule="auto"/>
      </w:pPr>
      <w:r>
        <w:rPr>
          <w:noProof/>
          <w:color w:val="4C474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26298</wp:posOffset>
                </wp:positionV>
                <wp:extent cx="1884048" cy="177165"/>
                <wp:effectExtent l="0" t="0" r="1902" b="13335"/>
                <wp:wrapNone/>
                <wp:docPr id="11" name="object 6"/>
                <wp:cNvGraphicFramePr/>
                <a:graphic xmlns:a="http://schemas.openxmlformats.org/drawingml/2006/main">
                  <a:graphicData uri="http://schemas.microsoft.com/office/word/2010/wordprocessingShape">
                    <wps:wsp>
                      <wps:cNvSpPr txBox="1"/>
                      <wps:spPr>
                        <a:xfrm>
                          <a:off x="0" y="0"/>
                          <a:ext cx="1884048" cy="177165"/>
                        </a:xfrm>
                        <a:prstGeom prst="rect">
                          <a:avLst/>
                        </a:prstGeom>
                        <a:noFill/>
                        <a:ln>
                          <a:noFill/>
                          <a:prstDash/>
                        </a:ln>
                      </wps:spPr>
                      <wps:txbx>
                        <w:txbxContent>
                          <w:p w:rsidR="00184CAB" w:rsidRDefault="002B1930">
                            <w:pPr>
                              <w:spacing w:before="20"/>
                              <w:ind w:left="14"/>
                            </w:pPr>
                            <w:r>
                              <w:rPr>
                                <w:b/>
                                <w:bCs/>
                                <w:color w:val="D0B787"/>
                                <w:spacing w:val="9"/>
                                <w:kern w:val="3"/>
                                <w:sz w:val="20"/>
                                <w:szCs w:val="20"/>
                              </w:rPr>
                              <w:t>REPÚBLICA</w:t>
                            </w:r>
                            <w:r>
                              <w:rPr>
                                <w:b/>
                                <w:bCs/>
                                <w:color w:val="D0B787"/>
                                <w:spacing w:val="11"/>
                                <w:kern w:val="3"/>
                                <w:sz w:val="20"/>
                                <w:szCs w:val="20"/>
                              </w:rPr>
                              <w:t xml:space="preserve"> DOMINICANA</w:t>
                            </w:r>
                          </w:p>
                        </w:txbxContent>
                      </wps:txbx>
                      <wps:bodyPr vert="horz" wrap="square" lIns="0" tIns="12701"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object 6" o:spid="_x0000_s1026" type="#_x0000_t202" style="position:absolute;margin-left:0;margin-top:2.05pt;width:148.35pt;height:13.9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4WUywEAAIQDAAAOAAAAZHJzL2Uyb0RvYy54bWysU9uO2yAQfa/Uf0C8N7aj3SSy4qzaRltV&#10;WrWV0v0AjCGmAoYFEjv9+g44l2r3reoLHuZymHNmvH4YjSZH4YMC29BqVlIiLIdO2X1Dn38+flhR&#10;EiKzHdNgRUNPItCHzft368HVYg496E54giA21INraB+jq4si8F4YFmbghMWgBG9YxKvfF51nA6Ib&#10;XczLclEM4DvngYsQ0LudgnST8aUUPH6XMohIdEOxt5hPn882ncVmzeq9Z65X/NwG+4cuDFMWH71C&#10;bVlk5ODVGyijuIcAMs44mAKkVFxkDsimKl+x2fXMicwFxQnuKlP4f7D82/GHJ6rD2VWUWGZwRtD+&#10;Qt3IIokzuFBjzs5hVhw/wYiJF39AZ+I8Sm/SF9kQjKPMp6u0YoyEp6LV6q68w2XgGKuWy2pxn2CK&#10;W7XzIX4RYEgyGuqxhawoOz6FOKVeUtJjFh6V1nl82r5ypLwtC/1UlcJF4jH1m6w4tiMGk9lCd0Ju&#10;uML4aA/+NyUDrkNDw8uBeUGJ/mpR77Q72ajmyxKV8hdvezGY5Vje0EjJZH6O057hoB2LT3bneMKZ&#10;ev14iCBV5nXr4twnjjorc17LtEt/33PW7efZ/AEAAP//AwBQSwMEFAAGAAgAAAAhANJgmsHdAAAA&#10;BQEAAA8AAABkcnMvZG93bnJldi54bWxMj81OwzAQhO9IvIO1SFyi1mmoCoRsKqjUC+JHtDyAG2+d&#10;CHsdYrcNPD3mBMfRjGa+qZajs+JIQ+g8I8ymOQjixuuODcL7dj25ARGiYq2sZ0L4ogDL+vysUqX2&#10;J36j4yYakUo4lAqhjbEvpQxNS06Fqe+Jk7f3g1MxycFIPahTKndWFnm+kE51nBZa1dOqpeZjc3AI&#10;2ec8mH14yLrH1fPL0/crWbPOEC8vxvs7EJHG+BeGX/yEDnVi2vkD6yAsQjoSEeYzEMksbhfXIHYI&#10;V0UOsq7kf/r6BwAA//8DAFBLAQItABQABgAIAAAAIQC2gziS/gAAAOEBAAATAAAAAAAAAAAAAAAA&#10;AAAAAABbQ29udGVudF9UeXBlc10ueG1sUEsBAi0AFAAGAAgAAAAhADj9If/WAAAAlAEAAAsAAAAA&#10;AAAAAAAAAAAALwEAAF9yZWxzLy5yZWxzUEsBAi0AFAAGAAgAAAAhANZzhZTLAQAAhAMAAA4AAAAA&#10;AAAAAAAAAAAALgIAAGRycy9lMm9Eb2MueG1sUEsBAi0AFAAGAAgAAAAhANJgmsHdAAAABQEAAA8A&#10;AAAAAAAAAAAAAAAAJQQAAGRycy9kb3ducmV2LnhtbFBLBQYAAAAABAAEAPMAAAAvBQAAAAA=&#10;" filled="f" stroked="f">
                <v:textbox inset="0,.35281mm,0,0">
                  <w:txbxContent>
                    <w:p w:rsidR="00184CAB" w:rsidRDefault="002B1930">
                      <w:pPr>
                        <w:spacing w:before="20"/>
                        <w:ind w:left="14"/>
                      </w:pPr>
                      <w:r>
                        <w:rPr>
                          <w:b/>
                          <w:bCs/>
                          <w:color w:val="D0B787"/>
                          <w:spacing w:val="9"/>
                          <w:kern w:val="3"/>
                          <w:sz w:val="20"/>
                          <w:szCs w:val="20"/>
                        </w:rPr>
                        <w:t>REPÚBLICA</w:t>
                      </w:r>
                      <w:r>
                        <w:rPr>
                          <w:b/>
                          <w:bCs/>
                          <w:color w:val="D0B787"/>
                          <w:spacing w:val="11"/>
                          <w:kern w:val="3"/>
                          <w:sz w:val="20"/>
                          <w:szCs w:val="20"/>
                        </w:rPr>
                        <w:t xml:space="preserve"> DOMINICANA</w:t>
                      </w:r>
                    </w:p>
                  </w:txbxContent>
                </v:textbox>
                <w10:wrap anchorx="margin"/>
              </v:shape>
            </w:pict>
          </mc:Fallback>
        </mc:AlternateContent>
      </w:r>
    </w:p>
    <w:p w:rsidR="00184CAB" w:rsidRDefault="00184CAB">
      <w:pPr>
        <w:spacing w:line="360" w:lineRule="auto"/>
        <w:rPr>
          <w:color w:val="4C4747"/>
        </w:rPr>
      </w:pPr>
    </w:p>
    <w:p w:rsidR="00184CAB" w:rsidRDefault="00184CAB">
      <w:pPr>
        <w:spacing w:line="360" w:lineRule="auto"/>
        <w:rPr>
          <w:color w:val="4C4747"/>
        </w:rPr>
      </w:pPr>
    </w:p>
    <w:p w:rsidR="00184CAB" w:rsidRDefault="00184CAB">
      <w:pPr>
        <w:spacing w:line="360" w:lineRule="auto"/>
        <w:rPr>
          <w:color w:val="4C4747"/>
        </w:rPr>
      </w:pPr>
    </w:p>
    <w:p w:rsidR="00184CAB" w:rsidRDefault="002B1930">
      <w:pPr>
        <w:spacing w:line="360" w:lineRule="auto"/>
      </w:pPr>
      <w:r>
        <w:rPr>
          <w:noProof/>
          <w:color w:val="4C4747"/>
        </w:rPr>
        <mc:AlternateContent>
          <mc:Choice Requires="wpg">
            <w:drawing>
              <wp:anchor distT="0" distB="0" distL="114300" distR="114300" simplePos="0" relativeHeight="251677696" behindDoc="0" locked="0" layoutInCell="1" allowOverlap="1">
                <wp:simplePos x="0" y="0"/>
                <wp:positionH relativeFrom="margin">
                  <wp:align>center</wp:align>
                </wp:positionH>
                <wp:positionV relativeFrom="paragraph">
                  <wp:posOffset>4040879</wp:posOffset>
                </wp:positionV>
                <wp:extent cx="2059942" cy="749935"/>
                <wp:effectExtent l="0" t="0" r="0" b="0"/>
                <wp:wrapNone/>
                <wp:docPr id="12" name="Group 13"/>
                <wp:cNvGraphicFramePr/>
                <a:graphic xmlns:a="http://schemas.openxmlformats.org/drawingml/2006/main">
                  <a:graphicData uri="http://schemas.microsoft.com/office/word/2010/wordprocessingGroup">
                    <wpg:wgp>
                      <wpg:cNvGrpSpPr/>
                      <wpg:grpSpPr>
                        <a:xfrm>
                          <a:off x="0" y="0"/>
                          <a:ext cx="2059942" cy="749935"/>
                          <a:chOff x="0" y="0"/>
                          <a:chExt cx="2059942" cy="749935"/>
                        </a:xfrm>
                      </wpg:grpSpPr>
                      <pic:pic xmlns:pic="http://schemas.openxmlformats.org/drawingml/2006/picture">
                        <pic:nvPicPr>
                          <pic:cNvPr id="13" name="object 8" descr="A picture containing clipart&#10;&#10;Description automatically generated"/>
                          <pic:cNvPicPr>
                            <a:picLocks noChangeAspect="1"/>
                          </pic:cNvPicPr>
                        </pic:nvPicPr>
                        <pic:blipFill>
                          <a:blip r:embed="rId8"/>
                          <a:stretch>
                            <a:fillRect/>
                          </a:stretch>
                        </pic:blipFill>
                        <pic:spPr>
                          <a:xfrm>
                            <a:off x="805531" y="0"/>
                            <a:ext cx="474975" cy="441069"/>
                          </a:xfrm>
                          <a:prstGeom prst="rect">
                            <a:avLst/>
                          </a:prstGeom>
                          <a:noFill/>
                          <a:ln>
                            <a:noFill/>
                            <a:prstDash/>
                          </a:ln>
                        </pic:spPr>
                      </pic:pic>
                      <pic:pic xmlns:pic="http://schemas.openxmlformats.org/drawingml/2006/picture">
                        <pic:nvPicPr>
                          <pic:cNvPr id="14" name="object 9"/>
                          <pic:cNvPicPr>
                            <a:picLocks noChangeAspect="1"/>
                          </pic:cNvPicPr>
                        </pic:nvPicPr>
                        <pic:blipFill>
                          <a:blip r:embed="rId9"/>
                          <a:stretch>
                            <a:fillRect/>
                          </a:stretch>
                        </pic:blipFill>
                        <pic:spPr>
                          <a:xfrm>
                            <a:off x="0" y="529721"/>
                            <a:ext cx="2059942" cy="220214"/>
                          </a:xfrm>
                          <a:prstGeom prst="rect">
                            <a:avLst/>
                          </a:prstGeom>
                          <a:noFill/>
                          <a:ln>
                            <a:noFill/>
                            <a:prstDash/>
                          </a:ln>
                        </pic:spPr>
                      </pic:pic>
                    </wpg:wgp>
                  </a:graphicData>
                </a:graphic>
              </wp:anchor>
            </w:drawing>
          </mc:Choice>
          <mc:Fallback>
            <w:pict>
              <v:group w14:anchorId="6218AFAA" id="Group 13" o:spid="_x0000_s1026" style="position:absolute;margin-left:0;margin-top:318.2pt;width:162.2pt;height:59.05pt;z-index:251677696;mso-position-horizontal:center;mso-position-horizontal-relative:margin" coordsize="20599,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Bq/auwIAABMIAAAOAAAAZHJzL2Uyb0RvYy54bWzUVdtuGjEQfa/Uf7Bc&#10;qW9hl2VJwhaIotJElaIW9fIBxuvddeObbHP7+469CyWA2iqqVOUBM7ZnZ86cObbHNxsp0IpZx7Wa&#10;4H4vxYgpqkuu6gn+/u3u4hoj54kqidCKTfCWOXwzff1qvDYFy3SjRcksgiDKFWszwY33pkgSRxsm&#10;ietpwxRsVtpK4mFq66S0ZA3RpUiyNL1M1tqWxmrKnIPVWbuJpzF+VTHqP1eVYx6JCQZsPo42josw&#10;JtMxKWpLTMNpB4M8A4UkXEHSfagZ8QQtLT8JJTm12unK96iWia4qTlmsAarpp0fV3Fu9NLGWuljX&#10;Zk8TUHvE07PD0k+ruUW8hN5lGCkioUcxLeoPAjlrUxfgc2/NVzO33ULdzkK9m8rK8A+VoE2kdbun&#10;lW08orCYpcPRKIfwFPau8tFoMGx5pw005+Qz2nz4/YfJLm0S0O3BGE4L+HUsgXXC0p/VBF/5pWW4&#10;CyL/KoYk9nFpLqChhni+4IL7bRQntC6AUqs5p3PbTg4IH+wI14sfIFQER6VkjoI6b1EHBFGtPGgL&#10;pI2o4IZY//bN5vZdHGbBmRsPRw+RpddwRDglQmxRzRSzxLMy8BwghKwtBhI4etD00SGl3zdE1ezW&#10;GUgPCgjeyVP3OH1SwAJg3HEhQteD3VEFqI80eYbtVu8zTZeSKd8eYMsE4NbKNdw4jGzB5IKBHu3H&#10;MgIihfOWedqEhBUk/gJgA9CDjYjyF7BQggO5nhHodTocDvoYnao0B2VeDVuR5nk/vRxFOnZaA96s&#10;8/dMSxQMwAcwoMGkIKsH1wHauYRlpQNLAJQUQh0tBL8ZcU1bRtiOFbSYowkltJ0D4+UoOj9SdKTw&#10;qaBekv6y9pr6l/qDNwikN8xGV1mn7rO3ZJalWT//7wKMFyy8PPG0da9keNoO52AfvuXTn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PCz50fgAAAACAEAAA8AAABk&#10;cnMvZG93bnJldi54bWxMj09Lw0AQxe+C32EZwZvdpPmjxExKKeqpCLZC6W2aTJPQ7G7IbpP027ue&#10;9PaGN7z3e/lqVp0YebCt0QjhIgDBujRVq2uE7/370wsI60hX1BnNCDe2sCru73LKKjPpLx53rhY+&#10;RNuMEBrn+kxKWzasyC5Mz9p7ZzMocv4calkNNPlw1cllEKRSUat9Q0M9bxouL7urQviYaFpH4du4&#10;vZw3t+M++TxsQ0Z8fJjXryAcz+7vGX7xPToUnulkrrqyokPwQxxCGqUxCG9Hy9iLE8JzEicgi1z+&#10;H1D8AAAA//8DAFBLAwQKAAAAAAAAACEAWlTOao4UAACOFAAAFAAAAGRycy9tZWRpYS9pbWFnZTEu&#10;cG5niVBORw0KGgoAAAANSUhEUgAAAGQAAABdCAYAAABTl8MxAAAABmJLR0QA/wD/AP+gvaeTAAAA&#10;CXBIWXMAAA7EAAAOxAGVKw4bAAAULklEQVR4nO1daXQc1ZV+r6r3fdG+W17lfQPMFmMDzoBZHGMy&#10;IZyEyWQmQyAMJxBmhgwzk2QODGdOAgYSEiDDgA0YA8aAHRuwxGYjG2uxsY1l2ZKlbm29qffuWrqq&#10;3vyQZKpfV7WqtVitQd+/unXrvtv11dvvfQ0RQmC6I+4//1ekWhfU28qOTrUv44Vqqh2YCKgN1i6C&#10;1Ean2o+JADHVDowHCCECCcKFjwoJvBohBKfSp/FiWtcQjo5VRL3tm1Uao5dQqRN0zL/EUb3qGVI1&#10;fWsL/P/QhzCJwfkEqY2qdaaBqfZlvJi2NQQJgirmO3crFem/LBnqvRpCIqW3V3xusJYdMRXN2QMh&#10;FKbax7FgWtYQNhma3Xdi73Yq3H+51H2Do+rj8iUb71LrLT0X27fxYtoRkgz3rXE3vXFA4FlTNj1C&#10;pY3UXHbn1Tpz4cmL5dtEYFqNsgSB0/af3P/iaGQAAIDAMdb+k/teFI/CpgOmFSGD57/4ZzYxWKdU&#10;n456VgfdLfdNpk8TjWlFSMx3btMYnrl1MnyZLEwbQgSB09Ix/+Jcn6Mj3pUIoWnzO6dN+8ozySJz&#10;0dx3x/RsinKoNIbARPs0Gcj7UVY80H0dmwzOmwhbOnPxcYO9vHEibE0W8r6GRD1nbo95z26eCFv2&#10;qhV/yndC8r6GiCHwKX1i0L0eAADUeotbZy48maKilXTMvxQAAHSW4la1zjRARTyrOCZRAiBAJmfN&#10;AUiQqan1XDnyvoaIQUd9y3ta39oLAACmwtl/qVq15aZw38kf+TsO/RoAAIoXrP+5s+aSrZ7TB/5A&#10;RfovAwCAOVf/ZK7GaO+YSr9zwbQZfXxTMENInmGGkDzDDCF5hhlC8gwzhOQZZgjJM8wQkmeYISTP&#10;MK1m6hqjvaNwzpW/AgAArWloa9ZYMOsDAIZisYyOqk8AAMBevfL3puSs/QBApNIaPVPl71iQ92tZ&#10;yVDvlWwyXDsRtrSmgtN6a0nLRNiaLOR9DQn1HP+HqOfMdyfClqN61dP5Tkje15BvGvKiU0cIEQgJ&#10;5JSVLwiqfNnmnVInEEIwGe6/LEVHqyAk+Gx6E1GW3D1IEFyKilQnQ31XTHWw9pQQghCC8UD3dYHO&#10;xkc0emuXRm/tltMdJqxa2k5mrZKLw0pR4dpEsOdquXI0BluXxmg/G+hsfCQe6NowVcRcdEKSob7L&#10;XU2vNySDrvUFs694VKU1+qT0OCZR1H/q/eeFFO2QIoxNhmsDnY2P4HJ/Z+O/SY3KNAZ7Z4oK1/ad&#10;2LuNYxLFUmWqNIZAwewrHk0Ge9a6ju74JBnqvWoMP3FcuGiE0FHvcnfLW3u6j772ma188baieWt/&#10;KRUQjZBABt3H7u44+EK73lZ2xFRYux/X4ZhEsat554cckyjNvBcvGb6X8dJt5UteVmmNno6DL7QH&#10;3cd+KlXDIIRC0bxv/autYsmL3Ud3fOxqfmM/FfGsGs9vzwWTTghCCAbOH/mX840vtSYGXddVrti8&#10;yVa+5CUpXSriWdl95JVGz+kP/2gqrH3fVr7kf3EdnmMs7pY396WS4dlyZaaS4dnuljf38Rxjwe8V&#10;zVv7sM5S0uI5/eGzXYe3H6EiA6ulbNjKl7xcuXLzrclgz9quwy83+TsbH7kYHf+kFsBzjLn3+Dtv&#10;+c5++l+QUNFVq267yVw0+y8ZeinG6jld/3TX4W1NVGTgUlJj8JfUXf8zCGHamFwQOG3vsd1v01Hv&#10;ytHKpqPelT2tu3cLAqcVyyEk+PKlN95FqLRhOupZ3XV429GB0wd+z6doG27DXDh7X9WqLRshoaL9&#10;5w7+Z++x3W/zKcY6lnehFJNGCJMYnN91ePsXMe/ZzRCSbOXKzbcanTUNuF6Kjpd2Hd52dCgGd+gL&#10;LFlw7f0qjX5QrIeQQPaf2Ls9Mei6VqkPyaBrfd+Xe1/Bmya1ztJbunDDvcOXMORuvbfr8LajKTpW&#10;htswOqs/rlp1282QIJmY79ytXYe3HWXigYVKfcgVk0JI1Ht2U1fjtqbhwGhUvuzm75sKZh3A9Tgm&#10;UeRqer1BHAint5U3WkrrXsd1PW0NW6Oe9ttz9SXmbd/iaWt4CpdbSut26G1fx2ixydBcV9POBqm+&#10;x+isaShfdsv3AACITQbndR3e/kXU0z4hsWI4JpQQhATSN1S1dws8awYAgOL56x6ylMzfhetyLOV0&#10;Ne2sx6PZixesfwBvqhKD3deG3K0/G6tfIXfrvYnB7rSaBSFExQvWPyCWsYnBBa6m1+s5NlmA27AU&#10;z3uneMH6BwEAQOBZU+/xd3b5zn762ERPaCeMED5F23tadu0RD0Xtlcufc9Rc8oSUrrt55wEm7l8i&#10;lltK63YYbGVfiGVI4NVSX3iu8LTVP40EXi2WGWxlX1hKF74mljHxwGJ3084DPEs5cBuO6tVb7ZUr&#10;/jhyHTh/5GF381v7OJZyjte/EUwIIQLHGl1NOw/EA+dvGJEZnTX1Uh0zn2KsruY3PqCj3hViOSRI&#10;pmje2odx20H3sXuYeGDReH1k4oMLg+5j9+Dyonnf+iUkSEYso2O+5a7mNz7AO3oIISqpu+4fjc5Z&#10;H47IEoNdG9zNOw8I3OhJREowbkIQEsjeL/fsoKNfj9VJtT5QvnTjDyBBcGJdnmPM7pY399GRgUtw&#10;O86aS57Q6K0usYxjEkUjUYkTAX/HoV9zTKJILNPorS5nzaW/w3XpqGe1u+XN/TzHmMVySBBc+dIb&#10;7yLV+sDXut4VvV++9/pEZGuNixCEEPS2ffRk3N9xs1hetviGv1NpTWkbQwLHGntadu2lwn1X4HZI&#10;jcHvrF3zOC73nfvsUYGbuGGmwDFW37nPHsPlztrLHic1howVAyrcv6an5a19AscaxXKV1uQpW3LD&#10;j8WyuL9zo+dM/VPjXXIZFyFBV/P9eMqYrWLZC+bi9DwOhBDsO7H3lWSo51tSdhxVK57Fk/2pyMDq&#10;cO+JH0vpjwfh3hN/S2E1lFRpY46qr/sGMZKh3qt6T+x5DX/R5qK579krlz8nloXcx+4Jdjf/fDz+&#10;jZmQqPfsJu+Zj9I6bJXW6ClesO4XuG7Me/Y7suloEPK2imXPi0UIIcLTVv8MAGAyFvigp63+aXzW&#10;batY9jyAUHLFOe7ruCXmbb8NlxfNv+YhldbUL5Z52z/67XiGxGMihIoMXNL35Z7XAPbCiuev+wX+&#10;pfMcY/a0NTwtZ8tcNG+3WmdO+1Fxf+dGKty/Ziy+KQEV7l8T93duFMvUOnO/uWjebrlnPG0NT+FL&#10;MaRKGyuen/EBwr4Te19Nhoei73NFzoSwVKTG3bJrDxI4vVhusFccwoeQAADga//kvzkmVi5nz1G1&#10;4llcFu47+aNc/coVUmU4qlf+QU6fY+Jl3jMf/xaXW0rrXjfYKz8Ty5DA6Xpad73HJsOzcvUrJ0KQ&#10;wKt7Wne9y7MZs1lUUnfdffgQN+o9uynUc/xuOXsao7PNMBwpMgKOTRbEfB035eLXWBDzddyETwAN&#10;9spPNUZnm9wz4d4v/x5vjiCEqGThdfcBANKH92yyqKd113v43Gc05ERIqOf43cxwtpIYltKFO3SW&#10;4uNiGcdSzoGvPngO1xXDUbXiWZzESP/pOwEScvoRYwIS1JH+03eKRRBC5KiSryUAADBw+sM/4UTq&#10;zEUnrGWLXsV1mXhgsdTcJxsUE8KxlNMnNSeABFc096p/x8XetvqneDZZlKF/4TEVZS1fvA2XR/pO&#10;/o1Sn8YLqbKs5Yu2Q1KdlHuGZ5OFnrb6jD6xcM5V/wFg+rwLAAD8HYd+xbHJQqU+KSbE33HwN0KK&#10;tuNye8XSP2sM9k6xLBF0r40MpH99OIzO6gZ8AEBHfcvomG+5Up/GCzrmW05HfcvEMlKljRodVR9l&#10;ey460HZHYtC1TizTGGzn7RXLXsB1BY6x+c8d/I1SnxQRQsf8S0Juib4AElxB7eVpEy0kCCrP6fpn&#10;RrNpKqh9H5eFL2LtEJWZ0blL+YbD01b/DD4zL5i95jEAiYwE01DPlz+hY76Mpl4KoxKCEIKetoat&#10;I3sVYtjKFm3Hj0AK95/6Ib5oKAVTwawP0soRePVotWoyEOn/6k4k8BqxDPdNCkw8sAgnU62z9Nok&#10;mmEAEOFpa9iqZBY/KiEx37lNyaBrvdQ9R80lT6YVK/DqQOfnGf0JDo3B3oFnxsb952/kc2hrJwp8&#10;iiqIYXMSjdHeoTGMnrkb6Gx8BCfTUb16q5RuMuheF/Oe/c5oNrMSIvCcTmrsDQAABnvFQfwsqshA&#10;2x0pSjpkRwxjwayMJiHmn/yhrhzi/s4bcZmpIDO4AkeKjlZF+r9Kq9U6c+Epg6PyUyl9b/vHvxN4&#10;TpfNZlZCgq7m+1OUdKCzrWLZn8XXCCE42H30wWz2RiAVSUJFBi5V8uxkQKpsY2HmRyOFwe6mB/Cm&#10;yFa+9H+kdFNUpCbY3ZR1rUuWEIQQEZIZQxOkJm4pnpe2C0iF+66UmqPggJBkjfb0L0jgWBMTC+R8&#10;0s9EgYkFFuMrukZ75acQkuyoz8YDi5Oh3rQAPEvJ/F0EqYlL6Qd7jv00W/SK7A0q3L8mRUerpO6Z&#10;i+fuJlSahFgW7jv1w+yuD0FnLW7Bn6Wi3pVSg4aLB0RQUW9a7BWh0iR01pJmJU9H+k/9IO1ZUp00&#10;F897W0qXo2OVVLhP8qxIALIQEh1o+57cPSu2ZoUEXhP1tm+Rd/lraE0Fp3HZVDZX2XzQmuSXUcSI&#10;es/ehnfu1tK6HXL6kSzvVpIQhAQyIpOTQah1IaOzOi2cJx7o2iA1aZSCVmKtiBrjyuhEgo70ZxKS&#10;ZV1LDCFF2+OBrg1imdFZ3UCqdUEp/ain/Xa54AhJQpJB9zUSC4gAAADMhXP24KfrZKtNODQSXx2d&#10;DzUkPJDxUUj5KofIQNsd4mtIkClT0dz3pHR5NlGcDLqvkbonSQhuXAxz0ey94muBT+ljvg7F5xpq&#10;jc4z4muOiZfI9VUXEyk6WsUx8RKxDPc1G2K+c7cKfMoglpkLazOiNEcg944zCEECr4l6MnfHhgAF&#10;o7OmXiyhwv2XKzm2FQAAIKGi1XpLWiBDPvQfI6AinrStXbXe4oKEilbyLOJTRryzHorUlD5hO+pp&#10;z+h3AJAgJB7ovl7gmIw4VwAA0FlLWki1LiSWJYI9a5U4DAAAGqOjHU/MocJ5RAjWl0FI8Bqjo13p&#10;8/i7INW6kE4mp1HgGBve7wAgQUjUI98fGOzlh3BZMuRWTIjUqIWVmXhOBVJUpAaXKR1pAQBAUuLj&#10;lHpnI5DqeyVqSCZrF4zb0s8rFAROm8vet8ZgP4fLeIWjs4sBPkVnRCtK+SwHKtJ/Gb40YrBVfC6n&#10;Hx/szl5DeI4xZ9tU0llKWsXXdMSzGgm8Vk4fh1QSvyDxEqYKPJf5ceRy8AASeC0eYqS3ljbJlscm&#10;C/FAvDRCsiXBQFKdUGOpZbSCpRIxVBLBaHlVQ9jMj0OlMfhzsYFvPah05h5SnZ5aIUYqGUlrstMI&#10;yXZigs5U8BWegpZrzC0p8eOkmompglQNkfI5G5j4YFruCIQQ6SzFx+T02WQorRKkE0LJ1xCpSVKu&#10;iSukShcWXyOEIM9lZi5NFfgU5cBXbkmVNiynLwWpd6I1FZyS08ffueImS2rDJtcaQqg0MfG1wLNm&#10;gNCUHRiQAYTIkbyWEeA+jwapd6I1yU8w8XeON1mKCRE41phtACAFglSnrfLmU3M1ArxPk1tGl32e&#10;TRbhS/lqXfpkWAy8m1Dch6j11i7xtVRK8miARPr+Qj516CPI+Ehk4n2zAX83Kp38Xy/hleACIUjg&#10;1Sk6Irv9qtZZ3OLrFBPPSJAcDRCLyBBSmVlKUw181Rr/iJQgxcTTCckydE5RkRpxdOMFQlJ0tEq2&#10;PYcEp9IavWIRNwZCAJFOyGSnGI8FeK1VsmuIg6NjFeJrUq0LSYUHDQER4sXVC8czcSzlTAZd64BE&#10;CgCEJIvnfDCJ4FxmOKgNIQBHTnUDAEAwNFIZvkYQDcusZYteFQ+d2WS4NhF0rQMAIggAAkNhpQiA&#10;C+GlCMDhe2D4nkhHY7B14udf0VHvcpaKzAJI5M+Qb1DezyEZAgAa7BWHxEd5IISIqOfM7QBABCEQ&#10;+4eGXw4CACAIIAJD94HWVHhKY7CdF/sV95+/QWoxEQAADI6qT0i1NpJGSDbwHGNh4unZspAgWX2W&#10;8bWEDXPmGJ1I6SzFx/D4XqVgqUgNnsas1poG1Pr05lUpEEKQjvmWA5QeAKc1Ok/j287ZbDAx3zKE&#10;xSdrjc42QjX6AEFRTlzc17mx78Se9FQDSHALv/2Q4qDoRKD7+t7j72SkR9d9+59IgEWOK4X3zEdP&#10;4LFOltK6HRXLbvn+WOwhxGu6Gl9qxeWVq7ZsNBfO3qfQDDzf+FLGh1q5YvMmvJWRgopNhOagUQIM&#10;pPsLBJnE4HyFTgKOiUvmiLCJwflgjP/KKXDpc4ZhmSUXv8SQW5fj6FiFYpsy/XBKkQ0owK/2Pz5z&#10;xl8eAUa9524GeXK83TceEAqKOvWh/y3HQyChQJDKtjeHbUA8DS5XGxk2BV6Nd54QEqnx/MXR0H5G&#10;+noWJFR0LgOP8dhQ1KnHvO2be4+/+yZeQN2GB/Vyz+CI+zs39rTu2pMmhARXt+FBXbbzFrOh78Te&#10;7VHPmb8Wy6xli7aXL71JUdAeDoHndGfqn4jj/UDV6u9ukDo8RwpIEFRn6p+M4SO1ypVbJI+mwqGo&#10;qUJCZooZQrnlzuFf8rDhcZ18IGVTshzlFqFUp5yzTYnfpfR9zfQdeYYZQvIMM4TkGZQtnbCUIxlJ&#10;jy4hCBVldFZ/rLQgPkXbktjBMwRBMgZH9UdjXTqhY4FF+Aq1Rm/t0poKFIfuiIEQgonB7uvxPtPg&#10;qDiIJ6hmt+G6Fp9kGuzln5Nq3ai7j3Cwu/k+IWNIO4OpAEGo6JmZep5hpg/JMxD48XYzmDpAgmT+&#10;DxEs4GpiRENZAAAAAElFTkSuQmCCUEsDBAoAAAAAAAAAIQAhe3lgpjMAAKYzAAAUAAAAZHJzL21l&#10;ZGlhL2ltYWdlMi5wbmeJUE5HDQoaCgAAAA1JSERSAAABsAAAAC4IBgAAAElVTK0AAAAGYktHRAD/&#10;AP8A/6C9p5MAAAAJcEhZcwAADsQAAA7EAZUrDhsAACAASURBVHic7Z13dBzV9fjflJ2d7b2orbos&#10;27Isy3Jv2AaDMaaGXkxNgICpKSQBQktIhy+QBEInFBOq6TY2uOMiybbkpr6SdqXtvU55vz9WI63l&#10;rbJkA7/9nKNzNDOv3J15M/eV++5FIIQgx48Xr6XtIr+1Y3XIMzAr4ndMAQCiCIqH5YXTXtZWLHoQ&#10;IwTOdGUEHMZl3sGjl4U8gzOjAWc1IVK0k1Jdo1Q36QOxpuyLVHl91o7V9q5dDyS+irAipeFbVdmc&#10;P2M435sqf9GMiy/E+SLr6Ov9B9a/RYU8JalkICXag3lTz7519PmePW9/A1manygPxhM45QXTXpHq&#10;J72f6DpDheW9jf/7XKwu+1JTseDRZHUHnH2LrG3f/qlg+vlXEgKZMVk6CCHqMbWsCTiMy0PewQY6&#10;4s8jJdoDpFTfKC+c/iIpUR9K9RvTYW798oWI31YTf45HSnv5Ek2LQKpvEqlLv0IQhM22jNEQAnlX&#10;wfTV12QjG8tQQuPed75WGmY+K8uf8lY2eUfjNrVeZ+vY/nvdpDN+JdVX/+9kysrx/Qc/3QLkmBgY&#10;OiIdPLzxWY/50LUCWd4ekbpko7K44WkEQZiwz1rn7G2+LWDvOatkztWLcL7IkqgMlqEE1rYtTzqN&#10;jWv5Yk2LUFm4TZY/9b/RgKM66Opf5O4/eLO8sPYlXfWyezCc70tUBh0NaENu8zx5Ye1LKMYLjL7u&#10;GTh8dcDRc5Zh1uVnJVJiXH4IGSJR+WGvtQ5ChhCrSjckuxeEUN6Z6HzIbZ5DCBUdAnne7tHXIGR5&#10;pgOfvBUJOB7VlM9/IsF1POQ2zwu5zfMIkeqoLK/63UR1sHRYEXKb50GGFiSTjwp7C80tn78acBiX&#10;C5WGbyTayo9wQmQNewfrvYNHL3f1Nd+mrVrya2Vxw/+lUzLJiPht06iQr0isKeU6HAgV8hqcxqY7&#10;mWhAJ5AX7MibevatpETTmrKMsK9Qoqn4JFkanBSbsxYOQjTkNs+jdJM+yDrvccVA1N713QNUyFNi&#10;7/ruAYlu0nsIguR66D9icgrsRwiEEOlr+uCjkGdgTn7NyhtlBdNeHf0iy/Kn/tfd33IDRghtycox&#10;HfzsDb+t4zxd9bJ7Rn88IYSoo2fPfda2rU9QYV+hYealK1N9LLSVi36H88WDo8+ry+c/1r7l3z2O&#10;7r33aSsXPjyW3yuQ6hvzpq64fSx5xZrSL3WTlv4y0TWlof7Z7l1v7CalumaJpvzzRGlQnPCaWz9/&#10;mS9WHU718U8GS0fFPbvf3A5ZlmdouGyFWF26Mf56rCPy9TOWo5v/ARlaoC6f98ds6+DgS9St+TUr&#10;bxl93m/vPmvg0FfPd+18tblkztULhfL8ExT6cBki9eGx3uuJxm/rXBUNOKp11cvusRzd/I+gs3ep&#10;SFW8+XTLlWPiQE+3ADnGH4/50LVBZ+/SvKln/0xeWPtKIsUikOXtzZu64vZkPXqfpf0Cn+XYJbrq&#10;ZfeqSmY9NTodgiCsunTOX3TVS+8P2LvP9g4cuXIssuKE0I6ieJiO+PVjyT+RCGR5+xAUiwYcxuXJ&#10;0mjKFz7C44sH+ps//IChIrJs67C2b3tsqANw7mjlBQAAGM73FtSuWiPRVX1g69z5UDTgqsi2jnSI&#10;1aUbyxbcMJ1HSvrMBz99g6WjovGu41Tg6N79C5EqNtPAl2gP2Lt3/+J0y5RjYskpsB8hto4dDwvk&#10;BTtleVPeHGsZ1o7tj5BSXbOiqO75VOmUhvrn+BLtAVvnjofGWtcPGZTHdxfOuOgiKuLPNx389A0I&#10;YcbvFB0NqZzGxrVKQ/1zpFR7IFVa/eQz1wIAwER9lDGc78uvWXlTNOiqdJkO3jQRdUwkQbd5TtDV&#10;v0hVOutvCIJAVcmsvwXs3eeEfanX7HL8sMkpsB8ZDBWWUyF3mVhT9sVY5/9ZhiYjfltNbGEfZVKl&#10;RRCUkWjKP4sGnFUMHZFkW5d38NjFkGWIdMYgpwMIIQIARNKlIyWa1vyac2/02zpW2zt3/jbT8iM+&#10;Sx0AEBWr0/92HikxkVJdU9hrqc+0/GwRKg3fYjyBPewZnDVRdUwUzp499/HF6lbR0FqoLG/yOpwv&#10;Njt69t53umXLMXHk1sB+ZIR9tmkAAMAXn2i15jDuWxvx2qbHn+MJZd2a8vmPx5+L+O1TAYQYKda0&#10;ZFInX6I5CABAIj57jVBRsCtRmq6dr+9DEOQ4ZQghxCBk8aL6iy88mbUKn7X9grZvnktoPIDxSEf5&#10;wpumJcsLIYuzCSwRWToqHTi04Z+QZXkCWd7edDLI8qrfDXsHGmwd2x8hZfrGZGtm8YSHngVfktl9&#10;JiWag25T6/UQQnSsxhypQBAEklLtgbDXMiNZmqCz94xk9xpB0WjlkttKxluudESD7jLvYNsl+dNW&#10;3sR12hAUiyqLZz5jbd/2qLZy0W95pCR745Ic33tyCuxHBorxggAAwDLUCesYTDSkocLeIu447LNO&#10;JwSyntEKDMUJHwAAMHRmazosHZUAAADGI13J0iiKav+DJrAyZOmItK/5ww+k+knv6auX343ihD+T&#10;OuMhhMo2Wf7U/ya6hmJ4MFVeZ8++e5w9++45MR/h40s0LUUzL1mdiTICAABt5ZLfhDyWmaYDn7xZ&#10;Nn9NAyFUJLR+HK5j6D6zdEQGgMSUrnyWocQozvdMhPIaroOOSlI9R55AapQXTn8x0bXRHZRThaNn&#10;7z04X2iV5k1+O/68oqjueVvnzgedxsa1ukln/Pp0yJZjYskpsB8ZfLHqMAAIG/Hbp46+pq1c9GD8&#10;cf/+j9cl2kNFCOWdCMYLpOqJxxPx2WoRFA8RIkV7sjSKorrnE1khAgCAUFm82bjnra0iVemGZObo&#10;qeCLVUfUZXP+nG0+AACQaCs/khXUvMYd+21dK939B35aMH311RJtcnPxRCAoShfWnX9F185XG/ua&#10;PvywdO4181KlJ6Xa/QDEtgLwxerD6coPe63TuTwTAWRZPOyzTVMUTf9PsjQ8gbx7rPd6IqCjIZXb&#10;1HKjUJ6/y2M+dML+M75IddjVt/9Wdfm8J5Jt9cjxwyWnwH5koBgvREp1zd6BI1doyuc/imK8ULZl&#10;IAjKCBWF27yDRy/VVi56MNk+MQAAYKiwwjN45HKhsmhLuvWyZGA8vmcs+cYDQqRol+qqPuKOJZry&#10;zyJ+e4255bNXy+bfMIMnkPZmUx5OCG1FMy66uGf3m9vNh778j0w/eV2ytHyxuhXlkS5nb9Pt0rzJ&#10;76QaWQVd/Qsifts0Wf7YDXPS4extvBOytECUYk/d9w1XX/NtkKGEQbd5XtBtTthhgAwldPcfvFlV&#10;Musfp1q+HBNLzojjR4iuetm9VMhTYuvYMaZ9VQAAoK9edi9kaOHA4Y3PQZZN2NGBEKKDRzf9g6Ui&#10;cv3k5XePXeIYfJGi7WTLOFkQFKMKp59/BQAI7N//8buQTbyBOhUCWd6+vKln3+odOHKls7fxzmTp&#10;UIwX0k9ael/IbVrgNO5bmywdQ0ekA4e+ep4QKY8pixuezlaeTAi6+hda27b+QZo3+W2Jtvyziahj&#10;vGEZmnQaG+9UFNU9P/mse0XJ/sSaik+cPfvuhizDO90y5xhfcgrsR4hIWbRVYah/1tG9+1f9B9a/&#10;TUeDmvjrEELUM3DkCr+t61yMENgTlcEXq49oqxb/xmc5dknPnje3Rvz2KTGrvBjRoKvcuHfdRo+p&#10;dY120hm/5ItUx8YiK8vQpKtv/8/4YnUrX5z9RuCJgCeQ9uXXrrou5DHPsbR9++RYypAXTHtVYZjx&#10;z1R7yAAAQFYw7VWxtmK95ejmf5hbvngp/llBCNGAs/eMrh2v7KdC3uL8mpU3oRgeHos8iWDoiDTo&#10;Ms0bOLzhuZ7db27li9WH8qas+Pl4lT/ReMyHrmWiQY2ypCHlyEpVOuvvVNhr8A4eu/RUyZbj1JCb&#10;QvyRop985lqBTN84eOTrp9sGjlxBCBUdhFh1GEWxSMhrqafDvkKFYcY/tRXHr4vFoyqd/Te+RN1q&#10;bvnilc7tLx3CCKGNL1IdiQZdlXTEn4fzJabiWZefKVKVbEonT9fOV5sBOHGKkWUpISnRNRtmXroK&#10;QVF6LL/VZ2m/8NjmZ5JOcxICWU/pvOvmZFOmRFP+uap0zp8c3bt/JVQUbY2fZswUffXye8Jea13I&#10;bZqfLA2CILBoxsUXOXv23mNt2/oHt+ngjTyBvItHis1hn7WWpaNSgbxgZ/GsK84khPKubGWIJ+Aw&#10;Lj+66emY70sIEZaOyAGIGazoqpfdpzTMfCbdMwg4jUtT3WuMJ3BULLp5yljks7Vve8zetes3CcvF&#10;+e7KJbeWccecJxiJtnJ9us6TUFG0hZTqmh09e+6X5k1+O+de6scDknPm++OGjgY1IZdpfthnmREJ&#10;uCoxHukcco30aSLnuIlg6Ig05DLND3kHZ0YDripCpDwmkOkaBfKCnekWxsM+27SAvXvFCRcQhOGR&#10;kn6+WH04lQEDl19eNP2FRHW5+w/ewFBhZSoZUB7frSic/tLo846efXeRUl2zSFm0NVE+yDI8Z1/z&#10;bSjGC8gLal+O//CxDCVw9TbfLlKXbiBTmMFTYX+ed+DwVfKCaa+kc5xMhX0FIbdpfsgzOJOJBrWk&#10;VNdMSvWNAnne7rGuL3J4zIevoiP+vPhzOCntIyWag4RQ0ZFJ5yFRGaNBMDykNNT/MxvZIMsQTmPy&#10;qVYAAEBQPKwsrn+OO6ajQY3H1HqdWFP2RSYGMEG3aW7IZVogL6x9CeOR7mzky/H9JafAcuTIkSPH&#10;D5LcGliOHDly5PhBklNgOXLkyJHjB0lOgeXIkSNHjh8kOQU2RuJNynPkyJEjx6knp8DGiNPYuNba&#10;vv2RnCLLkSNHjtNDbh/YGIj47VOsbVuehCxNMtGATj/lrJ+frJlzjhw5cuTIjtwILEsgyxCmg5++&#10;AVmaBAAAlqXJsbgbypEjR44cJ0duBJYlto4dD4W9lnoExUN5U876ubyw9pXTLVOOHDly/P9IToFl&#10;QTTkKbF3ffcAIVIdLay74FJS8v3w3ZcjR44c/z+S88SRJT5L+wUiVfGmsQRezJEjR44c40dOgeXI&#10;kSNHjh8kuLV926MozveiKB4CCIhpMwhRhgormWhIDQFEcUJgw0lpHyGUdwoVhduztbizHP3mLyjO&#10;CyAY4UdRLAIQhAEQIABABACAQAARACEGWYYPWZoPWYbPsgyflGha5AXTXk1Upqv/wE10JKjDcMIH&#10;uFDmECAMHVYwkaAWAhbDcNKN88VmnBSbRErDllSh0jlsHdsfZlmGTHZdUzbvcRQnAvHn6Ihf7zA2&#10;3pUovVhVslGkKt4cfy7ss9V4B45ciRECG4KgNAAxJ7EQsjgTDWoZOixHECyKkxITj5T2itUlGzJx&#10;QAohRG3tWx+HACQ17ddWLHwIQTEqXVkckYCzym1quSHZdUIg61EU1T2faXl0JKAN+ywzwh5Lfchr&#10;qQ97LfUMHVbgPIEDJ6W9ImXhNomu+n+kRH0o0zLjCbr6F1jbtz6BorygoeHSc8dSRjpCnoFZPmvH&#10;+RhPYI89v9izgyxNsgwlYhlKBFmG4JESE1+kOkKIlUcJgbwrm/ueDIaOSILO/sVh72B92GupD3kH&#10;Z6IoHial2v18iW4/KdXuF6tKN4zFs7/b1HqtrXPHw+ULbqxFMV5wLPL1Nr6/HueLBvJrzvlZqnSO&#10;7j330VRIney60lD/DI+UmEefd/Y230aFvQYAAJBoyj8VKgp3pJPJO3j00pDXUp/oWqIyIn77ZLf5&#10;0HXJyiME8q5UUatHQ0cCurDXMoNr72Hv4EyWjkgxnsDBE0h7hYrCbVJ99bt8sfpIpmXGE3D2Lba1&#10;b3sM45GuovqLLxxLGQwVkdm7v/s1AAAgAGFUpbP/lsn30tq+7VEI2YRx1tRlc/+I4XxvNnJY27Y+&#10;4R089hNt1eIHpPpJH6RLj+OEyOKztl8QcPScFX+BR0p7EQwP0ZGAjgu7AAAAPKG8U1Uy6++Kohn/&#10;yiQsAYQQwQWSPr+ta2XA3n02iP+4IgiDjAqxAQFEAYwFUNRULPh9UsEJ8WDQ0bvUO3jsUghHrAAx&#10;QmjFeAInS0ekdMSfP1wViodleZPfVpXO/kuyhgIhi6EY3xcNWsqHwpMjQ5lpibbiE4Es/7tEDwtC&#10;gKAoHgy6TAsDjpjndUKkOiLVVX4EEPSEjxaKEz4AAHT1HfhZNOCoHrkfKEUIFR2QpUkq7DUACLEh&#10;2UOy/Clv6aqX3ZuqQUCW5qM43xP2Wet81o7VkKFEsfxYRKKr+pCU6hshZHkIyO5DiqJYxG/vPjvk&#10;Ns/lzmGEyCLVVX6IiJQZxaeCLMOztm39g6Nnz/2JrkepsCIadFUEncZlto4dD+VPO/cGecG017KR&#10;EwAAIn57TdDZtwQAAMI+ay0p0R7Mtox0oDjfA1mG5zTuu4sKeUrjLkGeQNYDAEDoiD8Psgx/+AqC&#10;0mJN2ef66uX3jDUsSsDZe4b54GevcR9wBOMFIEMJAQBINOiqBEPxrkipril/2rk3ZPvbGSqkpoLu&#10;cqex8U512dw/ZStf0G2a67d1rJZoKz9OlxbB8BATCKo9pkPXjby/CCtSl2wQygt2AgATWkgz0YDO&#10;0RX70LqMTXcYZl1+plCevztlXSgepkKe4pBnYDYVdJcDAABOSvqFisJtw53f43NABMGiAXvXOSHP&#10;wGzuLM4XD0i0lR8hIizTNk9Yjn37J6dxX8JgrwwVVkaDrsqAw7jc1rHzoYLaVdfJ8qdmHXE74rNO&#10;D7r6FgMQU75jUYQIilIBe/eK8JCiDziMZxpmXXZWqmgTEEIUQbFoyGmeF/Za6hgqpAYAYfkSTYtI&#10;VbyJ+35lg8/afn406Kxy9jauzUSBDU8hDh7d/Ddnz957AYgpqYqFN09GUIyCECJU2Ftsa9v6uGfg&#10;8NVcRk3Fwoc1FQsezUY4a9uWP9i7vnsAAAB4AnlX2YLrZ4z+ILMsze/f//G7fmvH+cWzrlgmUhV/&#10;k6pMr6Xtov7mD4d/aNXSn+fhfPEgAAAwVFjuHTz2E2vbt3/iQm5gPIG9ZM7Vi/hi1dFU5ZoOfvaa&#10;x9x6HQAACGT5u0vnXTs3VXoO4953vg44jMvL5l8/g5Tq9qdKCyFEOrY+38l9BOPvKWQZnmfgyJWW&#10;Y9/8lRkKciiQ5+8yNFx2droQJgAAYG798nl3/4GfAgCAWFux3lB/yQWZyJ9CVrTtm2cHOVnyas65&#10;OVGIkkREQ55i04H174Tc5rmESHlMoin/lC/RHsT5osGI3zE54rPVBly9S7iPCwAA6KqX360qyT76&#10;sOnAJ//l2qm8sPal/JqVN2dbRqZAyGLHNj9jY6mwAgAANBULH9JULHgMgNjHK+y11IU8A3Pc5kPX&#10;hj0DswCIfUzVZXP/qCqd8+dMg1OyDE3a2rc+7ujZey+CYlF12dw/ygqmvcYjpb0sHZEFXX2L/Pae&#10;Fa6+5luHPxoISmvK5z2uLp//eKYzJraO7b+3dex4GMX57srFPytPF/5lNMZ9734RsHefI1Qavi2Z&#10;feXSzOrc8aCtY/ujAADAl2gOli+4cXqq9BCymHHP298EXf2LAAAAxfnukjlXLclUWXduf6k14rdP&#10;nbT8LmW6EQaEED226WkH14HPn7bqOnlBzRuZ1BMNukv7D6xfF/YMzCJEqiMSTflnfInmIM4XWSJ+&#10;+5SIz1YbcPYtoULu4Rhn+ikrblcaZvwrk/Lj6d//0btcsE5F0Yx/5U1dcXu2ZcRkdpV3bn/pENfx&#10;EioN3xhm/mQVivFC6fJG/PYpndtfOiRSlWwsnnX5ieGTMoCOhlRtm5+xcp2Xsvk31JFS7YFUeYZ7&#10;OSg2YpSA84R2broDQRBICGQ9BdNXXyPLn/pfLo2tY/sjoaGXMmOQkWkNnC+0JhpNoCge0ZTPfwwg&#10;KCVI07OKyc07zpgC4wkcI/+TbkXR9BdL519fj2KED4BYL9O4b91Glo6KUoqKjC24IgAIm3FKBIHx&#10;9aA4MXw/EBSj5AU1rxdOX30ldy7kNs/zDhy5amxynRwIgrBIwt5qasI+a23XzlebQ27zXIWh/tmy&#10;+dfP0FUvu19eUPO6WF26QVXS8HT+tJU3VSy6ZVJB7eqrSYl2P08o75QXTst6ewIdDaq9lrZLuGOP&#10;+fDVdDSYdJrqZEEQlEHAyD3hCaS9w9dQLCqQ5+9RFs98pmTOVYvkhbUvAQAAZGnS1rH9kf79H/0v&#10;Uy8ug4c3Pufo2XsfivM9ZQturNVULHyEEMh6EARhMR7pkmgr1+dNOeuO4obLzsZ45FDASha3dez4&#10;vbMn8dR2Ihg6IgUAAJaOyLnppEwJus1zAvbuc4bySzPNl+17hiAoIy8YaRssHZEb967bGAk4q7Ip&#10;J7O6EHYsDgpCnsH6rp2vNoc9A7OUxQ1Plc2/vl5XvfQX8oKaN2JtftZT+dPOvbFi0S2T8qetuo4v&#10;1rQQQmWbPH9qRsoxHjri1/ssHcOdU7e5dQ1DheWp8iSDECo6hUrD8IAh6Oxd2r//4/+dqn2u7v4D&#10;N8ePvJ3GxrXp8mS1kVlbdcYv44+Dztiwdbwhpfqm/JpzbhnrPPxoCIHMqK1aPBzplQ77CkPeweyU&#10;72lCpCrZxBerhgP2+e3HT/V+n4EQIpajm//OUmGFNG/yO3lTzrozWW8OQVBGlj/lrbIFN8woX3Bj&#10;bbZz5wAA4OrbfytkaZKbtoUsTbr7Dtxysr/jZEFRPJI39ZxbtFVLhpWC39Z5HjfCT0XA2bvEbTp4&#10;IwAA6Ccvv5svUrYlSytSlWwqnbemYWgaEwAAgLV96xORgLMyEzlZOjqseJzGxrVUyFuUST4AALB3&#10;7HiY+5+hI7JM840FFOd74o+ZaFBr3PvOpmjIUzyR9WZCrM1veoqlIzJZ/tQ39JOX35NspI2gKC0v&#10;qHmjfOGNtWULrp8xFstmZ2/z7RAyxHCbZyihu//gTWOVHxt1b/22zlWmg5++ASGb9XRgNsSCmjbd&#10;Gb/k4hk4dDU9NOOTjKwUGI8UD+B80SB3HPE7xhQ6PB0IgrBjWf9IhVhb8Wn8cdCVPMz79w2++Ie5&#10;3yxg7z4n4DAuBwjCaCoWPpRpvrF0XFiW5juNTXfwxZoWZXH9s9x5Z1/z7ZBlEi4yn0oQBIGq0tl/&#10;5YtHjFMGj2x6mgp7C5PlYVmaP3Doq+cBAICUaPfL8mteT1cPIZR366uXD6+5QJYmB1q/eAnCxGtK&#10;8TDUiOKBLMO3dWx/JF0eAGKjL7+9a+Ww3HGKcCJBUCzC/U+HfYXGve9sosKpI0ZPNH5rx/lBV/8i&#10;gKCUpnLRxLb5WFTw20iprinekMrZ23THySqc+HvrHTx62UDrl//JpA2NFe/g0UvpiK9AN+mMX3Id&#10;FMgyfFeaDmjWAqHYSM84fmTwfSdmlMIbth5kIgH96ZQnG5C4xi1UFm49nbJkCoQQsRz75s8AACCQ&#10;5u3ji5TtE1mfd+Do5Uw0oFMW1z+rLBoJaU+HfYU+a/uYLLPGGwRBj1PkLB2ReQeOXp4svXfg6GXR&#10;gHMSAACQMv2+TIymAIiteYpUxZu446Crf9FxxkJJGK143KbWNWGfrSZdvvjRFwAAsNTEjsA45AXT&#10;XpXoqj7kjqmgu7x337qNdDSkOhX1jwZCiFravv0TAAAI5fm7ibiR8ETgMR++mqFCamXxzGeUhhnD&#10;bZ4KeUr81s7zTqbsvCkrbsP54gHu2G1qucFydNM/JsJ5OYQQcfTsuxvF+W5F4fT/yAunvcxdc/Wm&#10;7oBmpcBYhhJGg64Krl7hKPPw8YIK+wrGuycVM8+nh83jhcqiLeNZ/kQCmdh6HSnVNSmLZvz7dMuT&#10;CXTEnxfx22sAiBkFTWRdEELEaYy9ALK8KW8SIkWHSF36JXc9k7n0U4VEV/UhIRyZBgz7rEmNFsI+&#10;ywzu//iRWzoQBIGjp/vDXmtdunwsHZHhfNHgyLsBUWvb1j+kyhNym2f77V0rhcqRbwGEDMGyND9V&#10;vnEBQamC6auvjH/WEb99au++d79iTpESjYcKew1ch+NUtXmMJ3BI9dXr+GL1kfhOi8O4L+O1z0Tw&#10;hIqO4lmXL8cIoY075zQ2rrW1b3vsZMpNRMhtmh/2DjbIC2tfRnEioCgaMWShI74Cr6X9omR5M1Zg&#10;kGVxc8vnL3OLbJqKBY8IpLrmkxM9rnwIkWjIU2Lv3nN/185XmwEY3znXsM86Pc6sEwqVhm/Hs/zx&#10;IOJ3TPHZOs+N/7Mc/eYvAUfvMmVxw1Mls69ajKBY9HTLmQnRgGMy93+8ccNEEHT1Lwp7LTO4FwAA&#10;AJSGmc/GXV8Y8gwm3Ad0qkEQBJJS7bB1athnq02WNuy1DSs3QqjoyKYeUqrbH2+YFfZZ0iowho5I&#10;EYwX0FYueYA757d1rA66+hcmy2Pr3PEwyiNd6rK5f4w/f6qmEVEUjxTNuOjieOODsHdwZl/Te5+y&#10;sS0Gp4yoP67NkxPb5gMO4/KI3z5VXlj7IreurDDUP8ddDzp7l4Z9tmknUwdfrD5S3HD5WSjOH96D&#10;au/a9Vt713e/OplyR+Po2Xc3AAByo0i+SNkuUpd+xV13plDGCX0h0tGgxm1qWcPSlJihI7Jo0FXp&#10;t3acx1AhNUaILLqqxQ/ITnKNKuQZmNW5/aVWACDCMgxJRwM6bt+SLL/mdR4p7T+Z8uOBLEPYO3f9&#10;jjuW5U15CydGrBW/L7j7D9zi7j9xzpcQKY+xdFQacPYulYxay/u+EvE7h6esqAleXB/aZwPjp1HE&#10;mtIveQJZN7dFwdnbuLZg2qrrJ1KOTCGEiuHp1GjAUQ0hREZPD0IIkYjPOqzcqLAv6VpZIhAEYfli&#10;1WFuH1NmI7CoFCMEdqGiYJdYW7Heb+04HwAALMe+/VPJnKsXjpYx5DbP9tu6ztVULnqQR0qOe19Z&#10;KiIDcb33iQTFeCFD/SXnG/et2xBym+cBEOu09DV9+GHRzIvPR1E8kq6M8SASN01LhbynoM0jrCLO&#10;7F6iqfgEJyV9dNhXFEvTeGd+zTk/Fq9g9wAAEzpJREFUPZl6SKn2QHHDZWcb9677mmWiEgAAsLZt&#10;eRLFCZ/SMDJVP1aiIU+xz9J2sVhT/jkhVAyPWpWG+meH9g2DkNs0P+QZnCmQ6RtH5084AqPC3iJr&#10;25YnbR3bHrW1b33CY2q5nmWiEpG69EvDzEtWywtrX0GQzM3FE4HhpFusLvtCrCn/TKKr+Fgg1TcC&#10;EPMEoiqd9bexlsvQERm3gMlQEZnP2n5+b+P7n/htnasAAEBRVPfv/NpVa05G9olCU7nod1XL1qqr&#10;lq1VVyy5tcQw89KV0rzJb0cDzklu08Eb+5re/6Sv6YOPfgjhWxhqxHoo7LHMnKh6okF3qc/SfsHo&#10;FwBBUEYR94J5zUeupCMB7UTJkQ2EaESB4aSkP8naFsKy9PAIIuK3T822nnjjn0yMBFg6IkOH1om1&#10;lYt/C4bex5DbNJ9TZvHYOmN7xpSGmc/EbwEBYMQk/1SB4oTfMPPSc0mprok7F3B0rzAd+ORtyLKn&#10;xGk5E2cxF/YOTlibjwScVX5b5yqJtmI9IZAZufMIitKKuCUGj/nQNeOxHiiQ5+8pmvmTVfFr8YOH&#10;Nz7nNqW3ok2Hy9h0BwAQVRbXPxN/Xqwp+yLemjbZMkBCBSaQ6puqlt6RN2n5XapJZ94tleVPfQOy&#10;DD9g7z6nZ/dbW8Le9NMR6SBEinZd9dJf6CYt/aW+evm9JXOuWqIun/+4SFW64WS8J7RtfsZ25Ku/&#10;0Ec2/C14bNPTzr6mDz4OOnvPEKmKN+VNPftn+ikrbv++Bp9EMV4AJwQOnBA4CIHMKNaUfVk4/fyr&#10;8qedez2Xxmdtv8DatvWJ0yhmRpDSvL3c/9Ggs2qi1iScvY13AgBRpWHE8pBDUTDtZQSNmTBDyBCu&#10;oY3dpxs0zpiIFGtaEqVBEIQlJZrhTZxjUWB43KiIL9GkfKcgZDGWiYo52UiJpjV+36elbcsf4xVB&#10;yDMwy2/rOldV0vAUxuN7TnBIMMGm9InAeKTb0HD5Cr5YPay4fZa2i8ytn78ykRZ0HKRspM1H/I7J&#10;EzWFyX3M461tORSFtS8iSGyZAbK0ILa36uQRKYu2Fc24+IJ460Rzy+eveAePXZIqXypYOip29R+4&#10;hRAq2kWq0o3x12Id0JEZFe/AkSvoSEA3uoy0DxXD+b68qWffyr0AkKUFfc0ffDQRG0Q15QseLag9&#10;96RGR4aZl55bVH/J+QW1q9bk165aU1R/yepJy9eqimddcaaiqO6FTC25EAwf3q8EYeY9OM7VVPyD&#10;Pllk+TWvizUVn3DHDuPee1iGEoxX+ROBUFGwEwz14AEAIOjuXzDedTB0ROLuP3gTxhPYcVJsDvts&#10;NfF/VMSfH2+sM2TRdNpHr9GgZ9j7Al+SWIEBAAApGfHkEvZaZqTbfD8aKuga9mxCplFgLE2JAYiN&#10;ZLhzmoqFD3P7cqIBx2S3uWX43Yx57CC8yuKG/wMg5tYKxD3vU7UGNhqcEDiKZ11xZryhjMd86JrB&#10;wxuemwgLuniEisLtI0cQnYitOgwVVrhNLddjhMiCESLr6DZPR4NaQZwczt6mn4/XCFSsLvm6sO6i&#10;S0YcUkC0/8D6t/22rnPGUp7b1LqGpSMykbr0q4jfPmX0bxFI9fvAUJuCkCFcfftP8K+Z0Q9DMV6w&#10;qO6iS7p2vbaPpSMyKuQt7t+/fl1xw2Vnj8VpaDIQFKU5N1BjRaQq/no8nKaSkpGF9mjIXZZonSIR&#10;0YCrEiAoHT+ddbIgCAIl2vLP/LaO1QAAACDEwl5rnVBRsGu86hhvMB7p4os1rRF/bCF58PDGZ4Xz&#10;C+ozcUqcKW5Tyw3ch7JrxyspXc4AELOM9FraLpblTX5nvGQYC9E4xTLa0XM88cYeMe8Ye36prVz4&#10;cLL0o4kftfElqV3ycCOm+NEhIZR3K4rqnnf1Nt0BAAC29h2PyPKmvBXx26f6bZ2r1OXzH+fcMSEI&#10;AlGc7+XKmejNzKnA+SJL8ezLl/fsfmsrtwbq6tt/a8yoZeKUGE4IbYRIeYyzRBw8vOFfpfPXzBzL&#10;pvxkuPoP3gQZSsQwlKhrx8tpZ6rosK/IZ22/QKqf9P541C/Rln9WOH31lf37168DMb+1vL7mDz/U&#10;VS+7N5tyIIQoZ5zh6m26g2tjqXD1Nd+mLpv7ZLwhW8aamRApOgpqz7u2r+n99QAAEHQal1navvmz&#10;vnp5VoJnC0NHJChG+DMdOY0XgrjpAJYKK5hoUIPzRdZUeRgqLKcjvgK+WN063taChEg5ynfj+E+J&#10;MHREkomfxUwRKou2cAqMCnlKza1fvFRYd+FPxuNZQshiTmPjWhQjfPopZ96ZzCURhBB19Oy5PzJk&#10;7ec07rvrdCowyDK8oLN3KQAASPWT/idKYQ0r0VZ+ZG3b+geGiq1jOLp3/0JRWPsiTyDtS1cPS0dF&#10;kUDMkEaqr16Xbh8et2YVr8AAAEBTPu8Jt6nlRshQQjriK3Aam+4MuvoWoRjhVxY3PBWfFsWJYQWW&#10;jTupiYBHSvuLZ12xvGf3W9voiK8AAABijqRPbu0+HUJF0RZOgUWDroqBQ189X1C7+qpxafMsi7uM&#10;jXeiON+tn7z87pRtvnv3r7gOjNO4767xUmAAACDVV7+XX8usMR/89HUAAAJZmhw8vPGE6cxU+G1d&#10;K6NBV6VEW/mxRD/pPSRu9B4PHQnoLce++Sv3v3fw6KXxDo+zGlpKtBWfqMvnP27v3Pk7AABw9uy7&#10;RyDVN47Fg3ImRPz2KV27Xt9TueTWEpwQ2ieijmTwxepDCMYLDnn7Bm5z6xp16Zy/pMrj6j94MwAx&#10;V1jjLQ8dZ4WGoHg4XsGOB0GXaZ5xz9vfTj77/nHbv6OtWPhwwGE8k9tE67O0XTx4eONz2qrFv0k3&#10;Eks34vXbOldRQXe5wjDjn+m8tiAoRpkOrH8bAABCbvPckNs8WyDP3zOW33SyOHubb48GXZUoRvh1&#10;1cvvSZUW54us+iln3cHJDllaMHDoq+cLZ1x4SToHq9b2rX+ALE2iOOFNVw8AI1N+o32L4nzxoKq4&#10;4Sl7167fAACArXPHQ5ChRKqyuU+OtuTFcL6XBrH+D3OaphDjIYTy7thI7O0tTJRbP5nYtTBt1eLf&#10;Bp29S6NBVyUAsbUbnCe0aSoXPYjxjnfTNJp0bd5nbbuQCnsNyuKGpzLwVISYWz57DYDhbSZ16ZyL&#10;Z4M8f+p/IUMJOU8x2d5XzkO/tmrxA+m853stbReF3KYFsXyNa+P1TdYPU1Ox4PciVekG7tjc+uWL&#10;E7HHJug2zTXufXdDzLT+1I6+AIhNZ+qqlgzvd7B17Ph9KoehYZ+txta+7TEE4wVShYEZCxBCxDdk&#10;RQkAALL8KW+O5wjPb+9e0df03qfZrPVlAkYInIaGS8+Jdz/m6mu+rWPrCx3O3ubbEq3pQAgRt6ll&#10;TdfOV5tTrVcN7R0Bigw2dkt1Ve/jfImJO3b2Nt2Z/a85eQLO3jNsHdt/DxCE0U9evpZHjsiUDKm+&#10;ep1EW/kRd+y3d63s2f3m9lR+Cv327hVOY+OdAACgrTrj1zxyxKNCMriRE4IdH+sOAABUpbP/gg5N&#10;FUKGEiEYL6gqmfX30enifRSeDiOORPBFqmPFsy4/c9jJ8RATZdSBE0K7oeGyczBCODxb4+xtvLNj&#10;2wvtrr79P01k2AEhRFz9B2/s3vVaY6r1quE2b6hL3+bzqtdhhMgyLINx/Nu8oqjuBV2c27IY6e9r&#10;2GerCTh6zhQqi7ZkEvpFVTIy0g95BmaH3ObhEDcjlWXoOwtBUKZg+nlXcxv1IEuT/c0ffpjO6SKX&#10;nfuHjgS1LB0Vj1TP4lTIa/BZO1f1NX/4Qc/uN7fTEV8BKdU1j258xzGGmDOZojDUPzfsRZyhhN07&#10;X2t09Oy7izPHHgo1U2jr2PFQ967X90KWJnWTlt5PCOXdWVQzfE+iAdcJCpKOBjXWti1PegeOXAkA&#10;AEJl8ea8KRmFSxi512FfYbxnBMgyRDTkKfEOHrvYuO/dL2KeC8JKkbpkY+KiYr91LC89IZAZDTMv&#10;XRkfJYChQqrBwxv+efTrf/jatz7f0dv0/sf9Bz55s3vXG98d2/S0a6D1qxe0lQsfSqakw17r9KCz&#10;d6lQUbidTGEEwYGgGHW8RdPRyxJZNI2R4fsc8gzMHn2PGDoiDXkGGsytX7xo3PP2NzhfPFg699p5&#10;8sLajLztIwgC82pW3izRjUwBhb2W+q5drzXau3b/MuQZmAVZFocQotGgq3zg0Ff/7t337pcIikd0&#10;k5fflWmw0WRTiADErPvUpXOf5I7l+TWv4Qn2eMVvnM50ChGCk3l/M2uPpETTami4fEW8qX8mxjwQ&#10;QgSOYcRGCOVdhpk/WYXGhWthokHNwKGvnj+68e/+jq0vtPc1ffBRrM2/vvvYpqddg4c3/FNTueh3&#10;yWwKQp6BhpDbtECoLN7MF6mOpZMBRfGI0lA3vEfMM3D4quxM6jP73aqShqe1lSOO0o+LgZcEbu0r&#10;3uNGKiTaqo9wUjI8bR7fAUWcvftvCfuste7+A7cMV46glEhp2EJKdY2EUN4tL5z+n9H7viIBx6Te&#10;fe9+xW3YEyoKt+mql99NiBQd8YuWIc9Ag9vUuibo7FsSCdinxCscFCN8CIaHuAjQiW7aUGDDV0ef&#10;99u6Vgbdpvnu/gM303F+DUmpfp9QXrCLJ5R3yvImv4PzR3ohY4Flab69Y+dDTmPjWpYZUbgYT+CA&#10;LENwm/swnsCurVrygLyw9qV0891uU8san7XzvJDbPI+bn+fgizUtCIpSAEKUpkIqOuLPBxBiOCnp&#10;U5XM+oeiqO75ZHt6As6+xR7zoavjfN8Nf1xRnO9BUCwCIMQYKqSMv8ZRNPMnqySa8s/jz0WD7jKv&#10;5dglflvXSm7tBgAAcFLSJ9VX/08gy9sjy5u8LvVdjK2vufoO/MzZs+c+OoUfSqGicLt+8ll3JIoD&#10;FPZa6nzWjtVuU8sNVMhTivEEDomu6n1Soj0ozZv8TqLN6UFX/wKfrfM8n6X9gnjvIEPOcd+QaCvW&#10;E6LsvFw4e5tvDdi7zw55zHNH/xaeQGrkPuQMFVbSkZhLNIwnsMvyp76prVr8QCbxlRLhHTz6k4HD&#10;G59josHj9rOhGOGHACKcIwBSqmsqqD3vmkx6t35b1zlBt2m+x3z4airkLsNJSb88v+Z1sabsi3ir&#10;OpahhB1bX+igI/684tlXLo1fu/MMHLncb+tc5TEfunZYJpzvkefXvE5Ktc2JlLW7/+ANYZ+1ztV3&#10;4BbI0jGLWgSlJdrKj4Xygp3SvOp3Rkdk9g4evdRtark+6DbPG4rBBkmJ9oBQVbxZUVj7YrrfG3SZ&#10;5hn3rdsIGUqUKtZUNOCq8FrbLvLbOldxwVEBiD1bqW7SewJ5/m6pvvp/6e4tQ0ekrt7m2xw9e+8d&#10;/cziESqLtugnn3Vnos5YyDNY77d1nuc2HbyRCnmLMUJok+qq3udLNC2yvClvJ4ppFnD2LfbbOs/1&#10;WTsuiPeBSUr1jbL8KW9KtJUfxwdVZRlK6Oje/QuftfO8mMcilodgvKBQUbhNpDR8oyxueDpd7Dpr&#10;+7ZH7Z07HySEyraKxbdMSpTGbWpZE3T1L3KbWq4HEGICWf5ukbr0K4FMvzeRgwbIMjxX/8GbQ27T&#10;fJ+l/cK47y+UF05/Uago2InTEV8BgqBMoqkYyDJkNOguTbRpmS9SHSude+1cR/fe+7yWtovDPlut&#10;ueWz17VVZ/xKoi3/jEsXi4oMUYmu8mMZOvltgGIUAgCMhb2HCIAAAQCiEEIUsrSAZaIiyNBCyDIE&#10;QBBGqk+84E5HgxqWjkqk+sQfTyrkKR2PKTEUxSPaqsW/VZbM+rurt/GOoNs8lwq6y6mwr4hHSvoJ&#10;keFbgUzXpCxueDqTENwx2bwGvlh1VCDTN8YiwnIKDyJMNKRioiENAADgfNEATyDrIYTyLqGicFs6&#10;60oq7DUgKEZJ9ZPeQ1E8xI1gRu41RAEACIQsBhlawLKUkKUpEddgxeqyL0eXCVmapMO+QlKiaTnh&#10;BYMszn2g04HhfJ+6dPZflYb6Zz3mQ9eEPAOzo0FXZTTgqmSZqEikKt6sKKr7t0hV8nWyDgAdDWoZ&#10;KqySaCvXx5+PBl2VMInvPSrkNUCGFojVpRuAemTqm7tfY7GWo0LuMr5E0yqQ5+8+4flRYSUTDWoA&#10;BAhPKOsiJbr9pFS7H+eLzSe7kC/VV78nVBZ/47d1rgp7LTPCPmtd2GedjuGEl5Tqm0ipromU6prE&#10;qpKvM51ipqNBLUtHpRLtyDYNlqFEQ52cYVCMFzQ0XLaCCnsNsYjJ8WUEdBhP4FQWnxiANJkHESri&#10;LwAAAEXR9P+cmMdTnGhmhaHCCkKo6DjBrRZk8UzW3ISKgl2G+ktWDx75+plo0FmZTIGxLC2ItXnt&#10;AXKU9SaELC9VByweDOd71WVz/6Qsnvl/HvPha0Ie80ibZ2mBSFm8SWmo+7dQWbw5WdtgYm1eKdFW&#10;fRR/PhpwVSUbRVJhrwGyDClWl34F4lwyARDzEDJ6dIwgKM1QYaVQUbBzaPvLMHTEn5+J0wpNxcKH&#10;AWRxn7XjfIaOSBNZXkaD7nIUI/zxbt5iVu3HRTU/TrRowDkJ4wkc3EzYceUFnFX/D9WUTxqJZshK&#10;AAAAAElFTkSuQmCCUEsBAi0AFAAGAAgAAAAhALGCZ7YKAQAAEwIAABMAAAAAAAAAAAAAAAAAAAAA&#10;AFtDb250ZW50X1R5cGVzXS54bWxQSwECLQAUAAYACAAAACEAOP0h/9YAAACUAQAACwAAAAAAAAAA&#10;AAAAAAA7AQAAX3JlbHMvLnJlbHNQSwECLQAUAAYACAAAACEAjQav2rsCAAATCAAADgAAAAAAAAAA&#10;AAAAAAA6AgAAZHJzL2Uyb0RvYy54bWxQSwECLQAUAAYACAAAACEALmzwAMUAAAClAQAAGQAAAAAA&#10;AAAAAAAAAAAhBQAAZHJzL19yZWxzL2Uyb0RvYy54bWwucmVsc1BLAQItABQABgAIAAAAIQDws+dH&#10;4AAAAAgBAAAPAAAAAAAAAAAAAAAAAB0GAABkcnMvZG93bnJldi54bWxQSwECLQAKAAAAAAAAACEA&#10;WlTOao4UAACOFAAAFAAAAAAAAAAAAAAAAAAqBwAAZHJzL21lZGlhL2ltYWdlMS5wbmdQSwECLQAK&#10;AAAAAAAAACEAIXt5YKYzAACmMwAAFAAAAAAAAAAAAAAAAADqGwAAZHJzL21lZGlhL2ltYWdlMi5w&#10;bmdQSwUGAAAAAAcABwC+AQAAw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055;width:4750;height:4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Y4IwgAAANsAAAAPAAAAZHJzL2Rvd25yZXYueG1sRE/JbsIw&#10;EL1X4h+sQeqtOIBaIGAQQiw9cGE7cBvFQxIRjyPbJeHva6RKvc3TW2e2aE0lHuR8aVlBv5eAIM6s&#10;LjlXcD5tPsYgfEDWWFkmBU/ysJh33maYatvwgR7HkIsYwj5FBUUIdSqlzwoy6Hu2Jo7czTqDIUKX&#10;S+2wieGmkoMk+ZIGS44NBda0Kii7H3+MgtFeTprb5XT9rAJn6+du65p2oNR7t11OQQRqw7/4z/2t&#10;4/whvH6JB8j5LwAAAP//AwBQSwECLQAUAAYACAAAACEA2+H2y+4AAACFAQAAEwAAAAAAAAAAAAAA&#10;AAAAAAAAW0NvbnRlbnRfVHlwZXNdLnhtbFBLAQItABQABgAIAAAAIQBa9CxbvwAAABUBAAALAAAA&#10;AAAAAAAAAAAAAB8BAABfcmVscy8ucmVsc1BLAQItABQABgAIAAAAIQCgHY4IwgAAANsAAAAPAAAA&#10;AAAAAAAAAAAAAAcCAABkcnMvZG93bnJldi54bWxQSwUGAAAAAAMAAwC3AAAA9gIAAAAA&#10;">
                  <v:imagedata r:id="rId10" o:title="A picture containing clipart&#10;&#10;Description automatically generated"/>
                </v:shape>
                <v:shape id="object 9" o:spid="_x0000_s1028" type="#_x0000_t75" style="position:absolute;top:5297;width:20599;height:2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AwwAAAANsAAAAPAAAAZHJzL2Rvd25yZXYueG1sRE/dasIw&#10;FL4X9g7hDHanqdsQqU1FhKHsYmzqAxyaY1NsTkoT2/Ttl8HAu/Px/Z5iG20rBup941jBcpGBIK6c&#10;brhWcDl/zNcgfEDW2DomBRN52JZPswJz7Ub+oeEUapFC2OeowITQ5VL6ypBFv3AdceKurrcYEuxr&#10;qXscU7ht5WuWraTFhlODwY72hqrb6W4VxCmaw5UO4/7ze/kmv3CgepJKvTzH3QZEoBge4n/3Uaf5&#10;7/D3SzpAlr8AAAD//wMAUEsBAi0AFAAGAAgAAAAhANvh9svuAAAAhQEAABMAAAAAAAAAAAAAAAAA&#10;AAAAAFtDb250ZW50X1R5cGVzXS54bWxQSwECLQAUAAYACAAAACEAWvQsW78AAAAVAQAACwAAAAAA&#10;AAAAAAAAAAAfAQAAX3JlbHMvLnJlbHNQSwECLQAUAAYACAAAACEAeYYgMMAAAADbAAAADwAAAAAA&#10;AAAAAAAAAAAHAgAAZHJzL2Rvd25yZXYueG1sUEsFBgAAAAADAAMAtwAAAPQCAAAAAA==&#10;">
                  <v:imagedata r:id="rId11" o:title=""/>
                </v:shape>
                <w10:wrap anchorx="margin"/>
              </v:group>
            </w:pict>
          </mc:Fallback>
        </mc:AlternateContent>
      </w:r>
      <w:r>
        <w:rPr>
          <w:noProof/>
          <w:color w:val="4C4747"/>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2224104</wp:posOffset>
                </wp:positionV>
                <wp:extent cx="462915" cy="0"/>
                <wp:effectExtent l="0" t="19050" r="32385" b="19050"/>
                <wp:wrapNone/>
                <wp:docPr id="15" name="Straight Connector 9"/>
                <wp:cNvGraphicFramePr/>
                <a:graphic xmlns:a="http://schemas.openxmlformats.org/drawingml/2006/main">
                  <a:graphicData uri="http://schemas.microsoft.com/office/word/2010/wordprocessingShape">
                    <wps:wsp>
                      <wps:cNvCnPr/>
                      <wps:spPr>
                        <a:xfrm>
                          <a:off x="0" y="0"/>
                          <a:ext cx="462915" cy="0"/>
                        </a:xfrm>
                        <a:prstGeom prst="straightConnector1">
                          <a:avLst/>
                        </a:prstGeom>
                        <a:noFill/>
                        <a:ln w="28575" cap="flat">
                          <a:solidFill>
                            <a:srgbClr val="C8B688"/>
                          </a:solidFill>
                          <a:prstDash val="solid"/>
                          <a:miter/>
                        </a:ln>
                      </wps:spPr>
                      <wps:bodyPr/>
                    </wps:wsp>
                  </a:graphicData>
                </a:graphic>
              </wp:anchor>
            </w:drawing>
          </mc:Choice>
          <mc:Fallback>
            <w:pict>
              <v:shapetype w14:anchorId="4FD802B0" id="_x0000_t32" coordsize="21600,21600" o:spt="32" o:oned="t" path="m,l21600,21600e" filled="f">
                <v:path arrowok="t" fillok="f" o:connecttype="none"/>
                <o:lock v:ext="edit" shapetype="t"/>
              </v:shapetype>
              <v:shape id="Straight Connector 9" o:spid="_x0000_s1026" type="#_x0000_t32" style="position:absolute;margin-left:0;margin-top:175.15pt;width:36.45pt;height:0;z-index:25167462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8h6sgEAAFIDAAAOAAAAZHJzL2Uyb0RvYy54bWysU9tu2zAMfR+wfxD0vjgJ2sw14hRogu5l&#10;2AJ0+wBFlm0BkiiQWpz8/SglTXd5G/aiG3kOyUNq/XjyThwNkoXQysVsLoUJGjobhlZ+//b8oZaC&#10;kgqdchBMK8+G5OPm/bv1FBuzhBFcZ1AwSaBmiq0cU4pNVZEejVc0g2gCG3tArxJfcag6VBOze1ct&#10;5/NVNQF2EUEbIn7dXYxyU/j73uj0te/JJOFaybmlsmJZD3mtNmvVDKjiaPU1DfUPWXhlAwe9Ue1U&#10;UuIH2r+ovNUIBH2aafAV9L3VptTA1Szmf1TzMqpoSi0sDsWbTPT/aPWX4x6F7bh391IE5blHLwmV&#10;HcYkthACKwgoHrJQU6SG/bdhj9cbxT3mqk89+rxzPeJUxD3fxDWnJDQ/3q2WDzmGfjVVb7iIlD4Z&#10;8CIfWknXBG7xF0VbdfxMiSMz8BWQgwZ4ts6VRrogplYu6/uPOZDieeqdSgVM4GyXHTOEcDhsHYqj&#10;4rHY1k+rus4FMvFvbjnKTtF48Sumy8B4m0zWgAEu8JaVuWiRTwfozkWi8s6NK47XIcuT8eu9oN++&#10;wuYnAAAA//8DAFBLAwQUAAYACAAAACEANBJQidkAAAAHAQAADwAAAGRycy9kb3ducmV2LnhtbEyP&#10;QUvDQBCF74L/YRnBm920RU1jNkUFL95sg+dpdkxCsrMhu0nTf+8Igh7nvcd73+T7xfVqpjG0ng2s&#10;Vwko4srblmsD5fHtLgUVIrLF3jMZuFCAfXF9lWNm/Zk/aD7EWkkJhwwNNDEOmdahashhWPmBWLwv&#10;PzqMco61tiOepdz1epMkD9phy7LQ4ECvDVXdYXIGOnJlqufLevc+VZjazy76l9KY25vl+QlUpCX+&#10;heEHX9ChEKaTn9gG1RuQR6KB7X2yBSX242YH6vQr6CLX//mLbwAAAP//AwBQSwECLQAUAAYACAAA&#10;ACEAtoM4kv4AAADhAQAAEwAAAAAAAAAAAAAAAAAAAAAAW0NvbnRlbnRfVHlwZXNdLnhtbFBLAQIt&#10;ABQABgAIAAAAIQA4/SH/1gAAAJQBAAALAAAAAAAAAAAAAAAAAC8BAABfcmVscy8ucmVsc1BLAQIt&#10;ABQABgAIAAAAIQASF8h6sgEAAFIDAAAOAAAAAAAAAAAAAAAAAC4CAABkcnMvZTJvRG9jLnhtbFBL&#10;AQItABQABgAIAAAAIQA0ElCJ2QAAAAcBAAAPAAAAAAAAAAAAAAAAAAwEAABkcnMvZG93bnJldi54&#10;bWxQSwUGAAAAAAQABADzAAAAEgUAAAAA&#10;" strokecolor="#c8b688" strokeweight="2.25pt">
                <v:stroke joinstyle="miter"/>
                <w10:wrap anchorx="margin"/>
              </v:shape>
            </w:pict>
          </mc:Fallback>
        </mc:AlternateContent>
      </w:r>
      <w:r>
        <w:rPr>
          <w:noProof/>
          <w:color w:val="4C4747"/>
        </w:rPr>
        <mc:AlternateContent>
          <mc:Choice Requires="wps">
            <w:drawing>
              <wp:anchor distT="0" distB="0" distL="114300" distR="114300" simplePos="0" relativeHeight="251650048" behindDoc="0" locked="0" layoutInCell="1" allowOverlap="1">
                <wp:simplePos x="0" y="0"/>
                <wp:positionH relativeFrom="margin">
                  <wp:align>center</wp:align>
                </wp:positionH>
                <wp:positionV relativeFrom="paragraph">
                  <wp:posOffset>2425775</wp:posOffset>
                </wp:positionV>
                <wp:extent cx="1210949" cy="308610"/>
                <wp:effectExtent l="0" t="0" r="8251" b="15240"/>
                <wp:wrapNone/>
                <wp:docPr id="16" name="object 5"/>
                <wp:cNvGraphicFramePr/>
                <a:graphic xmlns:a="http://schemas.openxmlformats.org/drawingml/2006/main">
                  <a:graphicData uri="http://schemas.microsoft.com/office/word/2010/wordprocessingShape">
                    <wps:wsp>
                      <wps:cNvSpPr txBox="1"/>
                      <wps:spPr>
                        <a:xfrm>
                          <a:off x="0" y="0"/>
                          <a:ext cx="1210949" cy="308610"/>
                        </a:xfrm>
                        <a:prstGeom prst="rect">
                          <a:avLst/>
                        </a:prstGeom>
                        <a:noFill/>
                        <a:ln>
                          <a:noFill/>
                          <a:prstDash/>
                        </a:ln>
                      </wps:spPr>
                      <wps:txbx>
                        <w:txbxContent>
                          <w:p w:rsidR="00184CAB" w:rsidRDefault="002B1930">
                            <w:pPr>
                              <w:spacing w:before="20"/>
                              <w:ind w:left="14"/>
                            </w:pPr>
                            <w:r>
                              <w:rPr>
                                <w:b/>
                                <w:bCs/>
                                <w:color w:val="D5B788"/>
                                <w:spacing w:val="74"/>
                                <w:kern w:val="3"/>
                                <w:sz w:val="28"/>
                                <w:szCs w:val="28"/>
                              </w:rPr>
                              <w:t>AÑ</w:t>
                            </w:r>
                            <w:r>
                              <w:rPr>
                                <w:b/>
                                <w:bCs/>
                                <w:color w:val="D5B788"/>
                                <w:spacing w:val="37"/>
                                <w:kern w:val="3"/>
                                <w:sz w:val="28"/>
                                <w:szCs w:val="28"/>
                              </w:rPr>
                              <w:t>O</w:t>
                            </w:r>
                            <w:r>
                              <w:rPr>
                                <w:b/>
                                <w:bCs/>
                                <w:color w:val="D5B788"/>
                                <w:spacing w:val="74"/>
                                <w:kern w:val="3"/>
                                <w:sz w:val="28"/>
                                <w:szCs w:val="28"/>
                              </w:rPr>
                              <w:t xml:space="preserve"> </w:t>
                            </w:r>
                            <w:r>
                              <w:rPr>
                                <w:b/>
                                <w:bCs/>
                                <w:color w:val="D5B788"/>
                                <w:spacing w:val="68"/>
                                <w:kern w:val="3"/>
                                <w:sz w:val="28"/>
                                <w:szCs w:val="28"/>
                              </w:rPr>
                              <w:t>2</w:t>
                            </w:r>
                            <w:r>
                              <w:rPr>
                                <w:b/>
                                <w:bCs/>
                                <w:color w:val="D5B788"/>
                                <w:spacing w:val="28"/>
                                <w:kern w:val="3"/>
                                <w:sz w:val="28"/>
                                <w:szCs w:val="28"/>
                              </w:rPr>
                              <w:t>0</w:t>
                            </w:r>
                            <w:r>
                              <w:rPr>
                                <w:b/>
                                <w:bCs/>
                                <w:color w:val="D5B788"/>
                                <w:spacing w:val="-23"/>
                                <w:kern w:val="3"/>
                                <w:sz w:val="28"/>
                                <w:szCs w:val="28"/>
                              </w:rPr>
                              <w:t xml:space="preserve"> </w:t>
                            </w:r>
                            <w:r>
                              <w:rPr>
                                <w:b/>
                                <w:bCs/>
                                <w:color w:val="D5B788"/>
                                <w:spacing w:val="68"/>
                                <w:kern w:val="3"/>
                                <w:sz w:val="28"/>
                                <w:szCs w:val="28"/>
                              </w:rPr>
                              <w:t>25</w:t>
                            </w:r>
                            <w:r>
                              <w:rPr>
                                <w:b/>
                                <w:bCs/>
                                <w:color w:val="D5B788"/>
                                <w:spacing w:val="-21"/>
                                <w:kern w:val="3"/>
                                <w:sz w:val="28"/>
                                <w:szCs w:val="28"/>
                              </w:rPr>
                              <w:t xml:space="preserve"> </w:t>
                            </w:r>
                          </w:p>
                        </w:txbxContent>
                      </wps:txbx>
                      <wps:bodyPr vert="horz" wrap="square" lIns="0" tIns="12701" rIns="0" bIns="0" anchor="t" anchorCtr="0" compatLnSpc="0">
                        <a:noAutofit/>
                      </wps:bodyPr>
                    </wps:wsp>
                  </a:graphicData>
                </a:graphic>
              </wp:anchor>
            </w:drawing>
          </mc:Choice>
          <mc:Fallback>
            <w:pict>
              <v:shape id="object 5" o:spid="_x0000_s1027" type="#_x0000_t202" style="position:absolute;margin-left:0;margin-top:191pt;width:95.35pt;height:24.3pt;z-index:25165004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8ixzwEAAIsDAAAOAAAAZHJzL2Uyb0RvYy54bWysU11v0zAUfUfaf7D8viYpULao6cRWDSFN&#10;DKnwAxzHboxsX2O7Tcqv59ppOjTeEC/O9f3yOeferO9Go8lR+KDANrRalJQIy6FTdt/Q798er28o&#10;CZHZjmmwoqEnEejd5urNenC1WEIPuhOeYBMb6sE1tI/R1UUReC8MCwtwwmJQgjcs4tXvi86zAbsb&#10;XSzLclUM4DvngYsQ0LudgnST+0speHyWMohIdEMRW8ynz2ebzmKzZvXeM9crfobB/gGFYcrio5dW&#10;WxYZOXj1VyujuIcAMi44mAKkVFxkDsimKl+x2fXMicwFxQnuIlP4f235l+NXT1SHs1tRYpnBGUH7&#10;A3Uj75M4gws15uwcZsXxHkZMnP0BnYnzKL1JX2RDMI4yny7SijESnoqWVXn77pYSjrG35c2qytoX&#10;L9XOh/hJgCHJaKhHCFlRdnwKEZFg6pySHrPwqLTO49P2lSPlbVnop6oULhKPCW+y4tiOE+mZSwvd&#10;CSniJuPbPfhflAy4FQ0NPw/MC0r0Z4uypxXKRrX8UFaU+NnbzgazHMsbGimZzIc4rRvO27H4ZHeO&#10;pz4T5I+HCFJlegnXhOIMFyeeWZ+3M63Un/ec9fIPbX4DAAD//wMAUEsDBBQABgAIAAAAIQBBgWqM&#10;4AAAAAgBAAAPAAAAZHJzL2Rvd25yZXYueG1sTI/NTsMwEITvSLyDtUhcImrTVm0J2VRQqRfEj1p4&#10;ADfeOhHxOsRuG3h63BPcZjWrmW+K5eBacaQ+NJ4RbkcKBHHlTcMW4eN9fbMAEaJmo1vPhPBNAZbl&#10;5UWhc+NPvKHjNlqRQjjkGqGOsculDFVNToeR74iTt/e90zGdvZWm16cU7lo5VmomnW44NdS6o1VN&#10;1ef24BCyr2mw+/CYNU+rl9fnnzdq7TpDvL4aHu5BRBri3zOc8RM6lIlp5w9sgmgR0pCIMFmMkzjb&#10;d2oOYocwnagZyLKQ/weUvwAAAP//AwBQSwECLQAUAAYACAAAACEAtoM4kv4AAADhAQAAEwAAAAAA&#10;AAAAAAAAAAAAAAAAW0NvbnRlbnRfVHlwZXNdLnhtbFBLAQItABQABgAIAAAAIQA4/SH/1gAAAJQB&#10;AAALAAAAAAAAAAAAAAAAAC8BAABfcmVscy8ucmVsc1BLAQItABQABgAIAAAAIQDdv8ixzwEAAIsD&#10;AAAOAAAAAAAAAAAAAAAAAC4CAABkcnMvZTJvRG9jLnhtbFBLAQItABQABgAIAAAAIQBBgWqM4AAA&#10;AAgBAAAPAAAAAAAAAAAAAAAAACkEAABkcnMvZG93bnJldi54bWxQSwUGAAAAAAQABADzAAAANgUA&#10;AAAA&#10;" filled="f" stroked="f">
                <v:textbox inset="0,.35281mm,0,0">
                  <w:txbxContent>
                    <w:p w:rsidR="00184CAB" w:rsidRDefault="002B1930">
                      <w:pPr>
                        <w:spacing w:before="20"/>
                        <w:ind w:left="14"/>
                      </w:pPr>
                      <w:r>
                        <w:rPr>
                          <w:b/>
                          <w:bCs/>
                          <w:color w:val="D5B788"/>
                          <w:spacing w:val="74"/>
                          <w:kern w:val="3"/>
                          <w:sz w:val="28"/>
                          <w:szCs w:val="28"/>
                        </w:rPr>
                        <w:t>AÑ</w:t>
                      </w:r>
                      <w:r>
                        <w:rPr>
                          <w:b/>
                          <w:bCs/>
                          <w:color w:val="D5B788"/>
                          <w:spacing w:val="37"/>
                          <w:kern w:val="3"/>
                          <w:sz w:val="28"/>
                          <w:szCs w:val="28"/>
                        </w:rPr>
                        <w:t>O</w:t>
                      </w:r>
                      <w:r>
                        <w:rPr>
                          <w:b/>
                          <w:bCs/>
                          <w:color w:val="D5B788"/>
                          <w:spacing w:val="74"/>
                          <w:kern w:val="3"/>
                          <w:sz w:val="28"/>
                          <w:szCs w:val="28"/>
                        </w:rPr>
                        <w:t xml:space="preserve"> </w:t>
                      </w:r>
                      <w:r>
                        <w:rPr>
                          <w:b/>
                          <w:bCs/>
                          <w:color w:val="D5B788"/>
                          <w:spacing w:val="68"/>
                          <w:kern w:val="3"/>
                          <w:sz w:val="28"/>
                          <w:szCs w:val="28"/>
                        </w:rPr>
                        <w:t>2</w:t>
                      </w:r>
                      <w:r>
                        <w:rPr>
                          <w:b/>
                          <w:bCs/>
                          <w:color w:val="D5B788"/>
                          <w:spacing w:val="28"/>
                          <w:kern w:val="3"/>
                          <w:sz w:val="28"/>
                          <w:szCs w:val="28"/>
                        </w:rPr>
                        <w:t>0</w:t>
                      </w:r>
                      <w:r>
                        <w:rPr>
                          <w:b/>
                          <w:bCs/>
                          <w:color w:val="D5B788"/>
                          <w:spacing w:val="-23"/>
                          <w:kern w:val="3"/>
                          <w:sz w:val="28"/>
                          <w:szCs w:val="28"/>
                        </w:rPr>
                        <w:t xml:space="preserve"> </w:t>
                      </w:r>
                      <w:r>
                        <w:rPr>
                          <w:b/>
                          <w:bCs/>
                          <w:color w:val="D5B788"/>
                          <w:spacing w:val="68"/>
                          <w:kern w:val="3"/>
                          <w:sz w:val="28"/>
                          <w:szCs w:val="28"/>
                        </w:rPr>
                        <w:t>25</w:t>
                      </w:r>
                      <w:r>
                        <w:rPr>
                          <w:b/>
                          <w:bCs/>
                          <w:color w:val="D5B788"/>
                          <w:spacing w:val="-21"/>
                          <w:kern w:val="3"/>
                          <w:sz w:val="28"/>
                          <w:szCs w:val="28"/>
                        </w:rPr>
                        <w:t xml:space="preserve"> </w:t>
                      </w:r>
                    </w:p>
                  </w:txbxContent>
                </v:textbox>
                <w10:wrap anchorx="margin"/>
              </v:shape>
            </w:pict>
          </mc:Fallback>
        </mc:AlternateContent>
      </w:r>
      <w:r>
        <w:rPr>
          <w:noProof/>
          <w:color w:val="4C4747"/>
        </w:rPr>
        <mc:AlternateContent>
          <mc:Choice Requires="wpg">
            <w:drawing>
              <wp:anchor distT="0" distB="0" distL="114300" distR="114300" simplePos="0" relativeHeight="251678720" behindDoc="0" locked="0" layoutInCell="1" allowOverlap="1">
                <wp:simplePos x="0" y="0"/>
                <wp:positionH relativeFrom="margin">
                  <wp:align>right</wp:align>
                </wp:positionH>
                <wp:positionV relativeFrom="paragraph">
                  <wp:posOffset>4941792</wp:posOffset>
                </wp:positionV>
                <wp:extent cx="4675363" cy="365769"/>
                <wp:effectExtent l="0" t="0" r="0" b="0"/>
                <wp:wrapNone/>
                <wp:docPr id="17" name="Group 25"/>
                <wp:cNvGraphicFramePr/>
                <a:graphic xmlns:a="http://schemas.openxmlformats.org/drawingml/2006/main">
                  <a:graphicData uri="http://schemas.microsoft.com/office/word/2010/wordprocessingGroup">
                    <wpg:wgp>
                      <wpg:cNvGrpSpPr/>
                      <wpg:grpSpPr>
                        <a:xfrm>
                          <a:off x="0" y="0"/>
                          <a:ext cx="4675363" cy="365769"/>
                          <a:chOff x="0" y="0"/>
                          <a:chExt cx="4675363" cy="365769"/>
                        </a:xfrm>
                      </wpg:grpSpPr>
                      <wps:wsp>
                        <wps:cNvPr id="18" name="object 10"/>
                        <wps:cNvSpPr/>
                        <wps:spPr>
                          <a:xfrm>
                            <a:off x="1804531" y="0"/>
                            <a:ext cx="813678" cy="21909"/>
                          </a:xfrm>
                          <a:custGeom>
                            <a:avLst/>
                            <a:gdLst>
                              <a:gd name="f0" fmla="val w"/>
                              <a:gd name="f1" fmla="val h"/>
                              <a:gd name="f2" fmla="val 0"/>
                              <a:gd name="f3" fmla="val 472439"/>
                              <a:gd name="f4" fmla="val 22859"/>
                              <a:gd name="f5" fmla="val 22364"/>
                              <a:gd name="f6" fmla="*/ f0 1 472439"/>
                              <a:gd name="f7" fmla="*/ f1 1 22859"/>
                              <a:gd name="f8" fmla="+- f4 0 f2"/>
                              <a:gd name="f9" fmla="+- f3 0 f2"/>
                              <a:gd name="f10" fmla="*/ f9 1 472439"/>
                              <a:gd name="f11" fmla="*/ f8 1 22859"/>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472439" h="22859">
                                <a:moveTo>
                                  <a:pt x="f3" y="f2"/>
                                </a:moveTo>
                                <a:lnTo>
                                  <a:pt x="f2" y="f2"/>
                                </a:lnTo>
                                <a:lnTo>
                                  <a:pt x="f2" y="f5"/>
                                </a:lnTo>
                                <a:lnTo>
                                  <a:pt x="f3" y="f5"/>
                                </a:lnTo>
                                <a:lnTo>
                                  <a:pt x="f3" y="f2"/>
                                </a:lnTo>
                                <a:close/>
                              </a:path>
                            </a:pathLst>
                          </a:custGeom>
                          <a:solidFill>
                            <a:srgbClr val="D5B788"/>
                          </a:solidFill>
                          <a:ln cap="flat">
                            <a:noFill/>
                            <a:prstDash val="solid"/>
                          </a:ln>
                        </wps:spPr>
                        <wps:bodyPr lIns="0" tIns="0" rIns="0" bIns="0"/>
                      </wps:wsp>
                      <wps:wsp>
                        <wps:cNvPr id="19" name="Text Box 2"/>
                        <wps:cNvSpPr txBox="1"/>
                        <wps:spPr>
                          <a:xfrm>
                            <a:off x="0" y="118680"/>
                            <a:ext cx="4675363" cy="247089"/>
                          </a:xfrm>
                          <a:prstGeom prst="rect">
                            <a:avLst/>
                          </a:prstGeom>
                        </wps:spPr>
                        <wps:txbx>
                          <w:txbxContent>
                            <w:p w:rsidR="00184CAB" w:rsidRDefault="002B1930">
                              <w:pPr>
                                <w:jc w:val="center"/>
                                <w:rPr>
                                  <w:color w:val="D8B888"/>
                                  <w:lang w:val="es-DO"/>
                                </w:rPr>
                              </w:pPr>
                              <w:r>
                                <w:rPr>
                                  <w:color w:val="D8B888"/>
                                  <w:lang w:val="es-DO"/>
                                </w:rPr>
                                <w:t>MINISTERIO ADMINISTRATIVO DE LA PRESIDENCIA</w:t>
                              </w:r>
                            </w:p>
                            <w:p w:rsidR="00184CAB" w:rsidRDefault="00184CAB">
                              <w:pPr>
                                <w:jc w:val="center"/>
                                <w:rPr>
                                  <w:color w:val="D8B888"/>
                                </w:rPr>
                              </w:pPr>
                            </w:p>
                          </w:txbxContent>
                        </wps:txbx>
                        <wps:bodyPr vert="horz" wrap="square" lIns="91440" tIns="45720" rIns="91440" bIns="45720" anchor="t" anchorCtr="0" compatLnSpc="0">
                          <a:noAutofit/>
                        </wps:bodyPr>
                      </wps:wsp>
                    </wpg:wgp>
                  </a:graphicData>
                </a:graphic>
              </wp:anchor>
            </w:drawing>
          </mc:Choice>
          <mc:Fallback>
            <w:pict>
              <v:group id="Group 25" o:spid="_x0000_s1028" style="position:absolute;margin-left:316.95pt;margin-top:389.1pt;width:368.15pt;height:28.8pt;z-index:251678720;mso-position-horizontal:right;mso-position-horizontal-relative:margin" coordsize="46753,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L/JGQQAADsLAAAOAAAAZHJzL2Uyb0RvYy54bWy8Vm2PnDYQ/l4p/8HiY6ocGFiWXd1elOSa&#10;U6WojXTXH+A1GIgAU9u77PXXd8aAl32LolTqFzDM43l5Zjzj+/eHpib7XOlKthuP3gUeyVsus6ot&#10;Nt5fL5/fpR7RhrUZq2Wbb7zXXHvvH978ct936zyUpayzXBFQ0up132280phu7fual3nD9J3s8haE&#10;QqqGGfhUhZ8p1oP2pvbDIEj8XqqsU5LnWsPfx0HoPVj9QuTc/CmEzg2pNx74ZuxT2ecWn/7DPVsX&#10;inVlxUc32E940bCqBaNO1SMzjOxUdaGqqbiSWgpzx2XjSyEqntsYIBoanEXzpOSus7EU677oHE1A&#10;7RlPP62W/7H/qkiVQe6WHmlZAzmyZkm4QHL6rlgD5kl1z91XNf4ohi+M9yBUg2+IhBwsra+O1vxg&#10;CIefcbJcREnkEQ6yKFksk9XAOy8hORfbePnb9zf6k1kfvXPO9B2UkD6ypP8bS88l63JLvkYGJpag&#10;ngeW5PYbVBehtobQNoAcR3qtga4rBNE0iBcR9cglTSmNkiWoR5ZCugosSS5WtuY7bZ5yaelm+y/a&#10;DLWbwcpWXjY6JqDORVNDGe9ZTfqxxJ0UbB+l5bk0nEun4+H2Qg6Pe+NlGEdjJgsHieeQMEwXF4jF&#10;KSJK4nMnkgnx1iciIJRcNwUFO3iDMAqwq+aA0QH16zsiYhIQEZ7bW80h0VUIpHlmbHXTJ+roRafS&#10;W05RxzPCQoCJoZCggzgqqaMbQdENkCP8qImeB0gd5wiKraZL0AntNCQiIZegU9Kj6yDHOZqjCyKW&#10;VzQ51i0odiAo+WIqalZOdc4P7VjosCIMx0vEs9g23U5q7CIlt8fKYPSgBHB4Lhw8mGOVhe75Dex1&#10;zdub6HCuu76ie/BnjEBh44CBJChQDiNJUOAChpLAHgxjSdB0yGDHDBKAYeCS9NBMh1NHSmgS9nSh&#10;sJH7/EVamEEmBFQOdJGh0sH0UV63Jzgowzlukk7vbtA2ouxAAG2TdHqPqNHmj6HsGZzp4rXU+ZA3&#10;jNQm0EWP5M2an5Z1lX2u6hoD1qrYfqoVgV638R4XH5ep5Q62nMDqlnAG9wtRM2Nz1UrUYFtop7R5&#10;ZLocdNhtY6JrqCAYMlM3x9VWZq8wC+rfW5gveKOYFmpabMcFRjPOJJyj/8dwgjIahtMLzt6P8kAs&#10;z2h8nE7EHOA3THuMEP/fmFMQGRQGpWmSjlPg6jQP42WQng8q5BMHFcHFxsNqt5RPQwtyM0Eu6DWH&#10;7cFeR5zjI+FwxwRdpVT/eKSH+9rG03/vmMq9MRUrGscuHfFiGcLHkJJRMqRllLCWg6qNZzxoJbj8&#10;ZOALtsCtDMruS/vccfzGCmvlh52RosJ5axM6eDTPrr2IwA0N/p1cAeffFn+88z78CwAA//8DAFBL&#10;AwQUAAYACAAAACEAYjqXLN8AAAAIAQAADwAAAGRycy9kb3ducmV2LnhtbEyPQUvDQBSE74L/YXmC&#10;N7tJQ5sQ81JKUU9FsBXE22v2NQnN7obsNkn/vetJj8MMM98Um1l3YuTBtdYgxIsIBJvKqtbUCJ/H&#10;16cMhPNkFHXWMMKNHWzK+7uCcmUn88HjwdcilBiXE0LjfZ9L6aqGNbmF7dkE72wHTT7IoZZqoCmU&#10;604uo2gtNbUmLDTU867h6nK4aoS3iaZtEr+M+8t5d/s+rt6/9jEjPj7M22cQnmf/F4Zf/IAOZWA6&#10;2atRTnQI4YhHSNNsCSLYabJOQJwQsmSVgSwL+f9A+QMAAP//AwBQSwECLQAUAAYACAAAACEAtoM4&#10;kv4AAADhAQAAEwAAAAAAAAAAAAAAAAAAAAAAW0NvbnRlbnRfVHlwZXNdLnhtbFBLAQItABQABgAI&#10;AAAAIQA4/SH/1gAAAJQBAAALAAAAAAAAAAAAAAAAAC8BAABfcmVscy8ucmVsc1BLAQItABQABgAI&#10;AAAAIQBlTL/JGQQAADsLAAAOAAAAAAAAAAAAAAAAAC4CAABkcnMvZTJvRG9jLnhtbFBLAQItABQA&#10;BgAIAAAAIQBiOpcs3wAAAAgBAAAPAAAAAAAAAAAAAAAAAHMGAABkcnMvZG93bnJldi54bWxQSwUG&#10;AAAAAAQABADzAAAAfwcAAAAA&#10;">
                <v:shape id="object 10" o:spid="_x0000_s1029" style="position:absolute;left:18045;width:8137;height:219;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fiZxAAAANsAAAAPAAAAZHJzL2Rvd25yZXYueG1sRI9Ba8JA&#10;EIXvBf/DMoKXUjexoJK6ilgEe6wRwds0O00Ws7Mhu9X47zuHQm8zvDfvfbPaDL5VN+qjC2wgn2ag&#10;iKtgHdcGTuX+ZQkqJmSLbWAy8KAIm/XoaYWFDXf+pNsx1UpCOBZooEmpK7SOVUMe4zR0xKJ9h95j&#10;krWvte3xLuG+1bMsm2uPjqWhwY52DVXX44838O7mblF+lPmzvVSvZ9c9sq98Z8xkPGzfQCUa0r/5&#10;7/pgBV9g5RcZQK9/AQAA//8DAFBLAQItABQABgAIAAAAIQDb4fbL7gAAAIUBAAATAAAAAAAAAAAA&#10;AAAAAAAAAABbQ29udGVudF9UeXBlc10ueG1sUEsBAi0AFAAGAAgAAAAhAFr0LFu/AAAAFQEAAAsA&#10;AAAAAAAAAAAAAAAAHwEAAF9yZWxzLy5yZWxzUEsBAi0AFAAGAAgAAAAhAFhZ+JnEAAAA2wAAAA8A&#10;AAAAAAAAAAAAAAAABwIAAGRycy9kb3ducmV2LnhtbFBLBQYAAAAAAwADALcAAAD4AgAAAAA=&#10;" path="m472439,l,,,22364r472439,l472439,xe" fillcolor="#d5b788" stroked="f">
                  <v:path arrowok="t" o:connecttype="custom" o:connectlocs="406839,0;813678,10955;406839,21909;0,10955" o:connectangles="270,0,90,180" textboxrect="0,0,472439,22859"/>
                </v:shape>
                <v:shape id="Text Box 2" o:spid="_x0000_s1030" type="#_x0000_t202" style="position:absolute;top:1186;width:46753;height:2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rsidR="00184CAB" w:rsidRDefault="002B1930">
                        <w:pPr>
                          <w:jc w:val="center"/>
                          <w:rPr>
                            <w:color w:val="D8B888"/>
                            <w:lang w:val="es-DO"/>
                          </w:rPr>
                        </w:pPr>
                        <w:r>
                          <w:rPr>
                            <w:color w:val="D8B888"/>
                            <w:lang w:val="es-DO"/>
                          </w:rPr>
                          <w:t>MINISTERIO ADMINISTRATIVO DE LA PRESIDENCIA</w:t>
                        </w:r>
                      </w:p>
                      <w:p w:rsidR="00184CAB" w:rsidRDefault="00184CAB">
                        <w:pPr>
                          <w:jc w:val="center"/>
                          <w:rPr>
                            <w:color w:val="D8B888"/>
                          </w:rPr>
                        </w:pPr>
                      </w:p>
                    </w:txbxContent>
                  </v:textbox>
                </v:shape>
                <w10:wrap anchorx="margin"/>
              </v:group>
            </w:pict>
          </mc:Fallback>
        </mc:AlternateContent>
      </w:r>
      <w:r>
        <w:rPr>
          <w:noProof/>
          <w:color w:val="4C4747"/>
        </w:rPr>
        <mc:AlternateContent>
          <mc:Choice Requires="wps">
            <w:drawing>
              <wp:anchor distT="0" distB="0" distL="114300" distR="114300" simplePos="0" relativeHeight="251644928" behindDoc="0" locked="0" layoutInCell="1" allowOverlap="1">
                <wp:simplePos x="0" y="0"/>
                <wp:positionH relativeFrom="margin">
                  <wp:align>center</wp:align>
                </wp:positionH>
                <wp:positionV relativeFrom="paragraph">
                  <wp:posOffset>626107</wp:posOffset>
                </wp:positionV>
                <wp:extent cx="5758818" cy="985522"/>
                <wp:effectExtent l="0" t="0" r="13332" b="5078"/>
                <wp:wrapNone/>
                <wp:docPr id="20" name="object 4"/>
                <wp:cNvGraphicFramePr/>
                <a:graphic xmlns:a="http://schemas.openxmlformats.org/drawingml/2006/main">
                  <a:graphicData uri="http://schemas.microsoft.com/office/word/2010/wordprocessingShape">
                    <wps:wsp>
                      <wps:cNvSpPr txBox="1"/>
                      <wps:spPr>
                        <a:xfrm>
                          <a:off x="0" y="0"/>
                          <a:ext cx="5758818" cy="985522"/>
                        </a:xfrm>
                        <a:prstGeom prst="rect">
                          <a:avLst/>
                        </a:prstGeom>
                        <a:noFill/>
                        <a:ln>
                          <a:noFill/>
                          <a:prstDash/>
                        </a:ln>
                      </wps:spPr>
                      <wps:txbx>
                        <w:txbxContent>
                          <w:p w:rsidR="00184CAB" w:rsidRDefault="002B1930">
                            <w:pPr>
                              <w:spacing w:after="0"/>
                              <w:jc w:val="center"/>
                              <w:rPr>
                                <w:b/>
                                <w:bCs/>
                                <w:color w:val="D5B788"/>
                                <w:spacing w:val="60"/>
                                <w:kern w:val="3"/>
                                <w:sz w:val="56"/>
                                <w:szCs w:val="56"/>
                                <w:lang w:val="es-DO"/>
                              </w:rPr>
                            </w:pPr>
                            <w:r>
                              <w:rPr>
                                <w:b/>
                                <w:bCs/>
                                <w:color w:val="D5B788"/>
                                <w:spacing w:val="60"/>
                                <w:kern w:val="3"/>
                                <w:sz w:val="56"/>
                                <w:szCs w:val="56"/>
                                <w:lang w:val="es-DO"/>
                              </w:rPr>
                              <w:t xml:space="preserve">MEMORIA </w:t>
                            </w:r>
                          </w:p>
                          <w:p w:rsidR="00184CAB" w:rsidRDefault="002B1930">
                            <w:pPr>
                              <w:spacing w:after="0"/>
                              <w:jc w:val="center"/>
                              <w:rPr>
                                <w:b/>
                                <w:bCs/>
                                <w:color w:val="D5B788"/>
                                <w:spacing w:val="60"/>
                                <w:kern w:val="3"/>
                                <w:sz w:val="56"/>
                                <w:szCs w:val="56"/>
                                <w:lang w:val="es-DO"/>
                              </w:rPr>
                            </w:pPr>
                            <w:r>
                              <w:rPr>
                                <w:b/>
                                <w:bCs/>
                                <w:color w:val="D5B788"/>
                                <w:spacing w:val="60"/>
                                <w:kern w:val="3"/>
                                <w:sz w:val="56"/>
                                <w:szCs w:val="56"/>
                                <w:lang w:val="es-DO"/>
                              </w:rPr>
                              <w:t>INSTITUCIONAL</w:t>
                            </w:r>
                          </w:p>
                          <w:p w:rsidR="00184CAB" w:rsidRDefault="00184CAB">
                            <w:pPr>
                              <w:spacing w:after="0"/>
                              <w:jc w:val="center"/>
                              <w:rPr>
                                <w:b/>
                                <w:bCs/>
                                <w:color w:val="D5B788"/>
                                <w:spacing w:val="60"/>
                                <w:kern w:val="3"/>
                                <w:sz w:val="56"/>
                                <w:szCs w:val="56"/>
                                <w:lang w:val="es-DO"/>
                              </w:rPr>
                            </w:pPr>
                          </w:p>
                        </w:txbxContent>
                      </wps:txbx>
                      <wps:bodyPr vert="horz" wrap="square" lIns="0" tIns="17145" rIns="0" bIns="0" anchor="t" anchorCtr="0" compatLnSpc="0">
                        <a:noAutofit/>
                      </wps:bodyPr>
                    </wps:wsp>
                  </a:graphicData>
                </a:graphic>
              </wp:anchor>
            </w:drawing>
          </mc:Choice>
          <mc:Fallback>
            <w:pict>
              <v:shape id="object 4" o:spid="_x0000_s1031" type="#_x0000_t202" style="position:absolute;margin-left:0;margin-top:49.3pt;width:453.45pt;height:77.6pt;z-index:25164492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tI30QEAAIsDAAAOAAAAZHJzL2Uyb0RvYy54bWysU8Fu2zAMvQ/YPwi6L469ek2NOMW2oMOA&#10;YhuQ7gNkWYpVWKImKbGzrx8lx2nR3oZeFJqknt57ZNa3o+7JUTivwNQ0XywpEYZDq8y+pr8f7j6s&#10;KPGBmZb1YERNT8LT2837d+vBVqKADvpWOIIgxleDrWkXgq2yzPNOaOYXYIXBogSnWcBPt89axwZE&#10;131WLJefsgFcax1w4T1mt1ORbhK+lIKHn1J6EUhfU+QW0unS2cQz26xZtXfMdoqfabD/YKGZMvjo&#10;BWrLAiMHp15BacUdeJBhwUFnIKXiImlANfnyhZpdx6xIWtAcby82+beD5T+OvxxRbU0LtMcwjTOC&#10;5hF9I1fRnMH6Cnt2FrvC+AVGHPKc95iMmkfpdPxFNQTriHO6WCvGQDgmy+tytcpxGTjWblZlWRQR&#10;Jnu6bZ0P3wRoEoOaOqSQHGXHex+m1rklPmbgTvV9Gl9vXiRi35b5broVy1nUMfGNURibMYn+OGtp&#10;oD2hRNxkfLsD95eSAbeipv7PgTlBSf/doO1xhVKQX+dXJSVuzjZzwAzH6zUNlEzh1zCtG87bsnBv&#10;dpZHnIny50MAqZK8yGticaaLE08GnbczrtTz79T19B/a/AMAAP//AwBQSwMEFAAGAAgAAAAhAPby&#10;1kbdAAAABwEAAA8AAABkcnMvZG93bnJldi54bWxMj8FOwzAQRO9I/IO1SNyo0yKiJM2mAiSOQbTA&#10;gZsbb5OIeB1sp03/HnOix9GMZt6Um9kM4kjO95YRlosEBHFjdc8twsf7y10GwgfFWg2WCeFMHjbV&#10;9VWpCm1PvKXjLrQilrAvFEIXwlhI6ZuOjPILOxJH72CdUSFK10rt1CmWm0GukiSVRvUcFzo10nNH&#10;zfduMghOTvW5Hr+cyurX1Hxun96WPzPi7c38uAYRaA7/YfjDj+hQRaa9nVh7MSDEIwEhz1IQ0c2T&#10;NAexR1g93Gcgq1Je8le/AAAA//8DAFBLAQItABQABgAIAAAAIQC2gziS/gAAAOEBAAATAAAAAAAA&#10;AAAAAAAAAAAAAABbQ29udGVudF9UeXBlc10ueG1sUEsBAi0AFAAGAAgAAAAhADj9If/WAAAAlAEA&#10;AAsAAAAAAAAAAAAAAAAALwEAAF9yZWxzLy5yZWxzUEsBAi0AFAAGAAgAAAAhAJfe0jfRAQAAiwMA&#10;AA4AAAAAAAAAAAAAAAAALgIAAGRycy9lMm9Eb2MueG1sUEsBAi0AFAAGAAgAAAAhAPby1kbdAAAA&#10;BwEAAA8AAAAAAAAAAAAAAAAAKwQAAGRycy9kb3ducmV2LnhtbFBLBQYAAAAABAAEAPMAAAA1BQAA&#10;AAA=&#10;" filled="f" stroked="f">
                <v:textbox inset="0,1.35pt,0,0">
                  <w:txbxContent>
                    <w:p w:rsidR="00184CAB" w:rsidRDefault="002B1930">
                      <w:pPr>
                        <w:spacing w:after="0"/>
                        <w:jc w:val="center"/>
                        <w:rPr>
                          <w:b/>
                          <w:bCs/>
                          <w:color w:val="D5B788"/>
                          <w:spacing w:val="60"/>
                          <w:kern w:val="3"/>
                          <w:sz w:val="56"/>
                          <w:szCs w:val="56"/>
                          <w:lang w:val="es-DO"/>
                        </w:rPr>
                      </w:pPr>
                      <w:r>
                        <w:rPr>
                          <w:b/>
                          <w:bCs/>
                          <w:color w:val="D5B788"/>
                          <w:spacing w:val="60"/>
                          <w:kern w:val="3"/>
                          <w:sz w:val="56"/>
                          <w:szCs w:val="56"/>
                          <w:lang w:val="es-DO"/>
                        </w:rPr>
                        <w:t xml:space="preserve">MEMORIA </w:t>
                      </w:r>
                    </w:p>
                    <w:p w:rsidR="00184CAB" w:rsidRDefault="002B1930">
                      <w:pPr>
                        <w:spacing w:after="0"/>
                        <w:jc w:val="center"/>
                        <w:rPr>
                          <w:b/>
                          <w:bCs/>
                          <w:color w:val="D5B788"/>
                          <w:spacing w:val="60"/>
                          <w:kern w:val="3"/>
                          <w:sz w:val="56"/>
                          <w:szCs w:val="56"/>
                          <w:lang w:val="es-DO"/>
                        </w:rPr>
                      </w:pPr>
                      <w:r>
                        <w:rPr>
                          <w:b/>
                          <w:bCs/>
                          <w:color w:val="D5B788"/>
                          <w:spacing w:val="60"/>
                          <w:kern w:val="3"/>
                          <w:sz w:val="56"/>
                          <w:szCs w:val="56"/>
                          <w:lang w:val="es-DO"/>
                        </w:rPr>
                        <w:t>INSTITUCIONAL</w:t>
                      </w:r>
                    </w:p>
                    <w:p w:rsidR="00184CAB" w:rsidRDefault="00184CAB">
                      <w:pPr>
                        <w:spacing w:after="0"/>
                        <w:jc w:val="center"/>
                        <w:rPr>
                          <w:b/>
                          <w:bCs/>
                          <w:color w:val="D5B788"/>
                          <w:spacing w:val="60"/>
                          <w:kern w:val="3"/>
                          <w:sz w:val="56"/>
                          <w:szCs w:val="56"/>
                          <w:lang w:val="es-DO"/>
                        </w:rPr>
                      </w:pPr>
                    </w:p>
                  </w:txbxContent>
                </v:textbox>
                <w10:wrap anchorx="margin"/>
              </v:shape>
            </w:pict>
          </mc:Fallback>
        </mc:AlternateContent>
      </w:r>
      <w:r>
        <w:rPr>
          <w:noProof/>
          <w:color w:val="4C4747"/>
        </w:rPr>
        <mc:AlternateContent>
          <mc:Choice Requires="wps">
            <w:drawing>
              <wp:anchor distT="0" distB="0" distL="114300" distR="114300" simplePos="0" relativeHeight="251673600" behindDoc="0" locked="0" layoutInCell="1" allowOverlap="1">
                <wp:simplePos x="0" y="0"/>
                <wp:positionH relativeFrom="column">
                  <wp:posOffset>4719959</wp:posOffset>
                </wp:positionH>
                <wp:positionV relativeFrom="paragraph">
                  <wp:posOffset>8886824</wp:posOffset>
                </wp:positionV>
                <wp:extent cx="542925" cy="508635"/>
                <wp:effectExtent l="0" t="0" r="9525" b="5715"/>
                <wp:wrapNone/>
                <wp:docPr id="21" name="Freeform: Shape 44"/>
                <wp:cNvGraphicFramePr/>
                <a:graphic xmlns:a="http://schemas.openxmlformats.org/drawingml/2006/main">
                  <a:graphicData uri="http://schemas.microsoft.com/office/word/2010/wordprocessingShape">
                    <wps:wsp>
                      <wps:cNvSpPr/>
                      <wps:spPr>
                        <a:xfrm>
                          <a:off x="0" y="0"/>
                          <a:ext cx="542925" cy="508635"/>
                        </a:xfrm>
                        <a:custGeom>
                          <a:avLst/>
                          <a:gdLst>
                            <a:gd name="f0" fmla="val w"/>
                            <a:gd name="f1" fmla="val h"/>
                            <a:gd name="f2" fmla="val 0"/>
                            <a:gd name="f3" fmla="val 542925"/>
                            <a:gd name="f4" fmla="val 509270"/>
                            <a:gd name="f5" fmla="val 469493"/>
                            <a:gd name="f6" fmla="val 480745"/>
                            <a:gd name="f7" fmla="val 443026"/>
                            <a:gd name="f8" fmla="val 420751"/>
                            <a:gd name="f9" fmla="val 411670"/>
                            <a:gd name="f10" fmla="val 394119"/>
                            <a:gd name="f11" fmla="val 345376"/>
                            <a:gd name="f12" fmla="val 367334"/>
                            <a:gd name="f13" fmla="val 301078"/>
                            <a:gd name="f14" fmla="val 358165"/>
                            <a:gd name="f15" fmla="val 246227"/>
                            <a:gd name="f16" fmla="val 353021"/>
                            <a:gd name="f17" fmla="val 178435"/>
                            <a:gd name="f18" fmla="val 352831"/>
                            <a:gd name="f19" fmla="val 95364"/>
                            <a:gd name="f20" fmla="val 358508"/>
                            <a:gd name="f21" fmla="val 247738"/>
                            <a:gd name="f22" fmla="val 379996"/>
                            <a:gd name="f23" fmla="val 335800"/>
                            <a:gd name="f24" fmla="val 402526"/>
                            <a:gd name="f25" fmla="val 393103"/>
                            <a:gd name="f26" fmla="val 439928"/>
                            <a:gd name="f27" fmla="val 453174"/>
                            <a:gd name="f28" fmla="val 506006"/>
                            <a:gd name="f29" fmla="val 454482"/>
                            <a:gd name="f30" fmla="val 507199"/>
                            <a:gd name="f31" fmla="val 457822"/>
                            <a:gd name="f32" fmla="val 508825"/>
                            <a:gd name="f33" fmla="val 462343"/>
                            <a:gd name="f34" fmla="val 507949"/>
                            <a:gd name="f35" fmla="val 467156"/>
                            <a:gd name="f36" fmla="val 501599"/>
                            <a:gd name="f37" fmla="val 521449"/>
                            <a:gd name="f38" fmla="val 422846"/>
                            <a:gd name="f39" fmla="val 487654"/>
                            <a:gd name="f40" fmla="val 346379"/>
                            <a:gd name="f41" fmla="val 430403"/>
                            <a:gd name="f42" fmla="val 305701"/>
                            <a:gd name="f43" fmla="val 392887"/>
                            <a:gd name="f44" fmla="val 290309"/>
                            <a:gd name="f45" fmla="val 322529"/>
                            <a:gd name="f46" fmla="val 272478"/>
                            <a:gd name="f47" fmla="val 274904"/>
                            <a:gd name="f48" fmla="val 265658"/>
                            <a:gd name="f49" fmla="val 218884"/>
                            <a:gd name="f50" fmla="val 261848"/>
                            <a:gd name="f51" fmla="val 154432"/>
                            <a:gd name="f52" fmla="val 262255"/>
                            <a:gd name="f53" fmla="val 81495"/>
                            <a:gd name="f54" fmla="val 268097"/>
                            <a:gd name="f55" fmla="val 280555"/>
                            <a:gd name="f56" fmla="val 241833"/>
                            <a:gd name="f57" fmla="val 283540"/>
                            <a:gd name="f58" fmla="val 374916"/>
                            <a:gd name="f59" fmla="val 302133"/>
                            <a:gd name="f60" fmla="val 446468"/>
                            <a:gd name="f61" fmla="val 352209"/>
                            <a:gd name="f62" fmla="val 503732"/>
                            <a:gd name="f63" fmla="val 449592"/>
                            <a:gd name="f64" fmla="val 505193"/>
                            <a:gd name="f65" fmla="val 451142"/>
                            <a:gd name="f66" fmla="val 508774"/>
                            <a:gd name="f67" fmla="val 453580"/>
                            <a:gd name="f68" fmla="val 513181"/>
                            <a:gd name="f69" fmla="val 453669"/>
                            <a:gd name="f70" fmla="val 517182"/>
                            <a:gd name="f71" fmla="val 448132"/>
                            <a:gd name="f72" fmla="val 542658"/>
                            <a:gd name="f73" fmla="val 361467"/>
                            <a:gd name="f74" fmla="val 539229"/>
                            <a:gd name="f75" fmla="val 301866"/>
                            <a:gd name="f76" fmla="val 527697"/>
                            <a:gd name="f77" fmla="val 269087"/>
                            <a:gd name="f78" fmla="val 498741"/>
                            <a:gd name="f79" fmla="val 251523"/>
                            <a:gd name="f80" fmla="val 443001"/>
                            <a:gd name="f81" fmla="val 237540"/>
                            <a:gd name="f82" fmla="val 453275"/>
                            <a:gd name="f83" fmla="val 232930"/>
                            <a:gd name="f84" fmla="val 476542"/>
                            <a:gd name="f85" fmla="val 216649"/>
                            <a:gd name="f86" fmla="val 501421"/>
                            <a:gd name="f87" fmla="val 185026"/>
                            <a:gd name="f88" fmla="val 516547"/>
                            <a:gd name="f89" fmla="val 134416"/>
                            <a:gd name="f90" fmla="val 508228"/>
                            <a:gd name="f91" fmla="val 82753"/>
                            <a:gd name="f92" fmla="val 483108"/>
                            <a:gd name="f93" fmla="val 44183"/>
                            <a:gd name="f94" fmla="val 447649"/>
                            <a:gd name="f95" fmla="val 18046"/>
                            <a:gd name="f96" fmla="val 408343"/>
                            <a:gd name="f97" fmla="val 3632"/>
                            <a:gd name="f98" fmla="val 359117"/>
                            <a:gd name="f99" fmla="val 172377"/>
                            <a:gd name="f100" fmla="val 241"/>
                            <a:gd name="f101" fmla="val 172288"/>
                            <a:gd name="f102" fmla="val 165176"/>
                            <a:gd name="f103" fmla="val 172542"/>
                            <a:gd name="f104" fmla="val 206806"/>
                            <a:gd name="f105" fmla="val 199491"/>
                            <a:gd name="f106" fmla="val 209765"/>
                            <a:gd name="f107" fmla="val 218147"/>
                            <a:gd name="f108" fmla="val 212483"/>
                            <a:gd name="f109" fmla="val 237210"/>
                            <a:gd name="f110" fmla="val 216535"/>
                            <a:gd name="f111" fmla="val 265417"/>
                            <a:gd name="f112" fmla="val 223469"/>
                            <a:gd name="f113" fmla="val 77266"/>
                            <a:gd name="f114" fmla="val 338963"/>
                            <a:gd name="f115" fmla="val 77343"/>
                            <a:gd name="f116" fmla="val 371525"/>
                            <a:gd name="f117" fmla="val 83299"/>
                            <a:gd name="f118" fmla="val 403936"/>
                            <a:gd name="f119" fmla="val 103695"/>
                            <a:gd name="f120" fmla="val 418338"/>
                            <a:gd name="f121" fmla="val 147142"/>
                            <a:gd name="f122" fmla="val 415925"/>
                            <a:gd name="f123" fmla="val 194195"/>
                            <a:gd name="f124" fmla="val 402196"/>
                            <a:gd name="f125" fmla="val 218440"/>
                            <a:gd name="f126" fmla="val 365506"/>
                            <a:gd name="f127" fmla="val 227584"/>
                            <a:gd name="f128" fmla="val 294233"/>
                            <a:gd name="f129" fmla="val 229336"/>
                            <a:gd name="f130" fmla="val 321665"/>
                            <a:gd name="f131" fmla="val 235572"/>
                            <a:gd name="f132" fmla="val 388099"/>
                            <a:gd name="f133" fmla="val 256959"/>
                            <a:gd name="f134" fmla="val 469709"/>
                            <a:gd name="f135" fmla="val 297573"/>
                            <a:gd name="f136" fmla="*/ f0 1 542925"/>
                            <a:gd name="f137" fmla="*/ f1 1 509270"/>
                            <a:gd name="f138" fmla="+- f4 0 f2"/>
                            <a:gd name="f139" fmla="+- f3 0 f2"/>
                            <a:gd name="f140" fmla="*/ f139 1 542925"/>
                            <a:gd name="f141" fmla="*/ f138 1 509270"/>
                            <a:gd name="f142" fmla="*/ f2 1 f140"/>
                            <a:gd name="f143" fmla="*/ f3 1 f140"/>
                            <a:gd name="f144" fmla="*/ f2 1 f141"/>
                            <a:gd name="f145" fmla="*/ f4 1 f141"/>
                            <a:gd name="f146" fmla="*/ f142 f136 1"/>
                            <a:gd name="f147" fmla="*/ f143 f136 1"/>
                            <a:gd name="f148" fmla="*/ f145 f137 1"/>
                            <a:gd name="f149" fmla="*/ f144 f137 1"/>
                          </a:gdLst>
                          <a:ahLst/>
                          <a:cxnLst>
                            <a:cxn ang="3cd4">
                              <a:pos x="hc" y="t"/>
                            </a:cxn>
                            <a:cxn ang="0">
                              <a:pos x="r" y="vc"/>
                            </a:cxn>
                            <a:cxn ang="cd4">
                              <a:pos x="hc" y="b"/>
                            </a:cxn>
                            <a:cxn ang="cd2">
                              <a:pos x="l" y="vc"/>
                            </a:cxn>
                          </a:cxnLst>
                          <a:rect l="f146" t="f149" r="f147" b="f148"/>
                          <a:pathLst>
                            <a:path w="542925" h="509270">
                              <a:moveTo>
                                <a:pt x="f5" y="f6"/>
                              </a:moveTo>
                              <a:lnTo>
                                <a:pt x="f7" y="f8"/>
                              </a:lnTo>
                              <a:lnTo>
                                <a:pt x="f9" y="f10"/>
                              </a:lnTo>
                              <a:lnTo>
                                <a:pt x="f11" y="f12"/>
                              </a:lnTo>
                              <a:lnTo>
                                <a:pt x="f13" y="f14"/>
                              </a:lnTo>
                              <a:lnTo>
                                <a:pt x="f15" y="f16"/>
                              </a:lnTo>
                              <a:lnTo>
                                <a:pt x="f17" y="f18"/>
                              </a:lnTo>
                              <a:lnTo>
                                <a:pt x="f19" y="f20"/>
                              </a:lnTo>
                              <a:lnTo>
                                <a:pt x="f21" y="f22"/>
                              </a:lnTo>
                              <a:lnTo>
                                <a:pt x="f23" y="f24"/>
                              </a:lnTo>
                              <a:lnTo>
                                <a:pt x="f25" y="f26"/>
                              </a:lnTo>
                              <a:lnTo>
                                <a:pt x="f27" y="f28"/>
                              </a:lnTo>
                              <a:lnTo>
                                <a:pt x="f29" y="f30"/>
                              </a:lnTo>
                              <a:lnTo>
                                <a:pt x="f31" y="f32"/>
                              </a:lnTo>
                              <a:lnTo>
                                <a:pt x="f33" y="f34"/>
                              </a:lnTo>
                              <a:lnTo>
                                <a:pt x="f35" y="f36"/>
                              </a:lnTo>
                              <a:lnTo>
                                <a:pt x="f5" y="f6"/>
                              </a:lnTo>
                              <a:close/>
                            </a:path>
                            <a:path w="542925" h="509270">
                              <a:moveTo>
                                <a:pt x="f37" y="f38"/>
                              </a:moveTo>
                              <a:lnTo>
                                <a:pt x="f39" y="f40"/>
                              </a:lnTo>
                              <a:lnTo>
                                <a:pt x="f41" y="f42"/>
                              </a:lnTo>
                              <a:lnTo>
                                <a:pt x="f43" y="f44"/>
                              </a:lnTo>
                              <a:lnTo>
                                <a:pt x="f45" y="f46"/>
                              </a:lnTo>
                              <a:lnTo>
                                <a:pt x="f47" y="f48"/>
                              </a:lnTo>
                              <a:lnTo>
                                <a:pt x="f49" y="f50"/>
                              </a:lnTo>
                              <a:lnTo>
                                <a:pt x="f51" y="f52"/>
                              </a:lnTo>
                              <a:lnTo>
                                <a:pt x="f53" y="f54"/>
                              </a:lnTo>
                              <a:lnTo>
                                <a:pt x="f2" y="f55"/>
                              </a:lnTo>
                              <a:lnTo>
                                <a:pt x="f56" y="f57"/>
                              </a:lnTo>
                              <a:lnTo>
                                <a:pt x="f58" y="f59"/>
                              </a:lnTo>
                              <a:lnTo>
                                <a:pt x="f60" y="f61"/>
                              </a:lnTo>
                              <a:lnTo>
                                <a:pt x="f62" y="f63"/>
                              </a:lnTo>
                              <a:lnTo>
                                <a:pt x="f64" y="f65"/>
                              </a:lnTo>
                              <a:lnTo>
                                <a:pt x="f66" y="f67"/>
                              </a:lnTo>
                              <a:lnTo>
                                <a:pt x="f68" y="f69"/>
                              </a:lnTo>
                              <a:lnTo>
                                <a:pt x="f70" y="f71"/>
                              </a:lnTo>
                              <a:lnTo>
                                <a:pt x="f37" y="f38"/>
                              </a:lnTo>
                              <a:close/>
                            </a:path>
                            <a:path w="542925" h="509270">
                              <a:moveTo>
                                <a:pt x="f72" y="f73"/>
                              </a:moveTo>
                              <a:lnTo>
                                <a:pt x="f74" y="f75"/>
                              </a:lnTo>
                              <a:lnTo>
                                <a:pt x="f76" y="f77"/>
                              </a:lnTo>
                              <a:lnTo>
                                <a:pt x="f78" y="f79"/>
                              </a:lnTo>
                              <a:lnTo>
                                <a:pt x="f80" y="f81"/>
                              </a:lnTo>
                              <a:lnTo>
                                <a:pt x="f82" y="f83"/>
                              </a:lnTo>
                              <a:lnTo>
                                <a:pt x="f84" y="f85"/>
                              </a:lnTo>
                              <a:lnTo>
                                <a:pt x="f86" y="f87"/>
                              </a:lnTo>
                              <a:lnTo>
                                <a:pt x="f88" y="f89"/>
                              </a:lnTo>
                              <a:lnTo>
                                <a:pt x="f90" y="f91"/>
                              </a:lnTo>
                              <a:lnTo>
                                <a:pt x="f92" y="f93"/>
                              </a:lnTo>
                              <a:lnTo>
                                <a:pt x="f94" y="f95"/>
                              </a:lnTo>
                              <a:lnTo>
                                <a:pt x="f96" y="f97"/>
                              </a:lnTo>
                              <a:lnTo>
                                <a:pt x="f98" y="f2"/>
                              </a:lnTo>
                              <a:lnTo>
                                <a:pt x="f99" y="f100"/>
                              </a:lnTo>
                              <a:lnTo>
                                <a:pt x="f101" y="f102"/>
                              </a:lnTo>
                              <a:lnTo>
                                <a:pt x="f103" y="f104"/>
                              </a:lnTo>
                              <a:lnTo>
                                <a:pt x="f105" y="f106"/>
                              </a:lnTo>
                              <a:lnTo>
                                <a:pt x="f107" y="f108"/>
                              </a:lnTo>
                              <a:lnTo>
                                <a:pt x="f109" y="f110"/>
                              </a:lnTo>
                              <a:lnTo>
                                <a:pt x="f111" y="f112"/>
                              </a:lnTo>
                              <a:lnTo>
                                <a:pt x="f111" y="f113"/>
                              </a:lnTo>
                              <a:lnTo>
                                <a:pt x="f114" y="f115"/>
                              </a:lnTo>
                              <a:lnTo>
                                <a:pt x="f116" y="f117"/>
                              </a:lnTo>
                              <a:lnTo>
                                <a:pt x="f118" y="f119"/>
                              </a:lnTo>
                              <a:lnTo>
                                <a:pt x="f120" y="f121"/>
                              </a:lnTo>
                              <a:lnTo>
                                <a:pt x="f122" y="f123"/>
                              </a:lnTo>
                              <a:lnTo>
                                <a:pt x="f124" y="f125"/>
                              </a:lnTo>
                              <a:lnTo>
                                <a:pt x="f126" y="f127"/>
                              </a:lnTo>
                              <a:lnTo>
                                <a:pt x="f128" y="f129"/>
                              </a:lnTo>
                              <a:lnTo>
                                <a:pt x="f130" y="f131"/>
                              </a:lnTo>
                              <a:lnTo>
                                <a:pt x="f132" y="f133"/>
                              </a:lnTo>
                              <a:lnTo>
                                <a:pt x="f134" y="f135"/>
                              </a:lnTo>
                              <a:lnTo>
                                <a:pt x="f72" y="f73"/>
                              </a:lnTo>
                              <a:close/>
                            </a:path>
                          </a:pathLst>
                        </a:custGeom>
                        <a:solidFill>
                          <a:srgbClr val="D5B788"/>
                        </a:solidFill>
                        <a:ln cap="flat">
                          <a:noFill/>
                          <a:prstDash val="solid"/>
                        </a:ln>
                      </wps:spPr>
                      <wps:bodyPr lIns="0" tIns="0" rIns="0" bIns="0"/>
                    </wps:wsp>
                  </a:graphicData>
                </a:graphic>
              </wp:anchor>
            </w:drawing>
          </mc:Choice>
          <mc:Fallback>
            <w:pict>
              <v:shape w14:anchorId="7879EC37" id="Freeform: Shape 44" o:spid="_x0000_s1026" style="position:absolute;margin-left:371.65pt;margin-top:699.75pt;width:42.75pt;height:40.05pt;z-index:251673600;visibility:visible;mso-wrap-style:square;mso-wrap-distance-left:9pt;mso-wrap-distance-top:0;mso-wrap-distance-right:9pt;mso-wrap-distance-bottom:0;mso-position-horizontal:absolute;mso-position-horizontal-relative:text;mso-position-vertical:absolute;mso-position-vertical-relative:text;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0fUXwkAAHMlAAAOAAAAZHJzL2Uyb0RvYy54bWysWtuO48YRfQ/gfyD06MAr9o2Xwc4aSBYb&#10;BAgcA3Y+gCNRIwGSKJDyzOzf51Q3KXWxKBIw/DKihkfVVaequy7k558/TsfkrW67Q3N+XqlP6Sqp&#10;z5tmezi/Pq/+9/u3n4pV0l2r87Y6Nuf6efW97lY/f/nhb5/fL0+1bvbNcVu3CYScu6f3y/Nqf71e&#10;ntbrbrOvT1X3qbnUZ9zcNe2puuJr+7rettU7pJ+Oa52m2fq9abeXttnUXYf/fg03V1+8/N2u3lz/&#10;u9t19TU5Pq+g29X/bf3fF/q7/vK5enptq8v+sOnVqP6EFqfqcMaiN1Ffq2uV/NEehKjTYdM2XbO7&#10;fto0p3Wz2x02tbcB1qh0ZM1v++pSe1tATne50dT9dWI3v7z92iaH7fNKq1Vyrk7w0be2ronxp8Qr&#10;kFhLNL1fuiegf7v82vbfOlySzR+79kSfsCb58NR+v1Fbf1yTDf7prC61WyUb3HJpkRlHMtf3H2/+&#10;6K7/qhsvqHr7T3cNntniyvO67ZXbwYu70xFOequOyXvvwNtdGHG/ux/f1fHdwfm335r4bq9wr8Ww&#10;uGWQtNS5kAIj7xrYrLSlGauRMUiR5tazgei56ZIziDWpzsZSsLOihXSaOzWGlAyiVCbVVYxPU1ql&#10;yrEYxVg11plcaKMYtybLjfFhExulGMMGAZ8XYi1GsXGFygQ5inGsbaZ1LuQwko0Dg4IexVhWeWFD&#10;WDKdGc3G6cJIOYzn0plMmK45za7AJhirTDvw7lFt89xIDKc5L8tSuEJzmsFhKqJUM5ptqp0MMNqv&#10;d31MaVQqQhm/ijDWlKWWOjOaET0ql/wwml2a4WwX/DCarbO20GOMYTy7NFelCGc4MNbZ5YWWchjP&#10;cFYBNkaHgWE8IwqNFfxgE0RrQR+cB0IO49lmuXLCdsN4dqlyE3Yxnp1WdmItxrPVurByLc5zkWdO&#10;+Msyno3NTC7sspxnk1oZP5bxbFKXp2J7gdWIQ4MIK8R2R46KMLpMTSr1YTwbjZiXGMazzrELRTxb&#10;xrPObZlKfhjPOnOZk3IYz1oVRSHkOMazzlRhhRyc+5HtCvvCiHh2jGeNE9OJeHaM50LZUkI4zVmR&#10;lsIVEBypo4vUTSzFabaqwGYabS/HaS6MQ9CNMYxmA1coEc6O0Ux5QK6VMZqtzWwmaM4YzcgEWoZY&#10;xmh2qcmlKzJGM/aoK4W7kEAiDl3q1EQVwXi2TilsphE/GeMZx1guj96M8YzjGflCyGE8O2VUIbZp&#10;xniGnAz/GemD+iO2S+VKHuE54xmHvJIc5pxniw0m/JUznk2mcLIKfTjPOFvkkZAznlG1FGB1bBfn&#10;WeeZ3Bc541lnJbwh5DCebVnkOETHazGetVMOCX+EgQcjnnEgpPJYhQcjjDb5xP6CdyIMfKrBxngt&#10;xrM2ukQSHmMYz5YyiojVgvGsVZbJ9FVwnlOEvOAHrEY6K1RasrQpGM8ONSYO9bHOjGdlrJVnS8l4&#10;xv5CQh3LKRnPBRgU7sIBEKlsUWLK6hAHQIyhI1OsxFkGzZJBnOmRGFWkMv+joowgNi0m6hqEd4Qx&#10;mdyiJaPYuFKh3B5RjBomkqJyBKHAKBSvEUjLDaEQ2xECYlAhjJdSKeMYHlcTTQwKFC5pIk4Vsn0E&#10;0imyoDgQVMp5LlH3iUhV+B2TVGJjSMUZ1SgTlIxVipdYktIIIimJ0Q2yNbq/kUsUbwixDZEQJIgx&#10;jtPXSucq3hJqlMcyISjeE+a5locrEltsnDFFiRwq9GaEo3eSxTgaYCYIhbas6ilMIyoLnGcijSnF&#10;6EZdW6JAFxoxutE8ZbKgUrwx9IWQjF3eGcL/E6leoYmJ9LboECaM472hQrs/pRPjG82hkk2m4t0h&#10;wtLK8kzx9tBkDp2d4AnNe6Q4enkn62CFczUGlVbLKk4heccgZKIJt/AW0VCikQHOe0RtnEPJMXYw&#10;Dr1oOVOgGpahwrtE7RAEEyDOOKoHWVsq7MNoOV3mDiWO0OkW4j+uk12aqGR6kqXMjXUCKgJOzrMU&#10;hhD9sn//KdnZJE12E1TcmCeQmQbdm0a/pCkfa3fvHQO0eKzfvYUkqAZwpyZC8d5FEsw8hN08EUmT&#10;Jzcmdj0pBLNB2gSMeQO7FrqZLJkAcm9Y8xB48wYtrKwjYD4l8eaRALQREHPX12GyWu2HYevm49xP&#10;W3GVVDTBN5ut9XPtS9PRbHe/WSWY4F4p7CAEOBrO3uBpjG099G3zADst+eUhWseyjxOygz69BS0m&#10;/zTzB0NwAcb+uAAhmPzjAlxj+I+L/qS9VFcigUyhy+T9Pq/e07jaj3np7ql5q39vPO5KdOwQBaBj&#10;5880rH+/fzwzHFYknF8PuOHu8HkJ0qAgoUJSfgyjcazH+W04g0Mx43F+qjCD660I5e0MrrcCyS+4&#10;f1B/+OzNwADZr4vUNoujrEb6henb43UpZ3ncgh2UkTxucMeg1/DZ60f5xuMW7KBsQrjQzjzWj3KF&#10;xy34gzKBxy3YQee8xy3YMQq+wcrNsenqQDxF85+IakoNXoGBoIdxbXqKwnn7mCI6zkli6PpmcD1F&#10;4ZHTDK63PTQvM7jekrDTZ3C9HRi3zYYsjdrIDozT5nG9HWFw+nhdFBBenC9AHsMwDw443x3N4JAc&#10;vDxfYTzG0biLcBhpzZpB4yyP83XGjDwkTY9bsIPGUR63YAeGbwG3YAeNk0geRkazdoiA/uv2Ck2i&#10;vAoDRQ/3CiZvAblAEtrSgFsgCYPpgFsgiWZBpGGY2D12Is16PG6wZCBp+OyPTxTnAbdgB81qvLwF&#10;O2gW43ELdtCshXChj35sBw1TPG7BjrK3IzRAM/J6O8JEbwbX27FwNNDMg9SjucZs0PqxRkAuiKTn&#10;cr3MhdTixxJB5kJywbPZQeaQBYY4GD6HdI9WJay+XLj0xyeNBuZtv9U4mA8sIHs3KjwVXkD2juwH&#10;UY896dt7z1J4Fj6DpPbdI8Mccg7Zh6UK09o55GBR6N/nkINF4fn3HLIPTmqR51mi9thbFJ5zz8ik&#10;9jcgl3xET0EDcsFH4jQdYk0UNdDrVrbjOn59pGuOh+23w/FIpU/Xvr7889gmeFvkefXV/SMPo0H8&#10;hMGO52RT4f2j3bG6+kbj3JAEUIV12u76ter2QYb/2Y1DtEH0Ykx4FYauXprtd7xRc/z3GW/pgMrr&#10;cNEOFy/9BbmBfoE3e3wz1b+FRK8Oxd896v6u1Jf/AwAA//8DAFBLAwQUAAYACAAAACEAsJDlF+AA&#10;AAANAQAADwAAAGRycy9kb3ducmV2LnhtbEyPwU7DMBBE70j8g7VI3KjTpLRJiFMBAu5NkFBvbmzi&#10;CHsdYrcNf89yKsedeZqdqbazs+ykpzB4FLBcJMA0dl4N2At4b1/vcmAhSlTSetQCfnSAbX19VclS&#10;+TPu9KmJPaMQDKUUYGIcS85DZ7STYeFHjeR9+snJSOfUczXJM4U7y9MkWXMnB6QPRo762ejuqzk6&#10;AaptdstW7fuXp+FNfZs0m/f2Q4jbm/nxAVjUc7zA8FefqkNNnQ7+iCowK2CzyjJCyciK4h4YIXma&#10;05oDSatNsQZeV/z/ivoXAAD//wMAUEsBAi0AFAAGAAgAAAAhALaDOJL+AAAA4QEAABMAAAAAAAAA&#10;AAAAAAAAAAAAAFtDb250ZW50X1R5cGVzXS54bWxQSwECLQAUAAYACAAAACEAOP0h/9YAAACUAQAA&#10;CwAAAAAAAAAAAAAAAAAvAQAAX3JlbHMvLnJlbHNQSwECLQAUAAYACAAAACEAmqtH1F8JAABzJQAA&#10;DgAAAAAAAAAAAAAAAAAuAgAAZHJzL2Uyb0RvYy54bWxQSwECLQAUAAYACAAAACEAsJDlF+AAAAAN&#10;AQAADwAAAAAAAAAAAAAAAAC5CwAAZHJzL2Rvd25yZXYueG1sUEsFBgAAAAAEAAQA8wAAAMYMAAAA&#10;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o:connecttype="custom" o:connectlocs="271463,0;542925,254318;271463,508635;0,254318" o:connectangles="270,0,90,180" textboxrect="0,0,542925,509270"/>
              </v:shape>
            </w:pict>
          </mc:Fallback>
        </mc:AlternateContent>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p>
    <w:p w:rsidR="00184CAB" w:rsidRDefault="002B1930">
      <w:pPr>
        <w:spacing w:line="360" w:lineRule="auto"/>
        <w:rPr>
          <w:color w:val="4C4747"/>
        </w:rPr>
        <w:sectPr w:rsidR="00184CAB">
          <w:footerReference w:type="default" r:id="rId12"/>
          <w:pgSz w:w="12240" w:h="15840"/>
          <w:pgMar w:top="1440" w:right="2160" w:bottom="1440" w:left="2160" w:header="720" w:footer="720" w:gutter="0"/>
          <w:cols w:space="720"/>
          <w:titlePg/>
        </w:sectPr>
      </w:pP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r>
        <w:rPr>
          <w:color w:val="4C4747"/>
        </w:rPr>
        <w:tab/>
      </w:r>
    </w:p>
    <w:p w:rsidR="00184CAB" w:rsidRDefault="00184CAB">
      <w:pPr>
        <w:spacing w:line="360" w:lineRule="auto"/>
      </w:pPr>
    </w:p>
    <w:p w:rsidR="00184CAB" w:rsidRDefault="00184CAB">
      <w:pPr>
        <w:spacing w:line="360" w:lineRule="auto"/>
      </w:pPr>
    </w:p>
    <w:p w:rsidR="00184CAB" w:rsidRDefault="00184CAB">
      <w:pPr>
        <w:spacing w:line="360" w:lineRule="auto"/>
      </w:pPr>
    </w:p>
    <w:p w:rsidR="00184CAB" w:rsidRDefault="00184CAB">
      <w:pPr>
        <w:spacing w:line="360" w:lineRule="auto"/>
      </w:pPr>
    </w:p>
    <w:p w:rsidR="00184CAB" w:rsidRDefault="00184CAB">
      <w:pPr>
        <w:spacing w:line="360" w:lineRule="auto"/>
        <w:rPr>
          <w:color w:val="4C4747"/>
        </w:rPr>
      </w:pPr>
    </w:p>
    <w:p w:rsidR="00184CAB" w:rsidRDefault="00184CAB">
      <w:pPr>
        <w:spacing w:line="360" w:lineRule="auto"/>
        <w:rPr>
          <w:b/>
          <w:bCs/>
          <w:color w:val="4C4747"/>
        </w:rPr>
      </w:pPr>
    </w:p>
    <w:p w:rsidR="00184CAB" w:rsidRDefault="00184CAB">
      <w:pPr>
        <w:spacing w:line="360" w:lineRule="auto"/>
        <w:rPr>
          <w:b/>
          <w:bCs/>
          <w:color w:val="4C4747"/>
        </w:rPr>
      </w:pPr>
    </w:p>
    <w:p w:rsidR="00184CAB" w:rsidRDefault="00184CAB">
      <w:pPr>
        <w:spacing w:line="360" w:lineRule="auto"/>
      </w:pPr>
    </w:p>
    <w:p w:rsidR="00184CAB" w:rsidRDefault="002B1930">
      <w:pPr>
        <w:tabs>
          <w:tab w:val="left" w:pos="5229"/>
        </w:tabs>
        <w:spacing w:line="360" w:lineRule="auto"/>
      </w:pPr>
      <w:r>
        <w:rPr>
          <w:color w:val="4C4747"/>
        </w:rPr>
        <w:tab/>
      </w:r>
      <w:r>
        <w:rPr>
          <w:color w:val="4C4747"/>
        </w:rPr>
        <w:tab/>
      </w:r>
      <w:r>
        <w:rPr>
          <w:color w:val="4C4747"/>
        </w:rPr>
        <w:tab/>
      </w:r>
    </w:p>
    <w:p w:rsidR="00184CAB" w:rsidRDefault="002B1930">
      <w:pPr>
        <w:tabs>
          <w:tab w:val="left" w:pos="5229"/>
        </w:tabs>
        <w:spacing w:line="360" w:lineRule="auto"/>
        <w:jc w:val="center"/>
      </w:pPr>
      <w:r>
        <w:rPr>
          <w:noProof/>
          <w:color w:val="4C4747"/>
        </w:rPr>
        <mc:AlternateContent>
          <mc:Choice Requires="wps">
            <w:drawing>
              <wp:anchor distT="0" distB="0" distL="114300" distR="114300" simplePos="0" relativeHeight="251635712" behindDoc="0" locked="0" layoutInCell="1" allowOverlap="1">
                <wp:simplePos x="0" y="0"/>
                <wp:positionH relativeFrom="margin">
                  <wp:align>center</wp:align>
                </wp:positionH>
                <wp:positionV relativeFrom="paragraph">
                  <wp:posOffset>350608</wp:posOffset>
                </wp:positionV>
                <wp:extent cx="5758818" cy="985522"/>
                <wp:effectExtent l="0" t="0" r="13332" b="5078"/>
                <wp:wrapNone/>
                <wp:docPr id="22" name="object 4"/>
                <wp:cNvGraphicFramePr/>
                <a:graphic xmlns:a="http://schemas.openxmlformats.org/drawingml/2006/main">
                  <a:graphicData uri="http://schemas.microsoft.com/office/word/2010/wordprocessingShape">
                    <wps:wsp>
                      <wps:cNvSpPr txBox="1"/>
                      <wps:spPr>
                        <a:xfrm>
                          <a:off x="0" y="0"/>
                          <a:ext cx="5758818" cy="985522"/>
                        </a:xfrm>
                        <a:prstGeom prst="rect">
                          <a:avLst/>
                        </a:prstGeom>
                        <a:noFill/>
                        <a:ln>
                          <a:noFill/>
                          <a:prstDash/>
                        </a:ln>
                      </wps:spPr>
                      <wps:txbx>
                        <w:txbxContent>
                          <w:p w:rsidR="00184CAB" w:rsidRDefault="002B1930">
                            <w:pPr>
                              <w:spacing w:after="0"/>
                              <w:jc w:val="center"/>
                              <w:rPr>
                                <w:b/>
                                <w:bCs/>
                                <w:color w:val="D5B788"/>
                                <w:spacing w:val="60"/>
                                <w:kern w:val="3"/>
                                <w:sz w:val="56"/>
                                <w:szCs w:val="56"/>
                                <w:lang w:val="es-DO"/>
                              </w:rPr>
                            </w:pPr>
                            <w:r>
                              <w:rPr>
                                <w:b/>
                                <w:bCs/>
                                <w:color w:val="D5B788"/>
                                <w:spacing w:val="60"/>
                                <w:kern w:val="3"/>
                                <w:sz w:val="56"/>
                                <w:szCs w:val="56"/>
                                <w:lang w:val="es-DO"/>
                              </w:rPr>
                              <w:t xml:space="preserve">MEMORIA </w:t>
                            </w:r>
                          </w:p>
                          <w:p w:rsidR="00184CAB" w:rsidRDefault="002B1930">
                            <w:pPr>
                              <w:spacing w:after="0"/>
                              <w:jc w:val="center"/>
                              <w:rPr>
                                <w:b/>
                                <w:bCs/>
                                <w:color w:val="D5B788"/>
                                <w:spacing w:val="60"/>
                                <w:kern w:val="3"/>
                                <w:sz w:val="56"/>
                                <w:szCs w:val="56"/>
                                <w:lang w:val="es-DO"/>
                              </w:rPr>
                            </w:pPr>
                            <w:r>
                              <w:rPr>
                                <w:b/>
                                <w:bCs/>
                                <w:color w:val="D5B788"/>
                                <w:spacing w:val="60"/>
                                <w:kern w:val="3"/>
                                <w:sz w:val="56"/>
                                <w:szCs w:val="56"/>
                                <w:lang w:val="es-DO"/>
                              </w:rPr>
                              <w:t>INSTITUCIONAL</w:t>
                            </w:r>
                          </w:p>
                          <w:p w:rsidR="00184CAB" w:rsidRDefault="00184CAB">
                            <w:pPr>
                              <w:spacing w:after="0"/>
                              <w:jc w:val="center"/>
                              <w:rPr>
                                <w:b/>
                                <w:bCs/>
                                <w:color w:val="D5B788"/>
                                <w:spacing w:val="60"/>
                                <w:kern w:val="3"/>
                                <w:sz w:val="56"/>
                                <w:szCs w:val="56"/>
                                <w:lang w:val="es-DO"/>
                              </w:rPr>
                            </w:pPr>
                          </w:p>
                        </w:txbxContent>
                      </wps:txbx>
                      <wps:bodyPr vert="horz" wrap="square" lIns="0" tIns="17145" rIns="0" bIns="0" anchor="t" anchorCtr="0" compatLnSpc="0">
                        <a:noAutofit/>
                      </wps:bodyPr>
                    </wps:wsp>
                  </a:graphicData>
                </a:graphic>
              </wp:anchor>
            </w:drawing>
          </mc:Choice>
          <mc:Fallback>
            <w:pict>
              <v:shape id="_x0000_s1032" type="#_x0000_t202" style="position:absolute;left:0;text-align:left;margin-left:0;margin-top:27.6pt;width:453.45pt;height:77.6pt;z-index:2516357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bCR0AEAAIsDAAAOAAAAZHJzL2Uyb0RvYy54bWysU8Fu2zAMvQ/oPwi6N4qDek2NOMW2oMOA&#10;YiuQ7gNkWYo1WKImKbGzrx8lJ+nQ3opdZIqkyPce6dX9aHpykD5osDUtZnNKpBXQarur6c/nh+sl&#10;JSFy2/IerKzpUQZ6v776sBpcJRfQQd9KT7CIDdXgatrF6CrGguik4WEGTloMKvCGR7z6HWs9H7C6&#10;6dliPv/IBvCt8yBkCOjdTEG6zvWVkiL+UCrISPqaIraYT5/PJp1sveLVznPXaXGCwd+BwnBtseml&#10;1IZHTvZevylltPAQQMWZAMNAKS1k5oBsivkrNtuOO5m5oDjBXWQK/6+s+H548kS3NV0sKLHc4Iyg&#10;+YW6kZskzuBChTlbh1lx/AwjDvnsD+hMnEflTfoiG4JxlPl4kVaOkQh0lrflclngMgiM3S3LEtth&#10;efby2vkQv0owJBk19QghK8oPjyFOqeeU1MzCg+77PL7evnKkvA0P3fQqhVniMeFNVhybMZO+cGyg&#10;PSJF3GTs3YH/Q8mAW1HT8HvPvaSk/2ZR9rRC2Shui5uSEn/2NmeDW4HPaxopmcwvcVo3nLfj8dFu&#10;nUh1Jsif9hGUzvQSrgnFCS5OPAt02s60Uv/ec9bLP7T+CwAA//8DAFBLAwQUAAYACAAAACEADnjL&#10;7N0AAAAHAQAADwAAAGRycy9kb3ducmV2LnhtbEyPwU7DMBBE70j8g7VI3KidiEZtmk0FSByDaIFD&#10;b9vEJBHxOthOm/495gTH0Yxm3hTb2QzipJ3vLSMkCwVCc22bnluE97fnuxUIH4gbGixrhIv2sC2v&#10;rwrKG3vmnT7tQytiCfucELoQxlxKX3fakF/YUXP0Pq0zFKJ0rWwcnWO5GWSqVCYN9RwXOhr1U6fr&#10;r/1kEJycqks1HhytqpfMfOweX5PvGfH2Zn7YgAh6Dn9h+MWP6FBGpqOduPFiQIhHAsJymYKI7lpl&#10;axBHhDRR9yDLQv7nL38AAAD//wMAUEsBAi0AFAAGAAgAAAAhALaDOJL+AAAA4QEAABMAAAAAAAAA&#10;AAAAAAAAAAAAAFtDb250ZW50X1R5cGVzXS54bWxQSwECLQAUAAYACAAAACEAOP0h/9YAAACUAQAA&#10;CwAAAAAAAAAAAAAAAAAvAQAAX3JlbHMvLnJlbHNQSwECLQAUAAYACAAAACEAG+2wkdABAACLAwAA&#10;DgAAAAAAAAAAAAAAAAAuAgAAZHJzL2Uyb0RvYy54bWxQSwECLQAUAAYACAAAACEADnjL7N0AAAAH&#10;AQAADwAAAAAAAAAAAAAAAAAqBAAAZHJzL2Rvd25yZXYueG1sUEsFBgAAAAAEAAQA8wAAADQFAAAA&#10;AA==&#10;" filled="f" stroked="f">
                <v:textbox inset="0,1.35pt,0,0">
                  <w:txbxContent>
                    <w:p w:rsidR="00184CAB" w:rsidRDefault="002B1930">
                      <w:pPr>
                        <w:spacing w:after="0"/>
                        <w:jc w:val="center"/>
                        <w:rPr>
                          <w:b/>
                          <w:bCs/>
                          <w:color w:val="D5B788"/>
                          <w:spacing w:val="60"/>
                          <w:kern w:val="3"/>
                          <w:sz w:val="56"/>
                          <w:szCs w:val="56"/>
                          <w:lang w:val="es-DO"/>
                        </w:rPr>
                      </w:pPr>
                      <w:r>
                        <w:rPr>
                          <w:b/>
                          <w:bCs/>
                          <w:color w:val="D5B788"/>
                          <w:spacing w:val="60"/>
                          <w:kern w:val="3"/>
                          <w:sz w:val="56"/>
                          <w:szCs w:val="56"/>
                          <w:lang w:val="es-DO"/>
                        </w:rPr>
                        <w:t xml:space="preserve">MEMORIA </w:t>
                      </w:r>
                    </w:p>
                    <w:p w:rsidR="00184CAB" w:rsidRDefault="002B1930">
                      <w:pPr>
                        <w:spacing w:after="0"/>
                        <w:jc w:val="center"/>
                        <w:rPr>
                          <w:b/>
                          <w:bCs/>
                          <w:color w:val="D5B788"/>
                          <w:spacing w:val="60"/>
                          <w:kern w:val="3"/>
                          <w:sz w:val="56"/>
                          <w:szCs w:val="56"/>
                          <w:lang w:val="es-DO"/>
                        </w:rPr>
                      </w:pPr>
                      <w:r>
                        <w:rPr>
                          <w:b/>
                          <w:bCs/>
                          <w:color w:val="D5B788"/>
                          <w:spacing w:val="60"/>
                          <w:kern w:val="3"/>
                          <w:sz w:val="56"/>
                          <w:szCs w:val="56"/>
                          <w:lang w:val="es-DO"/>
                        </w:rPr>
                        <w:t>INSTITUCIONAL</w:t>
                      </w:r>
                    </w:p>
                    <w:p w:rsidR="00184CAB" w:rsidRDefault="00184CAB">
                      <w:pPr>
                        <w:spacing w:after="0"/>
                        <w:jc w:val="center"/>
                        <w:rPr>
                          <w:b/>
                          <w:bCs/>
                          <w:color w:val="D5B788"/>
                          <w:spacing w:val="60"/>
                          <w:kern w:val="3"/>
                          <w:sz w:val="56"/>
                          <w:szCs w:val="56"/>
                          <w:lang w:val="es-DO"/>
                        </w:rPr>
                      </w:pPr>
                    </w:p>
                  </w:txbxContent>
                </v:textbox>
                <w10:wrap anchorx="margin"/>
              </v:shape>
            </w:pict>
          </mc:Fallback>
        </mc:AlternateContent>
      </w:r>
    </w:p>
    <w:p w:rsidR="00184CAB" w:rsidRDefault="00184CAB">
      <w:pPr>
        <w:tabs>
          <w:tab w:val="left" w:pos="5229"/>
        </w:tabs>
        <w:spacing w:line="360" w:lineRule="auto"/>
        <w:jc w:val="center"/>
        <w:rPr>
          <w:color w:val="4C4747"/>
        </w:rPr>
      </w:pPr>
    </w:p>
    <w:p w:rsidR="00184CAB" w:rsidRDefault="002B1930">
      <w:pPr>
        <w:tabs>
          <w:tab w:val="left" w:pos="5229"/>
        </w:tabs>
        <w:spacing w:line="360" w:lineRule="auto"/>
        <w:jc w:val="center"/>
      </w:pPr>
      <w:r>
        <w:rPr>
          <w:noProof/>
          <w:color w:val="4C4747"/>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278763</wp:posOffset>
                </wp:positionV>
                <wp:extent cx="5758818" cy="542925"/>
                <wp:effectExtent l="0" t="0" r="13332" b="9525"/>
                <wp:wrapNone/>
                <wp:docPr id="23" name="object 4"/>
                <wp:cNvGraphicFramePr/>
                <a:graphic xmlns:a="http://schemas.openxmlformats.org/drawingml/2006/main">
                  <a:graphicData uri="http://schemas.microsoft.com/office/word/2010/wordprocessingShape">
                    <wps:wsp>
                      <wps:cNvSpPr txBox="1"/>
                      <wps:spPr>
                        <a:xfrm>
                          <a:off x="0" y="0"/>
                          <a:ext cx="5758818" cy="542925"/>
                        </a:xfrm>
                        <a:prstGeom prst="rect">
                          <a:avLst/>
                        </a:prstGeom>
                        <a:noFill/>
                        <a:ln>
                          <a:noFill/>
                          <a:prstDash/>
                        </a:ln>
                      </wps:spPr>
                      <wps:txbx>
                        <w:txbxContent>
                          <w:p w:rsidR="00184CAB" w:rsidRDefault="00184CAB">
                            <w:pPr>
                              <w:spacing w:after="0"/>
                              <w:jc w:val="center"/>
                              <w:rPr>
                                <w:b/>
                                <w:bCs/>
                                <w:color w:val="D5B788"/>
                                <w:spacing w:val="60"/>
                                <w:kern w:val="3"/>
                                <w:sz w:val="56"/>
                                <w:szCs w:val="56"/>
                                <w:lang w:val="es-DO"/>
                              </w:rPr>
                            </w:pPr>
                          </w:p>
                        </w:txbxContent>
                      </wps:txbx>
                      <wps:bodyPr vert="horz" wrap="square" lIns="0" tIns="17145" rIns="0" bIns="0" anchor="t" anchorCtr="0" compatLnSpc="0">
                        <a:noAutofit/>
                      </wps:bodyPr>
                    </wps:wsp>
                  </a:graphicData>
                </a:graphic>
              </wp:anchor>
            </w:drawing>
          </mc:Choice>
          <mc:Fallback>
            <w:pict>
              <v:shape id="_x0000_s1033" type="#_x0000_t202" style="position:absolute;left:0;text-align:left;margin-left:0;margin-top:21.95pt;width:453.45pt;height:42.75pt;z-index:2516766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y2e0QEAAIsDAAAOAAAAZHJzL2Uyb0RvYy54bWysU8tu2zAQvBfoPxC817JUq3EEy0FbI0WB&#10;oC3g9AMoirQYiFyWpC25X98l5UeQ3Ipc6NXucjgzu17djbonB+G8AlPTfDanRBgOrTK7mv5+vP+w&#10;pMQHZlrWgxE1PQpP79bv360GW4kCOuhb4QiCGF8NtqZdCLbKMs87oZmfgRUGixKcZgE/3S5rHRsQ&#10;XfdZMZ9/ygZwrXXAhfeY3UxFuk74UgoefkrpRSB9TZFbSKdLZxPPbL1i1c4x2yl+osH+g4VmyuCj&#10;F6gNC4zsnXoFpRV34EGGGQedgZSKi6QB1eTzF2q2HbMiaUFzvL3Y5N8Olv84/HJEtTUtPlJimMYZ&#10;QfOEvpFFNGewvsKercWuMH6BEYd8zntMRs2jdDr+ohqCdbT5eLFWjIFwTJY35XKZ4zJwrJWL4rYo&#10;I0x2vW2dD98EaBKDmjqkkBxlhwcfptZzS3zMwL3q+zS+3rxIxL4N8910K5azqGPiG6MwNmMSnUjE&#10;TAPtESXiJuPbHbi/lAy4FTX1f/bMCUr67wZtjyuUgvwmX5SUuHO2OQfMcLxe00DJFH4N07rhvC0L&#10;D2ZrecSZKH/eB5AqybuyONHFiSeDTtsZV+r5d+q6/ofW/wAAAP//AwBQSwMEFAAGAAgAAAAhACAj&#10;jwXcAAAABwEAAA8AAABkcnMvZG93bnJldi54bWxMj8FOwzAQRO9I/IO1SNyo01JFTYhTARLHIFrg&#10;wG2bLElEvA6206Z/z3KC26xmNPO22M52UEfyoXdsYLlIQBHXrum5NfD2+nSzARUicoODYzJwpgDb&#10;8vKiwLxxJ97RcR9bJSUccjTQxTjmWoe6I4th4UZi8T6dtxjl9K1uPJ6k3A56lSSpttizLHQ40mNH&#10;9dd+sga8nqpzNX543FTPqX3fPbwsv2djrq/m+ztQkeb4F4ZffEGHUpgObuImqMGAPBINrG8zUOJm&#10;SSriILFVtgZdFvo/f/kDAAD//wMAUEsBAi0AFAAGAAgAAAAhALaDOJL+AAAA4QEAABMAAAAAAAAA&#10;AAAAAAAAAAAAAFtDb250ZW50X1R5cGVzXS54bWxQSwECLQAUAAYACAAAACEAOP0h/9YAAACUAQAA&#10;CwAAAAAAAAAAAAAAAAAvAQAAX3JlbHMvLnJlbHNQSwECLQAUAAYACAAAACEAzictntEBAACLAwAA&#10;DgAAAAAAAAAAAAAAAAAuAgAAZHJzL2Uyb0RvYy54bWxQSwECLQAUAAYACAAAACEAICOPBdwAAAAH&#10;AQAADwAAAAAAAAAAAAAAAAArBAAAZHJzL2Rvd25yZXYueG1sUEsFBgAAAAAEAAQA8wAAADQFAAAA&#10;AA==&#10;" filled="f" stroked="f">
                <v:textbox inset="0,1.35pt,0,0">
                  <w:txbxContent>
                    <w:p w:rsidR="00184CAB" w:rsidRDefault="00184CAB">
                      <w:pPr>
                        <w:spacing w:after="0"/>
                        <w:jc w:val="center"/>
                        <w:rPr>
                          <w:b/>
                          <w:bCs/>
                          <w:color w:val="D5B788"/>
                          <w:spacing w:val="60"/>
                          <w:kern w:val="3"/>
                          <w:sz w:val="56"/>
                          <w:szCs w:val="56"/>
                          <w:lang w:val="es-DO"/>
                        </w:rPr>
                      </w:pPr>
                    </w:p>
                  </w:txbxContent>
                </v:textbox>
                <w10:wrap anchorx="margin"/>
              </v:shape>
            </w:pict>
          </mc:Fallback>
        </mc:AlternateContent>
      </w:r>
    </w:p>
    <w:p w:rsidR="00184CAB" w:rsidRDefault="002B1930">
      <w:pPr>
        <w:tabs>
          <w:tab w:val="left" w:pos="5229"/>
        </w:tabs>
        <w:spacing w:line="360" w:lineRule="auto"/>
        <w:sectPr w:rsidR="00184CAB">
          <w:footerReference w:type="default" r:id="rId13"/>
          <w:pgSz w:w="12240" w:h="15840"/>
          <w:pgMar w:top="1440" w:right="2160" w:bottom="1440" w:left="2160" w:header="720" w:footer="720" w:gutter="0"/>
          <w:cols w:space="720"/>
          <w:titlePg/>
        </w:sectPr>
      </w:pPr>
      <w:r>
        <w:rPr>
          <w:noProof/>
          <w:color w:val="4C4747"/>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607783</wp:posOffset>
                </wp:positionV>
                <wp:extent cx="462915" cy="0"/>
                <wp:effectExtent l="0" t="19050" r="32385" b="19050"/>
                <wp:wrapNone/>
                <wp:docPr id="24" name="Straight Connector 22"/>
                <wp:cNvGraphicFramePr/>
                <a:graphic xmlns:a="http://schemas.openxmlformats.org/drawingml/2006/main">
                  <a:graphicData uri="http://schemas.microsoft.com/office/word/2010/wordprocessingShape">
                    <wps:wsp>
                      <wps:cNvCnPr/>
                      <wps:spPr>
                        <a:xfrm>
                          <a:off x="0" y="0"/>
                          <a:ext cx="462915" cy="0"/>
                        </a:xfrm>
                        <a:prstGeom prst="straightConnector1">
                          <a:avLst/>
                        </a:prstGeom>
                        <a:noFill/>
                        <a:ln w="28575" cap="flat">
                          <a:solidFill>
                            <a:srgbClr val="C8B688"/>
                          </a:solidFill>
                          <a:prstDash val="solid"/>
                          <a:miter/>
                        </a:ln>
                      </wps:spPr>
                      <wps:bodyPr/>
                    </wps:wsp>
                  </a:graphicData>
                </a:graphic>
              </wp:anchor>
            </w:drawing>
          </mc:Choice>
          <mc:Fallback>
            <w:pict>
              <v:shape w14:anchorId="2EDE1CBA" id="Straight Connector 22" o:spid="_x0000_s1026" type="#_x0000_t32" style="position:absolute;margin-left:0;margin-top:47.85pt;width:36.45pt;height:0;z-index:25167564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kaytAEAAFMDAAAOAAAAZHJzL2Uyb0RvYy54bWysU8tu2zAQvAfoPxC8x7KFxFEFywFiI7kU&#10;rYG0H0BTpESAL+yylv33XdKO06a3ohdS5O7M7gxXq8ejs+ygAE3wHV/M5pwpL0Nv/NDxH9+fbxvO&#10;MAnfCxu86vhJIX9cf7pZTbFVdRiD7RUwIvHYTrHjY0qxrSqUo3ICZyEqT0EdwIlERxiqHsRE7M5W&#10;9Xy+rKYAfYQgFSLdbs9Bvi78WiuZvmmNKjHbceotlRXKus9rtV6JdgARRyMvbYh/6MIJ46nolWor&#10;kmA/wfxF5YyEgEGnmQyuClobqYoGUrOYf1DzOoqoihYyB+PVJvx/tPLrYQfM9B2v7zjzwtEbvSYQ&#10;ZhgT2wTvycEArK6zU1PElgAbv4PLCeMOsuyjBpd3EsSOxd3T1V11TEzS5d2y/ry450y+hap3XARM&#10;Lyo4lj86jpcOrg0sirni8AUTVSbgGyAX9eHZWFte0no2kZTm/iEXEjRQ2opUwBis6XNihiAM+40F&#10;dhA0F5vmadk0WSAR/5GWq2wFjue8EjpPjDNJZQ8IYD1t2ZmzF/lrH/pTsajc08uVxMuU5dH4/VzQ&#10;7//C+hcAAAD//wMAUEsDBBQABgAIAAAAIQB3eROM1wAAAAUBAAAPAAAAZHJzL2Rvd25yZXYueG1s&#10;TI9BT4NAFITvJv6HzTPxZpc20QLyaNTEizcr8fzKPoHAviXsQum/d40HPU5mMvNNcVjtoBaefOcE&#10;YbtJQLHUznTSIFQfr3cpKB9IDA1OGOHCHg7l9VVBuXFneeflGBoVS8TnhNCGMOZa+7plS37jRpbo&#10;fbnJUohyarSZ6BzL7aB3SfKgLXUSF1oa+aXluj/OFqFnW6V6uWyzt7mm1Hz2wT1XiLc369MjqMBr&#10;+AvDD35EhzIyndwsxqsBIR4JCNn9HlR097sM1OlX67LQ/+nLbwAAAP//AwBQSwECLQAUAAYACAAA&#10;ACEAtoM4kv4AAADhAQAAEwAAAAAAAAAAAAAAAAAAAAAAW0NvbnRlbnRfVHlwZXNdLnhtbFBLAQIt&#10;ABQABgAIAAAAIQA4/SH/1gAAAJQBAAALAAAAAAAAAAAAAAAAAC8BAABfcmVscy8ucmVsc1BLAQIt&#10;ABQABgAIAAAAIQAy3kaytAEAAFMDAAAOAAAAAAAAAAAAAAAAAC4CAABkcnMvZTJvRG9jLnhtbFBL&#10;AQItABQABgAIAAAAIQB3eROM1wAAAAUBAAAPAAAAAAAAAAAAAAAAAA4EAABkcnMvZG93bnJldi54&#10;bWxQSwUGAAAAAAQABADzAAAAEgUAAAAA&#10;" strokecolor="#c8b688" strokeweight="2.25pt">
                <v:stroke joinstyle="miter"/>
                <w10:wrap anchorx="margin"/>
              </v:shape>
            </w:pict>
          </mc:Fallback>
        </mc:AlternateContent>
      </w:r>
      <w:r>
        <w:rPr>
          <w:noProof/>
          <w:color w:val="4C4747"/>
        </w:rPr>
        <mc:AlternateContent>
          <mc:Choice Requires="wps">
            <w:drawing>
              <wp:anchor distT="0" distB="0" distL="114300" distR="114300" simplePos="0" relativeHeight="251668480" behindDoc="0" locked="0" layoutInCell="1" allowOverlap="1">
                <wp:simplePos x="0" y="0"/>
                <wp:positionH relativeFrom="margin">
                  <wp:posOffset>1963061</wp:posOffset>
                </wp:positionH>
                <wp:positionV relativeFrom="paragraph">
                  <wp:posOffset>807268</wp:posOffset>
                </wp:positionV>
                <wp:extent cx="1214122" cy="308610"/>
                <wp:effectExtent l="0" t="0" r="5078" b="15240"/>
                <wp:wrapNone/>
                <wp:docPr id="25" name="object 5"/>
                <wp:cNvGraphicFramePr/>
                <a:graphic xmlns:a="http://schemas.openxmlformats.org/drawingml/2006/main">
                  <a:graphicData uri="http://schemas.microsoft.com/office/word/2010/wordprocessingShape">
                    <wps:wsp>
                      <wps:cNvSpPr txBox="1"/>
                      <wps:spPr>
                        <a:xfrm>
                          <a:off x="0" y="0"/>
                          <a:ext cx="1214122" cy="308610"/>
                        </a:xfrm>
                        <a:prstGeom prst="rect">
                          <a:avLst/>
                        </a:prstGeom>
                        <a:noFill/>
                        <a:ln>
                          <a:noFill/>
                          <a:prstDash/>
                        </a:ln>
                      </wps:spPr>
                      <wps:txbx>
                        <w:txbxContent>
                          <w:p w:rsidR="00184CAB" w:rsidRDefault="002B1930">
                            <w:pPr>
                              <w:spacing w:before="20"/>
                              <w:ind w:left="14"/>
                            </w:pPr>
                            <w:r>
                              <w:rPr>
                                <w:b/>
                                <w:bCs/>
                                <w:color w:val="D5B788"/>
                                <w:spacing w:val="74"/>
                                <w:kern w:val="3"/>
                                <w:sz w:val="28"/>
                                <w:szCs w:val="28"/>
                              </w:rPr>
                              <w:t>AÑ</w:t>
                            </w:r>
                            <w:r>
                              <w:rPr>
                                <w:b/>
                                <w:bCs/>
                                <w:color w:val="D5B788"/>
                                <w:spacing w:val="37"/>
                                <w:kern w:val="3"/>
                                <w:sz w:val="28"/>
                                <w:szCs w:val="28"/>
                              </w:rPr>
                              <w:t>O</w:t>
                            </w:r>
                            <w:r>
                              <w:rPr>
                                <w:b/>
                                <w:bCs/>
                                <w:color w:val="D5B788"/>
                                <w:spacing w:val="74"/>
                                <w:kern w:val="3"/>
                                <w:sz w:val="28"/>
                                <w:szCs w:val="28"/>
                              </w:rPr>
                              <w:t xml:space="preserve"> </w:t>
                            </w:r>
                            <w:r>
                              <w:rPr>
                                <w:b/>
                                <w:bCs/>
                                <w:color w:val="D5B788"/>
                                <w:spacing w:val="68"/>
                                <w:kern w:val="3"/>
                                <w:sz w:val="28"/>
                                <w:szCs w:val="28"/>
                              </w:rPr>
                              <w:t>2</w:t>
                            </w:r>
                            <w:r>
                              <w:rPr>
                                <w:b/>
                                <w:bCs/>
                                <w:color w:val="D5B788"/>
                                <w:spacing w:val="28"/>
                                <w:kern w:val="3"/>
                                <w:sz w:val="28"/>
                                <w:szCs w:val="28"/>
                              </w:rPr>
                              <w:t>0</w:t>
                            </w:r>
                            <w:r>
                              <w:rPr>
                                <w:b/>
                                <w:bCs/>
                                <w:color w:val="D5B788"/>
                                <w:spacing w:val="-23"/>
                                <w:kern w:val="3"/>
                                <w:sz w:val="28"/>
                                <w:szCs w:val="28"/>
                              </w:rPr>
                              <w:t xml:space="preserve"> </w:t>
                            </w:r>
                            <w:r>
                              <w:rPr>
                                <w:b/>
                                <w:bCs/>
                                <w:color w:val="D5B788"/>
                                <w:spacing w:val="68"/>
                                <w:kern w:val="3"/>
                                <w:sz w:val="28"/>
                                <w:szCs w:val="28"/>
                              </w:rPr>
                              <w:t>25</w:t>
                            </w:r>
                            <w:r>
                              <w:rPr>
                                <w:b/>
                                <w:bCs/>
                                <w:color w:val="D5B788"/>
                                <w:spacing w:val="-21"/>
                                <w:kern w:val="3"/>
                                <w:sz w:val="28"/>
                                <w:szCs w:val="28"/>
                              </w:rPr>
                              <w:t xml:space="preserve"> </w:t>
                            </w:r>
                          </w:p>
                        </w:txbxContent>
                      </wps:txbx>
                      <wps:bodyPr vert="horz" wrap="square" lIns="0" tIns="12701" rIns="0" bIns="0" anchor="t" anchorCtr="0" compatLnSpc="0">
                        <a:noAutofit/>
                      </wps:bodyPr>
                    </wps:wsp>
                  </a:graphicData>
                </a:graphic>
              </wp:anchor>
            </w:drawing>
          </mc:Choice>
          <mc:Fallback>
            <w:pict>
              <v:shape id="_x0000_s1034" type="#_x0000_t202" style="position:absolute;margin-left:154.55pt;margin-top:63.55pt;width:95.6pt;height:24.3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XzwEAAIsDAAAOAAAAZHJzL2Uyb0RvYy54bWysU9uO0zAQfUfiHyy/01xgyypqugKqRUgr&#10;QCp8gOPYjZHtMbbbpHw9Y6fpot23FS/OeG4+58xkczcZTU7CBwW2pdWqpERYDr2yh5b+/HH/5paS&#10;EJntmQYrWnoWgd5tX7/ajK4RNQyge+EJNrGhGV1LhxhdUxSBD8KwsAInLAYleMMiXv2h6D0bsbvR&#10;RV2W62IE3zsPXISA3t0cpNvcX0rB4zcpg4hEtxSxxXz6fHbpLLYb1hw8c4PiFxjsBSgMUxYfvbba&#10;scjI0atnrYziHgLIuOJgCpBScZE5IJuqfMJmPzAnMhcUJ7irTOH/teVfT989UX1L6xtKLDM4I+h+&#10;oW7kJokzutBgzt5hVpw+woRDXvwBnYnzJL1JX2RDMI4yn6/SiikSnorq6l1V15RwjL0tb9dV1r54&#10;rHY+xM8CDElGSz1CyIqy00OIiARTl5T0mIV7pXUen7ZPHClvx8IwV6VwkXjMeJMVp27KpNcLlw76&#10;M1LETca3B/B/KBlxK1oafh+ZF5ToLxZlTyuUjap+X1aU+MXbLQazHMtbGimZzU9xXject2Pxwe4d&#10;T31myB+OEaTK9BKuGcUFLk48s75sZ1qpf+856/Ef2v4FAAD//wMAUEsDBBQABgAIAAAAIQCYbOQ/&#10;4QAAAAsBAAAPAAAAZHJzL2Rvd25yZXYueG1sTI/NTsMwEITvSLyDtUhcImq3pQRCnAoq9YL4EYUH&#10;cONtEmGvQ+y2gadnOcFtd2c0+025HL0TBxxiF0jDdKJAINXBdtRoeH9bX1yDiMmQNS4QavjCCMvq&#10;9KQ0hQ1HesXDJjWCQygWRkObUl9IGesWvYmT0COxtguDN4nXoZF2MEcO907OlLqS3nTEH1rT46rF&#10;+mOz9xqyz8vY7OJ91j2snp4fv1/QNetM6/Oz8e4WRMIx/ZnhF5/RoWKmbdiTjcJpmKubKVtZmOU8&#10;sGOh1BzEli/5IgdZlfJ/h+oHAAD//wMAUEsBAi0AFAAGAAgAAAAhALaDOJL+AAAA4QEAABMAAAAA&#10;AAAAAAAAAAAAAAAAAFtDb250ZW50X1R5cGVzXS54bWxQSwECLQAUAAYACAAAACEAOP0h/9YAAACU&#10;AQAACwAAAAAAAAAAAAAAAAAvAQAAX3JlbHMvLnJlbHNQSwECLQAUAAYACAAAACEAFGFf188BAACL&#10;AwAADgAAAAAAAAAAAAAAAAAuAgAAZHJzL2Uyb0RvYy54bWxQSwECLQAUAAYACAAAACEAmGzkP+EA&#10;AAALAQAADwAAAAAAAAAAAAAAAAApBAAAZHJzL2Rvd25yZXYueG1sUEsFBgAAAAAEAAQA8wAAADcF&#10;AAAAAA==&#10;" filled="f" stroked="f">
                <v:textbox inset="0,.35281mm,0,0">
                  <w:txbxContent>
                    <w:p w:rsidR="00184CAB" w:rsidRDefault="002B1930">
                      <w:pPr>
                        <w:spacing w:before="20"/>
                        <w:ind w:left="14"/>
                      </w:pPr>
                      <w:r>
                        <w:rPr>
                          <w:b/>
                          <w:bCs/>
                          <w:color w:val="D5B788"/>
                          <w:spacing w:val="74"/>
                          <w:kern w:val="3"/>
                          <w:sz w:val="28"/>
                          <w:szCs w:val="28"/>
                        </w:rPr>
                        <w:t>AÑ</w:t>
                      </w:r>
                      <w:r>
                        <w:rPr>
                          <w:b/>
                          <w:bCs/>
                          <w:color w:val="D5B788"/>
                          <w:spacing w:val="37"/>
                          <w:kern w:val="3"/>
                          <w:sz w:val="28"/>
                          <w:szCs w:val="28"/>
                        </w:rPr>
                        <w:t>O</w:t>
                      </w:r>
                      <w:r>
                        <w:rPr>
                          <w:b/>
                          <w:bCs/>
                          <w:color w:val="D5B788"/>
                          <w:spacing w:val="74"/>
                          <w:kern w:val="3"/>
                          <w:sz w:val="28"/>
                          <w:szCs w:val="28"/>
                        </w:rPr>
                        <w:t xml:space="preserve"> </w:t>
                      </w:r>
                      <w:r>
                        <w:rPr>
                          <w:b/>
                          <w:bCs/>
                          <w:color w:val="D5B788"/>
                          <w:spacing w:val="68"/>
                          <w:kern w:val="3"/>
                          <w:sz w:val="28"/>
                          <w:szCs w:val="28"/>
                        </w:rPr>
                        <w:t>2</w:t>
                      </w:r>
                      <w:r>
                        <w:rPr>
                          <w:b/>
                          <w:bCs/>
                          <w:color w:val="D5B788"/>
                          <w:spacing w:val="28"/>
                          <w:kern w:val="3"/>
                          <w:sz w:val="28"/>
                          <w:szCs w:val="28"/>
                        </w:rPr>
                        <w:t>0</w:t>
                      </w:r>
                      <w:r>
                        <w:rPr>
                          <w:b/>
                          <w:bCs/>
                          <w:color w:val="D5B788"/>
                          <w:spacing w:val="-23"/>
                          <w:kern w:val="3"/>
                          <w:sz w:val="28"/>
                          <w:szCs w:val="28"/>
                        </w:rPr>
                        <w:t xml:space="preserve"> </w:t>
                      </w:r>
                      <w:r>
                        <w:rPr>
                          <w:b/>
                          <w:bCs/>
                          <w:color w:val="D5B788"/>
                          <w:spacing w:val="68"/>
                          <w:kern w:val="3"/>
                          <w:sz w:val="28"/>
                          <w:szCs w:val="28"/>
                        </w:rPr>
                        <w:t>25</w:t>
                      </w:r>
                      <w:r>
                        <w:rPr>
                          <w:b/>
                          <w:bCs/>
                          <w:color w:val="D5B788"/>
                          <w:spacing w:val="-21"/>
                          <w:kern w:val="3"/>
                          <w:sz w:val="28"/>
                          <w:szCs w:val="28"/>
                        </w:rPr>
                        <w:t xml:space="preserve"> </w:t>
                      </w:r>
                    </w:p>
                  </w:txbxContent>
                </v:textbox>
                <w10:wrap anchorx="margin"/>
              </v:shape>
            </w:pict>
          </mc:Fallback>
        </mc:AlternateContent>
      </w:r>
      <w:r>
        <w:rPr>
          <w:noProof/>
          <w:color w:val="4C4747"/>
        </w:rPr>
        <mc:AlternateContent>
          <mc:Choice Requires="wpg">
            <w:drawing>
              <wp:anchor distT="0" distB="0" distL="114300" distR="114300" simplePos="0" relativeHeight="251680768" behindDoc="0" locked="0" layoutInCell="1" allowOverlap="1">
                <wp:simplePos x="0" y="0"/>
                <wp:positionH relativeFrom="margin">
                  <wp:posOffset>239490</wp:posOffset>
                </wp:positionH>
                <wp:positionV relativeFrom="paragraph">
                  <wp:posOffset>3273515</wp:posOffset>
                </wp:positionV>
                <wp:extent cx="4754880" cy="438061"/>
                <wp:effectExtent l="0" t="0" r="0" b="0"/>
                <wp:wrapNone/>
                <wp:docPr id="26" name="Group 33"/>
                <wp:cNvGraphicFramePr/>
                <a:graphic xmlns:a="http://schemas.openxmlformats.org/drawingml/2006/main">
                  <a:graphicData uri="http://schemas.microsoft.com/office/word/2010/wordprocessingGroup">
                    <wpg:wgp>
                      <wpg:cNvGrpSpPr/>
                      <wpg:grpSpPr>
                        <a:xfrm>
                          <a:off x="0" y="0"/>
                          <a:ext cx="4754880" cy="438061"/>
                          <a:chOff x="0" y="0"/>
                          <a:chExt cx="4754880" cy="438061"/>
                        </a:xfrm>
                      </wpg:grpSpPr>
                      <wps:wsp>
                        <wps:cNvPr id="27" name="object 10"/>
                        <wps:cNvSpPr/>
                        <wps:spPr>
                          <a:xfrm>
                            <a:off x="1907786" y="0"/>
                            <a:ext cx="827513" cy="21909"/>
                          </a:xfrm>
                          <a:custGeom>
                            <a:avLst/>
                            <a:gdLst>
                              <a:gd name="f0" fmla="val w"/>
                              <a:gd name="f1" fmla="val h"/>
                              <a:gd name="f2" fmla="val 0"/>
                              <a:gd name="f3" fmla="val 472439"/>
                              <a:gd name="f4" fmla="val 22859"/>
                              <a:gd name="f5" fmla="val 22364"/>
                              <a:gd name="f6" fmla="*/ f0 1 472439"/>
                              <a:gd name="f7" fmla="*/ f1 1 22859"/>
                              <a:gd name="f8" fmla="+- f4 0 f2"/>
                              <a:gd name="f9" fmla="+- f3 0 f2"/>
                              <a:gd name="f10" fmla="*/ f9 1 472439"/>
                              <a:gd name="f11" fmla="*/ f8 1 22859"/>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472439" h="22859">
                                <a:moveTo>
                                  <a:pt x="f3" y="f2"/>
                                </a:moveTo>
                                <a:lnTo>
                                  <a:pt x="f2" y="f2"/>
                                </a:lnTo>
                                <a:lnTo>
                                  <a:pt x="f2" y="f5"/>
                                </a:lnTo>
                                <a:lnTo>
                                  <a:pt x="f3" y="f5"/>
                                </a:lnTo>
                                <a:lnTo>
                                  <a:pt x="f3" y="f2"/>
                                </a:lnTo>
                                <a:close/>
                              </a:path>
                            </a:pathLst>
                          </a:custGeom>
                          <a:solidFill>
                            <a:srgbClr val="D5B788"/>
                          </a:solidFill>
                          <a:ln cap="flat">
                            <a:noFill/>
                            <a:prstDash val="solid"/>
                          </a:ln>
                        </wps:spPr>
                        <wps:bodyPr lIns="0" tIns="0" rIns="0" bIns="0"/>
                      </wps:wsp>
                      <wps:wsp>
                        <wps:cNvPr id="28" name="Text Box 2"/>
                        <wps:cNvSpPr txBox="1"/>
                        <wps:spPr>
                          <a:xfrm>
                            <a:off x="0" y="134325"/>
                            <a:ext cx="4754880" cy="303736"/>
                          </a:xfrm>
                          <a:prstGeom prst="rect">
                            <a:avLst/>
                          </a:prstGeom>
                        </wps:spPr>
                        <wps:txbx>
                          <w:txbxContent>
                            <w:p w:rsidR="00184CAB" w:rsidRDefault="002B1930">
                              <w:pPr>
                                <w:jc w:val="center"/>
                                <w:rPr>
                                  <w:color w:val="D8B888"/>
                                  <w:lang w:val="es-DO"/>
                                </w:rPr>
                              </w:pPr>
                              <w:r>
                                <w:rPr>
                                  <w:color w:val="D8B888"/>
                                  <w:lang w:val="es-DO"/>
                                </w:rPr>
                                <w:t>MINISTERIO ADMINISTRATIVO DE LA PRESIDENCIA</w:t>
                              </w:r>
                            </w:p>
                          </w:txbxContent>
                        </wps:txbx>
                        <wps:bodyPr vert="horz" wrap="square" lIns="91440" tIns="45720" rIns="91440" bIns="45720" anchor="t" anchorCtr="0" compatLnSpc="0">
                          <a:noAutofit/>
                        </wps:bodyPr>
                      </wps:wsp>
                    </wpg:wgp>
                  </a:graphicData>
                </a:graphic>
              </wp:anchor>
            </w:drawing>
          </mc:Choice>
          <mc:Fallback>
            <w:pict>
              <v:group id="Group 33" o:spid="_x0000_s1035" style="position:absolute;margin-left:18.85pt;margin-top:257.75pt;width:374.4pt;height:34.5pt;z-index:251680768;mso-position-horizontal-relative:margin" coordsize="47548,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zQSGwQAADsLAAAOAAAAZHJzL2Uyb0RvYy54bWy8VtuOpDYQfY+Uf7B4TLQDBrqhW8OssjvZ&#10;UaRVstJMPsBtMBABJran6cnXp8qAm76tVhspL2Co47qcKlf5/v2hbci+ULqWXebRu8AjRcdlXndl&#10;5v358uld6hFtWJezRnZF5r0V2nv/8OMP90O/LUJZySYvFAElnd4OfeZVxvRb39e8Klqm72RfdCAU&#10;UrXMwKcq/VyxAbS3jR8GwdofpMp7JXmhNfx9HIXeg9UvRMHNH0LowpAm88A3Y5/KPnf49B/u2bZU&#10;rK9qPrnBvsOLltUdGHWqHplh5FXVF6ramiuppTB3XLa+FKLmhY0BoqHBWTRPSr72NpZyO5S9owmo&#10;PePpu9Xy3/dfFKnzzAvXHulYCzmyZkkUITlDX24B86T65/6Lmn6U4xfGexCqxTdEQg6W1jdHa3Ew&#10;hMPPOFnFaQrsc5DFURqs6cg7ryA5F9t49evXN/qzWR+9c84MPZSQPrKk/xtLzxXrC0u+RgZmlpKZ&#10;Jbn7C6qLUFtDaBtAjiO91UDXFYLoJkiSFKi+pCkNkxWNRpZCwG2QJBcr2/JXbZ4Kaelm+8/ajLWb&#10;w8pWXj6lTwDTom2gjPesIcNIdemkdCmtzqXhUjofD7cXvDtqjpMwjqyTUPYOEi8hYZiuLhCrU0S0&#10;js+dAHpGMz/5RASEkuumIBVHGAXYVXPQgEbUz++IiElARHhub7OERFchkOaFsc1Nn6ijF31PbzlF&#10;Hc8ICwEmxkJaUonFcAwwugFyhB81TcfrmBTqOEdQbDVdgk5opyERa3IJOiU9ug5ynKM5uiIiuaLJ&#10;sW5BsQNByZdzUbNqrnN+6KZChxVhOF4inse26fZSYxepuD1WBtMLSgCH58LBgyVWWeie38Be17y7&#10;iQ6Xupsrukd/pggUNg4YSIIC5TCSBAUuYCgJCuzCWBI0HUu0ZwYJwDBwSQZspvbUkQo6tj1dKGzl&#10;vniRFmaQCQGVAw1mrHQwfZQ33QkOynCJm6Xzux+1TajVFP4snd8TarL5bSh7BsGzWQdvpC7GvGGk&#10;NoEueiRv0fy0bOr8U900GLBW5e5jowj0usx7XH1IUssdbDmBNR3hDO4XomHG5qqTqMG20F5p88h0&#10;Neqw21yk4Aj29rGb42on8zeYBc1vHcwXvFHMCzUvdtMCo5lmEs7R/2M4wbkbR/gLzt4P8kAsz2h8&#10;mk7EHOA33NQwQvx/Y05BZFAYNIqj0CaUba9O8yiIkmg9sTXfBZBPHFQEF5mH1W4pn4cW5GaGXNBr&#10;DruDvY4ks4MT4XDHBF2VVP94ZID7Wubpv1+ZKrwpFRsaxy4d8SoJ4WNMySQZ0zJJWMdBVeYZD1oJ&#10;Lj8a+IItcCuDsvvcPfccv7HCOvnLq5GixnlrEzp6tMyuvYjADQ3+nVwBl98Wf7zzPvwLAAD//wMA&#10;UEsDBBQABgAIAAAAIQAIk7Ka4AAAAAoBAAAPAAAAZHJzL2Rvd25yZXYueG1sTI9NS8NAEIbvgv9h&#10;GcGb3cSaJsRsSinqqQi2gnjbZqdJaHY2ZLdJ+u8dT3qbj4d3ninWs+3EiINvHSmIFxEIpMqZlmoF&#10;n4fXhwyED5qM7hyhgit6WJe3N4XOjZvoA8d9qAWHkM+1giaEPpfSVw1a7ReuR+LdyQ1WB26HWppB&#10;TxxuO/kYRStpdUt8odE9bhuszvuLVfA26WmzjF/G3fm0vX4fkvevXYxK3d/Nm2cQAefwB8OvPqtD&#10;yU5HdyHjRadgmaZMKkjiJAHBQJqtuDjyJHtKQJaF/P9C+QMAAP//AwBQSwECLQAUAAYACAAAACEA&#10;toM4kv4AAADhAQAAEwAAAAAAAAAAAAAAAAAAAAAAW0NvbnRlbnRfVHlwZXNdLnhtbFBLAQItABQA&#10;BgAIAAAAIQA4/SH/1gAAAJQBAAALAAAAAAAAAAAAAAAAAC8BAABfcmVscy8ucmVsc1BLAQItABQA&#10;BgAIAAAAIQDVhzQSGwQAADsLAAAOAAAAAAAAAAAAAAAAAC4CAABkcnMvZTJvRG9jLnhtbFBLAQIt&#10;ABQABgAIAAAAIQAIk7Ka4AAAAAoBAAAPAAAAAAAAAAAAAAAAAHUGAABkcnMvZG93bnJldi54bWxQ&#10;SwUGAAAAAAQABADzAAAAggcAAAAA&#10;">
                <v:shape id="object 10" o:spid="_x0000_s1036" style="position:absolute;left:19077;width:8275;height:219;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qZWwwAAANsAAAAPAAAAZHJzL2Rvd25yZXYueG1sRI9Bi8Iw&#10;FITvwv6H8IS9iKZV0KUaZVEW9LhWhL09m2cbbF5KE7X+e7MgeBxm5htmsepsLW7UeuNYQTpKQBAX&#10;ThsuFRzyn+EXCB+QNdaOScGDPKyWH70FZtrd+Zdu+1CKCGGfoYIqhCaT0hcVWfQj1xBH7+xaiyHK&#10;tpS6xXuE21qOk2QqLRqOCxU2tK6ouOyvVsHGTM0s3+XpQP8Vk6NpHskpXSv12e++5yACdeEdfrW3&#10;WsF4Bv9f4g+QyycAAAD//wMAUEsBAi0AFAAGAAgAAAAhANvh9svuAAAAhQEAABMAAAAAAAAAAAAA&#10;AAAAAAAAAFtDb250ZW50X1R5cGVzXS54bWxQSwECLQAUAAYACAAAACEAWvQsW78AAAAVAQAACwAA&#10;AAAAAAAAAAAAAAAfAQAAX3JlbHMvLnJlbHNQSwECLQAUAAYACAAAACEA56qmVsMAAADbAAAADwAA&#10;AAAAAAAAAAAAAAAHAgAAZHJzL2Rvd25yZXYueG1sUEsFBgAAAAADAAMAtwAAAPcCAAAAAA==&#10;" path="m472439,l,,,22364r472439,l472439,xe" fillcolor="#d5b788" stroked="f">
                  <v:path arrowok="t" o:connecttype="custom" o:connectlocs="413757,0;827513,10955;413757,21909;0,10955" o:connectangles="270,0,90,180" textboxrect="0,0,472439,22859"/>
                </v:shape>
                <v:shape id="Text Box 2" o:spid="_x0000_s1037" type="#_x0000_t202" style="position:absolute;top:1343;width:47548;height:3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rsidR="00184CAB" w:rsidRDefault="002B1930">
                        <w:pPr>
                          <w:jc w:val="center"/>
                          <w:rPr>
                            <w:color w:val="D8B888"/>
                            <w:lang w:val="es-DO"/>
                          </w:rPr>
                        </w:pPr>
                        <w:r>
                          <w:rPr>
                            <w:color w:val="D8B888"/>
                            <w:lang w:val="es-DO"/>
                          </w:rPr>
                          <w:t>MINISTERIO ADMINISTRATIVO DE LA PRESIDENCIA</w:t>
                        </w:r>
                      </w:p>
                    </w:txbxContent>
                  </v:textbox>
                </v:shape>
                <w10:wrap anchorx="margin"/>
              </v:group>
            </w:pict>
          </mc:Fallback>
        </mc:AlternateContent>
      </w:r>
      <w:r>
        <w:rPr>
          <w:noProof/>
          <w:color w:val="4C4747"/>
        </w:rPr>
        <mc:AlternateContent>
          <mc:Choice Requires="wpg">
            <w:drawing>
              <wp:anchor distT="0" distB="0" distL="114300" distR="114300" simplePos="0" relativeHeight="251679744" behindDoc="0" locked="0" layoutInCell="1" allowOverlap="1">
                <wp:simplePos x="0" y="0"/>
                <wp:positionH relativeFrom="margin">
                  <wp:align>center</wp:align>
                </wp:positionH>
                <wp:positionV relativeFrom="paragraph">
                  <wp:posOffset>2394045</wp:posOffset>
                </wp:positionV>
                <wp:extent cx="2059942" cy="749296"/>
                <wp:effectExtent l="0" t="0" r="0" b="0"/>
                <wp:wrapNone/>
                <wp:docPr id="29" name="Group 26"/>
                <wp:cNvGraphicFramePr/>
                <a:graphic xmlns:a="http://schemas.openxmlformats.org/drawingml/2006/main">
                  <a:graphicData uri="http://schemas.microsoft.com/office/word/2010/wordprocessingGroup">
                    <wpg:wgp>
                      <wpg:cNvGrpSpPr/>
                      <wpg:grpSpPr>
                        <a:xfrm>
                          <a:off x="0" y="0"/>
                          <a:ext cx="2059942" cy="749296"/>
                          <a:chOff x="0" y="0"/>
                          <a:chExt cx="2059942" cy="749296"/>
                        </a:xfrm>
                      </wpg:grpSpPr>
                      <pic:pic xmlns:pic="http://schemas.openxmlformats.org/drawingml/2006/picture">
                        <pic:nvPicPr>
                          <pic:cNvPr id="30" name="object 8" descr="A picture containing clipart&#10;&#10;Description automatically generated"/>
                          <pic:cNvPicPr>
                            <a:picLocks noChangeAspect="1"/>
                          </pic:cNvPicPr>
                        </pic:nvPicPr>
                        <pic:blipFill>
                          <a:blip r:embed="rId8"/>
                          <a:stretch>
                            <a:fillRect/>
                          </a:stretch>
                        </pic:blipFill>
                        <pic:spPr>
                          <a:xfrm>
                            <a:off x="805531" y="0"/>
                            <a:ext cx="474975" cy="440704"/>
                          </a:xfrm>
                          <a:prstGeom prst="rect">
                            <a:avLst/>
                          </a:prstGeom>
                          <a:noFill/>
                          <a:ln>
                            <a:noFill/>
                            <a:prstDash/>
                          </a:ln>
                        </pic:spPr>
                      </pic:pic>
                      <pic:pic xmlns:pic="http://schemas.openxmlformats.org/drawingml/2006/picture">
                        <pic:nvPicPr>
                          <pic:cNvPr id="31" name="object 9"/>
                          <pic:cNvPicPr>
                            <a:picLocks noChangeAspect="1"/>
                          </pic:cNvPicPr>
                        </pic:nvPicPr>
                        <pic:blipFill>
                          <a:blip r:embed="rId9"/>
                          <a:stretch>
                            <a:fillRect/>
                          </a:stretch>
                        </pic:blipFill>
                        <pic:spPr>
                          <a:xfrm>
                            <a:off x="0" y="529264"/>
                            <a:ext cx="2059942" cy="220032"/>
                          </a:xfrm>
                          <a:prstGeom prst="rect">
                            <a:avLst/>
                          </a:prstGeom>
                          <a:noFill/>
                          <a:ln>
                            <a:noFill/>
                            <a:prstDash/>
                          </a:ln>
                        </pic:spPr>
                      </pic:pic>
                    </wpg:wgp>
                  </a:graphicData>
                </a:graphic>
              </wp:anchor>
            </w:drawing>
          </mc:Choice>
          <mc:Fallback>
            <w:pict>
              <v:group w14:anchorId="1E6FC5F7" id="Group 26" o:spid="_x0000_s1026" style="position:absolute;margin-left:0;margin-top:188.5pt;width:162.2pt;height:59pt;z-index:251679744;mso-position-horizontal:center;mso-position-horizontal-relative:margin" coordsize="20599,7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bNsAwgIAABMIAAAOAAAAZHJzL2Uyb0RvYy54bWzUVdtu2zAMfR+wfxA0&#10;YG+tXTdJa69JUSxrMaDYgl0+gJFlW6t1gaTc/r6U7KZpUmxDMWDoQxRdaPLw8FC6uFzLliy5dUKr&#10;MT05TinhiulSqHpMf/64PjqnxHlQJbRa8THdcEcvJ2/fXKxMwTPd6LbklqAT5YqVGdPGe1MkiWMN&#10;l+COteEKDyttJXhc2jopLazQu2yTLE1HyUrb0ljNuHO4O+0O6ST6ryrO/NeqctyTdkwRm4+jjeM8&#10;jMnkAoragmkE62HAC1BIEAqDbl1NwQNZWHHgSgpmtdOVP2ZaJrqqBOMxB8zmJN3L5sbqhYm51MWq&#10;NluakNo9nl7sln1ZziwR5ZhmOSUKJNYohiXZKJCzMnWBNjfWfDcz22/U3Srku66sDP+YCVlHWjdb&#10;WvnaE4abWTrM80FGCcOzs0Ge5dE1FKzB4hx8xppPv/8weQibBHRbMEawAn89Szg7YOnPasKv/MJy&#10;2juRf+VDgr1bmCMsqAEv5qIVfhPFiaULoNRyJtjMdotHwk9Rjx3hev4LhUqwVUruGKrzivRACNPK&#10;o7ZQ2oS1woD179+trz7EYRqMhfHYegQWXmOLCAZtuyE1V9yC52UoYYAQonYYIHB0q9mdI0p/bEDV&#10;/MoZDI/dG6yTp+Zx+SSBOcK4Fm0bqh7mPVWIek+Tz7Dd6X2q2UJy5bsGtrxF3Fq5RhhHiS24nHPU&#10;o/1cRkBQOG+5Z00IWGHgbwg2AN05iCgfgYUUHMr1GYGep8Ph6QklhyodoDLPhp1IB4P0LB1EOh60&#10;hrxZ52+4liRMEB/CwAJDActb1wN6MAnbSgeWECgUrdrbCHZTcE2XRjiOGXSY4xRT6CqHk9ejaCT2&#10;iaLz162/LMDfkdk/0B/2PEpvmOXZKOoLimdvyQzfttMYfnvZ/Q8BxgsWX57Ybf0rGZ623TXOd9/y&#10;yT0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Ch9zJv4AAAAAgB&#10;AAAPAAAAZHJzL2Rvd25yZXYueG1sTI9BS8NAEIXvgv9hGcGb3aRJrcZsSinqqRRsBfE2zU6T0Oxs&#10;yG6T9N+7nvT2hje89718NZlWDNS7xrKCeBaBIC6tbrhS8Hl4e3gC4TyyxtYyKbiSg1Vxe5Njpu3I&#10;HzTsfSVCCLsMFdTed5mUrqzJoJvZjjh4J9sb9OHsK6l7HEO4aeU8ih6lwYZDQ40dbWoqz/uLUfA+&#10;4rhO4tdhez5trt+Hxe5rG5NS93fT+gWEp8n/PcMvfkCHIjAd7YW1E62CMMQrSJbLIIKdzNMUxFFB&#10;+ryIQBa5/D+g+AEAAP//AwBQSwMECgAAAAAAAAAhAFpUzmqOFAAAjhQAABQAAABkcnMvbWVkaWEv&#10;aW1hZ2UxLnBuZ4lQTkcNChoKAAAADUlIRFIAAABkAAAAXQgGAAAAU5fDMQAAAAZiS0dEAP8A/wD/&#10;oL2nkwAAAAlwSFlzAAAOxAAADsQBlSsOGwAAFC5JREFUeJztXWl0HNWVfq+q933Rvlte5X0DzBZj&#10;A86AWRxjMiGchMlkJkMgDCcQZoYMM5NkDgxnTgIGEhIgw4ANGAPGgB0bsMRmIxtrsbGNZdmSpW5t&#10;van37lq6qt78kGSqX1e1qrVYrUHfv7p1677b9dXb730NEUJguiPuP/9XpFoX1NvKjk61L+OFaqod&#10;mAioDdYugtRGp9qPiQAx1Q6MBwghAgnChY8KCbwaIQSn0qfxYlrXEI6OVUS97ZtVGqOXUKkTdMy/&#10;xFG96hlSNX1rC/z/0IcwicH5BKmNqnWmgan2ZbyYtjUECYIq5jt3KxXpvywZ6r0aQiKlt1d8brCW&#10;HTEVzdkDIRSm2sexYFrWEDYZmt13Yu92Ktx/udR9g6Pq4/IlG+9S6y09F9u38WLaEZIM961xN71x&#10;QOBZUzY9QqWN1Fx259U6c+HJi+XbRGBajbIEgdP2n9z/4mhkAACAwDHW/pP7XhSPwqYDphUhg+e/&#10;+Gc2MVinVJ+OelYH3S33TaZPE41pRUjMd27TGJ65dTJ8mSxMG0IEgdPSMf/iXJ+jI96VCKFp8zun&#10;TfvKM8kic9Hcd8f0bIpyqDSGwET7NBnI+1FWPNB9HZsMzpsIWzpz8XGDvbxxImxNFvK+hkQ9Z26P&#10;ec9unghb9qoVf8p3QvK+hogh8Cl9YtC9HgAA1HqLW2cuPJmiopV0zL8UAAB0luJWtc40QEU8qzgm&#10;UQIgQCZnzQFIkKmp9Vw58r6GiEFHfct7Wt/aCwAApsLZf6lateWmcN/JH/k7Dv0aAACKF6z/ubPm&#10;kq2e0wf+QEX6LwMAgDlX/2SuxmjvmEq/c8G0GX18UzBDSJ5hhpA8wwwheYYZQvIMM4TkGWYIyTPM&#10;EJJnmCEkzzCtZuoao72jcM6VvwIAAK1paGvWWDDrAwCGYrGMjqpPAADAXr3y96bkrP0AQKTSGj1T&#10;5e9YkPdrWclQ75VsMlw7Eba0poLTemtJy0TYmizkfQ0J9Rz/h6jnzHcnwpajetXT+U5I3teQbxry&#10;olNHCBEICeSUlS8IqnzZ5p1SJxBCMBnuvyxFR6sgJPhsehNRltw9SBBciopUJ0N9V0x1sPaUEIIQ&#10;gvFA93WBzsZHNHprl0Zv7ZbTHSasWtpOZq2Si8NKUeHaRLDnarlyNAZbl8ZoPxvobHwkHujaMFXE&#10;XHRCkqG+y11Nrzckg671BbOveFSlNfqk9DgmUdR/6v3nhRTtkCKMTYZrA52Nj+Byf2fjv0mNyjQG&#10;e2eKCtf2ndi7jWMSxVJlqjSGQMHsKx5NBnvWuo7u+CQZ6r1qDD9xXLhohNBR73J3y1t7uo++9pmt&#10;fPG2onlrfykVEI2QQAbdx+7uOPhCu95WdsRUWLsf1+GYRLGreeeHHJMozbwXLxm+l/HSbeVLXlZp&#10;jZ6Ogy+0B93HfipVwyCEQtG8b/2rrWLJi91Hd3zsan5jPxXxrBrPb88Fk04IQggGzh/5l/ONL7Um&#10;Bl3XVa7YvMlWvuQlKV0q4lnZfeSVRs/pD/9oKqx931a+5H9xHZ5jLO6WN/elkuHZcmWmkuHZ7pY3&#10;9/EcY8HvFc1b+7DOUtLiOf3hs12Htx+hIgOrpWzYype8XLly863JYM/arsMvN/k7Gx+5GB3/pBbA&#10;c4y59/g7b/nOfvpfkFDRVatuu8lcNPsvGXopxuo5Xf901+FtTVRk4FJSY/CX1F3/Mwhh2phcEDht&#10;77Hdb9NR78rRyqaj3pU9rbt3CwKnFcshJPjypTfeRai0YTrqWd11eNvRgdMHfs+naBtuw1w4e1/V&#10;qi0bIaGi/ecO/mfvsd1v8ynGOpZ3oRSTRgiTGJzfdXj7FzHv2c0Qkmzlys23Gp01Dbheio6Xdh3e&#10;dnQoBnfoCyxZcO39Ko1+UKyHkED2n9i7PTHoulapD8mga33fl3tfwZsmtc7SW7pww73DlzDkbr23&#10;6/C2oyk6VobbMDqrP65addvNkCCZmO/crV2Htx1l4oGFSn3IFZNCSNR7dlNX47am4cBoVL7s5u+b&#10;CmYdwPU4JlHkanq9QRwIp7eVN1pK617HdT1tDVujnvbbc/Ul5m3f4mlreAqXW0rrduhtX8doscnQ&#10;XFfTzgapvsforGkoX3bL9wAAiE0G53Ud3v5F1NM+IbFiOCaUEIQE0jdUtXcLPGsGAIDi+esespTM&#10;34XrcizldDXtrMej2YsXrH8Ab6oSg93XhtytPxurXyF3672Jwe60mgUhRMUL1j8glrGJwQWuptfr&#10;OTZZgNuwFM97p3jB+gcBAEDgWVPv8Xd2+c5++thET2gnjBA+Rdt7WnbtEQ9F7ZXLn3PUXPKElK67&#10;eecBJu5fIpZbSut2GGxlX4hlSODVUl94rvC01T+NBF4tlhlsZV9YShe+JpYx8cBid9POAzxLOXAb&#10;jurVW+2VK/44ch04f+Rhd/Nb+ziWco7XvxFMCCECxxpdTTsPxAPnbxiRGZ019VIdM59irK7mNz6g&#10;o94VYjkkSKZo3tqHcdtB97F7mHhg0Xh9ZOKDC4PuY/fg8qJ53/olJEhGLKNjvuWu5jc+wDt6CCEq&#10;qbvuH43OWR+OyBKDXRvczTsPCNzoSURKMG5CEBLI3i/37KCjX4/VSbU+UL504w8gQXBiXZ5jzO6W&#10;N/fRkYFLcDvOmkue0OitLrGMYxJFI1GJEwF/x6Ffc0yiSCzT6K0uZ82lv8N16ahntbvlzf08x5jF&#10;ckgQXPnSG+8i1frA17reFb1fvvf6RGRrjYsQhBD0tn30ZNzfcbNYXrb4hr9TaU1pG0MCxxp7Wnbt&#10;pcJ9V+B2SI3B76xd8zgu95377FGBm7hhpsAxVt+5zx7D5c7ayx4nNYaMFQMq3L+mp+WtfQLHGsVy&#10;ldbkKVtyw4/Fsri/c6PnTP1T411yGRchQVfz/XjKmK1i2Qvm4vQ8DoQQ7Dux95VkqOdbUnYcVSue&#10;xZP9qcjA6nDviR9L6Y8H4d4Tf0thNZRUaWOOqq/7BjGSod6rek/seQ1/0eaiue/ZK5c/J5aF3Mfu&#10;CXY3/3w8/o2ZkKj37CbvmY/SOmyV1ugpXrDuF7huzHv2O7LpaBDytoplz4tFCCHC01b/DABgMhb4&#10;oKet/ml81m2rWPY8gFByxTnu67gl5m2/DZcXzb/mIZXW1C+Weds/+u14hsRjIoSKDFzS9+We1wD2&#10;wornr/sF/qXzHGP2tDU8LWfLXDRvt1pnTvtRcX/nRircv2YsvikBFe5fE/d3bhTL1Dpzv7lo3m65&#10;ZzxtDU/hSzGkShsrnp/xAcK+E3tfTYaHou9zRc6EsFSkxt2yaw8SOL1YbrBXHMKHkAAA4Gv/5L85&#10;JlYuZ89RteJZXBbuO/mjXP3KFVJlOKpX/kFOn2PiZd4zH/8Wl1tK61432Cs/E8uQwOl6Wne9xybD&#10;s3L1KydCkMCre1p3vcuzGbNZVFJ33X34EDfqPbsp1HP8bjl7GqOzzTAcKTICjk0WxHwdN+Xi11gQ&#10;83XchE8ADfbKTzVGZ5vcM+HeL/8eb44ghKhk4XX3AQDSh/dssqinddd7+NxnNORESKjn+N3McLaS&#10;GJbShTt0luLjYhnHUs6Brz54DtcVw1G14lmcxEj/6TsBEnL6EWMCEtSR/tN3ikUQQuSokq8lAAAw&#10;cPrDP+FE6sxFJ6xli17FdZl4YLHU3CcbFBPCsZTTJzUngARXNPeqf8fF3rb6p3g2WZShf+ExFWUt&#10;X7wNl0f6Tv6NUp/GC6myrOWLtkNSnZR7hmeThZ62+ow+sXDOVf8BYPq8CwAA/B2HfsWxyUKlPikm&#10;xN9x8DdCirbjcnvF0j9rDPZOsSwRdK+NDKR/fTiMzuoGfABAR33L6JhvuVKfxgs65ltOR33LxDJS&#10;pY0aHVUfZXsuOtB2R2LQtU4s0xhs5+0Vy17AdQWOsfnPHfyNUp8UEULH/EtCbom+ABJcQe3laRMt&#10;JAgqz+n6Z0azaSqofR+XhS9i7RCVmdG5S/mGw9NW/ww+My+YveYxAImMBNNQz5c/oWO+jKZeCqMS&#10;ghCCnraGrSN7FWLYyhZtx49ACvef+iG+aCgFU8GsD9LKEXj1aLVqMhDp/+pOJPAasQz3TQpMPLAI&#10;J1Ots/TaJJphABDhaWvYqmQWPyohMd+5Tcmga73UPUfNJU+mFSvw6kDn5xn9CQ6Nwd6BZ8bG/edv&#10;5HNoaycKfIoqiGFzEo3R3qExjJ65G+hsfAQn01G9equUbjLoXhfznv3OaDazEiLwnE5q7A0AAAZ7&#10;xUH8LKrIQNsdKUo6ZEcMY8GsjCYh5p/8oa4c4v7OG3GZqSAzuAJHio5WRfq/SqvVOnPhKYOj8lMp&#10;fW/7x78TeE6XzWZWQoKu5vtTlHSgs61i2Z/F1wghONh99MFs9kYgFUlCRQYuVfLsZECqbGNh5kcj&#10;hcHupgfwpshWvvR/pHRTVKQm2N2Uda1LlhCEEBGSGUMTpCZuKZ6XtgtIhfuulJqj4ICQZI329C9I&#10;4FgTEwvkfNLPRIGJBRbjK7pGe+WnEJLsqM/GA4uTod60ADxLyfxdBKmJS+kHe479NFv0iuwNKty/&#10;JkVHq6TumYvn7iZUmoRYFu479cPsrg9BZy1uwZ+lot6VUoOGiwdEUFFvWuwVodIkdNaSZiVPR/pP&#10;/SDtWVKdNBfPe1tKl6NjlVS4T/KsSACyEBIdaPue3D0rtmaFBF4T9bZvkXf5a2hNBadx2VQ2V9l8&#10;0Jrkl1HEiHrP3oZ37tbSuh1y+pEs71aSEIQEMiKTk0GodSGjszotnCce6NogNWmUglZirYga48ro&#10;RIKO9GcSkmVdSwwhRdvjga4NYpnRWd1AqnVBKf2op/12ueAISUKSQfc1EguIAAAAzIVz9uCn62Sr&#10;TTg0El8dnQ81JDyQ8VFI+SqHyEDbHeJrSJApU9Hc96R0eTZRnAy6r5G6J0kIblwMc9HsveJrgU/p&#10;Y74Oxecaao3OM+JrjomXyPVVFxMpOlrFMfESsQz3NRtivnO3CnzKIJaZC2szojRHIPeOMwhBAq+J&#10;ejJ3x4YABaOzpl4socL9lys5thUAACChotV6S1ogQz70HyOgIp60rV213uKChIpW8iziU0a8sx6K&#10;1JQ+YTvqac/odwCQICQe6L5e4JiMOFcAANBZS1pItS4kliWCPWuVOAwAABqjox1PzKHCeUQI1pdB&#10;SPAao6Nd6fP4uyDVupBOJqdR4Bgb3u8AIEFI1CPfHxjs5YdwWTLkVkyI1KiFlZl4TgVSVKQGlykd&#10;aQEAQFLi45R6ZyOQ6nslakgmaxeM29LPKxQETpvL3rfGYD+Hy3iFo7OLAT5FZ0QrSvksByrSfxm+&#10;NGKwVXwupx8f7M5eQ3iOMWfbVNJZSlrF13TEsxoJvFZOH4dUEr8g8RKmCjyX+XHkcvAAEngtHmKk&#10;t5Y2yZbHJgvxQLw0QrIlwUBSnVBjqWW0gqUSMVQSwWh5VUPYzI9DpTH4c7GBbz2odOYeUp2eWiFG&#10;KhlJa7LTCMl2YoLOVPAVnoKWa8wtKfHjpJqJqYJUDZHyORuY+GBa7giEEOksxcfk9NlkKK0SpBNC&#10;ydcQqUlSrokrpEoXFl8jhCDPZWYuTRX4FOXAV25JlTYspy8FqXeiNRWcktPH37niJktqwybXGkKo&#10;NDHxtcCzZoDQlB0YkAGEyJG8lhHgPo8GqXeiNclPMPF3jjdZigkRONaYbQAgBYJUp63y5lNzNQK8&#10;T5NbRpd9nk0W4Uv5al36ZFgMvJtQ3Ieo9dYu8bVUSvJogET6/kI+degjyPhIZOJ9swF/Nyqd/F8v&#10;4ZXgAiFI4NUpOiK7/arWWdzi6xQTz0iQHA0Qi8gQUplZSlMNfNUa/4iUIMXE0wnJMnROUZEacXTj&#10;BUJSdLRKtj2HBKfSGr1iETcGQgCRTshkpxiPBXitVbJriIOjYxXia1KtC0mFBw0BEeLF1QvHM3Es&#10;5UwGXeuARAoAhCSL53wwieBcZjioDSEAR051AwBAMDRSGb5GEA3LrGWLXhUPndlkuDYRdK0DACII&#10;AAJDYaUIgAvhpQjA4Xtg+J5IR2OwdeLnX9FR73KWiswCSOTPkG9Q3s8hGQIAGuwVh8RHeSCEiKjn&#10;zO0AQAQhEPuHhl8OAgAgCCACQ/eB1lR4SmOwnRf7Ffefv0FqMREAAAyOqk9ItTaSRkg28BxjYeLp&#10;2bKQIFl9lvG1hA1z5hidSOksxcfw+F6lYKlIDZ7GrNaaBtT69OZVKRBCkI75lgOUHgCnNTpP49vO&#10;2WwwMd8yhMUna43ONkI1+gBBUU5c3Ne5se/EnvRUA0hwC7/9kOKg6ESg+/re4+9kpEfXffufSIBF&#10;jiuF98xHT+CxTpbSuh0Vy275/ljsIcRruhpfasXllau2bDQXzt6n0Aw83/hSxodauWLzJryVkYKK&#10;TYTmoFECDKT7CwSZxOB8hU4CjolL5oiwicH5YIz/yilw6XOGYZklF7/EkFuX4+hYhWKbMv1wSpEN&#10;KMCv9j8+c8ZfHgFGveduBnlyvN03HhAKijr1of8tx0MgoUCQyrY3h21APA0uVxsZNgVejXeeEBKp&#10;8fzF0dB+Rvp6FiRUdC4Dj/HYUNSpx7ztm3uPv/smXkDdhgf1cs/giPs7N/a07tqTJoQEV7fhQV22&#10;8xazoe/E3u1Rz5m/FsusZYu2ly+9SVHQHg6B53Rn6p+I4/1A1ervbpA6PEcKSBBUZ+qfjOEjtcqV&#10;WySPpsKhqKlCQmaKGUK55c7hX/Kw4XGdfCBlU7Ic5RahVKecs02J36X0fc30HXmGGULyDDOE5BmU&#10;LZ2wlCMZSY8uIQgVZXRWf6y0ID5F25LYwTMEQTIGR/VHY106oWOBRfgKtUZv7dKaChSH7oiBEIKJ&#10;we7r8T7T4Kg4iCeoZrfhuhafZBrs5Z+Tat2ou49wsLv5PiFjSDuDqQBBqOiZmXqeYaYPyTMQ+PF2&#10;M5g6QIJk/g8RLOBqYkRDWQAAAABJRU5ErkJgglBLAwQKAAAAAAAAACEAIXt5YKYzAACmMwAAFAAA&#10;AGRycy9tZWRpYS9pbWFnZTIucG5niVBORw0KGgoAAAANSUhEUgAAAbAAAAAuCAYAAABJVUytAAAA&#10;BmJLR0QA/wD/AP+gvaeTAAAACXBIWXMAAA7EAAAOxAGVKw4bAAAgAElEQVR4nO2dd3Qc1fX435Sd&#10;ne29qK26LNuyLMtyb9gGgzGmhl5MTYCAqSkkAUJLSIcvkARCJxQTquk2NrjjIsm25Ka+knal7b1O&#10;eb8/ViOt5a2yZAO//ZyjczQzr9ydeTP3lfvuRSCEIMePF6+l7SK/tWN1yDMwK+J3TAEAogiKh+WF&#10;017WVix6ECMEznRlBBzGZd7Bo5eFPIMzowFnNSFStJNSXaNUN+kDsabsi1R5fdaO1fauXQ8kvoqw&#10;IqXhW1XZnD9jON+bKn/RjIsvxPki6+jr/QfWv0WFPCWpZCAl2oN5U8++dfT5nj1vfwNZmp8oD8YT&#10;OOUF016R6ie9n+g6Q4XlvY3/+1ysLvtSU7Hg0WR1B5x9i6xt3/6pYPr5VxICmTFZOggh6jG1rAk4&#10;jMtD3sEGOuLPIyXaA6RU3ygvnP4iKVEfSvUb02Fu/fKFiN9WE3+OR0p7+RJNi0CqbxKpS79CEITN&#10;tozREAJ5V8H01ddkIxvLUELj3ne+VhpmPivLn/JWNnlH4za1Xmfr2P573aQzfiXVV//vZMrK8f0H&#10;P90C5JgYGDoiHTy88VmP+dC1AlneHpG6ZKOyuOFpBEGYsM9a5+xtvi1g7zmrZM7Vi3C+yJKoDJah&#10;BNa2LU86jY1r+WJNi1BZuE2WP/W/0YCjOujqX+TuP3izvLD2JV31snswnO9LVAYdDWhDbvM8eWHt&#10;SyjGC4y+7hk4fHXA0XOWYdblZyVSYlx+CBkiUflhr7UOQoYQq0o3JLsXhFDemeh8yG2eQwgVHQJ5&#10;3u7R1yBkeaYDn7wVCTge1ZTPfyLBdTzkNs8Luc3zCJHqqCyv+t1EdbB0WBFym+dBhhYkk48KewvN&#10;LZ+/GnAYlwuVhm8k2sqPcEJkDXsH672DRy939TXfpq1a8mtlccP/pVMyyYj4bdOokK9IrCnlOhwI&#10;FfIanMamO5loQCeQF+zIm3r2raRE05qyjLCvUKKp+CRZGpwUm7MWDkI05DbPo3STPsg673HFQNTe&#10;9d0DVMhTYu/67gGJbtJ7CILkeug/YnIK7EcIhBDpa/rgo5BnYE5+zcobZQXTXh39Isvyp/7X3d9y&#10;A0YIbcnKMR387A2/reM8XfWye0Z/PCGEqKNnz33Wtq1PUGFfoWHmpStTfSy0lYt+h/PFg6PPq8vn&#10;P9a+5d89ju6992krFz48lt8rkOob86auuH0secWa0i91k5b+MtE1paH+2e5db+wmpbpmiab880Rp&#10;UJzwmls/f5kvVh1O9fFPBktHxT2739wOWZZnaLhshVhdujH+eqwj8vUzlqOb/wEZWqAun/fHbOvg&#10;4EvUrfk1K28Zfd5v7z5r4NBXz3ftfLW5ZM7VC4Xy/BMU+nAZIvXhsd7ricZv61wVDTiqddXL7rEc&#10;3fyPoLN3qUhVvPl0y5Vj4kBPtwA5xh+P+dC1QWfv0rypZ/9MXlj7SiLFIpDl7c2buuL2ZD16n6X9&#10;Ap/l2CW66mX3qkpmPTU6HYIgrLp0zl901UvvD9i7z/YOHLlyLLLihNCOoniYjvj1Y8k/kQhkefsQ&#10;FIsGHMblydJoyhc+wuOLB/qbP/yAoSKybOuwtm97bKgDcO5o5QUAABjO9xbUrloj0VV9YOvc+VA0&#10;4KrIto50iNWlG8sW3DCdR0r6zAc/fYOlo6LxruNU4Oje/QuRKjbTwJdoD9i7d//idMuUY2LJKbAf&#10;IbaOHQ8L5AU7ZXlT3hxrGdaO7Y+QUl2zoqju+VTplIb65/gS7QFb546HxlrXDxmUx3cXzrjoIiri&#10;zzcd/PQNCGHG7xQdDamcxsa1SkP9c6RUeyBVWv3kM9cCAMBEfZQxnO/Lr1l5UzToqnSZDt40EXVM&#10;JEG3eU7Q1b9IVTrrbwiCQFXJrL8F7N3nhH2p1+xy/LDJKbAfGQwVllMhd5lYU/bFWOf/WYYmI35b&#10;TWxhH2VSpUUQlJFoyj+LBpxVDB2RZFuXd/DYxZBliHTGIKcDCCECAETSpSMlmtb8mnNv9Ns6Vts7&#10;d/420/IjPksdABAVq9P/dh4pMZFSXVPYa6nPtPxsESoN32I8gT3sGZw1UXVMFM6ePffxxepW0dBa&#10;qCxv8jqcLzY7evbed7plyzFx5NbAfmSEfbZpAADAF59oteYw7lsb8dqmx5/jCWXdmvL5j8efi/jt&#10;UwGEGCnWtGRSJ1+iOQgAQCI+e41QUbArUZquna/vQxDkOGUIIcQgZPGi+osvPJm1Cp+1/YK2b55L&#10;aDyA8UhH+cKbpiXLCyGLswksEVk6Kh04tOGfkGV5Alne3nQyyPKq3w17BxpsHdsfIWX6xmRrZvGE&#10;h54FX5LZfSYlmoNuU+v1EEJ0rMYcqUAQBJJS7YGw1zIjWZqgs/eMZPcaQdFo5ZLbSsZbrnREg+4y&#10;72DbJfnTVt7EddoQFIsqi2c+Y23f9qi2ctFveaQke+OSHN97cgrsRwaK8YIAAMAy1AnrGEw0pKHC&#10;3iLuOOyzTicEsp7RCgzFCR8AADB0Zms6LB2VAAAAxiNdydIoimr/gyawMmTpiLSv+cMPpPpJ7+mr&#10;l9+N4oQ/kzrjIYTKNln+1P8muoZieDBVXmfPvnucPfvuOTEf4eNLNC1FMy9ZnYkyAgAAbeWS34Q8&#10;lpmmA5+8WTZ/TQMhVCS0fhyuY+g+s3REBoDElK58lqHEKM73TITyGq6DjkpSPUeeQGqUF05/MdG1&#10;0R2UU4WjZ+89OF9oleZNfjv+vKKo7nlb584HncbGtbpJZ/z6dMiWY2LJKbAfGXyx6jAACBvx26eO&#10;vqatXPRg/HH//o/XJdpDRQjlnQjGC6TqiccT8dlqERQPESJFe7I0iqK65xNZIQIAgFBZvNm4562t&#10;IlXphmTm6Kngi1VH1GVz/pxtPgAAkGgrP5IV1LzGHfttXSvd/Qd+WjB99dUSbXJz8UQgKEoX1p1/&#10;RdfOVxv7mj78sHTuNfNSpSel2v0AxLYC8MXqw+nKD3ut07k8EwFkWTzss01TFE3/T7I0PIG8e6z3&#10;eiKgoyGV29Ryo1Cev8tjPnTC/jO+SHXY1bf/VnX5vCeSbfXI8cMlp8B+ZKAYL0RKdc3egSNXaMrn&#10;P4pivFC2ZSAIyggVhdu8g0cv1VYuejDZPjEAAGCosMIzeORyobJoS7r1smRgPL5nLPnGA0KkaJfq&#10;qj7ijiWa8s8ifnuNueWzV8vm3zCDJ5D2ZlMeTghtRTMuurhn95vbzYe+/I9MP3ldsrR8sboV5ZEu&#10;Z2/T7dK8ye+kGlkFXf0LIn7bNFn+2A1z0uHsbbwTsrRAlGJP3fcNV1/zbZChhEG3eV7QbU7YYYAM&#10;JXT3H7xZVTLrH6davhwTS86I40eIrnrZvVTIU2Lr2DGmfVUAAKCvXnYvZGjhwOGNz0GWTdjRgRCi&#10;g0c3/YOlInL95OV3j13iGHyRou1kyzhZEBSjCqeffwUACOzf//G7kE28gToVAlnevrypZ9/qHThy&#10;pbO38c5k6VCMF9JPWnpfyG1a4DTuW5ssHUNHpAOHvnqeECmPKYsbns5WnkwIuvoXWtu2/kGaN/lt&#10;ibb8s4moY7xhGZp0GhvvVBTVPT/5rHtFyf7EmopPnD377oYswzvdMucYX3IK7EeISFm0VWGof9bR&#10;vftX/QfWv01Hg5r46xBC1DNw5Aq/retcjBDYE5XBF6uPaKsW/8ZnOXZJz543t0b89ikxq7wY0aCr&#10;3Lh33UaPqXWNdtIZv+SLVMfGIivL0KSrb//P+GJ1K1+c/UbgiYAnkPbl1666LuQxz7G0ffvkWMqQ&#10;F0x7VWGY8c9Ue8gAAEBWMO1VsbZiveXo5n+YW754Kf5ZQQjRgLP3jK4dr+ynQt7i/JqVN6EYHh6L&#10;PIlg6Ig06DLNGzi84bme3W9u5YvVh/KmrPj5eJU/0XjMh65lokGNsqQh5chKVTrr71TYa/AOHrv0&#10;VMmW49SQm0L8kaKffOZagUzfOHjk66fbBo5cQQgVHYRYdRhFsUjIa6mnw75ChWHGP7UVx6+LxaMq&#10;nf03vkTdam754pXO7S8dwgihjS9SHYkGXZV0xJ+H8yWm4lmXnylSlWxKJ0/XzlebAThxipFlKSEp&#10;0TUbZl66CkFReiy/1Wdpv/DY5meSTnMSAllP6bzr5mRTpkRT/rmqdM6fHN27fyVUFG2Nn2bMFH31&#10;8nvCXmtdyG2anywNgiCwaMbFFzl79t5jbdv6B7fp4I08gbyLR4rNYZ+1lqWjUoG8YGfxrCvOJITy&#10;rmxliCfgMC4/uunpmO9LCBGWjsgBiBms6KqX3ac0zHwm3TMIOI1LU91rjCdwVCy6ecpY5LO1b3vM&#10;3rXrNwnLxfnuyiW3lnHHnCcYibZyfbrOk1BRtIWU6podPXvul+ZNfjvnXurHA5Jz5vvjho4GNSGX&#10;aX7YZ5kRCbgqMR7pHHKN9Gki57iJYOiINOQyzQ95B2dGA64qQqQ8JpDpGgXygp3pFsbDPtu0gL17&#10;xQkXEIThkZJ+vlh9OJUBA5dfXjT9hUR1ufsP3sBQYWUqGVAe360onP7S6POOnn13kVJds0hZtDVR&#10;PsgyPGdf820oxgvIC2pfjv/wsQwlcPU23y5Sl24gU5jBU2F/nnfg8FXygmmvpHOcTIV9BSG3aX7I&#10;MziTiQa1pFTXTEr1jQJ53u6xri9yeMyHr6Ij/rz4czgp7SMlmoOEUNGRSechURmjQTA8pDTU/zMb&#10;2SDLEE5j8qlWAABAUDysLK5/jjumo0GNx9R6nVhT9kUmBjBBt2luyGVaIC+sfQnjke5s5Mvx/SWn&#10;wHLkyJEjxw+S3BpYjhw5cuT4QZJTYDly5MiR4wdJToHlyJEjR44fJDkFNkbiTcpz5MiRI8epJ6fA&#10;xojT2LjW2r79kZwiy5EjR47TQ24f2BiI+O1TrG1bnoQsTTLRgE4/5ayfn6yZc44cOXLkyI7cCCxL&#10;IMsQpoOfvgFZmgQAAJalybG4G8qRI0eOHCdHbgSWJbaOHQ+FvZZ6BMVDeVPO+rm8sPaV0y1Tjhw5&#10;cvz/SE6BZUE05Cmxd333ACFSHS2su+BSUvL98N2XI0eOHP8/kvPEkSU+S/sFIlXxprEEXsyRI0eO&#10;HONHToHlyJEjR44fJLi1fdujKM73oigeAgiIaTMIUYYKK5loSA0BRHFCYMNJaR8hlHcKFYXbs7W4&#10;sxz95i8ozgsgGOFHUSwCEIQBECAAQAQAgEAAEQAhBlmGD1maD1mGz7IMn5RoWuQF015NVKar/8BN&#10;dCSow3DCB7hQ5hAgDB1WMJGgFgIWw3DSjfPFZpwUm0RKw5ZUodI5bB3bH2ZZhkx2XVM273EUJwLx&#10;5+iIX+8wNt6VKL1YVbJRpCreHH8u7LPVeAeOXIkRAhuCoDQAMSexELI4Ew1qGTosRxAsipMSE4+U&#10;9orVJRsycUAKIURt7VsfhwAkNe3XVix8CEExKl1ZHJGAs8ptarkh2XVCIOtRFNU9n2l5dCSgDfss&#10;M8IeS33Ia6kPey31DB1W4DyBAyelvSJl4TaJrvp/pER9KNMy4wm6+hdY27c+gaK8oKHh0nPHUkY6&#10;Qp6BWT5rx/kYT2CPPb/Ys4MsTbIMJWIZSgRZhuCREhNfpDpCiJVHCYG8K5v7ngyGjkiCzv7FYe9g&#10;fdhrqQ95B2eiKB4mpdr9fIluPynV7herSjeMxbO/29R6ra1zx8PlC26sRTFecCzy9Ta+vx7niwby&#10;a875Wap0ju4999FUSJ3sutJQ/wyPlJhHn3f2Nt9Ghb0GAACQaMo/FSoKd6STyTt49NKQ11Kf6Fqi&#10;MiJ++2S3+dB1ycojBPKuVFGrR0NHArqw1zKDa+9h7+BMlo5IMZ7AwRNIe4WKwm1SffW7fLH6SKZl&#10;xhNw9i22tW97DOORrqL6iy8cSxkMFZHZu7/7NQAAIABhVKWz/5bJ99Lavu1RCNmEcdbUZXP/iOF8&#10;bzZyWNu2PuEdPPYTbdXiB6T6SR+kS4/jhMjis7ZfEHD0nBV/gUdKexEMD9GRgI4LuwAAADyhvFNV&#10;MuvviqIZ/8okLAGEEMEFkj6/rWtlwN59Noj/uCIIg4wKsQEBRAGMBVDUVCz4fVLBCfFg0NG71Dt4&#10;7FIIR6wAMUJoxXgCJ0tHpHTEnz9cFYqHZXmT31aVzv5LsoYCIYuhGN8XDVrKh8KTI0OZaYm24hOB&#10;LP+7RA8LQoCgKB4MukwLA46Y53VCpDoi1VV+BBD0hI8WihM+AAB09R34WTTgqB65HyhFCBUdkKVJ&#10;Kuw1AAixIdlDsvwpb+mql92bqkFAluajON8T9lnrfNaO1ZChRLH8WESiq/qQlOobIWR5CMjuQ4qi&#10;WMRv7z475DbP5c5hhMgi1VV+iIiUGcWngizDs7Zt/YOjZ8/9ia5HqbAiGnRVBJ3GZbaOHQ/lTzv3&#10;BnnBtNeykRMAACJ+e03Q2bcEAADCPmstKdEezLaMdKA43wNZhuc07ruLCnlK4y5BnkDWAwBA6Ig/&#10;D7IMf/gKgtJiTdnn+url94w1LErA2XuG+eBnr3EfcATjBSBDCQEASDToqgRD8a5Iqa4pf9q5N2T7&#10;2xkqpKaC7nKnsfFOddncP2UrX9Btmuu3dayWaCs/TpcWwfAQEwiqPaZD1428vwgrUpdsEMoLdgIA&#10;E1pIM9GAztEV+9C6jE13GGZdfqZQnr87ZV0oHqZCnuKQZ2A2FXSXAwAATkr6hYrCbcOd3+NzQATB&#10;ogF71zkhz8Bs7izOFw9ItJUfISIs0zZPWI59+yencV/CYK8MFVZGg67KgMO43Nax86GC2lXXyfKn&#10;Zh1xO+KzTg+6+hYDEFO+Y1GECIpSAXv3ivCQog84jGcaZl12VqpoExBCFEGxaMhpnhf2WuoYKqQG&#10;AGH5Ek2LSFW8ift+ZYPP2n5+NOiscvY2rs1EgQ1PIQ4e3fw3Z8/eewGIKamKhTdPRlCMghAiVNhb&#10;bGvb+rhn4PDVXEZNxcKHNRULHs1GOGvblj/Yu757AAAAeAJ5V9mC62eM/iCzLM3v3//xu35rx/nF&#10;s65YJlIVf5OqTK+l7aL+5g+Hf2jV0p/n4XzxIAAAMFRY7h089hNr27d/4kJuYDyBvWTO1Yv4YtXR&#10;VOWaDn72msfceh0AAAhk+btL5107N1V6DuPed74OOIzLy+ZfP4OU6vanSgshRDq2Pt/JfQTj7ylk&#10;GZ5n4MiVlmPf/JUZCnIokOfvMjRcdna6ECYAAGBu/fJ5d/+BnwIAgFhbsd5Qf8kFmcifQla07Ztn&#10;BzlZ8mrOuTlRiJJEREOeYtOB9e+E3Oa5hEh5TKIp/5Qv0R7E+aLBiN8xOeKz1QZcvUu4jwsAAOiq&#10;l9+tKsk++rDpwCf/5dqpvLD2pfyalTdnW0amQMhixzY/Y2OpsAIAADQVCx/SVCx4DIDYxyvstdSF&#10;PANz3OZD14Y9A7MAiH1M1WVz/6gqnfPnTINTsgxN2tq3Pu7o2XsvgmJRddncP8oKpr3GI6W9LB2R&#10;BV19i/z2nhWuvuZbhz8aCEpryuc9ri6f/3imMya2ju2/t3XseBjF+e7KxT8rTxf+ZTTGfe9+EbB3&#10;nyNUGr4tmX3l0szq3PGgrWP7owAAwJdoDpYvuHF6qvQQsphxz9vfBF39iwAAAMX57pI5Vy3JVFl3&#10;bn+pNeK3T520/C5luhEGhBA9tulpB9eBz5+26jp5Qc0bmdQTDbpL+w+sXxf2DMwiRKojEk35Z3yJ&#10;5iDOF1kifvuUiM9WG3D2LaFC7uEYZ/opK25XGmb8K5Py4+nf/9G7XLBORdGMf+VNXXF7tmXEZHaV&#10;d25/6RDX8RIqDd8YZv5kFYrxQunyRvz2KZ3bXzokUpVsLJ51+YnhkzKAjoZUbZufsXKdl7L5N9SR&#10;Uu2BVHmGezkoNmKUgPOEdm66A0EQSAhkPQXTV18jy5/6Xy6NrWP7I6GhlzJjkJFpDZwvtCYaTaAo&#10;HtGUz38MICglSNOzisnNO86YAuMJHCP/k25F0fQXS+dfX49ihA+AWC/TuG/dRpaOilKKiowtuCIA&#10;CJtxSgSB8fWgODF8PxAUo+QFNa8XTl99JXcu5DbP8w4cuWpscp0cCIKwSMLeamrCPmtt185Xm0Nu&#10;81yFof7ZsvnXz9BVL7tfXlDzulhdukFV0vB0/rSVN1UsumVSQe3qq0mJdj9PKO+UF07LensCHQ2q&#10;vZa2S7hjj/nw1XQ0mHSa6mRBEJRBwMg94QmkvcPXUCwqkOfvURbPfKZkzlWL5IW1LwEAAGRp0tax&#10;/ZH+/R/9L1MvLoOHNz7n6Nl7H4rzPWULbqzVVCx8hBDIehAEYTEe6ZJoK9fnTTnrjuKGy87GeORQ&#10;wEoWt3Xs+L2zJ/HUdiIYOiIFAACWjsi56aRMCbrNcwL27nOG8kszzZfte4YgKCMvGGkbLB2RG/eu&#10;2xgJOKuyKSezuhB2LA4KQp7B+q6drzaHPQOzlMUNT5XNv75eV730F/KCmjdibX7WU/nTzr2xYtEt&#10;k/KnrbqOL9a0EEJlmzx/akbKMR464tf7LB3DnVO3uXUNQ4XlqfIkgxAqOoVKw/CAIejsXdq//+P/&#10;nap9ru7+AzfHj7ydxsa16fJktZFZW3XGL+OPg87YsHW8IaX6pvyac24Z6zz8aAiBzKitWjwc6ZUO&#10;+wpD3sHslO9pQqQq2cQXq4YD9vntx0/1fp+BECKWo5v/zlJhhTRv8jt5U866M1lvDkFQRpY/5a2y&#10;BTfMKF9wY222c+cAAODq238rZGmSm7aFLE26+w7ccrK/42RBUTySN/WcW7RVS4aVgt/WeR43wk9F&#10;wNm7xG06eCMAAOgnL7+bL1K2JUsrUpVsKp23pmFoGhMAAIC1fesTkYCzMhM5WTo6rHicxsa1VMhb&#10;lEk+AACwd+x4mPufoSOyTPONBRTne+KPmWhQa9z7zqZoyFM8kfVmQqzNb3qKpSMyWf7UN/STl9+T&#10;bKSNoCgtL6h5o3zhjbVlC66fMRbLZmdv8+0QMsRwm2coobv/4E1jlR8bdW/9ts5VpoOfvgEhm/V0&#10;YDbEgpo23Rm/5OIZOHQ1PTTjk4ysFBiPFA/gfNEgdxzxO8YUOjwdCIKwY1n/SIVYW/Fp/HHQlTzM&#10;+/cNvviHud8sYO8+J+AwLgcIwmgqFj6Uab6xdFxYluY7jU138MWaFmVx/bPceWdf8+2QZRIuMp9K&#10;EASBqtLZf+WLR4xTBo9sepoKewuT5WFZmj9w6KvnAQCAlGj3y/JrXk9XDyGUd+urlw+vuUCWJgda&#10;v3gJwsRrSvEw1IjigSzDt3VsfyRdHgBioy+/vWvlsNxxinAiQVAswv1Ph32Fxr3vbKLCqSNGTzR+&#10;a8f5QVf/IoCglKZy0cS2+VhU8NtIqa4p3pDK2dt0x8kqnPh76x08etlA65f/yaQNjRXv4NFL6Yiv&#10;QDfpjF9yHRTIMnxXmg5o1gKh2EjPOH5k8H0nZpTCG7YeZCIB/emUJxuQuMYtVBZuPZ2yZAqEELEc&#10;++bPAAAgkObt44uU7RNZn3fg6OVMNKBTFtc/qywaCWlPh32FPmv7mCyzxhsEQY9T5CwdkXkHjl6e&#10;LL134Ohl0YBzEgAAkDL9vkyMpgCIrXmKVMWbuOOgq3/RccZCSRiteNym1jVhn60mXb740RcAALDU&#10;xI7AOOQF016V6Ko+5I6poLu8d9+6jXQ0pDoV9Y8GQoha2r79EwAACOX5u4m4kfBE4DEfvpqhQmpl&#10;8cxnlIYZw22eCnlK/NbO806m7LwpK27D+eIB7thtarnBcnTTPybCeTmEEHH07LsbxfluReH0/8gL&#10;p73MXXP1pu6AZqXAWIYSRoOuCq5e4Sjz8PGCCvsKxrsnFTPPp4fN44XKoi3jWf5EApnYeh0p1TUp&#10;i2b8+3TLkwl0xJ8X8dtrAIgZBU1kXRBCxGmMvQCyvClvEiJFh0hd+iV3PZO59FOFRFf1ISEcmQYM&#10;+6xJjRbCPssM7v/4kVs6EASBo6f7w15rXbp8LB2R4XzR4Mi7AVFr29Y/pMoTcptn++1dK4XKkW8B&#10;hAzBsjQ/Vb5xAUGpgumrr4x/1hG/fWrvvne/Yk6REo2HCnsNXIfjVLV5jCdwSPXV6/hi9ZH4TovD&#10;uC/jtc9E8ISKjuJZly/HCKGNO+c0Nq61tW977GTKTUTIbZof9g42yAtrX0ZxIqAoGjFkoSO+Aq+l&#10;/aJkeTNWYJBlcXPL5y9zi2yaigWPCKS65pMTPa58CJFoyFNi795zf9fOV5sBGN8517DPOj3OrBMK&#10;lYZvx7P88SDid0zx2TrPjf+zHP3mLwFH7zJlccNTJbOvWoygWPR0y5kJ0YBjMvd/vHHDRBB09S8K&#10;ey0zuBcAAACUhpnPxl1fGPIMJtwHdKpBEASSUu2wdWrYZ6tNljbstQ0rN0Ko6MimHlKq2x9vmBX2&#10;WdIqMIaOSBGMF9BWLnmAO+e3dawOuvoXJstj69zxMMojXeqyuX+MP3+qphFRFI8Uzbjo4njjg7B3&#10;cGZf03ufsrEtBqeMqD+uzZMT2+YDDuPyiN8+VV5Y+yK3rqww1D/HXQ86e5eGfbZpJ1MHX6w+Utxw&#10;+Vkozh/eg2rv2vVbe9d3vzqZckfj6Nl3NwAAcqNIvkjZLlKXfsVdd6ZQxgl9IdLRoMZtalnD0pSY&#10;oSOyaNBV6bd2nMdQITVGiCy6qsUPyE5yjSrkGZjVuf2lVgAgwjIMSUcDOm7fkiy/5nUeKe0/mfLj&#10;gSxD2Dt3/Y47luVNeQsnRqwVvy+4+w/c4u4/cc6XECmPsXRUGnD2LpWMWsv7vhLxO4enrKgJXlwf&#10;2mcD46dRxJrSL3kCWTe3RcHZ27i2YNqq6ydSjkwhhIrh6dRowFENIURGTw9CCJGIzzqs3KiwL+la&#10;WSIQBGH5YtVhbh9TZiOwqBQjBHahomCXWFux3m/tOB8AACzHvv1TyZyrF46WMeQ2z/bbus7VVC56&#10;kEdKjntfWSoiA3G994kExXghQ/0l5xv3rdsQcpvnARDrtPQ1ffhh0cyLz0dRPJKujPEgEjdNS4W8&#10;p6DNI6wizuxeoqn4BCclfXTYVxRL03hnfs05PxavYPcAABM6SURBVD2Zekip9kBxw2VnG/eu+5pl&#10;ohIAALC2bXkSxQmf0jAyVT9WoiFPsc/SdrFYU/45IVQMj1qVhvpnh/YNg5DbND/kGZwpkOkbR+dP&#10;OAKjwt4ia9uWJ20d2x61tW99wmNquZ5lohKRuvRLw8xLVssLa19BkMzNxROB4aRbrC77Qqwp/0yi&#10;q/hYINU3AhDzBKIqnfW3sZbL0BEZt4DJUBGZz9p+fm/j+5/4bZ2rAABAUVT37/zaVWtORvaJQlO5&#10;6HdVy9aqq5atVVcsubXEMPPSldK8yW9HA85JbtPBG/ua3v+kr+mDj34I4VsYasR6KOyxzJyoeqJB&#10;d6nP0n7B6BcAQVBGEfeCec1HrqQjAe1EyZENhGhEgeGkpD/J2hbCsvTwCCLit0/Ntp54459MjARY&#10;OiJDh9aJtZWLfwuG3seQ2zSfU2bx2Dpje8aUhpnPxG8BAWDEJP9UgeKE3zDz0nNJqa6JOxdwdK8w&#10;Hfjkbciyp8RpORNnMRf2Dk5Ym48EnFV+W+cqibZiPSGQGbnzCIrSirglBo/50DXjsR4okOfvKZr5&#10;k1Xxa/GDhzc+5zalt6JNh8vYdAcAEFUW1z8Tf16sKfsi3po22TJAQgUmkOqbqpbekTdp+V2qSWfe&#10;LZXlT30Dsgw/YO8+p2f3W1vC3vTTEekgRIp2XfXSX+gmLf2lvnr5vSVzrlqiLp//uEhVuuFkvCe0&#10;bX7GduSrv9BHNvwteGzT086+pg8+Djp7zxCpijflTT37Z/opK27/vgafRDFeACcEDpwQOAiBzCjW&#10;lH1ZOP38q/KnnXs9l8Znbb/A2rb1idMoZkaQ0ry93P/RoLNqotYknL2NdwIAUaVhxPKQQ1Ew7WUE&#10;jZkwQ8gQrqGN3acbNM6YiBRrWhKlQRCEJSWa4U2cY1FgeNyoiC/RpHynIGQxlomKOdlIiaY1ft+n&#10;pW3LH+MVQcgzMMtv6zpXVdLwFMbje05wSDDBpvSJwHik29Bw+Qq+WD2suH2WtovMrZ+/MpEWdByk&#10;bKTNR/yOyRM1hcl9zOOtbTkUhbUvIkhsmQGytCC2t+rkESmLthXNuPiCeOtEc8vnr3gHj12SKl8q&#10;WDoqdvUfuIUQKtpFqtKN8ddiHdCRGRXvwJEr6EhAN7qMtA8Vw/m+vKln38q9AJClBX3NH3w0ERtE&#10;NeULHi2oPfekRkeGmZeeW1R/yfkFtavW5NeuWlNUf8nqScvXqopnXXGmoqjuhUwtuRAMH96vBGHm&#10;PTjO1VT8gz5ZZPk1r4s1FZ9wxw7j3ntYhhKMV/kTgVBRsBMM9eABACDo7l8w3nUwdETi7j94E8YT&#10;2HFSbA77bDXxf1TEnx9vrDNk0XTaR6/RoGfY+wJfkliBAQAAKRnx5BL2Wmak23w/GiroGvZsQqZR&#10;YCxNiQGIjWS4c5qKhQ9z+3KiAcdkt7ll+N2MeewgvMrihv8DIObWCsQ971O1BjYanBA4imddcWa8&#10;oYzHfOiawcMbnpsIC7p4hIrC7SNHEJ2IrToMFVa4TS3XY4TIghEi6+g2T0eDWkGcHM7epp+P1whU&#10;rC75urDuoktGHFJAtP/A+rf9tq5zxlKe29S6hqUjMpG69KuI3z5l9G8RSPX7wFCbgpAhXH37T/Cv&#10;mdEPQzFesKjuoku6dr22j6UjMirkLe7fv35dccNlZ4/FaWgyEBSlOTdQY0WkKv56PJymkpKRhfZo&#10;yF2WaJ0iEdGAqxIgKB0/nXWyIAgCJdryz/y2jtUAAAAgxMJea51QUbBrvOoYbzAe6eKLNa0Rf2wh&#10;efDwxmeF8wvqM3FKnCluU8sN3Ieya8crKV3OABCzjPRa2i6W5U1+Z7xkGAvROMUy2tFzPPHGHjHv&#10;GHt+qa1c+HCy9KOJH7XxJald8nAjpvjRISGUdyuK6p539TbdAQAAtvYdj8jyprwV8dun+m2dq9Tl&#10;8x/n3DEhCAJRnO/lypnozcypwPkiS/Hsy5f37H5rK7cG6urbf2vMqGXilBhOCG2ESHmMs0QcPLzh&#10;X6Xz18wcy6b8ZLj6D94EGUrEMJSoa8fLaWeq6LCvyGdtv0Cqn/T+eNQv0ZZ/Vjh99ZX9+9evAzG/&#10;tby+5g8/1FUvuzebciCEKGec4eptuoNrY6lw9TXfpi6b+2S8IVvGmpkQKToKas+7tq/p/fUAABB0&#10;GpdZ2r75s756eVaCZwtDRyQoRvgzHTmNF4K46QCWCiuYaFCD80XWVHkYKiynI74CvljdOt7WgoRI&#10;Ocp34/hPiTB0RJKJn8VMESqLtnAKjAp5Ss2tX7xUWHfhT8bjWULIYk5j41oUI3z6KWfemcwlEYQQ&#10;dfTsuT8yZO3nNO6763QqMMgyvKCzdykAAEj1k/4nSmENK9FWfmRt2/oHhoqtYzi6d/9CUVj7Ik8g&#10;7UtXD0tHRZFAzJBGqq9el24fHrdmFa/AAABAUz7vCbep5UbIUEI64itwGpvuDLr6FqEY4VcWNzwV&#10;nxbFiWEFlo07qYmAR0r7i2ddsbxn91vb6IivAAAAYo6kT27tPh1CRdEWToFFg66KgUNfPV9Qu/qq&#10;cWnzLIu7jI13ojjfrZ+8/O6Ubb5796+4DozTuO+u8VJgAAAg1Ve/l1/LrDEf/PR1AAACWZocPLzx&#10;hOnMVPhtXSujQVelRFv5sUQ/6T0kbvQeDx0J6C3Hvvkr97938Oil8Q6PsxpaSrQVn6jL5z9u79z5&#10;OwAAcPbsu0cg1TeOxYNyJkT89ildu17fU7nk1hKcENonoo5k8MXqQwjGCw55+wZuc+sademcv6TK&#10;4+o/eDMAMVdY4y0PHWeFhqB4OF7BjgdBl2mecc/b304++/5x27+jrVj4cMBhPJPbROuztF08eHjj&#10;c9qqxb9JNxJLN+L12zpXUUF3ucIw45/pvLYgKEaZDqx/GwAAQm7z3JDbPFsgz98zlt90sjh7m2+P&#10;Bl2VKEb4ddXL70mVFueLrPopZ93ByQ5ZWjBw6KvnC2dceEk6B6vW9q1/gCxNojjhTVcPACNTfqN9&#10;i+J88aCquOEpe9eu3wAAgK1zx0OQoUSqsrlPjrbkxXC+lwax/g9zmqYQ4yGE8u7YSOztLUyUWz+Z&#10;2LUwbdXi3wadvUujQVclALG1G5wntGkqFz2I8Y530zSadG3eZ227kAp7Dcrihqcy8FSEmFs+ew2A&#10;4W0mdemci2eDPH/qfyFDCTlPMdneV85Dv7Zq8QPpvOd7LW0XhdymBbF8jWvj9U3WD1NTseD3IlXp&#10;Bu7Y3PrlixOxxyboNs017n13Q8y0/tSOvgCITWfqqpYM73ewdez4fSqHoWGfrcbWvu0xBOMFUoWB&#10;GQsQQsQ3ZEUJAACy/ClvjucIz2/vXtHX9N6n2az1ZQJGCJyGhkvPiXc/5uprvq1j6wsdzt7m2xKt&#10;6UAIEbepZU3XzlebU61XDe0dAYoMNnZLdVXv43yJiTt29jbdmf2vOXkCzt4zbB3bfw8QhNFPXr6W&#10;R47IlAypvnqdRFv5EXfst3et7Nn95vZUfgr99u4VTmPjnQAAoK0649c8csSjQjK4kROCHR/rDgAA&#10;VKWz/4IOTRVChhIhGC+oKpn199Hp4n0Ung4jjkTwRapjxbMuP3PYyfEQE2XUgRNCu6HhsnMwQjg8&#10;W+PsbbyzY9sL7a6+/T9NZNgBIURc/Qdv7N71WmOq9arhNm+oS9/m86rXYYTIMiyDcfzbvKKo7gVd&#10;nNuyGOnva9hnqwk4es4UKou2ZBL6RVUyMtIPeQZmh9zm4RA3I5Vl6DsLQVCmYPp5V3Mb9SBLk/3N&#10;H36Yzukil537h44EtSwdFY9Uz+JUyGvwWTtX9TV/+EHP7je30xFfASnVNY9ufMcxhpgzmaIw1D83&#10;7EWcoYTdO19rdPTsu4szxx4KNVNo69jxUPeu1/dCliZ1k5beTwjl3VlUM3xPogHXCQqSjgY11rYt&#10;T3oHjlwJAABCZfHmvCkZhUsYuddhX2G8ZwTIMkQ05CnxDh672Ljv3S9ingvCSpG6ZGPiomK/dSwv&#10;PSGQGQ0zL10ZHyWAoUKqwcMb/nn063/42rc+39Hb9P7H/Qc+ebN71xvfHdv0tGug9asXtJULH0qm&#10;pMNe6/Sgs3epUFG4nUxhBMGBoBh1vEXT0csSWTSNkeH7HPIMzB59jxg6Ig15BhrMrV+8aNzz9jc4&#10;XzxYOvfaefLC2oy87SMIAvNqVt4s0Y1MAYW9lvquXa812rt2/zLkGZgFWRaHEKLRoKt84NBX/+7d&#10;9+6XCIpHdJOX35VpsNFkU4gAxKz71KVzn+SO5fk1r+EJ9njFb5zOdAoRgpN5fzNrj6RE02pouHxF&#10;vKl/JsY8EEIEjmHERgjlXYaZP1mFxoVrYaJBzcChr54/uvHv/o6tL7T3NX3wUazNv7772KanXYOH&#10;N/xTU7nod8lsCkKegYaQ27RAqCzezBepjqWTAUXxiNJQN7xHzDNw+KrsTOoz+92qkoantZUjjtKP&#10;i4GXBG7tK97jRiok2qqPcFIyPG0e3wFFnL37bwn7rLXu/gO3DFeOoJRIadhCSnWNhFDeLS+c/p/R&#10;+74iAcek3n3vfsVt2BMqCrfpqpffTYgUHfGLliHPQIPb1Lom6OxbEgnYp8QrHBQjfAiGh7gI0Ilu&#10;2lBgw1dHn/fbulYG3ab57v4DN9Nxfg1JqX6fUF6wiyeUd8ryJr+D80d6IWOBZWm+vWPnQ05j41qW&#10;GVG4GE/ggCxDcJv7MJ7Arq1a8oC8sPaldPPdblPLGp+187yQ2zyPm5/n4Is1LQiKUgBClKZCKjri&#10;zwcQYjgp6VOVzPqHoqju+WR7egLOvsUe86Gr43zfDX9cUZzvQVAsAiDEGCqkjL/GUTTzJ6skmvLP&#10;489Fg+4yr+XYJX5b10pu7QYAAHBS0ifVV/9PIMvbI8ubvC71XYytr7n6DvzM2bPnPjqFH0qhonC7&#10;fvJZdySKAxT2Wup81o7VblPLDVTIU4rxBA6Jrup9UqI9KM2b/E6izelBV/8Cn63zPJ+l/YJ47yBD&#10;znHfkGgr1hOi7LxcOHubbw3Yu88OecxzR/8WnkBq5D7kDBVW0pGYSzSMJ7DL8qe+qa1a/EAm8ZUS&#10;4R08+pOBwxufY6LB4/azoRjhhwAinCMAUqprKqg975pMerd+W9c5Qbdpvsd8+Goq5C7DSUm/PL/m&#10;dbGm7It4qzqWoYQdW1/ooCP+vOLZVy6NX7vzDBy53G/rXOUxH7p2WCac75Hn17xOSrXNiZS1u//g&#10;DWGftc7Vd+AWyNIxi1oEpSXayo+F8oKd0rzqd0ZHZPYOHr3UbWq5Pug2zxuKwQZJifaAUFW8WVFY&#10;+2K63xt0meYZ963bCBlKlCrWVDTgqvBa2y7y2zpXccFRAYg9W6lu0nsCef5uqb76f+nuLUNHpK7e&#10;5tscPXvvHf3M4hEqi7boJ591Z6LOWMgzWO+3dZ7nNh28kQp5izFCaJPqqt7nSzQtsrwpbyeKaRZw&#10;9i322zrP9Vk7Loj3gUlK9Y2y/ClvSrSVH8cHVWUZSujo3v0Ln7XzvJjHIpaHYLygUFG4TaQ0fKMs&#10;bng6Xew6a/u2R+2dOx8khMq2isW3TEqUxm1qWRN09S9ym1quBxBiAln+bpG69CuBTL83kYMGyDI8&#10;V//Bm0Nu03yfpf3CuO8vlBdOf1GoKNiJ0xFfAYKgTKKpGMgyZDToLk20aZkvUh0rnXvtXEf33vu8&#10;lraLwz5brbnls9e1VWf8SqIt/4xLF4uKDFGJrvJjGTr5bYBiFAIAjIW9hwiAAAEAohBCFLK0gGWi&#10;IsjQQsgyBEAQRqpPvOBOR4Malo5KpPrEH08q5CkdjykxFMUj2qrFv1WWzPq7q7fxjqDbPJcKusup&#10;sK+IR0r6CZHhW4FM16Qsbng6kxDcMdm8Br5YdVQg0zfGIsJyCg8iTDSkYqIhDQAA4HzRAE8g6yGE&#10;8i6honBbOutKKuw1IChGSfWT3kNRPMSNYEbuNUQBAAiELAYZWsCylJClKRHXYMXqsi9HlwlZmqTD&#10;vkJSomk54QWDLM59oNOB4XyfunT2X5WG+mc95kPXhDwDs6NBV2U04KpkmahIpCrerCiq+7dIVfJ1&#10;sg4AHQ1qGSqskmgr18efjwZdlTCJ7z0q5DVAhhaI1aUbgHpk6pu7X2OxlqNC7jK+RNMqkOfvPuH5&#10;UWElEw1qAAQITyjrIiW6/aRUux/ni80nu5Av1Ve/J1QWf+O3da4Key0zwj5rXdhnnY7hhJeU6ptI&#10;qa6JlOqaxKqSrzOdYqajQS1LR6US7cg2DZahREOdnGFQjBc0NFy2ggp7DbGIyfFlBHQYT+BUFp8Y&#10;gDSZBxEq4i8AAABF0fT/nJjHU5xoZoWhwgpCqOg4wa0WZPFM1tyEioJdhvpLVg8e+fqZaNBZmUyB&#10;sSwtiLV57QFylPUmhCwvVQcsHgzne9Vlc/+kLJ75fx7z4WtCHvNIm2dpgUhZvElpqPu3UFm8OVnb&#10;YGJtXinRVn0Ufz4acFUlG0VSYa8BsgwpVpd+BeJcMgEQ8xAyenSMICjNUGGlUFGwc2j7yzB0xJ+f&#10;idMKTcXChwFkcZ+143yGjkgTWV5Gg+5yFCP88W7eYlbtx0U1P060aMA5CeMJHNxM2HHlBZxV/w/V&#10;lE8aiWbISgAAAABJRU5ErkJgglBLAQItABQABgAIAAAAIQCxgme2CgEAABMCAAATAAAAAAAAAAAA&#10;AAAAAAAAAABbQ29udGVudF9UeXBlc10ueG1sUEsBAi0AFAAGAAgAAAAhADj9If/WAAAAlAEAAAsA&#10;AAAAAAAAAAAAAAAAOwEAAF9yZWxzLy5yZWxzUEsBAi0AFAAGAAgAAAAhADls2wDCAgAAEwgAAA4A&#10;AAAAAAAAAAAAAAAAOgIAAGRycy9lMm9Eb2MueG1sUEsBAi0AFAAGAAgAAAAhAC5s8ADFAAAApQEA&#10;ABkAAAAAAAAAAAAAAAAAKAUAAGRycy9fcmVscy9lMm9Eb2MueG1sLnJlbHNQSwECLQAUAAYACAAA&#10;ACEAofcyb+AAAAAIAQAADwAAAAAAAAAAAAAAAAAkBgAAZHJzL2Rvd25yZXYueG1sUEsBAi0ACgAA&#10;AAAAAAAhAFpUzmqOFAAAjhQAABQAAAAAAAAAAAAAAAAAMQcAAGRycy9tZWRpYS9pbWFnZTEucG5n&#10;UEsBAi0ACgAAAAAAAAAhACF7eWCmMwAApjMAABQAAAAAAAAAAAAAAAAA8RsAAGRycy9tZWRpYS9p&#10;bWFnZTIucG5nUEsFBgAAAAAHAAcAvgEAAMlPAAAAAA==&#10;">
                <v:shape id="object 8" o:spid="_x0000_s1027" type="#_x0000_t75" alt="A picture containing clipart&#10;&#10;Description automatically generated" style="position:absolute;left:8055;width:4750;height:4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kwfwQAAANsAAAAPAAAAZHJzL2Rvd25yZXYueG1sRE+7bsIw&#10;FN0r8Q/WRWIrDqAWCBiEEBSGLuUxsF3FlyQivo5sQ8Lf4wGp49F5z5etqcSDnC8tKxj0ExDEmdUl&#10;5wpOx+3nBIQPyBory6TgSR6Wi87HHFNtG/6jxyHkIoawT1FBEUKdSumzggz6vq2JI3e1zmCI0OVS&#10;O2xiuKnkMEm+pcGSY0OBNa0Lym6Hu1Ew/pXT5no+Xr6qwNnmuftxTTtUqtdtVzMQgdrwL36791rB&#10;KK6PX+IPkIsXAAAA//8DAFBLAQItABQABgAIAAAAIQDb4fbL7gAAAIUBAAATAAAAAAAAAAAAAAAA&#10;AAAAAABbQ29udGVudF9UeXBlc10ueG1sUEsBAi0AFAAGAAgAAAAhAFr0LFu/AAAAFQEAAAsAAAAA&#10;AAAAAAAAAAAAHwEAAF9yZWxzLy5yZWxzUEsBAi0AFAAGAAgAAAAhABt6TB/BAAAA2wAAAA8AAAAA&#10;AAAAAAAAAAAABwIAAGRycy9kb3ducmV2LnhtbFBLBQYAAAAAAwADALcAAAD1AgAAAAA=&#10;">
                  <v:imagedata r:id="rId10" o:title="A picture containing clipart&#10;&#10;Description automatically generated"/>
                </v:shape>
                <v:shape id="object 9" o:spid="_x0000_s1028" type="#_x0000_t75" style="position:absolute;top:5292;width:20599;height:2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N/IwQAAANsAAAAPAAAAZHJzL2Rvd25yZXYueG1sRI/RisIw&#10;FETfF/yHcAXf1rQrLFKNIoIoPiyrux9waa5NsbkpTbZN/94sCD4OM3OGWW+jbURPna8dK8jnGQji&#10;0umaKwW/P4f3JQgfkDU2jknBSB62m8nbGgvtBr5Qfw2VSBD2BSowIbSFlL40ZNHPXUucvJvrLIYk&#10;u0rqDocEt438yLJPabHmtGCwpb2h8n79swriGM3xRsdhf/7OF/ILe6pGqdRsGncrEIFieIWf7ZNW&#10;sMjh/0v6AXLzAAAA//8DAFBLAQItABQABgAIAAAAIQDb4fbL7gAAAIUBAAATAAAAAAAAAAAAAAAA&#10;AAAAAABbQ29udGVudF9UeXBlc10ueG1sUEsBAi0AFAAGAAgAAAAhAFr0LFu/AAAAFQEAAAsAAAAA&#10;AAAAAAAAAAAAHwEAAF9yZWxzLy5yZWxzUEsBAi0AFAAGAAgAAAAhACJE38jBAAAA2wAAAA8AAAAA&#10;AAAAAAAAAAAABwIAAGRycy9kb3ducmV2LnhtbFBLBQYAAAAAAwADALcAAAD1AgAAAAA=&#10;">
                  <v:imagedata r:id="rId11" o:title=""/>
                </v:shape>
                <w10:wrap anchorx="margin"/>
              </v:group>
            </w:pict>
          </mc:Fallback>
        </mc:AlternateContent>
      </w:r>
    </w:p>
    <w:p w:rsidR="00184CAB" w:rsidRDefault="00184CAB">
      <w:pPr>
        <w:tabs>
          <w:tab w:val="left" w:pos="5229"/>
        </w:tabs>
        <w:spacing w:line="360" w:lineRule="auto"/>
      </w:pPr>
    </w:p>
    <w:p w:rsidR="00184CAB" w:rsidRDefault="002B1930">
      <w:pPr>
        <w:spacing w:line="360" w:lineRule="auto"/>
        <w:jc w:val="center"/>
        <w:rPr>
          <w:b/>
          <w:bCs/>
          <w:color w:val="4C4747"/>
          <w:sz w:val="28"/>
        </w:rPr>
      </w:pPr>
      <w:r>
        <w:rPr>
          <w:b/>
          <w:bCs/>
          <w:color w:val="4C4747"/>
          <w:sz w:val="28"/>
        </w:rPr>
        <w:t>INDICE DE CONTENIDO</w:t>
      </w:r>
    </w:p>
    <w:p w:rsidR="00184CAB" w:rsidRDefault="002B1930">
      <w:pPr>
        <w:spacing w:line="360" w:lineRule="auto"/>
      </w:pPr>
      <w:r>
        <w:rPr>
          <w:noProof/>
          <w:color w:val="4C4747"/>
        </w:rPr>
        <mc:AlternateContent>
          <mc:Choice Requires="wps">
            <w:drawing>
              <wp:anchor distT="0" distB="0" distL="114300" distR="114300" simplePos="0" relativeHeight="251634688" behindDoc="0" locked="0" layoutInCell="1" allowOverlap="1">
                <wp:simplePos x="0" y="0"/>
                <wp:positionH relativeFrom="margin">
                  <wp:align>center</wp:align>
                </wp:positionH>
                <wp:positionV relativeFrom="paragraph">
                  <wp:posOffset>29846</wp:posOffset>
                </wp:positionV>
                <wp:extent cx="462915" cy="0"/>
                <wp:effectExtent l="0" t="19050" r="32385" b="19050"/>
                <wp:wrapNone/>
                <wp:docPr id="32" name="Straight Connector 18"/>
                <wp:cNvGraphicFramePr/>
                <a:graphic xmlns:a="http://schemas.openxmlformats.org/drawingml/2006/main">
                  <a:graphicData uri="http://schemas.microsoft.com/office/word/2010/wordprocessingShape">
                    <wps:wsp>
                      <wps:cNvCnPr/>
                      <wps:spPr>
                        <a:xfrm>
                          <a:off x="0" y="0"/>
                          <a:ext cx="462915" cy="0"/>
                        </a:xfrm>
                        <a:prstGeom prst="straightConnector1">
                          <a:avLst/>
                        </a:prstGeom>
                        <a:noFill/>
                        <a:ln w="28575" cap="flat">
                          <a:solidFill>
                            <a:srgbClr val="EE2A24"/>
                          </a:solidFill>
                          <a:prstDash val="solid"/>
                          <a:miter/>
                        </a:ln>
                      </wps:spPr>
                      <wps:bodyPr/>
                    </wps:wsp>
                  </a:graphicData>
                </a:graphic>
              </wp:anchor>
            </w:drawing>
          </mc:Choice>
          <mc:Fallback>
            <w:pict>
              <v:shape w14:anchorId="2DA7849D" id="Straight Connector 18" o:spid="_x0000_s1026" type="#_x0000_t32" style="position:absolute;margin-left:0;margin-top:2.35pt;width:36.45pt;height:0;z-index:25163468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3GetQEAAFMDAAAOAAAAZHJzL2Uyb0RvYy54bWysU8tu2zAQvBfoPxC817LUJHUFy0FhJ70U&#10;rYGkH0BTpESAL+yylv33WdKOk6a3oBdS5O7M7gxXy9uDs2yvAE3wHa9nc86Ul6E3fuj478f7TwvO&#10;MAnfCxu86vhRIb9dffywnGKrmjAG2ytgROKxnWLHx5RiW1UoR+UEzkJUnoI6gBOJjjBUPYiJ2J2t&#10;mvn8ppoC9BGCVIh0uzkF+arwa61k+qU1qsRsx6m3VFYo6y6v1Wop2gFEHI08tyHe0YUTxlPRC9VG&#10;JMH+gPmHyhkJAYNOMxlcFbQ2UhUNpKaev1HzMIqoihYyB+PFJvx/tPLnfgvM9B3/3HDmhaM3ekgg&#10;zDAmtg7ek4MBWL3ITk0RWwKs/RbOJ4xbyLIPGlzeSRA7FHePF3fVITFJl1c3zdf6mjP5HKpecBEw&#10;fVfBsfzRcTx3cGmgLuaK/Q9MVJmAz4Bc1Id7Y215SevZ1PFmcf0lFxI0UNqKVMAYrOlzYoYgDLu1&#10;BbYXNBd3d8235ioLJOK/0nKVjcDxlFdCp4lxJqnsAQGspy07c/Iif+1CfywWlXt6uZJ4nrI8Gq/P&#10;Bf3yL6yeAAAA//8DAFBLAwQUAAYACAAAACEAr1KjBNkAAAADAQAADwAAAGRycy9kb3ducmV2Lnht&#10;bEyPwU7DMBBE70j8g7VI3KjTFjAJcSqEVI4IQiXEbRMvSUS8jmy3DXw9hgscRzOaeVNuZjuKA/kw&#10;ONawXGQgiFtnBu407F62FzcgQkQ2ODomDZ8UYFOdnpRYGHfkZzrUsROphEOBGvoYp0LK0PZkMSzc&#10;RJy8d+ctxiR9J43HYyq3o1xl2bW0OHBa6HGi+57aj3pvNcjlY73dvao8f1qrB//VXGVr9ab1+dl8&#10;dwsi0hz/wvCDn9ChSkyN27MJYtSQjkQNlwpEMtUqB9H8SlmV8j979Q0AAP//AwBQSwECLQAUAAYA&#10;CAAAACEAtoM4kv4AAADhAQAAEwAAAAAAAAAAAAAAAAAAAAAAW0NvbnRlbnRfVHlwZXNdLnhtbFBL&#10;AQItABQABgAIAAAAIQA4/SH/1gAAAJQBAAALAAAAAAAAAAAAAAAAAC8BAABfcmVscy8ucmVsc1BL&#10;AQItABQABgAIAAAAIQBOX3GetQEAAFMDAAAOAAAAAAAAAAAAAAAAAC4CAABkcnMvZTJvRG9jLnht&#10;bFBLAQItABQABgAIAAAAIQCvUqME2QAAAAMBAAAPAAAAAAAAAAAAAAAAAA8EAABkcnMvZG93bnJl&#10;di54bWxQSwUGAAAAAAQABADzAAAAFQUAAAAA&#10;" strokecolor="#ee2a24" strokeweight="2.25pt">
                <v:stroke joinstyle="miter"/>
                <w10:wrap anchorx="margin"/>
              </v:shape>
            </w:pict>
          </mc:Fallback>
        </mc:AlternateContent>
      </w:r>
    </w:p>
    <w:p w:rsidR="00184CAB" w:rsidRDefault="002B1930">
      <w:pPr>
        <w:spacing w:line="360" w:lineRule="auto"/>
        <w:jc w:val="center"/>
        <w:rPr>
          <w:color w:val="4C4747"/>
        </w:rPr>
      </w:pPr>
      <w:r>
        <w:rPr>
          <w:color w:val="4C4747"/>
        </w:rPr>
        <w:t>Memoria Institucional 2025</w:t>
      </w:r>
    </w:p>
    <w:p w:rsidR="00184CAB" w:rsidRDefault="002B1930">
      <w:pPr>
        <w:pStyle w:val="TDC1"/>
        <w:tabs>
          <w:tab w:val="right" w:leader="dot" w:pos="7910"/>
        </w:tabs>
      </w:pPr>
      <w:r>
        <w:fldChar w:fldCharType="begin"/>
      </w:r>
      <w:r>
        <w:instrText xml:space="preserve"> TOC \o "1-3" \u \h </w:instrText>
      </w:r>
      <w:r>
        <w:fldChar w:fldCharType="separate"/>
      </w:r>
      <w:hyperlink r:id="rId14" w:history="1">
        <w:r>
          <w:rPr>
            <w:rStyle w:val="Hipervnculo"/>
          </w:rPr>
          <w:t>PRESENTACIÓN</w:t>
        </w:r>
        <w:r>
          <w:tab/>
          <w:t>4</w:t>
        </w:r>
      </w:hyperlink>
    </w:p>
    <w:p w:rsidR="00184CAB" w:rsidRDefault="002B1930">
      <w:pPr>
        <w:pStyle w:val="TDC1"/>
        <w:tabs>
          <w:tab w:val="right" w:leader="dot" w:pos="480"/>
          <w:tab w:val="right" w:leader="dot" w:pos="7910"/>
        </w:tabs>
      </w:pPr>
      <w:hyperlink r:id="rId15" w:history="1">
        <w:r>
          <w:rPr>
            <w:rStyle w:val="Hipervnculo"/>
          </w:rPr>
          <w:t>I.</w:t>
        </w:r>
        <w:r>
          <w:rPr>
            <w:rFonts w:ascii="Calibri" w:eastAsia="Times New Roman" w:hAnsi="Calibri"/>
            <w:color w:val="auto"/>
            <w:spacing w:val="0"/>
            <w:sz w:val="22"/>
            <w:szCs w:val="22"/>
            <w:lang w:val="es-DO" w:eastAsia="es-DO"/>
          </w:rPr>
          <w:tab/>
        </w:r>
        <w:r>
          <w:rPr>
            <w:rStyle w:val="Hipervnculo"/>
          </w:rPr>
          <w:t>RESUMEN EJECUTIVO</w:t>
        </w:r>
        <w:r>
          <w:tab/>
          <w:t>6</w:t>
        </w:r>
      </w:hyperlink>
    </w:p>
    <w:p w:rsidR="00184CAB" w:rsidRDefault="002B1930">
      <w:pPr>
        <w:pStyle w:val="TDC1"/>
        <w:tabs>
          <w:tab w:val="right" w:leader="dot" w:pos="660"/>
          <w:tab w:val="right" w:leader="dot" w:pos="7910"/>
        </w:tabs>
      </w:pPr>
      <w:hyperlink r:id="rId16" w:history="1">
        <w:r>
          <w:rPr>
            <w:rStyle w:val="Hipervnculo"/>
          </w:rPr>
          <w:t>II.</w:t>
        </w:r>
        <w:r>
          <w:rPr>
            <w:rFonts w:ascii="Calibri" w:eastAsia="Times New Roman" w:hAnsi="Calibri"/>
            <w:color w:val="auto"/>
            <w:spacing w:val="0"/>
            <w:sz w:val="22"/>
            <w:szCs w:val="22"/>
            <w:lang w:val="es-DO" w:eastAsia="es-DO"/>
          </w:rPr>
          <w:tab/>
        </w:r>
        <w:r>
          <w:rPr>
            <w:rStyle w:val="Hipervnculo"/>
          </w:rPr>
          <w:t>INFORMACIÓN INSTITUCIONAL</w:t>
        </w:r>
        <w:r>
          <w:tab/>
          <w:t>9</w:t>
        </w:r>
      </w:hyperlink>
    </w:p>
    <w:p w:rsidR="00184CAB" w:rsidRDefault="002B1930">
      <w:pPr>
        <w:pStyle w:val="TDC2"/>
        <w:tabs>
          <w:tab w:val="right" w:leader="dot" w:pos="1100"/>
          <w:tab w:val="right" w:leader="dot" w:pos="7910"/>
        </w:tabs>
      </w:pPr>
      <w:hyperlink r:id="rId17" w:history="1">
        <w:r>
          <w:rPr>
            <w:rStyle w:val="Hipervnculo"/>
            <w:b/>
          </w:rPr>
          <w:t>2.1.</w:t>
        </w:r>
        <w:r>
          <w:rPr>
            <w:rFonts w:ascii="Calibri" w:eastAsia="Times New Roman" w:hAnsi="Calibri"/>
            <w:color w:val="auto"/>
            <w:spacing w:val="0"/>
            <w:sz w:val="22"/>
            <w:szCs w:val="22"/>
            <w:lang w:val="es-DO" w:eastAsia="es-DO"/>
          </w:rPr>
          <w:tab/>
        </w:r>
        <w:r>
          <w:rPr>
            <w:rStyle w:val="Hipervnculo"/>
            <w:b/>
          </w:rPr>
          <w:t>Marco filosófico institucional</w:t>
        </w:r>
        <w:r>
          <w:tab/>
          <w:t>10</w:t>
        </w:r>
      </w:hyperlink>
    </w:p>
    <w:p w:rsidR="00184CAB" w:rsidRDefault="002B1930">
      <w:pPr>
        <w:pStyle w:val="TDC2"/>
        <w:tabs>
          <w:tab w:val="right" w:leader="dot" w:pos="1100"/>
          <w:tab w:val="right" w:leader="dot" w:pos="7910"/>
        </w:tabs>
      </w:pPr>
      <w:hyperlink r:id="rId18" w:history="1">
        <w:r>
          <w:rPr>
            <w:rStyle w:val="Hipervnculo"/>
            <w:b/>
          </w:rPr>
          <w:t>2.2.</w:t>
        </w:r>
        <w:r>
          <w:rPr>
            <w:rFonts w:ascii="Calibri" w:eastAsia="Times New Roman" w:hAnsi="Calibri"/>
            <w:color w:val="auto"/>
            <w:spacing w:val="0"/>
            <w:sz w:val="22"/>
            <w:szCs w:val="22"/>
            <w:lang w:val="es-DO" w:eastAsia="es-DO"/>
          </w:rPr>
          <w:tab/>
        </w:r>
        <w:r>
          <w:rPr>
            <w:rStyle w:val="Hipervnculo"/>
            <w:b/>
          </w:rPr>
          <w:t>Base legal</w:t>
        </w:r>
        <w:r>
          <w:tab/>
          <w:t>11</w:t>
        </w:r>
      </w:hyperlink>
    </w:p>
    <w:p w:rsidR="00184CAB" w:rsidRDefault="002B1930">
      <w:pPr>
        <w:pStyle w:val="TDC2"/>
        <w:tabs>
          <w:tab w:val="right" w:leader="dot" w:pos="1100"/>
          <w:tab w:val="right" w:leader="dot" w:pos="7910"/>
        </w:tabs>
      </w:pPr>
      <w:hyperlink r:id="rId19" w:history="1">
        <w:r>
          <w:rPr>
            <w:rStyle w:val="Hipervnculo"/>
            <w:b/>
            <w:bCs/>
          </w:rPr>
          <w:t>2.3.</w:t>
        </w:r>
        <w:r>
          <w:rPr>
            <w:rFonts w:ascii="Calibri" w:eastAsia="Times New Roman" w:hAnsi="Calibri"/>
            <w:color w:val="auto"/>
            <w:spacing w:val="0"/>
            <w:sz w:val="22"/>
            <w:szCs w:val="22"/>
            <w:lang w:val="es-DO" w:eastAsia="es-DO"/>
          </w:rPr>
          <w:tab/>
        </w:r>
        <w:r>
          <w:rPr>
            <w:rStyle w:val="Hipervnculo"/>
            <w:b/>
            <w:bCs/>
          </w:rPr>
          <w:t>Estructura organizativa</w:t>
        </w:r>
        <w:r>
          <w:tab/>
          <w:t>16</w:t>
        </w:r>
      </w:hyperlink>
    </w:p>
    <w:p w:rsidR="00184CAB" w:rsidRDefault="002B1930">
      <w:pPr>
        <w:pStyle w:val="TDC2"/>
        <w:tabs>
          <w:tab w:val="right" w:leader="dot" w:pos="1100"/>
          <w:tab w:val="right" w:leader="dot" w:pos="7910"/>
        </w:tabs>
      </w:pPr>
      <w:hyperlink r:id="rId20" w:history="1">
        <w:r>
          <w:rPr>
            <w:rStyle w:val="Hipervnculo"/>
          </w:rPr>
          <w:t>2.4.</w:t>
        </w:r>
        <w:r>
          <w:rPr>
            <w:rFonts w:ascii="Calibri" w:eastAsia="Times New Roman" w:hAnsi="Calibri"/>
            <w:color w:val="auto"/>
            <w:spacing w:val="0"/>
            <w:sz w:val="22"/>
            <w:szCs w:val="22"/>
            <w:lang w:val="es-DO" w:eastAsia="es-DO"/>
          </w:rPr>
          <w:tab/>
        </w:r>
        <w:r>
          <w:rPr>
            <w:rStyle w:val="Hipervnculo"/>
            <w:b/>
            <w:bCs/>
          </w:rPr>
          <w:t>Planificación estratégica instituci</w:t>
        </w:r>
        <w:r>
          <w:rPr>
            <w:rStyle w:val="Hipervnculo"/>
            <w:b/>
            <w:bCs/>
          </w:rPr>
          <w:t>onal</w:t>
        </w:r>
        <w:r>
          <w:tab/>
          <w:t>18</w:t>
        </w:r>
      </w:hyperlink>
    </w:p>
    <w:p w:rsidR="00184CAB" w:rsidRDefault="002B1930">
      <w:pPr>
        <w:pStyle w:val="TDC1"/>
        <w:tabs>
          <w:tab w:val="right" w:leader="dot" w:pos="7910"/>
        </w:tabs>
      </w:pPr>
      <w:hyperlink r:id="rId21" w:history="1">
        <w:r>
          <w:rPr>
            <w:rStyle w:val="Hipervnculo"/>
          </w:rPr>
          <w:t>RESULTADOS MISIONALES</w:t>
        </w:r>
        <w:r>
          <w:tab/>
          <w:t>21</w:t>
        </w:r>
      </w:hyperlink>
    </w:p>
    <w:p w:rsidR="00184CAB" w:rsidRDefault="002B1930">
      <w:pPr>
        <w:pStyle w:val="TDC2"/>
        <w:tabs>
          <w:tab w:val="right" w:leader="dot" w:pos="1100"/>
          <w:tab w:val="right" w:leader="dot" w:pos="7910"/>
        </w:tabs>
      </w:pPr>
      <w:hyperlink r:id="rId22" w:history="1">
        <w:r>
          <w:rPr>
            <w:rStyle w:val="Hipervnculo"/>
            <w:b/>
          </w:rPr>
          <w:t>3.1.</w:t>
        </w:r>
        <w:r>
          <w:rPr>
            <w:rFonts w:ascii="Calibri" w:eastAsia="Times New Roman" w:hAnsi="Calibri"/>
            <w:color w:val="auto"/>
            <w:spacing w:val="0"/>
            <w:sz w:val="22"/>
            <w:szCs w:val="22"/>
            <w:lang w:val="es-DO" w:eastAsia="es-DO"/>
          </w:rPr>
          <w:tab/>
        </w:r>
        <w:r>
          <w:rPr>
            <w:rStyle w:val="Hipervnculo"/>
            <w:b/>
          </w:rPr>
          <w:t>Gestión del Viceministerio de Innovación, Transparencia y Atención Ciudadana</w:t>
        </w:r>
        <w:r>
          <w:tab/>
          <w:t>21</w:t>
        </w:r>
      </w:hyperlink>
    </w:p>
    <w:p w:rsidR="00184CAB" w:rsidRDefault="002B1930">
      <w:pPr>
        <w:pStyle w:val="TDC2"/>
        <w:tabs>
          <w:tab w:val="right" w:leader="dot" w:pos="1100"/>
          <w:tab w:val="right" w:leader="dot" w:pos="7910"/>
        </w:tabs>
      </w:pPr>
      <w:hyperlink r:id="rId23" w:history="1">
        <w:r>
          <w:rPr>
            <w:rStyle w:val="Hipervnculo"/>
            <w:b/>
          </w:rPr>
          <w:t>3.2.</w:t>
        </w:r>
        <w:r>
          <w:rPr>
            <w:rFonts w:ascii="Calibri" w:eastAsia="Times New Roman" w:hAnsi="Calibri"/>
            <w:color w:val="auto"/>
            <w:spacing w:val="0"/>
            <w:sz w:val="22"/>
            <w:szCs w:val="22"/>
            <w:lang w:val="es-DO" w:eastAsia="es-DO"/>
          </w:rPr>
          <w:tab/>
        </w:r>
        <w:r>
          <w:rPr>
            <w:rStyle w:val="Hipervnculo"/>
            <w:b/>
          </w:rPr>
          <w:t>Gestión del Viceministerio de Gestión</w:t>
        </w:r>
        <w:r>
          <w:rPr>
            <w:rStyle w:val="Hipervnculo"/>
            <w:b/>
          </w:rPr>
          <w:t xml:space="preserve"> Social y Comunitaria</w:t>
        </w:r>
        <w:r>
          <w:tab/>
          <w:t>25</w:t>
        </w:r>
      </w:hyperlink>
    </w:p>
    <w:p w:rsidR="00184CAB" w:rsidRDefault="002B1930">
      <w:pPr>
        <w:pStyle w:val="TDC2"/>
        <w:tabs>
          <w:tab w:val="right" w:leader="dot" w:pos="1100"/>
          <w:tab w:val="right" w:leader="dot" w:pos="7910"/>
        </w:tabs>
      </w:pPr>
      <w:hyperlink r:id="rId24" w:history="1">
        <w:r>
          <w:rPr>
            <w:rStyle w:val="Hipervnculo"/>
            <w:b/>
          </w:rPr>
          <w:t>3.3.</w:t>
        </w:r>
        <w:r>
          <w:rPr>
            <w:rFonts w:ascii="Calibri" w:eastAsia="Times New Roman" w:hAnsi="Calibri"/>
            <w:color w:val="auto"/>
            <w:spacing w:val="0"/>
            <w:sz w:val="22"/>
            <w:szCs w:val="22"/>
            <w:lang w:val="es-DO" w:eastAsia="es-DO"/>
          </w:rPr>
          <w:tab/>
        </w:r>
        <w:r>
          <w:rPr>
            <w:rStyle w:val="Hipervnculo"/>
            <w:b/>
          </w:rPr>
          <w:t>Gestión de la Dirección de Desarrollo de Proyectos Comunitarios</w:t>
        </w:r>
        <w:r>
          <w:tab/>
          <w:t>26</w:t>
        </w:r>
      </w:hyperlink>
    </w:p>
    <w:p w:rsidR="00184CAB" w:rsidRDefault="002B1930">
      <w:pPr>
        <w:pStyle w:val="TDC2"/>
        <w:tabs>
          <w:tab w:val="right" w:leader="dot" w:pos="1100"/>
          <w:tab w:val="right" w:leader="dot" w:pos="7910"/>
        </w:tabs>
      </w:pPr>
      <w:hyperlink r:id="rId25" w:history="1">
        <w:r>
          <w:rPr>
            <w:rStyle w:val="Hipervnculo"/>
            <w:b/>
          </w:rPr>
          <w:t>3.4.</w:t>
        </w:r>
        <w:r>
          <w:rPr>
            <w:rFonts w:ascii="Calibri" w:eastAsia="Times New Roman" w:hAnsi="Calibri"/>
            <w:color w:val="auto"/>
            <w:spacing w:val="0"/>
            <w:sz w:val="22"/>
            <w:szCs w:val="22"/>
            <w:lang w:val="es-DO" w:eastAsia="es-DO"/>
          </w:rPr>
          <w:tab/>
        </w:r>
        <w:r>
          <w:rPr>
            <w:rStyle w:val="Hipervnculo"/>
            <w:b/>
          </w:rPr>
          <w:t xml:space="preserve">Gestión del Viceministerio de Asuntos Interinstitucionales y Relación con los Poderes del </w:t>
        </w:r>
        <w:r>
          <w:rPr>
            <w:rStyle w:val="Hipervnculo"/>
            <w:b/>
          </w:rPr>
          <w:t>Estado</w:t>
        </w:r>
        <w:r>
          <w:tab/>
          <w:t>29</w:t>
        </w:r>
      </w:hyperlink>
    </w:p>
    <w:p w:rsidR="00184CAB" w:rsidRDefault="002B1930">
      <w:pPr>
        <w:pStyle w:val="TDC2"/>
        <w:tabs>
          <w:tab w:val="right" w:leader="dot" w:pos="1100"/>
          <w:tab w:val="right" w:leader="dot" w:pos="7910"/>
        </w:tabs>
      </w:pPr>
      <w:hyperlink r:id="rId26" w:history="1">
        <w:r>
          <w:rPr>
            <w:rStyle w:val="Hipervnculo"/>
            <w:b/>
          </w:rPr>
          <w:t>3.5.</w:t>
        </w:r>
        <w:r>
          <w:rPr>
            <w:rFonts w:ascii="Calibri" w:eastAsia="Times New Roman" w:hAnsi="Calibri"/>
            <w:color w:val="auto"/>
            <w:spacing w:val="0"/>
            <w:sz w:val="22"/>
            <w:szCs w:val="22"/>
            <w:lang w:val="es-DO" w:eastAsia="es-DO"/>
          </w:rPr>
          <w:tab/>
        </w:r>
        <w:r>
          <w:rPr>
            <w:rStyle w:val="Hipervnculo"/>
            <w:b/>
          </w:rPr>
          <w:t>Gestión del Departamento de Archivo Central de la Presidencia</w:t>
        </w:r>
        <w:r>
          <w:tab/>
          <w:t>31</w:t>
        </w:r>
      </w:hyperlink>
    </w:p>
    <w:p w:rsidR="00184CAB" w:rsidRDefault="002B1930">
      <w:pPr>
        <w:pStyle w:val="TDC2"/>
        <w:tabs>
          <w:tab w:val="right" w:leader="dot" w:pos="1100"/>
          <w:tab w:val="right" w:leader="dot" w:pos="7910"/>
        </w:tabs>
      </w:pPr>
      <w:hyperlink r:id="rId27" w:history="1">
        <w:r>
          <w:rPr>
            <w:rStyle w:val="Hipervnculo"/>
            <w:b/>
          </w:rPr>
          <w:t>3.6.</w:t>
        </w:r>
        <w:r>
          <w:rPr>
            <w:rFonts w:ascii="Calibri" w:eastAsia="Times New Roman" w:hAnsi="Calibri"/>
            <w:color w:val="auto"/>
            <w:spacing w:val="0"/>
            <w:sz w:val="22"/>
            <w:szCs w:val="22"/>
            <w:lang w:val="es-DO" w:eastAsia="es-DO"/>
          </w:rPr>
          <w:tab/>
        </w:r>
        <w:r>
          <w:rPr>
            <w:rStyle w:val="Hipervnculo"/>
            <w:b/>
          </w:rPr>
          <w:t>Gestión de la Dirección de Gestión de Documentos del</w:t>
        </w:r>
        <w:r>
          <w:tab/>
          <w:t>35</w:t>
        </w:r>
      </w:hyperlink>
    </w:p>
    <w:p w:rsidR="00184CAB" w:rsidRDefault="002B1930">
      <w:pPr>
        <w:pStyle w:val="TDC2"/>
        <w:tabs>
          <w:tab w:val="right" w:leader="dot" w:pos="7910"/>
        </w:tabs>
      </w:pPr>
      <w:hyperlink r:id="rId28" w:history="1">
        <w:r>
          <w:rPr>
            <w:rStyle w:val="Hipervnculo"/>
            <w:b/>
          </w:rPr>
          <w:t>Ministro</w:t>
        </w:r>
        <w:r>
          <w:tab/>
          <w:t>35</w:t>
        </w:r>
      </w:hyperlink>
    </w:p>
    <w:p w:rsidR="00184CAB" w:rsidRDefault="002B1930">
      <w:pPr>
        <w:pStyle w:val="TDC2"/>
        <w:tabs>
          <w:tab w:val="right" w:leader="dot" w:pos="1100"/>
          <w:tab w:val="right" w:leader="dot" w:pos="7910"/>
        </w:tabs>
      </w:pPr>
      <w:hyperlink r:id="rId29" w:history="1">
        <w:r>
          <w:rPr>
            <w:rStyle w:val="Hipervnculo"/>
            <w:b/>
          </w:rPr>
          <w:t>3.7.</w:t>
        </w:r>
        <w:r>
          <w:rPr>
            <w:rFonts w:ascii="Calibri" w:eastAsia="Times New Roman" w:hAnsi="Calibri"/>
            <w:color w:val="auto"/>
            <w:spacing w:val="0"/>
            <w:sz w:val="22"/>
            <w:szCs w:val="22"/>
            <w:lang w:val="es-DO" w:eastAsia="es-DO"/>
          </w:rPr>
          <w:tab/>
        </w:r>
        <w:r>
          <w:rPr>
            <w:rStyle w:val="Hipervnculo"/>
            <w:b/>
          </w:rPr>
          <w:t>Gestión del Departamento de Edecanes</w:t>
        </w:r>
        <w:r>
          <w:tab/>
          <w:t>36</w:t>
        </w:r>
      </w:hyperlink>
    </w:p>
    <w:p w:rsidR="00184CAB" w:rsidRDefault="002B1930">
      <w:pPr>
        <w:pStyle w:val="TDC1"/>
        <w:tabs>
          <w:tab w:val="right" w:leader="dot" w:pos="7910"/>
        </w:tabs>
      </w:pPr>
      <w:hyperlink r:id="rId30" w:history="1">
        <w:r>
          <w:rPr>
            <w:rStyle w:val="Hipervnculo"/>
          </w:rPr>
          <w:t>RESULTADOS ÁREAS TRANSVERSALES Y DE APOYO.</w:t>
        </w:r>
        <w:r>
          <w:tab/>
          <w:t>39</w:t>
        </w:r>
      </w:hyperlink>
    </w:p>
    <w:p w:rsidR="00184CAB" w:rsidRDefault="002B1930">
      <w:pPr>
        <w:pStyle w:val="TDC2"/>
        <w:tabs>
          <w:tab w:val="right" w:leader="dot" w:pos="1100"/>
          <w:tab w:val="right" w:leader="dot" w:pos="7910"/>
        </w:tabs>
      </w:pPr>
      <w:hyperlink r:id="rId31" w:history="1">
        <w:r>
          <w:rPr>
            <w:rStyle w:val="Hipervnculo"/>
            <w:b/>
          </w:rPr>
          <w:t>3.8.</w:t>
        </w:r>
        <w:r>
          <w:rPr>
            <w:rFonts w:ascii="Calibri" w:eastAsia="Times New Roman" w:hAnsi="Calibri"/>
            <w:color w:val="auto"/>
            <w:spacing w:val="0"/>
            <w:sz w:val="22"/>
            <w:szCs w:val="22"/>
            <w:lang w:val="es-DO" w:eastAsia="es-DO"/>
          </w:rPr>
          <w:tab/>
        </w:r>
        <w:r>
          <w:rPr>
            <w:rStyle w:val="Hipervnculo"/>
            <w:b/>
          </w:rPr>
          <w:t>Gestión de la Dirección de Ceremonial y Protocolo</w:t>
        </w:r>
        <w:r>
          <w:tab/>
          <w:t>39</w:t>
        </w:r>
      </w:hyperlink>
    </w:p>
    <w:p w:rsidR="00184CAB" w:rsidRDefault="002B1930">
      <w:pPr>
        <w:pStyle w:val="TDC2"/>
        <w:tabs>
          <w:tab w:val="right" w:leader="dot" w:pos="1100"/>
          <w:tab w:val="right" w:leader="dot" w:pos="7910"/>
        </w:tabs>
      </w:pPr>
      <w:hyperlink r:id="rId32" w:history="1">
        <w:r>
          <w:rPr>
            <w:rStyle w:val="Hipervnculo"/>
            <w:b/>
          </w:rPr>
          <w:t>3.9.</w:t>
        </w:r>
        <w:r>
          <w:rPr>
            <w:rFonts w:ascii="Calibri" w:eastAsia="Times New Roman" w:hAnsi="Calibri"/>
            <w:color w:val="auto"/>
            <w:spacing w:val="0"/>
            <w:sz w:val="22"/>
            <w:szCs w:val="22"/>
            <w:lang w:val="es-DO" w:eastAsia="es-DO"/>
          </w:rPr>
          <w:tab/>
        </w:r>
        <w:r>
          <w:rPr>
            <w:rStyle w:val="Hipervnculo"/>
            <w:b/>
          </w:rPr>
          <w:t>Gestión de la Dirección de Eventos</w:t>
        </w:r>
        <w:r>
          <w:tab/>
          <w:t>40</w:t>
        </w:r>
      </w:hyperlink>
    </w:p>
    <w:p w:rsidR="00184CAB" w:rsidRDefault="002B1930">
      <w:pPr>
        <w:pStyle w:val="TDC2"/>
        <w:tabs>
          <w:tab w:val="right" w:leader="dot" w:pos="1100"/>
          <w:tab w:val="right" w:leader="dot" w:pos="7910"/>
        </w:tabs>
      </w:pPr>
      <w:hyperlink r:id="rId33" w:history="1">
        <w:r>
          <w:rPr>
            <w:rStyle w:val="Hipervnculo"/>
            <w:b/>
          </w:rPr>
          <w:t>3.10.</w:t>
        </w:r>
        <w:r>
          <w:rPr>
            <w:rFonts w:ascii="Calibri" w:eastAsia="Times New Roman" w:hAnsi="Calibri"/>
            <w:color w:val="auto"/>
            <w:spacing w:val="0"/>
            <w:sz w:val="22"/>
            <w:szCs w:val="22"/>
            <w:lang w:val="es-DO" w:eastAsia="es-DO"/>
          </w:rPr>
          <w:tab/>
        </w:r>
        <w:r>
          <w:rPr>
            <w:rStyle w:val="Hipervnculo"/>
            <w:b/>
          </w:rPr>
          <w:t>Desempeño de la Dirección de Servicios de Alimentación Presidencial</w:t>
        </w:r>
        <w:r>
          <w:tab/>
          <w:t>41</w:t>
        </w:r>
      </w:hyperlink>
    </w:p>
    <w:p w:rsidR="00184CAB" w:rsidRDefault="002B1930">
      <w:pPr>
        <w:pStyle w:val="TDC2"/>
        <w:tabs>
          <w:tab w:val="right" w:leader="dot" w:pos="1100"/>
          <w:tab w:val="right" w:leader="dot" w:pos="7910"/>
        </w:tabs>
      </w:pPr>
      <w:hyperlink r:id="rId34" w:history="1">
        <w:r>
          <w:rPr>
            <w:rStyle w:val="Hipervnculo"/>
            <w:b/>
          </w:rPr>
          <w:t>3.11.</w:t>
        </w:r>
        <w:r>
          <w:rPr>
            <w:rFonts w:ascii="Calibri" w:eastAsia="Times New Roman" w:hAnsi="Calibri"/>
            <w:color w:val="auto"/>
            <w:spacing w:val="0"/>
            <w:sz w:val="22"/>
            <w:szCs w:val="22"/>
            <w:lang w:val="es-DO" w:eastAsia="es-DO"/>
          </w:rPr>
          <w:tab/>
        </w:r>
        <w:r>
          <w:rPr>
            <w:rStyle w:val="Hipervnculo"/>
            <w:b/>
          </w:rPr>
          <w:t>Desempeño de la Dirección de Compras y Contrata</w:t>
        </w:r>
        <w:r>
          <w:rPr>
            <w:rStyle w:val="Hipervnculo"/>
            <w:b/>
          </w:rPr>
          <w:t>ciones</w:t>
        </w:r>
        <w:r>
          <w:tab/>
          <w:t>42</w:t>
        </w:r>
      </w:hyperlink>
    </w:p>
    <w:p w:rsidR="00184CAB" w:rsidRDefault="002B1930">
      <w:pPr>
        <w:pStyle w:val="TDC2"/>
        <w:tabs>
          <w:tab w:val="right" w:leader="dot" w:pos="1100"/>
          <w:tab w:val="right" w:leader="dot" w:pos="7910"/>
        </w:tabs>
      </w:pPr>
      <w:hyperlink r:id="rId35" w:history="1">
        <w:r>
          <w:rPr>
            <w:rStyle w:val="Hipervnculo"/>
            <w:b/>
          </w:rPr>
          <w:t>3.12.</w:t>
        </w:r>
        <w:r>
          <w:rPr>
            <w:rFonts w:ascii="Calibri" w:eastAsia="Times New Roman" w:hAnsi="Calibri"/>
            <w:color w:val="auto"/>
            <w:spacing w:val="0"/>
            <w:sz w:val="22"/>
            <w:szCs w:val="22"/>
            <w:lang w:val="es-DO" w:eastAsia="es-DO"/>
          </w:rPr>
          <w:tab/>
        </w:r>
        <w:r>
          <w:rPr>
            <w:rStyle w:val="Hipervnculo"/>
            <w:b/>
          </w:rPr>
          <w:t>Desempeño de la Dirección de Control Interno</w:t>
        </w:r>
        <w:r>
          <w:tab/>
          <w:t>44</w:t>
        </w:r>
      </w:hyperlink>
    </w:p>
    <w:p w:rsidR="00184CAB" w:rsidRDefault="002B1930">
      <w:pPr>
        <w:pStyle w:val="TDC2"/>
        <w:tabs>
          <w:tab w:val="right" w:leader="dot" w:pos="1100"/>
          <w:tab w:val="right" w:leader="dot" w:pos="7910"/>
        </w:tabs>
      </w:pPr>
      <w:hyperlink r:id="rId36" w:history="1">
        <w:r>
          <w:rPr>
            <w:rStyle w:val="Hipervnculo"/>
            <w:b/>
          </w:rPr>
          <w:t>3.13.</w:t>
        </w:r>
        <w:r>
          <w:rPr>
            <w:rFonts w:ascii="Calibri" w:eastAsia="Times New Roman" w:hAnsi="Calibri"/>
            <w:color w:val="auto"/>
            <w:spacing w:val="0"/>
            <w:sz w:val="22"/>
            <w:szCs w:val="22"/>
            <w:lang w:val="es-DO" w:eastAsia="es-DO"/>
          </w:rPr>
          <w:tab/>
        </w:r>
        <w:r>
          <w:rPr>
            <w:rStyle w:val="Hipervnculo"/>
            <w:b/>
          </w:rPr>
          <w:t>Gestión de Enlace del Poder Ejecutivo con la Comunidad Cristiana</w:t>
        </w:r>
        <w:r>
          <w:tab/>
          <w:t>46</w:t>
        </w:r>
      </w:hyperlink>
    </w:p>
    <w:p w:rsidR="00184CAB" w:rsidRDefault="002B1930">
      <w:pPr>
        <w:pStyle w:val="TDC2"/>
        <w:tabs>
          <w:tab w:val="right" w:leader="dot" w:pos="1100"/>
          <w:tab w:val="right" w:leader="dot" w:pos="7910"/>
        </w:tabs>
      </w:pPr>
      <w:hyperlink r:id="rId37" w:history="1">
        <w:r>
          <w:rPr>
            <w:rStyle w:val="Hipervnculo"/>
            <w:b/>
          </w:rPr>
          <w:t>3.15.</w:t>
        </w:r>
        <w:r>
          <w:rPr>
            <w:rFonts w:ascii="Calibri" w:eastAsia="Times New Roman" w:hAnsi="Calibri"/>
            <w:color w:val="auto"/>
            <w:spacing w:val="0"/>
            <w:sz w:val="22"/>
            <w:szCs w:val="22"/>
            <w:lang w:val="es-DO" w:eastAsia="es-DO"/>
          </w:rPr>
          <w:tab/>
        </w:r>
        <w:r>
          <w:rPr>
            <w:rStyle w:val="Hipervnculo"/>
            <w:b/>
          </w:rPr>
          <w:t xml:space="preserve">Desempeño de la </w:t>
        </w:r>
        <w:r>
          <w:rPr>
            <w:rStyle w:val="Hipervnculo"/>
            <w:b/>
          </w:rPr>
          <w:t>Dirección de Ingeniería</w:t>
        </w:r>
        <w:r>
          <w:tab/>
          <w:t>49</w:t>
        </w:r>
      </w:hyperlink>
    </w:p>
    <w:p w:rsidR="00184CAB" w:rsidRDefault="002B1930">
      <w:pPr>
        <w:pStyle w:val="TDC2"/>
        <w:tabs>
          <w:tab w:val="right" w:leader="dot" w:pos="1100"/>
          <w:tab w:val="right" w:leader="dot" w:pos="7910"/>
        </w:tabs>
      </w:pPr>
      <w:hyperlink r:id="rId38" w:history="1">
        <w:r>
          <w:rPr>
            <w:rStyle w:val="Hipervnculo"/>
            <w:b/>
          </w:rPr>
          <w:t>4.1.</w:t>
        </w:r>
        <w:r>
          <w:rPr>
            <w:rFonts w:ascii="Calibri" w:eastAsia="Times New Roman" w:hAnsi="Calibri"/>
            <w:color w:val="auto"/>
            <w:spacing w:val="0"/>
            <w:sz w:val="22"/>
            <w:szCs w:val="22"/>
            <w:lang w:val="es-DO" w:eastAsia="es-DO"/>
          </w:rPr>
          <w:tab/>
        </w:r>
        <w:r>
          <w:rPr>
            <w:rStyle w:val="Hipervnculo"/>
            <w:b/>
          </w:rPr>
          <w:t>Desempeño de la Dirección Administrativa</w:t>
        </w:r>
        <w:r>
          <w:tab/>
          <w:t>55</w:t>
        </w:r>
      </w:hyperlink>
    </w:p>
    <w:p w:rsidR="00184CAB" w:rsidRDefault="002B1930">
      <w:pPr>
        <w:pStyle w:val="TDC2"/>
        <w:tabs>
          <w:tab w:val="right" w:leader="dot" w:pos="1100"/>
          <w:tab w:val="right" w:leader="dot" w:pos="7910"/>
        </w:tabs>
      </w:pPr>
      <w:hyperlink r:id="rId39" w:history="1">
        <w:r>
          <w:rPr>
            <w:rStyle w:val="Hipervnculo"/>
            <w:b/>
          </w:rPr>
          <w:t>4.3.</w:t>
        </w:r>
        <w:r>
          <w:rPr>
            <w:rFonts w:ascii="Calibri" w:eastAsia="Times New Roman" w:hAnsi="Calibri"/>
            <w:color w:val="auto"/>
            <w:spacing w:val="0"/>
            <w:sz w:val="22"/>
            <w:szCs w:val="22"/>
            <w:lang w:val="es-DO" w:eastAsia="es-DO"/>
          </w:rPr>
          <w:tab/>
        </w:r>
        <w:r>
          <w:rPr>
            <w:rStyle w:val="Hipervnculo"/>
            <w:b/>
          </w:rPr>
          <w:t>Desempeño de la Dirección de Recursos Humanos</w:t>
        </w:r>
        <w:r>
          <w:tab/>
          <w:t>61</w:t>
        </w:r>
      </w:hyperlink>
    </w:p>
    <w:p w:rsidR="00184CAB" w:rsidRDefault="002B1930">
      <w:pPr>
        <w:pStyle w:val="TDC2"/>
        <w:tabs>
          <w:tab w:val="right" w:leader="dot" w:pos="1100"/>
          <w:tab w:val="right" w:leader="dot" w:pos="7910"/>
        </w:tabs>
      </w:pPr>
      <w:hyperlink r:id="rId40" w:history="1">
        <w:r>
          <w:rPr>
            <w:rStyle w:val="Hipervnculo"/>
            <w:b/>
          </w:rPr>
          <w:t>4.4.</w:t>
        </w:r>
        <w:r>
          <w:rPr>
            <w:rFonts w:ascii="Calibri" w:eastAsia="Times New Roman" w:hAnsi="Calibri"/>
            <w:color w:val="auto"/>
            <w:spacing w:val="0"/>
            <w:sz w:val="22"/>
            <w:szCs w:val="22"/>
            <w:lang w:val="es-DO" w:eastAsia="es-DO"/>
          </w:rPr>
          <w:tab/>
        </w:r>
        <w:r>
          <w:rPr>
            <w:rStyle w:val="Hipervnculo"/>
            <w:b/>
          </w:rPr>
          <w:t>Desempeño de la Dirección</w:t>
        </w:r>
        <w:r>
          <w:rPr>
            <w:rStyle w:val="Hipervnculo"/>
            <w:b/>
          </w:rPr>
          <w:t xml:space="preserve"> Jurídica</w:t>
        </w:r>
        <w:r>
          <w:tab/>
          <w:t>71</w:t>
        </w:r>
      </w:hyperlink>
    </w:p>
    <w:p w:rsidR="00184CAB" w:rsidRDefault="002B1930">
      <w:pPr>
        <w:pStyle w:val="TDC2"/>
        <w:tabs>
          <w:tab w:val="right" w:leader="dot" w:pos="1100"/>
          <w:tab w:val="right" w:leader="dot" w:pos="7910"/>
        </w:tabs>
      </w:pPr>
      <w:hyperlink r:id="rId41" w:history="1">
        <w:r>
          <w:rPr>
            <w:rStyle w:val="Hipervnculo"/>
            <w:b/>
          </w:rPr>
          <w:t>4.5.</w:t>
        </w:r>
        <w:r>
          <w:rPr>
            <w:rFonts w:ascii="Calibri" w:eastAsia="Times New Roman" w:hAnsi="Calibri"/>
            <w:color w:val="auto"/>
            <w:spacing w:val="0"/>
            <w:sz w:val="22"/>
            <w:szCs w:val="22"/>
            <w:lang w:val="es-DO" w:eastAsia="es-DO"/>
          </w:rPr>
          <w:tab/>
        </w:r>
        <w:r>
          <w:rPr>
            <w:rStyle w:val="Hipervnculo"/>
            <w:b/>
          </w:rPr>
          <w:t>Desempeño de la Dirección de Transformación Digital.</w:t>
        </w:r>
        <w:r>
          <w:tab/>
          <w:t>72</w:t>
        </w:r>
      </w:hyperlink>
    </w:p>
    <w:p w:rsidR="00184CAB" w:rsidRDefault="002B1930">
      <w:pPr>
        <w:pStyle w:val="TDC2"/>
        <w:tabs>
          <w:tab w:val="right" w:leader="dot" w:pos="1100"/>
          <w:tab w:val="right" w:leader="dot" w:pos="7910"/>
        </w:tabs>
      </w:pPr>
      <w:hyperlink r:id="rId42" w:history="1">
        <w:r>
          <w:rPr>
            <w:rStyle w:val="Hipervnculo"/>
            <w:b/>
          </w:rPr>
          <w:t>4.6.</w:t>
        </w:r>
        <w:r>
          <w:rPr>
            <w:rFonts w:ascii="Calibri" w:eastAsia="Times New Roman" w:hAnsi="Calibri"/>
            <w:color w:val="auto"/>
            <w:spacing w:val="0"/>
            <w:sz w:val="22"/>
            <w:szCs w:val="22"/>
            <w:lang w:val="es-DO" w:eastAsia="es-DO"/>
          </w:rPr>
          <w:tab/>
        </w:r>
        <w:r>
          <w:rPr>
            <w:rStyle w:val="Hipervnculo"/>
            <w:b/>
          </w:rPr>
          <w:t>Desempeño de la Dirección de Planificación y Desarrollo Institucional</w:t>
        </w:r>
        <w:r>
          <w:tab/>
          <w:t>82</w:t>
        </w:r>
      </w:hyperlink>
    </w:p>
    <w:p w:rsidR="00184CAB" w:rsidRDefault="002B1930">
      <w:pPr>
        <w:pStyle w:val="TDC2"/>
        <w:tabs>
          <w:tab w:val="right" w:leader="dot" w:pos="1100"/>
          <w:tab w:val="right" w:leader="dot" w:pos="7910"/>
        </w:tabs>
      </w:pPr>
      <w:hyperlink r:id="rId43" w:history="1">
        <w:r>
          <w:rPr>
            <w:rStyle w:val="Hipervnculo"/>
            <w:b/>
          </w:rPr>
          <w:t>4.7.</w:t>
        </w:r>
        <w:r>
          <w:rPr>
            <w:rFonts w:ascii="Calibri" w:eastAsia="Times New Roman" w:hAnsi="Calibri"/>
            <w:color w:val="auto"/>
            <w:spacing w:val="0"/>
            <w:sz w:val="22"/>
            <w:szCs w:val="22"/>
            <w:lang w:val="es-DO" w:eastAsia="es-DO"/>
          </w:rPr>
          <w:tab/>
        </w:r>
        <w:r>
          <w:rPr>
            <w:rStyle w:val="Hipervnculo"/>
            <w:b/>
          </w:rPr>
          <w:t>Des</w:t>
        </w:r>
        <w:r>
          <w:rPr>
            <w:rStyle w:val="Hipervnculo"/>
            <w:b/>
          </w:rPr>
          <w:t>empeño de la Dirección de Comunicaciones</w:t>
        </w:r>
        <w:r>
          <w:tab/>
          <w:t>91</w:t>
        </w:r>
      </w:hyperlink>
    </w:p>
    <w:p w:rsidR="00184CAB" w:rsidRDefault="002B1930">
      <w:pPr>
        <w:pStyle w:val="TDC1"/>
        <w:tabs>
          <w:tab w:val="right" w:leader="dot" w:pos="7910"/>
        </w:tabs>
      </w:pPr>
      <w:hyperlink r:id="rId44" w:history="1">
        <w:r>
          <w:rPr>
            <w:rStyle w:val="Hipervnculo"/>
          </w:rPr>
          <w:t>SERVICIO AL CIUDADANO Y TRANSPARENCIA INSTITUCIONAL.</w:t>
        </w:r>
        <w:r>
          <w:tab/>
          <w:t>96</w:t>
        </w:r>
      </w:hyperlink>
    </w:p>
    <w:p w:rsidR="00184CAB" w:rsidRDefault="002B1930">
      <w:pPr>
        <w:pStyle w:val="TDC2"/>
        <w:tabs>
          <w:tab w:val="right" w:leader="dot" w:pos="1100"/>
          <w:tab w:val="right" w:leader="dot" w:pos="7910"/>
        </w:tabs>
      </w:pPr>
      <w:hyperlink r:id="rId45" w:history="1">
        <w:r>
          <w:rPr>
            <w:rStyle w:val="Hipervnculo"/>
            <w:b/>
          </w:rPr>
          <w:t>5.1.</w:t>
        </w:r>
        <w:r>
          <w:rPr>
            <w:rFonts w:ascii="Calibri" w:eastAsia="Times New Roman" w:hAnsi="Calibri"/>
            <w:color w:val="auto"/>
            <w:spacing w:val="0"/>
            <w:sz w:val="22"/>
            <w:szCs w:val="22"/>
            <w:lang w:val="es-DO" w:eastAsia="es-DO"/>
          </w:rPr>
          <w:tab/>
        </w:r>
        <w:r>
          <w:rPr>
            <w:rStyle w:val="Hipervnculo"/>
            <w:b/>
          </w:rPr>
          <w:t>Nivel de la satisfacción con el servicio</w:t>
        </w:r>
        <w:r>
          <w:tab/>
          <w:t>98</w:t>
        </w:r>
      </w:hyperlink>
    </w:p>
    <w:p w:rsidR="00184CAB" w:rsidRDefault="002B1930">
      <w:pPr>
        <w:pStyle w:val="TDC2"/>
        <w:tabs>
          <w:tab w:val="right" w:leader="dot" w:pos="1100"/>
          <w:tab w:val="right" w:leader="dot" w:pos="7910"/>
        </w:tabs>
      </w:pPr>
      <w:hyperlink r:id="rId46" w:history="1">
        <w:r>
          <w:rPr>
            <w:rStyle w:val="Hipervnculo"/>
            <w:b/>
          </w:rPr>
          <w:t>5.2.</w:t>
        </w:r>
        <w:r>
          <w:rPr>
            <w:rFonts w:ascii="Calibri" w:eastAsia="Times New Roman" w:hAnsi="Calibri"/>
            <w:color w:val="auto"/>
            <w:spacing w:val="0"/>
            <w:sz w:val="22"/>
            <w:szCs w:val="22"/>
            <w:lang w:val="es-DO" w:eastAsia="es-DO"/>
          </w:rPr>
          <w:tab/>
        </w:r>
        <w:r>
          <w:rPr>
            <w:rStyle w:val="Hipervnculo"/>
            <w:b/>
          </w:rPr>
          <w:t xml:space="preserve">Nivel </w:t>
        </w:r>
        <w:r>
          <w:rPr>
            <w:rStyle w:val="Hipervnculo"/>
            <w:b/>
          </w:rPr>
          <w:t>de cumplimiento acceso a la información</w:t>
        </w:r>
        <w:r>
          <w:tab/>
          <w:t>99</w:t>
        </w:r>
      </w:hyperlink>
    </w:p>
    <w:p w:rsidR="00184CAB" w:rsidRDefault="002B1930">
      <w:pPr>
        <w:pStyle w:val="TDC2"/>
        <w:tabs>
          <w:tab w:val="right" w:leader="dot" w:pos="1100"/>
          <w:tab w:val="right" w:leader="dot" w:pos="7910"/>
        </w:tabs>
      </w:pPr>
      <w:hyperlink r:id="rId47" w:history="1">
        <w:r>
          <w:rPr>
            <w:rStyle w:val="Hipervnculo"/>
            <w:b/>
          </w:rPr>
          <w:t>5.3.</w:t>
        </w:r>
        <w:r>
          <w:rPr>
            <w:rFonts w:ascii="Calibri" w:eastAsia="Times New Roman" w:hAnsi="Calibri"/>
            <w:color w:val="auto"/>
            <w:spacing w:val="0"/>
            <w:sz w:val="22"/>
            <w:szCs w:val="22"/>
            <w:lang w:val="es-DO" w:eastAsia="es-DO"/>
          </w:rPr>
          <w:tab/>
        </w:r>
        <w:r>
          <w:rPr>
            <w:rStyle w:val="Hipervnculo"/>
            <w:b/>
          </w:rPr>
          <w:t>Resultados sistemas de quejas, reclamos y sugerencias</w:t>
        </w:r>
        <w:r>
          <w:tab/>
          <w:t>100</w:t>
        </w:r>
      </w:hyperlink>
    </w:p>
    <w:p w:rsidR="00184CAB" w:rsidRDefault="002B1930">
      <w:pPr>
        <w:pStyle w:val="TDC2"/>
        <w:tabs>
          <w:tab w:val="right" w:leader="dot" w:pos="1100"/>
          <w:tab w:val="right" w:leader="dot" w:pos="7910"/>
        </w:tabs>
      </w:pPr>
      <w:hyperlink r:id="rId48" w:history="1">
        <w:r>
          <w:rPr>
            <w:rStyle w:val="Hipervnculo"/>
            <w:b/>
          </w:rPr>
          <w:t>5.4.</w:t>
        </w:r>
        <w:r>
          <w:rPr>
            <w:rFonts w:ascii="Calibri" w:eastAsia="Times New Roman" w:hAnsi="Calibri"/>
            <w:color w:val="auto"/>
            <w:spacing w:val="0"/>
            <w:sz w:val="22"/>
            <w:szCs w:val="22"/>
            <w:lang w:val="es-DO" w:eastAsia="es-DO"/>
          </w:rPr>
          <w:tab/>
        </w:r>
        <w:r>
          <w:rPr>
            <w:rStyle w:val="Hipervnculo"/>
            <w:b/>
          </w:rPr>
          <w:t>Resultados de mediciones del portal de transparencia</w:t>
        </w:r>
        <w:r>
          <w:tab/>
          <w:t>100</w:t>
        </w:r>
      </w:hyperlink>
    </w:p>
    <w:p w:rsidR="00184CAB" w:rsidRDefault="002B1930">
      <w:pPr>
        <w:pStyle w:val="TDC1"/>
        <w:tabs>
          <w:tab w:val="right" w:leader="dot" w:pos="7910"/>
        </w:tabs>
      </w:pPr>
      <w:hyperlink r:id="rId49" w:history="1">
        <w:r>
          <w:rPr>
            <w:rStyle w:val="Hipervnculo"/>
          </w:rPr>
          <w:t>PROYECCIONES DE PRÓXIMO AÑO</w:t>
        </w:r>
        <w:r>
          <w:tab/>
          <w:t>101</w:t>
        </w:r>
      </w:hyperlink>
    </w:p>
    <w:p w:rsidR="00184CAB" w:rsidRDefault="002B1930">
      <w:pPr>
        <w:pStyle w:val="TDC2"/>
        <w:tabs>
          <w:tab w:val="right" w:leader="dot" w:pos="7910"/>
        </w:tabs>
      </w:pPr>
      <w:hyperlink r:id="rId50" w:history="1">
        <w:r>
          <w:rPr>
            <w:rStyle w:val="Hipervnculo"/>
            <w:b/>
            <w:lang w:val="es-DO"/>
          </w:rPr>
          <w:t>PROYECCIONES DE ÁREAS MISIONALES</w:t>
        </w:r>
        <w:r>
          <w:tab/>
          <w:t>101</w:t>
        </w:r>
      </w:hyperlink>
    </w:p>
    <w:p w:rsidR="00184CAB" w:rsidRDefault="002B1930">
      <w:pPr>
        <w:pStyle w:val="TDC2"/>
        <w:tabs>
          <w:tab w:val="right" w:leader="dot" w:pos="7910"/>
        </w:tabs>
      </w:pPr>
      <w:hyperlink r:id="rId51" w:history="1">
        <w:r>
          <w:rPr>
            <w:rStyle w:val="Hipervnculo"/>
            <w:b/>
            <w:lang w:val="es-DO"/>
          </w:rPr>
          <w:t>PROYECCIONES DE ÁREAS TRANSVERSALES Y</w:t>
        </w:r>
        <w:r>
          <w:tab/>
          <w:t>103</w:t>
        </w:r>
      </w:hyperlink>
    </w:p>
    <w:p w:rsidR="00184CAB" w:rsidRDefault="002B1930">
      <w:pPr>
        <w:pStyle w:val="TDC2"/>
        <w:tabs>
          <w:tab w:val="right" w:leader="dot" w:pos="7910"/>
        </w:tabs>
      </w:pPr>
      <w:hyperlink r:id="rId52" w:history="1">
        <w:r>
          <w:rPr>
            <w:rStyle w:val="Hipervnculo"/>
            <w:b/>
            <w:lang w:val="es-DO"/>
          </w:rPr>
          <w:t>UNIDADES DE APOYO</w:t>
        </w:r>
        <w:r>
          <w:tab/>
          <w:t>1</w:t>
        </w:r>
        <w:r>
          <w:t>03</w:t>
        </w:r>
      </w:hyperlink>
    </w:p>
    <w:p w:rsidR="00184CAB" w:rsidRDefault="002B1930">
      <w:pPr>
        <w:pStyle w:val="TDC1"/>
        <w:tabs>
          <w:tab w:val="right" w:leader="dot" w:pos="7910"/>
        </w:tabs>
      </w:pPr>
      <w:hyperlink r:id="rId53" w:history="1">
        <w:r>
          <w:rPr>
            <w:rStyle w:val="Hipervnculo"/>
          </w:rPr>
          <w:t>ANEXOS</w:t>
        </w:r>
        <w:r>
          <w:tab/>
          <w:t>107</w:t>
        </w:r>
      </w:hyperlink>
    </w:p>
    <w:p w:rsidR="00184CAB" w:rsidRDefault="002B1930">
      <w:pPr>
        <w:spacing w:line="360" w:lineRule="auto"/>
      </w:pPr>
      <w:r>
        <w:fldChar w:fldCharType="end"/>
      </w:r>
      <w:bookmarkStart w:id="1" w:name="_Hlk86403204"/>
    </w:p>
    <w:p w:rsidR="00184CAB" w:rsidRDefault="00184CAB">
      <w:pPr>
        <w:spacing w:line="360" w:lineRule="auto"/>
      </w:pPr>
    </w:p>
    <w:p w:rsidR="00184CAB" w:rsidRDefault="00184CAB">
      <w:pPr>
        <w:spacing w:line="360" w:lineRule="auto"/>
      </w:pPr>
    </w:p>
    <w:p w:rsidR="00184CAB" w:rsidRDefault="00184CAB">
      <w:pPr>
        <w:spacing w:line="360" w:lineRule="auto"/>
      </w:pPr>
    </w:p>
    <w:p w:rsidR="00184CAB" w:rsidRDefault="00184CAB">
      <w:pPr>
        <w:spacing w:line="360" w:lineRule="auto"/>
      </w:pPr>
    </w:p>
    <w:p w:rsidR="00184CAB" w:rsidRDefault="00184CAB">
      <w:pPr>
        <w:spacing w:line="360" w:lineRule="auto"/>
      </w:pPr>
    </w:p>
    <w:p w:rsidR="00184CAB" w:rsidRDefault="002B1930">
      <w:pPr>
        <w:pStyle w:val="Ttulo1"/>
        <w:rPr>
          <w:color w:val="4C4747"/>
          <w:szCs w:val="24"/>
        </w:rPr>
      </w:pPr>
      <w:bookmarkStart w:id="2" w:name="_Toc217043934"/>
      <w:bookmarkStart w:id="3" w:name="_Toc217907905"/>
      <w:bookmarkStart w:id="4" w:name="_Toc217914406"/>
      <w:r>
        <w:rPr>
          <w:color w:val="4C4747"/>
          <w:szCs w:val="24"/>
        </w:rPr>
        <w:lastRenderedPageBreak/>
        <w:t>PRESENTACIÓN</w:t>
      </w:r>
      <w:bookmarkEnd w:id="2"/>
      <w:bookmarkEnd w:id="3"/>
      <w:bookmarkEnd w:id="4"/>
    </w:p>
    <w:p w:rsidR="00184CAB" w:rsidRDefault="002B1930">
      <w:pPr>
        <w:spacing w:line="360" w:lineRule="auto"/>
      </w:pPr>
      <w:r>
        <w:rPr>
          <w:noProof/>
          <w:color w:val="4C4747"/>
        </w:rPr>
        <mc:AlternateContent>
          <mc:Choice Requires="wps">
            <w:drawing>
              <wp:anchor distT="0" distB="0" distL="114300" distR="114300" simplePos="0" relativeHeight="251649024" behindDoc="0" locked="0" layoutInCell="1" allowOverlap="1">
                <wp:simplePos x="0" y="0"/>
                <wp:positionH relativeFrom="margin">
                  <wp:align>center</wp:align>
                </wp:positionH>
                <wp:positionV relativeFrom="paragraph">
                  <wp:posOffset>22860</wp:posOffset>
                </wp:positionV>
                <wp:extent cx="462915" cy="0"/>
                <wp:effectExtent l="0" t="19050" r="32385" b="19050"/>
                <wp:wrapNone/>
                <wp:docPr id="33" name="Straight Connector 21"/>
                <wp:cNvGraphicFramePr/>
                <a:graphic xmlns:a="http://schemas.openxmlformats.org/drawingml/2006/main">
                  <a:graphicData uri="http://schemas.microsoft.com/office/word/2010/wordprocessingShape">
                    <wps:wsp>
                      <wps:cNvCnPr/>
                      <wps:spPr>
                        <a:xfrm>
                          <a:off x="0" y="0"/>
                          <a:ext cx="462915" cy="0"/>
                        </a:xfrm>
                        <a:prstGeom prst="straightConnector1">
                          <a:avLst/>
                        </a:prstGeom>
                        <a:noFill/>
                        <a:ln w="28575" cap="flat">
                          <a:solidFill>
                            <a:srgbClr val="EE2A24"/>
                          </a:solidFill>
                          <a:prstDash val="solid"/>
                          <a:miter/>
                        </a:ln>
                      </wps:spPr>
                      <wps:bodyPr/>
                    </wps:wsp>
                  </a:graphicData>
                </a:graphic>
              </wp:anchor>
            </w:drawing>
          </mc:Choice>
          <mc:Fallback>
            <w:pict>
              <v:shape w14:anchorId="67EF8AE8" id="Straight Connector 21" o:spid="_x0000_s1026" type="#_x0000_t32" style="position:absolute;margin-left:0;margin-top:1.8pt;width:36.45pt;height:0;z-index:25164902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PxitQEAAFMDAAAOAAAAZHJzL2Uyb0RvYy54bWysU8tu2zAQvBfIPxC817KUR1PBclDYSS9F&#10;ayDNB9AUKRHgC7uMZf99lrTjtOkt6IUUuTuzO8PV4m7vLNspQBN8x+vZnDPlZeiNHzr+9Pvh8y1n&#10;mITvhQ1edfygkN8tLz4tptiqJozB9goYkXhsp9jxMaXYVhXKUTmBsxCVp6AO4ESiIwxVD2Iidmer&#10;Zj6/qaYAfYQgFSLdro9Bviz8WiuZfmmNKjHbceotlRXKus1rtVyIdgARRyNPbYgPdOGE8VT0TLUW&#10;SbBnMP9QOSMhYNBpJoOrgtZGqqKB1NTzd2oeRxFV0ULmYDzbhP+PVv7cbYCZvuOXl5x54eiNHhMI&#10;M4yJrYL35GAA1tTZqSliS4CV38DphHEDWfZeg8s7CWL74u7h7K7aJybp8uqm+VpfcyZfQ9UbLgKm&#10;7yo4lj86jqcOzg3UxVyx+4GJKhPwFZCL+vBgrC0vaT2bOt7cXn/JhQQNlLYiFTAGa/qcmCEIw3Zl&#10;ge0EzcX9ffOtucoCifivtFxlLXA85pXQcWKcSSp7QADracvOHL3IX9vQH4pF5Z5eriSepiyPxp/n&#10;gn77F5YvAAAA//8DAFBLAwQUAAYACAAAACEA6UjOFdoAAAADAQAADwAAAGRycy9kb3ducmV2Lnht&#10;bEyPQUvDQBSE74L/YXmCN7tpg41Jsyki1KNoLIi3l+xrEsy+DbvbNvrrXb3ocZhh5ptyO5tRnMj5&#10;wbKC5SIBQdxaPXCnYP+6u7kD4QOyxtEyKfgkD9vq8qLEQtszv9CpDp2IJewLVNCHMBVS+rYng35h&#10;J+LoHawzGKJ0ndQOz7HcjHKVJGtpcOC40ONEDz21H/XRKJDLp3q3f8vy/DnNHt1Xc5uk2btS11fz&#10;/QZEoDn8heEHP6JDFZkae2TtxaggHgkK0jWIaGarHETzK2VVyv/s1TcAAAD//wMAUEsBAi0AFAAG&#10;AAgAAAAhALaDOJL+AAAA4QEAABMAAAAAAAAAAAAAAAAAAAAAAFtDb250ZW50X1R5cGVzXS54bWxQ&#10;SwECLQAUAAYACAAAACEAOP0h/9YAAACUAQAACwAAAAAAAAAAAAAAAAAvAQAAX3JlbHMvLnJlbHNQ&#10;SwECLQAUAAYACAAAACEAKCT8YrUBAABTAwAADgAAAAAAAAAAAAAAAAAuAgAAZHJzL2Uyb0RvYy54&#10;bWxQSwECLQAUAAYACAAAACEA6UjOFdoAAAADAQAADwAAAAAAAAAAAAAAAAAPBAAAZHJzL2Rvd25y&#10;ZXYueG1sUEsFBgAAAAAEAAQA8wAAABYFAAAAAA==&#10;" strokecolor="#ee2a24" strokeweight="2.25pt">
                <v:stroke joinstyle="miter"/>
                <w10:wrap anchorx="margin"/>
              </v:shape>
            </w:pict>
          </mc:Fallback>
        </mc:AlternateContent>
      </w:r>
    </w:p>
    <w:p w:rsidR="00184CAB" w:rsidRDefault="002B1930">
      <w:pPr>
        <w:spacing w:line="360" w:lineRule="auto"/>
        <w:jc w:val="center"/>
        <w:rPr>
          <w:color w:val="4C4747"/>
        </w:rPr>
      </w:pPr>
      <w:r>
        <w:rPr>
          <w:color w:val="4C4747"/>
        </w:rPr>
        <w:t>Memoria Institucional 2025</w:t>
      </w:r>
    </w:p>
    <w:p w:rsidR="00184CAB" w:rsidRDefault="002B1930">
      <w:pPr>
        <w:spacing w:line="360" w:lineRule="auto"/>
        <w:jc w:val="both"/>
        <w:rPr>
          <w:color w:val="4C4747"/>
        </w:rPr>
      </w:pPr>
      <w:r>
        <w:rPr>
          <w:color w:val="4C4747"/>
        </w:rPr>
        <w:t>El Ministerio Administrativo de la Presidencia en cumplimiento con el mandato constitucional consagrado bajo el articulo núm. 128 de la Constitución Política d</w:t>
      </w:r>
      <w:r>
        <w:rPr>
          <w:color w:val="4C4747"/>
        </w:rPr>
        <w:t>e la República Dominicana, tiene el honor de presentar la Memoria Institucional correspondiente al año 2025. Este documento compila los principales logros alcanzados durante el período, reflejando el compromiso sostenido de esta institución con la transpar</w:t>
      </w:r>
      <w:r>
        <w:rPr>
          <w:color w:val="4C4747"/>
        </w:rPr>
        <w:t>encia, la eficiencia administrativa y el fortalecimiento de la gestión pública.</w:t>
      </w:r>
    </w:p>
    <w:p w:rsidR="00184CAB" w:rsidRDefault="002B1930">
      <w:pPr>
        <w:spacing w:line="360" w:lineRule="auto"/>
        <w:jc w:val="both"/>
        <w:rPr>
          <w:color w:val="4C4747"/>
        </w:rPr>
      </w:pPr>
      <w:r>
        <w:rPr>
          <w:color w:val="4C4747"/>
        </w:rPr>
        <w:t>El presente documento ha sido formulado siguiendo los lineamientos establecidos en la Guía de Memorias Institucionales 2025, así como también los instrumentos emitidos por el ó</w:t>
      </w:r>
      <w:r>
        <w:rPr>
          <w:color w:val="4C4747"/>
        </w:rPr>
        <w:t xml:space="preserve">rgano rector, Ministerio de la Presidencia. El contenido está compuesto por las siguientes partes: 1) Resumen Ejecutivo; 2) Información Institucional; 3) Resultados Misionales; 4) Resultados de las áreas transversales y de apoyo; 5)Servicio al ciudadano y </w:t>
      </w:r>
      <w:r>
        <w:rPr>
          <w:color w:val="4C4747"/>
        </w:rPr>
        <w:t>transparencia institucional; 6)Proyecciones al próximo año y 7) anexos, en este apartado es presentado las tablas que representan los logros de relevancia de la institución, Gestión Presupuestaria Anual, Indicadores Principales del Plan Operativo Anual y s</w:t>
      </w:r>
      <w:r>
        <w:rPr>
          <w:color w:val="4C4747"/>
        </w:rPr>
        <w:t>u desempeño, así como también el resumen del Plan Anual de Compras y Contrataciones.</w:t>
      </w:r>
    </w:p>
    <w:p w:rsidR="00184CAB" w:rsidRDefault="00184CAB">
      <w:pPr>
        <w:spacing w:line="360" w:lineRule="auto"/>
        <w:jc w:val="both"/>
        <w:rPr>
          <w:color w:val="4C4747"/>
        </w:rPr>
      </w:pPr>
    </w:p>
    <w:p w:rsidR="00184CAB" w:rsidRDefault="002B1930">
      <w:pPr>
        <w:spacing w:line="360" w:lineRule="auto"/>
        <w:jc w:val="both"/>
        <w:rPr>
          <w:color w:val="4C4747"/>
        </w:rPr>
      </w:pPr>
      <w:r>
        <w:rPr>
          <w:color w:val="4C4747"/>
        </w:rPr>
        <w:lastRenderedPageBreak/>
        <w:t>Los avances alcanzados han sido posibles gracias al firme compromiso de nuestros colaboradores y al respaldo estratégico de las instituciones aliadas. Esta sinergia ha fo</w:t>
      </w:r>
      <w:r>
        <w:rPr>
          <w:color w:val="4C4747"/>
        </w:rPr>
        <w:t>rtalecido las capacidades del Estado y favorecido el impulso de una gestión pública más moderna, inclusiva y orientada al bienestar colectivo.</w:t>
      </w:r>
    </w:p>
    <w:p w:rsidR="00184CAB" w:rsidRDefault="002B1930">
      <w:pPr>
        <w:spacing w:line="360" w:lineRule="auto"/>
        <w:jc w:val="both"/>
        <w:rPr>
          <w:color w:val="4C4747"/>
        </w:rPr>
      </w:pPr>
      <w:r>
        <w:rPr>
          <w:color w:val="4C4747"/>
        </w:rPr>
        <w:t>Esta Memoria constituye un informe de gestión institucional que reafirma la vocación de este Ministerio por una a</w:t>
      </w:r>
      <w:r>
        <w:rPr>
          <w:color w:val="4C4747"/>
        </w:rPr>
        <w:t>dministración pública eficiente y orientada a resultados, enmarcada a las directrices estratégicas del Estado dominicano.</w:t>
      </w:r>
    </w:p>
    <w:p w:rsidR="00184CAB" w:rsidRDefault="002B1930">
      <w:pPr>
        <w:spacing w:line="360" w:lineRule="auto"/>
        <w:jc w:val="center"/>
        <w:rPr>
          <w:b/>
          <w:color w:val="4C4747"/>
        </w:rPr>
      </w:pPr>
      <w:r>
        <w:rPr>
          <w:b/>
          <w:color w:val="4C4747"/>
        </w:rPr>
        <w:t>Ministerio Administrativo de la Presidencia</w:t>
      </w:r>
    </w:p>
    <w:p w:rsidR="00184CAB" w:rsidRDefault="00184CAB">
      <w:pPr>
        <w:spacing w:line="360" w:lineRule="auto"/>
        <w:jc w:val="both"/>
        <w:rPr>
          <w:color w:val="4C4747"/>
        </w:rPr>
      </w:pPr>
    </w:p>
    <w:p w:rsidR="00184CAB" w:rsidRDefault="00184CAB">
      <w:pPr>
        <w:spacing w:line="360" w:lineRule="auto"/>
        <w:jc w:val="both"/>
        <w:rPr>
          <w:color w:val="4C4747"/>
        </w:rPr>
      </w:pPr>
    </w:p>
    <w:p w:rsidR="00184CAB" w:rsidRDefault="00184CAB">
      <w:pPr>
        <w:spacing w:line="360" w:lineRule="auto"/>
        <w:jc w:val="both"/>
        <w:rPr>
          <w:color w:val="4C4747"/>
        </w:rPr>
      </w:pPr>
    </w:p>
    <w:p w:rsidR="00184CAB" w:rsidRDefault="00184CAB">
      <w:pPr>
        <w:spacing w:line="360" w:lineRule="auto"/>
        <w:jc w:val="both"/>
        <w:rPr>
          <w:color w:val="4C4747"/>
        </w:rPr>
      </w:pPr>
    </w:p>
    <w:p w:rsidR="00184CAB" w:rsidRDefault="00184CAB">
      <w:pPr>
        <w:spacing w:line="360" w:lineRule="auto"/>
        <w:jc w:val="both"/>
        <w:rPr>
          <w:color w:val="4C4747"/>
        </w:rPr>
      </w:pPr>
    </w:p>
    <w:p w:rsidR="00184CAB" w:rsidRDefault="00184CAB">
      <w:pPr>
        <w:spacing w:line="360" w:lineRule="auto"/>
        <w:jc w:val="both"/>
        <w:rPr>
          <w:color w:val="4C4747"/>
        </w:rPr>
      </w:pPr>
    </w:p>
    <w:p w:rsidR="00184CAB" w:rsidRDefault="00184CAB">
      <w:pPr>
        <w:spacing w:line="360" w:lineRule="auto"/>
        <w:jc w:val="both"/>
        <w:rPr>
          <w:color w:val="4C4747"/>
        </w:rPr>
      </w:pPr>
    </w:p>
    <w:p w:rsidR="00184CAB" w:rsidRDefault="00184CAB">
      <w:pPr>
        <w:spacing w:line="360" w:lineRule="auto"/>
        <w:jc w:val="both"/>
        <w:rPr>
          <w:color w:val="4C4747"/>
        </w:rPr>
      </w:pPr>
    </w:p>
    <w:p w:rsidR="00184CAB" w:rsidRDefault="00184CAB">
      <w:pPr>
        <w:spacing w:line="360" w:lineRule="auto"/>
        <w:jc w:val="both"/>
        <w:rPr>
          <w:color w:val="4C4747"/>
        </w:rPr>
      </w:pPr>
    </w:p>
    <w:p w:rsidR="00184CAB" w:rsidRDefault="00184CAB">
      <w:pPr>
        <w:spacing w:line="360" w:lineRule="auto"/>
        <w:jc w:val="both"/>
        <w:rPr>
          <w:color w:val="4C4747"/>
        </w:rPr>
      </w:pPr>
    </w:p>
    <w:p w:rsidR="00184CAB" w:rsidRDefault="00184CAB">
      <w:pPr>
        <w:spacing w:line="360" w:lineRule="auto"/>
        <w:jc w:val="both"/>
        <w:rPr>
          <w:color w:val="4C4747"/>
        </w:rPr>
      </w:pPr>
    </w:p>
    <w:p w:rsidR="00184CAB" w:rsidRDefault="00184CAB">
      <w:pPr>
        <w:spacing w:line="360" w:lineRule="auto"/>
        <w:jc w:val="both"/>
        <w:rPr>
          <w:color w:val="4C4747"/>
        </w:rPr>
      </w:pPr>
    </w:p>
    <w:p w:rsidR="00184CAB" w:rsidRDefault="002B1930">
      <w:pPr>
        <w:pStyle w:val="Ttulo1"/>
        <w:numPr>
          <w:ilvl w:val="0"/>
          <w:numId w:val="1"/>
        </w:numPr>
        <w:rPr>
          <w:color w:val="4C4747"/>
          <w:szCs w:val="24"/>
        </w:rPr>
      </w:pPr>
      <w:bookmarkStart w:id="5" w:name="_Toc217043935"/>
      <w:bookmarkStart w:id="6" w:name="_Toc217907906"/>
      <w:bookmarkStart w:id="7" w:name="_Toc217914407"/>
      <w:r>
        <w:rPr>
          <w:color w:val="4C4747"/>
          <w:szCs w:val="24"/>
        </w:rPr>
        <w:lastRenderedPageBreak/>
        <w:t>RESUMEN EJECUTIVO</w:t>
      </w:r>
      <w:bookmarkEnd w:id="5"/>
      <w:bookmarkEnd w:id="6"/>
      <w:bookmarkEnd w:id="7"/>
    </w:p>
    <w:p w:rsidR="00184CAB" w:rsidRDefault="002B1930">
      <w:pPr>
        <w:spacing w:line="360" w:lineRule="auto"/>
        <w:jc w:val="both"/>
      </w:pPr>
      <w:r>
        <w:rPr>
          <w:noProof/>
          <w:color w:val="4C4747"/>
        </w:rPr>
        <mc:AlternateContent>
          <mc:Choice Requires="wps">
            <w:drawing>
              <wp:anchor distT="0" distB="0" distL="114300" distR="114300" simplePos="0" relativeHeight="251639808" behindDoc="0" locked="0" layoutInCell="1" allowOverlap="1">
                <wp:simplePos x="0" y="0"/>
                <wp:positionH relativeFrom="margin">
                  <wp:align>center</wp:align>
                </wp:positionH>
                <wp:positionV relativeFrom="paragraph">
                  <wp:posOffset>28273</wp:posOffset>
                </wp:positionV>
                <wp:extent cx="462915" cy="0"/>
                <wp:effectExtent l="0" t="19050" r="32385" b="19050"/>
                <wp:wrapNone/>
                <wp:docPr id="34" name="Straight Connector 21"/>
                <wp:cNvGraphicFramePr/>
                <a:graphic xmlns:a="http://schemas.openxmlformats.org/drawingml/2006/main">
                  <a:graphicData uri="http://schemas.microsoft.com/office/word/2010/wordprocessingShape">
                    <wps:wsp>
                      <wps:cNvCnPr/>
                      <wps:spPr>
                        <a:xfrm>
                          <a:off x="0" y="0"/>
                          <a:ext cx="462915" cy="0"/>
                        </a:xfrm>
                        <a:prstGeom prst="straightConnector1">
                          <a:avLst/>
                        </a:prstGeom>
                        <a:noFill/>
                        <a:ln w="28575" cap="flat">
                          <a:solidFill>
                            <a:srgbClr val="EE2A24"/>
                          </a:solidFill>
                          <a:prstDash val="solid"/>
                          <a:miter/>
                        </a:ln>
                      </wps:spPr>
                      <wps:bodyPr/>
                    </wps:wsp>
                  </a:graphicData>
                </a:graphic>
              </wp:anchor>
            </w:drawing>
          </mc:Choice>
          <mc:Fallback>
            <w:pict>
              <v:shape w14:anchorId="5E596DAE" id="Straight Connector 21" o:spid="_x0000_s1026" type="#_x0000_t32" style="position:absolute;margin-left:0;margin-top:2.25pt;width:36.45pt;height:0;z-index:25163980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gr2tQEAAFMDAAAOAAAAZHJzL2Uyb0RvYy54bWysU8tu2zAQvBfIPxC817JUJ00Fy0FhJ70U&#10;rYG0H0BTpESAL+wylv33WdKOk6a3ohdS5O7M7gxXy7uDs2yvAE3wHa9nc86Ul6E3fuj4718PH285&#10;wyR8L2zwquNHhfxudfVhOcVWNWEMtlfAiMRjO8WOjynFtqpQjsoJnIWoPAV1ACcSHWGoehATsTtb&#10;NfP5TTUF6CMEqRDpdnMK8lXh11rJ9FNrVInZjlNvqaxQ1l1eq9VStAOIOBp5bkP8QxdOGE9FL1Qb&#10;kQR7AvMXlTMSAgadZjK4KmhtpCoaSE09f6fmcRRRFS1kDsaLTfj/aOWP/RaY6Tv+acGZF47e6DGB&#10;MMOY2Dp4Tw4GYE2dnZoitgRY+y2cTxi3kGUfNLi8kyB2KO4eL+6qQ2KSLhc3zZf6mjP5EqpecREw&#10;fVPBsfzRcTx3cGmgLuaK/XdMVJmAL4Bc1IcHY215SevZ1PHm9vpzLiRooLQVqYAxWNPnxAxBGHZr&#10;C2wvaC7u75uvzSILJOI/0nKVjcDxlFdCp4lxJqnsAQGspy07c/Iif+1CfywWlXt6uZJ4nrI8Gm/P&#10;Bf36L6yeAQAA//8DAFBLAwQUAAYACAAAACEAMvYTOdoAAAADAQAADwAAAGRycy9kb3ducmV2Lnht&#10;bEyPwU7DMBBE70j8g7VI3KjTlpImxKkQUjkiGiqh3jbxkkTE68h228DXY7jAcTSjmTfFZjKDOJHz&#10;vWUF81kCgrixuudWwf51e7MG4QOyxsEyKfgkD5vy8qLAXNsz7+hUhVbEEvY5KuhCGHMpfdORQT+z&#10;I3H03q0zGKJ0rdQOz7HcDHKRJHfSYM9xocORHjtqPqqjUSDnz9V2/5Zm2csyfXJf9SpZpgelrq+m&#10;h3sQgabwF4Yf/IgOZWSq7ZG1F4OCeCQouF2BiGa6yEDUv1KWhfzPXn4DAAD//wMAUEsBAi0AFAAG&#10;AAgAAAAhALaDOJL+AAAA4QEAABMAAAAAAAAAAAAAAAAAAAAAAFtDb250ZW50X1R5cGVzXS54bWxQ&#10;SwECLQAUAAYACAAAACEAOP0h/9YAAACUAQAACwAAAAAAAAAAAAAAAAAvAQAAX3JlbHMvLnJlbHNQ&#10;SwECLQAUAAYACAAAACEAbaYK9rUBAABTAwAADgAAAAAAAAAAAAAAAAAuAgAAZHJzL2Uyb0RvYy54&#10;bWxQSwECLQAUAAYACAAAACEAMvYTOdoAAAADAQAADwAAAAAAAAAAAAAAAAAPBAAAZHJzL2Rvd25y&#10;ZXYueG1sUEsFBgAAAAAEAAQA8wAAABYFAAAAAA==&#10;" strokecolor="#ee2a24" strokeweight="2.25pt">
                <v:stroke joinstyle="miter"/>
                <w10:wrap anchorx="margin"/>
              </v:shape>
            </w:pict>
          </mc:Fallback>
        </mc:AlternateContent>
      </w:r>
    </w:p>
    <w:bookmarkEnd w:id="1"/>
    <w:p w:rsidR="00184CAB" w:rsidRDefault="002B1930">
      <w:pPr>
        <w:spacing w:line="360" w:lineRule="auto"/>
        <w:jc w:val="both"/>
        <w:rPr>
          <w:color w:val="4C4747"/>
        </w:rPr>
      </w:pPr>
      <w:r>
        <w:rPr>
          <w:color w:val="4C4747"/>
        </w:rPr>
        <w:t xml:space="preserve">El Ministerio Administrativo de la Presidencia consolidó </w:t>
      </w:r>
      <w:r>
        <w:rPr>
          <w:color w:val="4C4747"/>
        </w:rPr>
        <w:t>importantes avances en la ejecución de políticas públicas, articulación interinstitucional y optimización de procesos administrativos durante el periodo 2025, por lo que, esta sección presenta una visión estratégica de los resultados más relevantes, enmarc</w:t>
      </w:r>
      <w:r>
        <w:rPr>
          <w:color w:val="4C4747"/>
        </w:rPr>
        <w:t>ados en las prioridades gubernamentales y los lineamientos del Estado dominicano. Se destacan los logros obtenidos en áreas clave de la gestión y las acciones orientadas al fortalecimiento institucional, en consonancia con los objetivos de desarrollo y gob</w:t>
      </w:r>
      <w:r>
        <w:rPr>
          <w:color w:val="4C4747"/>
        </w:rPr>
        <w:t>ernanza pública.</w:t>
      </w:r>
    </w:p>
    <w:p w:rsidR="00184CAB" w:rsidRDefault="002B1930">
      <w:pPr>
        <w:spacing w:line="360" w:lineRule="auto"/>
        <w:jc w:val="both"/>
        <w:rPr>
          <w:color w:val="4C4747"/>
        </w:rPr>
      </w:pPr>
      <w:r>
        <w:rPr>
          <w:color w:val="4C4747"/>
        </w:rPr>
        <w:t xml:space="preserve">Durante este año se fortaleció la consolidación del rol de coordinación y de apoyo operativo a la Presidencia de la República, gestionando los recursos y procesos necesarios para el adecuado funcionamiento del gobierno central. </w:t>
      </w:r>
    </w:p>
    <w:p w:rsidR="00184CAB" w:rsidRDefault="002B1930">
      <w:pPr>
        <w:spacing w:line="360" w:lineRule="auto"/>
        <w:jc w:val="both"/>
        <w:rPr>
          <w:color w:val="4C4747"/>
        </w:rPr>
      </w:pPr>
      <w:r>
        <w:rPr>
          <w:color w:val="4C4747"/>
        </w:rPr>
        <w:t xml:space="preserve">Entre los </w:t>
      </w:r>
      <w:r>
        <w:rPr>
          <w:color w:val="4C4747"/>
        </w:rPr>
        <w:t>avances más relevantes logrados en este ejercicio institucional que se desglosan a lo largo de este documento, se destacan los siguientes:</w:t>
      </w:r>
    </w:p>
    <w:p w:rsidR="00184CAB" w:rsidRDefault="002B1930">
      <w:pPr>
        <w:spacing w:line="360" w:lineRule="auto"/>
        <w:jc w:val="both"/>
      </w:pPr>
      <w:r>
        <w:rPr>
          <w:b/>
          <w:bCs/>
          <w:color w:val="4C4747"/>
          <w:lang w:val="es-DO"/>
        </w:rPr>
        <w:t xml:space="preserve">Innovación pública y fortalecimiento de la transparencia: </w:t>
      </w:r>
      <w:r>
        <w:rPr>
          <w:color w:val="4C4747"/>
          <w:lang w:val="es-DO"/>
        </w:rPr>
        <w:t>Durante el año 2025, el Ministerio Administrativo de la Pre</w:t>
      </w:r>
      <w:r>
        <w:rPr>
          <w:color w:val="4C4747"/>
          <w:lang w:val="es-DO"/>
        </w:rPr>
        <w:t xml:space="preserve">sidencia fortaleció la cultura de innovación pública mediante la celebración de la </w:t>
      </w:r>
      <w:r>
        <w:rPr>
          <w:b/>
          <w:bCs/>
          <w:color w:val="4C4747"/>
          <w:lang w:val="es-DO"/>
        </w:rPr>
        <w:t>V Edición del Premio Nacional a la Innovación Pública</w:t>
      </w:r>
      <w:r>
        <w:rPr>
          <w:color w:val="4C4747"/>
          <w:lang w:val="es-DO"/>
        </w:rPr>
        <w:t xml:space="preserve">, en la cual se evaluaron </w:t>
      </w:r>
      <w:r>
        <w:rPr>
          <w:bCs/>
          <w:color w:val="4C4747"/>
          <w:lang w:val="es-DO"/>
        </w:rPr>
        <w:t>73 propuestas</w:t>
      </w:r>
      <w:r>
        <w:rPr>
          <w:color w:val="4C4747"/>
          <w:lang w:val="es-DO"/>
        </w:rPr>
        <w:t xml:space="preserve">, de las que </w:t>
      </w:r>
      <w:r>
        <w:rPr>
          <w:bCs/>
          <w:color w:val="4C4747"/>
          <w:lang w:val="es-DO"/>
        </w:rPr>
        <w:t>53 avanzaron a la fase final</w:t>
      </w:r>
      <w:r>
        <w:rPr>
          <w:color w:val="4C4747"/>
          <w:lang w:val="es-DO"/>
        </w:rPr>
        <w:t xml:space="preserve">, resultando </w:t>
      </w:r>
      <w:r>
        <w:rPr>
          <w:bCs/>
          <w:color w:val="4C4747"/>
          <w:lang w:val="es-DO"/>
        </w:rPr>
        <w:t>3 proyectos ganadores y 8 m</w:t>
      </w:r>
      <w:r>
        <w:rPr>
          <w:bCs/>
          <w:color w:val="4C4747"/>
          <w:lang w:val="es-DO"/>
        </w:rPr>
        <w:t>enciones de honor</w:t>
      </w:r>
      <w:r>
        <w:rPr>
          <w:color w:val="4C4747"/>
          <w:lang w:val="es-DO"/>
        </w:rPr>
        <w:t xml:space="preserve">. </w:t>
      </w:r>
    </w:p>
    <w:p w:rsidR="00184CAB" w:rsidRDefault="002B1930">
      <w:pPr>
        <w:spacing w:line="360" w:lineRule="auto"/>
        <w:jc w:val="both"/>
      </w:pPr>
      <w:r>
        <w:rPr>
          <w:color w:val="4C4747"/>
          <w:lang w:val="es-DO"/>
        </w:rPr>
        <w:lastRenderedPageBreak/>
        <w:t xml:space="preserve">Esta iniciativa incentivó el desarrollo de soluciones innovadoras dentro del sector público, acompañada de la entrega de </w:t>
      </w:r>
      <w:r>
        <w:rPr>
          <w:b/>
          <w:bCs/>
          <w:color w:val="4C4747"/>
          <w:lang w:val="es-DO"/>
        </w:rPr>
        <w:t>RD$750,000.00</w:t>
      </w:r>
      <w:r>
        <w:rPr>
          <w:bCs/>
          <w:color w:val="4C4747"/>
          <w:lang w:val="es-DO"/>
        </w:rPr>
        <w:t xml:space="preserve"> en premios económicos</w:t>
      </w:r>
      <w:r>
        <w:rPr>
          <w:color w:val="4C4747"/>
          <w:lang w:val="es-DO"/>
        </w:rPr>
        <w:t>, promoviendo mejoras tangibles en la gestión y prestación de servicios públicos</w:t>
      </w:r>
      <w:r>
        <w:rPr>
          <w:color w:val="4C4747"/>
          <w:lang w:val="es-DO"/>
        </w:rPr>
        <w:t xml:space="preserve"> orientados a la ciudadanía.</w:t>
      </w:r>
    </w:p>
    <w:p w:rsidR="00184CAB" w:rsidRDefault="002B1930">
      <w:pPr>
        <w:spacing w:line="360" w:lineRule="auto"/>
        <w:jc w:val="both"/>
      </w:pPr>
      <w:r>
        <w:rPr>
          <w:b/>
          <w:bCs/>
          <w:color w:val="4C4747"/>
          <w:lang w:val="es-DO"/>
        </w:rPr>
        <w:t xml:space="preserve">Consolidación del gobierno digital y cumplimiento normativo: </w:t>
      </w:r>
      <w:r>
        <w:rPr>
          <w:color w:val="4C4747"/>
          <w:lang w:val="es-DO"/>
        </w:rPr>
        <w:t xml:space="preserve">En materia de gobierno electrónico, el MAPRE reafirmó su compromiso con la transparencia y la eficiencia digital mediante la </w:t>
      </w:r>
      <w:r>
        <w:rPr>
          <w:bCs/>
          <w:color w:val="4C4747"/>
          <w:lang w:val="es-DO"/>
        </w:rPr>
        <w:t>recertificación de cinco (5) Normas NORTI</w:t>
      </w:r>
      <w:r>
        <w:rPr>
          <w:bCs/>
          <w:color w:val="4C4747"/>
          <w:lang w:val="es-DO"/>
        </w:rPr>
        <w:t>C</w:t>
      </w:r>
      <w:r>
        <w:rPr>
          <w:color w:val="4C4747"/>
          <w:lang w:val="es-DO"/>
        </w:rPr>
        <w:t xml:space="preserve"> (E1, A3, A5, A6 y A7). Estas certificaciones evidencian el cumplimiento de los estándares nacionales en gestión de redes sociales, datos abiertos, interoperabilidad, servicios digitales y transparencia, consolidando el uso responsable y eficiente de las </w:t>
      </w:r>
      <w:r>
        <w:rPr>
          <w:color w:val="4C4747"/>
          <w:lang w:val="es-DO"/>
        </w:rPr>
        <w:t>tecnologías de la información dentro de la institución.</w:t>
      </w:r>
    </w:p>
    <w:p w:rsidR="00184CAB" w:rsidRDefault="002B1930">
      <w:pPr>
        <w:spacing w:line="360" w:lineRule="auto"/>
        <w:jc w:val="both"/>
      </w:pPr>
      <w:r>
        <w:rPr>
          <w:b/>
          <w:bCs/>
          <w:color w:val="4C4747"/>
          <w:lang w:val="es-DO"/>
        </w:rPr>
        <w:t xml:space="preserve">Transformación digital y continuidad operativa: </w:t>
      </w:r>
      <w:r>
        <w:rPr>
          <w:bCs/>
          <w:color w:val="4C4747"/>
          <w:lang w:val="es-DO"/>
        </w:rPr>
        <w:t>En materia tecnológica, el MAPRE consolidó su proceso de transformación digital mediante la migración del portal institucional a la plataforma Microsoft</w:t>
      </w:r>
      <w:r>
        <w:rPr>
          <w:bCs/>
          <w:color w:val="4C4747"/>
          <w:lang w:val="es-DO"/>
        </w:rPr>
        <w:t xml:space="preserve"> Azure, mejorando la disponibilidad, seguridad y escalabilidad de los servicios digitales, junto con la renovación de plataformas de respaldo, monitoreo, videovigilancia y la implementación de herramientas como CMDB, </w:t>
      </w:r>
      <w:proofErr w:type="spellStart"/>
      <w:r>
        <w:rPr>
          <w:bCs/>
          <w:color w:val="4C4747"/>
          <w:lang w:val="es-DO"/>
        </w:rPr>
        <w:t>Endpoint</w:t>
      </w:r>
      <w:proofErr w:type="spellEnd"/>
      <w:r>
        <w:rPr>
          <w:bCs/>
          <w:color w:val="4C4747"/>
          <w:lang w:val="es-DO"/>
        </w:rPr>
        <w:t xml:space="preserve"> Management y plataformas ambie</w:t>
      </w:r>
      <w:r>
        <w:rPr>
          <w:bCs/>
          <w:color w:val="4C4747"/>
          <w:lang w:val="es-DO"/>
        </w:rPr>
        <w:t>ntales digitales.</w:t>
      </w:r>
    </w:p>
    <w:p w:rsidR="00184CAB" w:rsidRDefault="002B1930">
      <w:pPr>
        <w:spacing w:line="360" w:lineRule="auto"/>
        <w:jc w:val="both"/>
      </w:pPr>
      <w:r>
        <w:rPr>
          <w:b/>
          <w:color w:val="4B4747"/>
        </w:rPr>
        <w:t>Gestión social y atención directa a la ciudadanía:</w:t>
      </w:r>
      <w:r>
        <w:rPr>
          <w:color w:val="4B4747"/>
        </w:rPr>
        <w:t xml:space="preserve"> </w:t>
      </w:r>
      <w:r>
        <w:rPr>
          <w:color w:val="4C4747"/>
        </w:rPr>
        <w:t xml:space="preserve">Durante el período evaluado, la institución brindó atención directa a </w:t>
      </w:r>
      <w:r>
        <w:rPr>
          <w:b/>
          <w:color w:val="4C4747"/>
        </w:rPr>
        <w:t xml:space="preserve">3,606 </w:t>
      </w:r>
      <w:r>
        <w:rPr>
          <w:bCs/>
          <w:color w:val="4C4747"/>
        </w:rPr>
        <w:t>personas beneficiarias</w:t>
      </w:r>
      <w:r>
        <w:rPr>
          <w:color w:val="4C4747"/>
        </w:rPr>
        <w:t xml:space="preserve"> a través </w:t>
      </w:r>
      <w:bookmarkStart w:id="8" w:name="_Hlk216968120"/>
      <w:r>
        <w:rPr>
          <w:color w:val="4C4747"/>
        </w:rPr>
        <w:t>de ayudas médicas, educativas, económicas, materiales de construcción, medicame</w:t>
      </w:r>
      <w:r>
        <w:rPr>
          <w:color w:val="4C4747"/>
        </w:rPr>
        <w:t xml:space="preserve">ntos y donaciones </w:t>
      </w:r>
      <w:r>
        <w:rPr>
          <w:color w:val="4C4747"/>
        </w:rPr>
        <w:lastRenderedPageBreak/>
        <w:t xml:space="preserve">con una </w:t>
      </w:r>
      <w:r>
        <w:rPr>
          <w:bCs/>
          <w:color w:val="4C4747"/>
        </w:rPr>
        <w:t xml:space="preserve">ejecución total de </w:t>
      </w:r>
      <w:r>
        <w:rPr>
          <w:b/>
          <w:bCs/>
          <w:color w:val="4C4747"/>
        </w:rPr>
        <w:t>RD$87,542,584.42</w:t>
      </w:r>
      <w:r>
        <w:rPr>
          <w:color w:val="4C4747"/>
        </w:rPr>
        <w:t xml:space="preserve"> en ayudas sociales y becas nacionales e internacionales.</w:t>
      </w:r>
      <w:bookmarkEnd w:id="8"/>
      <w:r>
        <w:rPr>
          <w:color w:val="4C4747"/>
        </w:rPr>
        <w:t xml:space="preserve"> Estas acciones contribuyeron a mejorar las condiciones de vida de poblaciones vulnerables y a fortalecer la respuesta social del Estado e</w:t>
      </w:r>
      <w:r>
        <w:rPr>
          <w:color w:val="4C4747"/>
        </w:rPr>
        <w:t>n todo el territorio nacional.</w:t>
      </w:r>
    </w:p>
    <w:p w:rsidR="00184CAB" w:rsidRDefault="002B1930">
      <w:pPr>
        <w:spacing w:line="360" w:lineRule="auto"/>
        <w:jc w:val="both"/>
      </w:pPr>
      <w:r>
        <w:rPr>
          <w:b/>
          <w:bCs/>
          <w:color w:val="4C4747"/>
          <w:lang w:val="es-DO"/>
        </w:rPr>
        <w:t xml:space="preserve">Articulación comunitaria y ejecución de proyectos de impacto territorial: </w:t>
      </w:r>
      <w:r>
        <w:rPr>
          <w:bCs/>
          <w:color w:val="4C4747"/>
          <w:lang w:val="es-DO"/>
        </w:rPr>
        <w:t xml:space="preserve">Durante el año 2025, el Ministerio Administrativo de la Presidencia gestionó y ejecutó </w:t>
      </w:r>
      <w:r>
        <w:rPr>
          <w:b/>
          <w:bCs/>
          <w:color w:val="4C4747"/>
          <w:lang w:val="es-DO"/>
        </w:rPr>
        <w:t>258</w:t>
      </w:r>
      <w:r>
        <w:rPr>
          <w:bCs/>
          <w:color w:val="4C4747"/>
          <w:lang w:val="es-DO"/>
        </w:rPr>
        <w:t xml:space="preserve"> proyectos comunitarios en las regiones Norte, Sur, Este y el</w:t>
      </w:r>
      <w:r>
        <w:rPr>
          <w:bCs/>
          <w:color w:val="4C4747"/>
          <w:lang w:val="es-DO"/>
        </w:rPr>
        <w:t xml:space="preserve"> Gran Santo Domingo, canalizando recursos y acciones de apoyo dirigidas a comunidades priorizadas. Estos proyectos estuvieron orientados principalmente a infraestructura urbana, vial, educativa, deportiva y religiosa, fortaleciendo el desarrollo local y la</w:t>
      </w:r>
      <w:r>
        <w:rPr>
          <w:bCs/>
          <w:color w:val="4C4747"/>
          <w:lang w:val="es-DO"/>
        </w:rPr>
        <w:t xml:space="preserve"> cohesión territorial. </w:t>
      </w:r>
    </w:p>
    <w:p w:rsidR="00184CAB" w:rsidRDefault="002B1930">
      <w:pPr>
        <w:spacing w:line="360" w:lineRule="auto"/>
        <w:jc w:val="both"/>
      </w:pPr>
      <w:r>
        <w:rPr>
          <w:bCs/>
          <w:color w:val="4C4747"/>
          <w:lang w:val="es-DO"/>
        </w:rPr>
        <w:t>La gestión financiera asociada se concentró mayoritariamente en la Región Norte (61%), en atención a brechas históricas de desarrollo. Como parte de este proceso, se realizaron transferencias de fondos a 209 Gobiernos Locales y se e</w:t>
      </w:r>
      <w:r>
        <w:rPr>
          <w:bCs/>
          <w:color w:val="4C4747"/>
          <w:lang w:val="es-DO"/>
        </w:rPr>
        <w:t>mitieron 49 certificaciones presupuestarias, fortaleciendo la articulación interinstitucional y la capacidad de respuesta del Poder Ejecutivo frente a las necesidades territoriales.</w:t>
      </w:r>
    </w:p>
    <w:p w:rsidR="00184CAB" w:rsidRDefault="002B1930">
      <w:pPr>
        <w:spacing w:line="360" w:lineRule="auto"/>
        <w:jc w:val="both"/>
        <w:rPr>
          <w:color w:val="4C4747"/>
        </w:rPr>
      </w:pPr>
      <w:r>
        <w:rPr>
          <w:color w:val="4C4747"/>
        </w:rPr>
        <w:t>Este documento sintetiza los principales resultados de la gestión instituc</w:t>
      </w:r>
      <w:r>
        <w:rPr>
          <w:color w:val="4C4747"/>
        </w:rPr>
        <w:t xml:space="preserve">ional durante el 2025, reafirmando el papel estratégico del Ministerio como facilitador de procesos gubernamentales. La evidencia presentada respalda un modelo de administración pública comprometido con la innovación, la mejora continua y la generación de </w:t>
      </w:r>
      <w:r>
        <w:rPr>
          <w:color w:val="4C4747"/>
        </w:rPr>
        <w:t>valor público, en coherencia con las prioridades nacionales y las expectativas ciudadanas.</w:t>
      </w:r>
    </w:p>
    <w:p w:rsidR="00184CAB" w:rsidRDefault="002B1930">
      <w:pPr>
        <w:pStyle w:val="Ttulo1"/>
        <w:numPr>
          <w:ilvl w:val="0"/>
          <w:numId w:val="1"/>
        </w:numPr>
        <w:rPr>
          <w:color w:val="4C4747"/>
          <w:szCs w:val="24"/>
        </w:rPr>
      </w:pPr>
      <w:bookmarkStart w:id="9" w:name="_Toc217043936"/>
      <w:bookmarkStart w:id="10" w:name="_Toc217907907"/>
      <w:bookmarkStart w:id="11" w:name="_Toc217914408"/>
      <w:r>
        <w:rPr>
          <w:color w:val="4C4747"/>
          <w:szCs w:val="24"/>
        </w:rPr>
        <w:lastRenderedPageBreak/>
        <w:t>INFORMACIÓN INSTITUCIONAL</w:t>
      </w:r>
      <w:bookmarkEnd w:id="9"/>
      <w:bookmarkEnd w:id="10"/>
      <w:bookmarkEnd w:id="11"/>
    </w:p>
    <w:p w:rsidR="00184CAB" w:rsidRDefault="002B1930">
      <w:pPr>
        <w:spacing w:line="360" w:lineRule="auto"/>
        <w:jc w:val="both"/>
      </w:pPr>
      <w:r>
        <w:rPr>
          <w:noProof/>
          <w:color w:val="4C4747"/>
        </w:rPr>
        <mc:AlternateContent>
          <mc:Choice Requires="wps">
            <w:drawing>
              <wp:anchor distT="0" distB="0" distL="114300" distR="114300" simplePos="0" relativeHeight="251643904" behindDoc="0" locked="0" layoutInCell="1" allowOverlap="1">
                <wp:simplePos x="0" y="0"/>
                <wp:positionH relativeFrom="margin">
                  <wp:align>center</wp:align>
                </wp:positionH>
                <wp:positionV relativeFrom="paragraph">
                  <wp:posOffset>28273</wp:posOffset>
                </wp:positionV>
                <wp:extent cx="462915" cy="0"/>
                <wp:effectExtent l="0" t="19050" r="32385" b="19050"/>
                <wp:wrapNone/>
                <wp:docPr id="35" name="Straight Connector 8"/>
                <wp:cNvGraphicFramePr/>
                <a:graphic xmlns:a="http://schemas.openxmlformats.org/drawingml/2006/main">
                  <a:graphicData uri="http://schemas.microsoft.com/office/word/2010/wordprocessingShape">
                    <wps:wsp>
                      <wps:cNvCnPr/>
                      <wps:spPr>
                        <a:xfrm>
                          <a:off x="0" y="0"/>
                          <a:ext cx="462915" cy="0"/>
                        </a:xfrm>
                        <a:prstGeom prst="straightConnector1">
                          <a:avLst/>
                        </a:prstGeom>
                        <a:noFill/>
                        <a:ln w="28575" cap="flat">
                          <a:solidFill>
                            <a:srgbClr val="EE2A24"/>
                          </a:solidFill>
                          <a:prstDash val="solid"/>
                          <a:miter/>
                        </a:ln>
                      </wps:spPr>
                      <wps:bodyPr/>
                    </wps:wsp>
                  </a:graphicData>
                </a:graphic>
              </wp:anchor>
            </w:drawing>
          </mc:Choice>
          <mc:Fallback>
            <w:pict>
              <v:shape w14:anchorId="2E9B2045" id="Straight Connector 8" o:spid="_x0000_s1026" type="#_x0000_t32" style="position:absolute;margin-left:0;margin-top:2.25pt;width:36.45pt;height:0;z-index:25164390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VotAEAAFIDAAAOAAAAZHJzL2Uyb0RvYy54bWysU02P0zAQvSPxHyzfadqwu5So6Qq1u1wQ&#10;VFr4AVPHSSz5SzOmaf89Y7fbXeCGuNixZ+a9ec+T1f3RWXHQSCb4Vi5mcym0V6Ezfmjlj++P75ZS&#10;UALfgQ1et/KkSd6v375ZTbHRdRiD7TQKBvHUTLGVY0qxqSpSo3ZAsxC152Af0EHiIw5VhzAxurNV&#10;PZ/fVVPALmJQmohvt+egXBf8vtcqfet70knYVnJvqaxY1n1eq/UKmgEhjkZd2oB/6MKB8Ux6hdpC&#10;AvETzV9QzigMFPo0U8FVoe+N0kUDq1nM/1DzNELURQubQ/FqE/0/WPX1sENhula+v5XCg+M3ekoI&#10;ZhiT2ATv2cGAYpmNmiI1nL/xO7ycKO4wqz726PLOesSxmHu6mquPSSi+vLmrPy6YQz2Hqpe6iJQ+&#10;6+BE/mglXRq48i+Kt3D4QomZufC5IJP68GisLQ9pvZhaWS9vP2Qi4HnqLaRSTMGaLifmEsJhv7Eo&#10;DsBj8fBQf6pvskAG/i0ts2yBxnNeCZ0HxpmkswdcYD1v2ZmzF/lrH7pTsajc88OVxMuQ5cl4fS7V&#10;L7/C+hcAAAD//wMAUEsDBBQABgAIAAAAIQAy9hM52gAAAAMBAAAPAAAAZHJzL2Rvd25yZXYueG1s&#10;TI/BTsMwEETvSPyDtUjcqNOWkibEqRBSOSIaKqHeNvGSRMTryHbbwNdjuMBxNKOZN8VmMoM4kfO9&#10;ZQXzWQKCuLG651bB/nV7swbhA7LGwTIp+CQPm/LyosBc2zPv6FSFVsQS9jkq6EIYcyl905FBP7Mj&#10;cfTerTMYonSt1A7PsdwMcpEkd9Jgz3Ghw5EeO2o+qqNRIOfP1Xb/lmbZyzJ9cl/1KlmmB6Wur6aH&#10;exCBpvAXhh/8iA5lZKrtkbUXg4J4JCi4XYGIZrrIQNS/UpaF/M9efgMAAP//AwBQSwECLQAUAAYA&#10;CAAAACEAtoM4kv4AAADhAQAAEwAAAAAAAAAAAAAAAAAAAAAAW0NvbnRlbnRfVHlwZXNdLnhtbFBL&#10;AQItABQABgAIAAAAIQA4/SH/1gAAAJQBAAALAAAAAAAAAAAAAAAAAC8BAABfcmVscy8ucmVsc1BL&#10;AQItABQABgAIAAAAIQAgAPVotAEAAFIDAAAOAAAAAAAAAAAAAAAAAC4CAABkcnMvZTJvRG9jLnht&#10;bFBLAQItABQABgAIAAAAIQAy9hM52gAAAAMBAAAPAAAAAAAAAAAAAAAAAA4EAABkcnMvZG93bnJl&#10;di54bWxQSwUGAAAAAAQABADzAAAAFQUAAAAA&#10;" strokecolor="#ee2a24" strokeweight="2.25pt">
                <v:stroke joinstyle="miter"/>
                <w10:wrap anchorx="margin"/>
              </v:shape>
            </w:pict>
          </mc:Fallback>
        </mc:AlternateContent>
      </w:r>
    </w:p>
    <w:p w:rsidR="00184CAB" w:rsidRDefault="002B1930">
      <w:pPr>
        <w:pStyle w:val="Ttulo2"/>
        <w:numPr>
          <w:ilvl w:val="1"/>
          <w:numId w:val="2"/>
        </w:numPr>
        <w:spacing w:line="360" w:lineRule="auto"/>
        <w:ind w:left="284" w:hanging="284"/>
        <w:rPr>
          <w:b/>
          <w:color w:val="4C4747"/>
          <w:szCs w:val="24"/>
        </w:rPr>
      </w:pPr>
      <w:bookmarkStart w:id="12" w:name="_heading=h.2et92p0"/>
      <w:bookmarkStart w:id="13" w:name="_Toc153446373"/>
      <w:bookmarkStart w:id="14" w:name="_Toc217043937"/>
      <w:bookmarkStart w:id="15" w:name="_Toc217907908"/>
      <w:bookmarkStart w:id="16" w:name="_Toc217914409"/>
      <w:bookmarkEnd w:id="12"/>
      <w:r>
        <w:rPr>
          <w:b/>
          <w:color w:val="4C4747"/>
          <w:szCs w:val="24"/>
        </w:rPr>
        <w:t>Marco filosófico institucional</w:t>
      </w:r>
      <w:bookmarkEnd w:id="13"/>
      <w:bookmarkEnd w:id="14"/>
      <w:bookmarkEnd w:id="15"/>
      <w:bookmarkEnd w:id="16"/>
    </w:p>
    <w:p w:rsidR="00184CAB" w:rsidRDefault="00184CAB">
      <w:pPr>
        <w:spacing w:line="360" w:lineRule="auto"/>
        <w:jc w:val="both"/>
        <w:rPr>
          <w:b/>
          <w:color w:val="4C4747"/>
        </w:rPr>
      </w:pPr>
    </w:p>
    <w:p w:rsidR="00184CAB" w:rsidRDefault="002B1930">
      <w:pPr>
        <w:pStyle w:val="Prrafodelista"/>
        <w:numPr>
          <w:ilvl w:val="0"/>
          <w:numId w:val="3"/>
        </w:numPr>
        <w:spacing w:line="360" w:lineRule="auto"/>
        <w:jc w:val="both"/>
      </w:pPr>
      <w:r>
        <w:rPr>
          <w:b/>
          <w:bCs/>
          <w:color w:val="4C4747"/>
        </w:rPr>
        <w:t xml:space="preserve">Misión </w:t>
      </w:r>
    </w:p>
    <w:p w:rsidR="00184CAB" w:rsidRDefault="002B1930">
      <w:pPr>
        <w:spacing w:line="360" w:lineRule="auto"/>
        <w:jc w:val="both"/>
      </w:pPr>
      <w:r>
        <w:rPr>
          <w:rFonts w:eastAsia="Times New Roman"/>
          <w:color w:val="4C4747"/>
        </w:rPr>
        <w:t xml:space="preserve">Brindar apoyo administrativo, técnico y logístico eficiente a las ejecutorias de la Presidencia </w:t>
      </w:r>
      <w:r>
        <w:rPr>
          <w:rFonts w:eastAsia="Times New Roman"/>
          <w:color w:val="4C4747"/>
        </w:rPr>
        <w:t>de la República, garantizando una gestión transparente, eficaz y orientada a resultados, que contribuya al cumplimiento de las prioridades estratégicas del Gobierno y al bienestar de la ciudadanía</w:t>
      </w:r>
    </w:p>
    <w:p w:rsidR="00184CAB" w:rsidRDefault="002B1930">
      <w:pPr>
        <w:pStyle w:val="Prrafodelista"/>
        <w:numPr>
          <w:ilvl w:val="0"/>
          <w:numId w:val="3"/>
        </w:numPr>
        <w:spacing w:line="360" w:lineRule="auto"/>
        <w:jc w:val="both"/>
      </w:pPr>
      <w:r>
        <w:rPr>
          <w:b/>
          <w:bCs/>
          <w:color w:val="4C4747"/>
        </w:rPr>
        <w:t xml:space="preserve">Visión </w:t>
      </w:r>
    </w:p>
    <w:p w:rsidR="00184CAB" w:rsidRDefault="002B1930">
      <w:pPr>
        <w:spacing w:line="360" w:lineRule="auto"/>
        <w:jc w:val="both"/>
      </w:pPr>
      <w:r>
        <w:rPr>
          <w:rFonts w:eastAsia="Times New Roman"/>
          <w:color w:val="4C4747"/>
        </w:rPr>
        <w:t>Ser una institución referente de eficiencia en la g</w:t>
      </w:r>
      <w:r>
        <w:rPr>
          <w:rFonts w:eastAsia="Times New Roman"/>
          <w:color w:val="4C4747"/>
        </w:rPr>
        <w:t>estión pública, impulsando una administración moderna, transparente e innovadora, que fortalezca la gobernanza democrática y aporte al desarrollo sostenible e inclusivo de la Republica Dominicana.</w:t>
      </w:r>
    </w:p>
    <w:p w:rsidR="00184CAB" w:rsidRDefault="002B1930">
      <w:pPr>
        <w:pStyle w:val="Prrafodelista"/>
        <w:numPr>
          <w:ilvl w:val="0"/>
          <w:numId w:val="3"/>
        </w:numPr>
        <w:spacing w:line="360" w:lineRule="auto"/>
        <w:jc w:val="both"/>
      </w:pPr>
      <w:r>
        <w:rPr>
          <w:b/>
          <w:bCs/>
          <w:color w:val="4C4747"/>
        </w:rPr>
        <w:t>Valores</w:t>
      </w:r>
    </w:p>
    <w:p w:rsidR="00184CAB" w:rsidRDefault="002B1930">
      <w:pPr>
        <w:spacing w:line="360" w:lineRule="auto"/>
        <w:jc w:val="both"/>
      </w:pPr>
      <w:r>
        <w:rPr>
          <w:rFonts w:eastAsia="Times New Roman"/>
          <w:b/>
          <w:bCs/>
          <w:color w:val="4C4747"/>
        </w:rPr>
        <w:t>Integridad:</w:t>
      </w:r>
      <w:r>
        <w:rPr>
          <w:rFonts w:eastAsia="Times New Roman"/>
          <w:color w:val="4C4747"/>
        </w:rPr>
        <w:t xml:space="preserve"> Ejercemos con coherencia, honestidad, t</w:t>
      </w:r>
      <w:r>
        <w:rPr>
          <w:rFonts w:eastAsia="Times New Roman"/>
          <w:color w:val="4C4747"/>
        </w:rPr>
        <w:t xml:space="preserve">ransparencia y respeto por los principios éticos, incluso cuando nadie nos está observando. </w:t>
      </w:r>
    </w:p>
    <w:p w:rsidR="00184CAB" w:rsidRDefault="002B1930">
      <w:pPr>
        <w:spacing w:line="360" w:lineRule="auto"/>
        <w:jc w:val="both"/>
      </w:pPr>
      <w:r>
        <w:rPr>
          <w:rFonts w:eastAsia="Times New Roman"/>
          <w:b/>
          <w:bCs/>
          <w:color w:val="4C4747"/>
        </w:rPr>
        <w:t xml:space="preserve">Innovación: </w:t>
      </w:r>
      <w:r>
        <w:rPr>
          <w:rFonts w:eastAsia="Times New Roman"/>
          <w:color w:val="4C4747"/>
        </w:rPr>
        <w:t>Impulsamos la mejora continua de productos, servicios y procesos, con el objetivo de generar valor, optimizar recursos y perfeccionar las técnicas exis</w:t>
      </w:r>
      <w:r>
        <w:rPr>
          <w:rFonts w:eastAsia="Times New Roman"/>
          <w:color w:val="4C4747"/>
        </w:rPr>
        <w:t xml:space="preserve">tentes. </w:t>
      </w:r>
    </w:p>
    <w:p w:rsidR="00184CAB" w:rsidRDefault="002B1930">
      <w:pPr>
        <w:spacing w:line="360" w:lineRule="auto"/>
        <w:jc w:val="both"/>
      </w:pPr>
      <w:r>
        <w:rPr>
          <w:rFonts w:eastAsia="Times New Roman"/>
          <w:b/>
          <w:bCs/>
          <w:color w:val="4C4747"/>
        </w:rPr>
        <w:t>Transparencia:</w:t>
      </w:r>
      <w:r>
        <w:rPr>
          <w:rFonts w:eastAsia="Times New Roman"/>
          <w:color w:val="4C4747"/>
        </w:rPr>
        <w:t xml:space="preserve"> Actuamos con claridad, apertura y accesibilidad, proporcionando información veraz y oportuna. Fomentamos la </w:t>
      </w:r>
      <w:r>
        <w:rPr>
          <w:rFonts w:eastAsia="Times New Roman"/>
          <w:color w:val="4C4747"/>
        </w:rPr>
        <w:lastRenderedPageBreak/>
        <w:t xml:space="preserve">rendición de cuentas y la prevención de la corrupción en todas nuestras decisiones y acciones. </w:t>
      </w:r>
    </w:p>
    <w:p w:rsidR="00184CAB" w:rsidRDefault="002B1930">
      <w:pPr>
        <w:spacing w:line="360" w:lineRule="auto"/>
        <w:jc w:val="both"/>
      </w:pPr>
      <w:r>
        <w:rPr>
          <w:rFonts w:eastAsia="Times New Roman"/>
          <w:b/>
          <w:bCs/>
          <w:color w:val="4C4747"/>
        </w:rPr>
        <w:t>Voluntad:</w:t>
      </w:r>
      <w:r>
        <w:rPr>
          <w:rFonts w:eastAsia="Times New Roman"/>
          <w:color w:val="4C4747"/>
        </w:rPr>
        <w:t xml:space="preserve"> Procedemos con det</w:t>
      </w:r>
      <w:r>
        <w:rPr>
          <w:rFonts w:eastAsia="Times New Roman"/>
          <w:color w:val="4C4747"/>
        </w:rPr>
        <w:t>erminación y compromiso, guiándonos por las normativas vigentes y superando obstáculos para alcanzar los objetivos institucionales.</w:t>
      </w:r>
      <w:bookmarkStart w:id="17" w:name="_Toc90300791"/>
      <w:bookmarkStart w:id="18" w:name="_Toc120870480"/>
    </w:p>
    <w:p w:rsidR="00184CAB" w:rsidRDefault="002B1930">
      <w:pPr>
        <w:pStyle w:val="Ttulo2"/>
        <w:numPr>
          <w:ilvl w:val="1"/>
          <w:numId w:val="2"/>
        </w:numPr>
        <w:spacing w:line="360" w:lineRule="auto"/>
        <w:ind w:left="284" w:hanging="284"/>
        <w:rPr>
          <w:b/>
          <w:color w:val="4C4747"/>
          <w:szCs w:val="24"/>
        </w:rPr>
      </w:pPr>
      <w:bookmarkStart w:id="19" w:name="_Toc153446374"/>
      <w:bookmarkStart w:id="20" w:name="_Toc153796559"/>
      <w:bookmarkStart w:id="21" w:name="_Toc217043938"/>
      <w:bookmarkStart w:id="22" w:name="_Toc217907909"/>
      <w:bookmarkStart w:id="23" w:name="_Toc217914410"/>
      <w:r>
        <w:rPr>
          <w:b/>
          <w:color w:val="4C4747"/>
          <w:szCs w:val="24"/>
        </w:rPr>
        <w:t>Base legal</w:t>
      </w:r>
      <w:bookmarkEnd w:id="17"/>
      <w:bookmarkEnd w:id="18"/>
      <w:bookmarkEnd w:id="19"/>
      <w:bookmarkEnd w:id="20"/>
      <w:bookmarkEnd w:id="21"/>
      <w:bookmarkEnd w:id="22"/>
      <w:bookmarkEnd w:id="23"/>
    </w:p>
    <w:p w:rsidR="00184CAB" w:rsidRDefault="00184CAB">
      <w:pPr>
        <w:spacing w:line="360" w:lineRule="auto"/>
        <w:rPr>
          <w:color w:val="4C4747"/>
        </w:rPr>
      </w:pPr>
    </w:p>
    <w:p w:rsidR="00184CAB" w:rsidRDefault="002B1930">
      <w:pPr>
        <w:spacing w:line="360" w:lineRule="auto"/>
        <w:jc w:val="both"/>
        <w:rPr>
          <w:color w:val="4C4747"/>
          <w:lang w:val="es-ES"/>
        </w:rPr>
      </w:pPr>
      <w:r>
        <w:rPr>
          <w:color w:val="4C4747"/>
          <w:lang w:val="es-ES"/>
        </w:rPr>
        <w:t>El Ministerio Administrativo de la Presidencia cuenta con un marco normativo el cual tiene como sustento la Cons</w:t>
      </w:r>
      <w:r>
        <w:rPr>
          <w:color w:val="4C4747"/>
          <w:lang w:val="es-ES"/>
        </w:rPr>
        <w:t>titución de la República Dominicana, la Ley Núm. 685-27, de fecha 26 de junio de 1927, que crea la Secretaría de Estado de la Presidencia y establece las atribuciones iniciales del Ministerio Administrativo de la Presidencia, así como también las siguiente</w:t>
      </w:r>
      <w:r>
        <w:rPr>
          <w:color w:val="4C4747"/>
          <w:lang w:val="es-ES"/>
        </w:rPr>
        <w:t>s normativas:</w:t>
      </w:r>
    </w:p>
    <w:p w:rsidR="00184CAB" w:rsidRDefault="002B1930">
      <w:pPr>
        <w:pStyle w:val="Prrafodelista"/>
        <w:numPr>
          <w:ilvl w:val="0"/>
          <w:numId w:val="4"/>
        </w:numPr>
        <w:spacing w:line="360" w:lineRule="auto"/>
        <w:jc w:val="both"/>
        <w:rPr>
          <w:color w:val="4C4747"/>
        </w:rPr>
      </w:pPr>
      <w:r>
        <w:rPr>
          <w:color w:val="4C4747"/>
        </w:rPr>
        <w:t>Ley Núm. 10-65, de fecha 08 de septiembre de 1965, que suprime la Secretaría de Estado de la Presidencia y crea un Secretariado Técnico y un Secretariado Administrativo como dependencias de la Presidencia.</w:t>
      </w:r>
    </w:p>
    <w:p w:rsidR="00184CAB" w:rsidRDefault="002B1930">
      <w:pPr>
        <w:pStyle w:val="Prrafodelista"/>
        <w:numPr>
          <w:ilvl w:val="0"/>
          <w:numId w:val="4"/>
        </w:numPr>
        <w:spacing w:line="360" w:lineRule="auto"/>
        <w:jc w:val="both"/>
        <w:rPr>
          <w:color w:val="4C4747"/>
          <w:lang w:val="es-ES"/>
        </w:rPr>
      </w:pPr>
      <w:r>
        <w:rPr>
          <w:color w:val="4C4747"/>
          <w:lang w:val="es-ES"/>
        </w:rPr>
        <w:t>Ley Núm. 450-72, de fecha 29 de dici</w:t>
      </w:r>
      <w:r>
        <w:rPr>
          <w:color w:val="4C4747"/>
          <w:lang w:val="es-ES"/>
        </w:rPr>
        <w:t>embre de 1972, que crea la Secretaría de Estado de la Presidencia, la cual se integra con el Secretario Técnico de la Presidencia y el Secretario Administrativo de la Presidencia.</w:t>
      </w:r>
    </w:p>
    <w:p w:rsidR="00184CAB" w:rsidRDefault="002B1930">
      <w:pPr>
        <w:pStyle w:val="Prrafodelista"/>
        <w:numPr>
          <w:ilvl w:val="0"/>
          <w:numId w:val="4"/>
        </w:numPr>
        <w:spacing w:line="360" w:lineRule="auto"/>
        <w:jc w:val="both"/>
        <w:rPr>
          <w:color w:val="4C4747"/>
        </w:rPr>
      </w:pPr>
      <w:r>
        <w:rPr>
          <w:color w:val="4C4747"/>
        </w:rPr>
        <w:t xml:space="preserve">Ley Núm. 147-17, de fecha 02 de mayo de 2017, modifica el artículo 18 de la </w:t>
      </w:r>
      <w:r>
        <w:rPr>
          <w:color w:val="4C4747"/>
        </w:rPr>
        <w:t xml:space="preserve">Ley Núm. 247-12, Ley Orgánica de la Administración, de fecha 09 de agosto de 2012, y establece que el apoyo administrativo de la Presidencia estará a cargo del </w:t>
      </w:r>
      <w:r>
        <w:rPr>
          <w:color w:val="4C4747"/>
        </w:rPr>
        <w:lastRenderedPageBreak/>
        <w:t>Ministerio Administrativo de la Presidencia, dejando de ser un secretariado e institucionalizado</w:t>
      </w:r>
      <w:r>
        <w:rPr>
          <w:color w:val="4C4747"/>
        </w:rPr>
        <w:t xml:space="preserve"> como ministerio. </w:t>
      </w:r>
    </w:p>
    <w:p w:rsidR="00184CAB" w:rsidRDefault="002B1930">
      <w:pPr>
        <w:pStyle w:val="Prrafodelista"/>
        <w:numPr>
          <w:ilvl w:val="0"/>
          <w:numId w:val="4"/>
        </w:numPr>
        <w:spacing w:line="360" w:lineRule="auto"/>
        <w:jc w:val="both"/>
        <w:rPr>
          <w:color w:val="4C4747"/>
          <w:lang w:val="es-ES"/>
        </w:rPr>
      </w:pPr>
      <w:r>
        <w:rPr>
          <w:color w:val="4C4747"/>
          <w:lang w:val="es-ES"/>
        </w:rPr>
        <w:t xml:space="preserve">Decreto Núm. 153-82, de fecha 26 de agosto de 1982, aprueba el Reglamento Orgánico de la Secretaría de Estado de la Presidencia y establece la estructura orgánica del Secretariado Administrativo, así como las atribuciones del Secretario </w:t>
      </w:r>
      <w:r>
        <w:rPr>
          <w:color w:val="4C4747"/>
          <w:lang w:val="es-ES"/>
        </w:rPr>
        <w:t xml:space="preserve">Administrativo de la Presidencia. </w:t>
      </w:r>
    </w:p>
    <w:p w:rsidR="00184CAB" w:rsidRDefault="002B1930">
      <w:pPr>
        <w:pStyle w:val="Prrafodelista"/>
        <w:numPr>
          <w:ilvl w:val="0"/>
          <w:numId w:val="4"/>
        </w:numPr>
        <w:spacing w:line="360" w:lineRule="auto"/>
        <w:jc w:val="both"/>
        <w:rPr>
          <w:color w:val="4C4747"/>
          <w:lang w:val="es-ES"/>
        </w:rPr>
      </w:pPr>
      <w:r>
        <w:rPr>
          <w:color w:val="4C4747"/>
          <w:lang w:val="es-ES"/>
        </w:rPr>
        <w:t>Decreto Núm. 144-10, de fecha 13 de marzo de 2010, Como resultado de la modificación de la Constitución Dominicana del año 2010, se modifica la nomenclatura de la designación del Secretario Administrativo de la Presidenci</w:t>
      </w:r>
      <w:r>
        <w:rPr>
          <w:color w:val="4C4747"/>
          <w:lang w:val="es-ES"/>
        </w:rPr>
        <w:t>a por Ministro Administrativo de la Presidencia designándolo como la máxima autoridad del Secretariado Administrativo de la Presidencia.</w:t>
      </w:r>
    </w:p>
    <w:p w:rsidR="00184CAB" w:rsidRDefault="002B1930">
      <w:pPr>
        <w:pStyle w:val="Prrafodelista"/>
        <w:numPr>
          <w:ilvl w:val="0"/>
          <w:numId w:val="4"/>
        </w:numPr>
        <w:spacing w:line="360" w:lineRule="auto"/>
        <w:jc w:val="both"/>
        <w:rPr>
          <w:color w:val="4C4747"/>
        </w:rPr>
      </w:pPr>
      <w:r>
        <w:rPr>
          <w:color w:val="4C4747"/>
        </w:rPr>
        <w:t>Resolución Núm. MAPRE-003-2025, que aprueba la modificación de la estructura organizativa del Ministerio Administrativo</w:t>
      </w:r>
      <w:r>
        <w:rPr>
          <w:color w:val="4C4747"/>
        </w:rPr>
        <w:t xml:space="preserve"> de la Presidencia (MAPRE).</w:t>
      </w:r>
      <w:bookmarkStart w:id="24" w:name="_Toc90300792"/>
      <w:bookmarkStart w:id="25" w:name="_Toc120870481"/>
    </w:p>
    <w:p w:rsidR="00184CAB" w:rsidRDefault="00184CAB">
      <w:pPr>
        <w:spacing w:line="360" w:lineRule="auto"/>
        <w:jc w:val="both"/>
        <w:rPr>
          <w:color w:val="4C4747"/>
        </w:rPr>
      </w:pPr>
    </w:p>
    <w:p w:rsidR="00184CAB" w:rsidRDefault="00184CAB">
      <w:pPr>
        <w:spacing w:line="360" w:lineRule="auto"/>
        <w:jc w:val="center"/>
        <w:rPr>
          <w:color w:val="4C4747"/>
        </w:rPr>
      </w:pPr>
    </w:p>
    <w:p w:rsidR="00184CAB" w:rsidRDefault="00184CAB">
      <w:pPr>
        <w:spacing w:line="360" w:lineRule="auto"/>
        <w:jc w:val="center"/>
        <w:rPr>
          <w:color w:val="4C4747"/>
        </w:rPr>
      </w:pPr>
    </w:p>
    <w:p w:rsidR="00184CAB" w:rsidRDefault="00184CAB">
      <w:pPr>
        <w:spacing w:line="360" w:lineRule="auto"/>
        <w:jc w:val="center"/>
        <w:rPr>
          <w:color w:val="4C4747"/>
        </w:rPr>
      </w:pPr>
    </w:p>
    <w:p w:rsidR="00184CAB" w:rsidRDefault="00184CAB">
      <w:pPr>
        <w:spacing w:line="360" w:lineRule="auto"/>
        <w:jc w:val="center"/>
        <w:rPr>
          <w:color w:val="4C4747"/>
        </w:rPr>
      </w:pPr>
    </w:p>
    <w:p w:rsidR="00184CAB" w:rsidRDefault="00184CAB">
      <w:pPr>
        <w:spacing w:line="360" w:lineRule="auto"/>
        <w:jc w:val="center"/>
        <w:rPr>
          <w:color w:val="4C4747"/>
        </w:rPr>
      </w:pPr>
    </w:p>
    <w:p w:rsidR="00184CAB" w:rsidRDefault="00184CAB">
      <w:pPr>
        <w:spacing w:line="360" w:lineRule="auto"/>
        <w:rPr>
          <w:color w:val="4C4747"/>
        </w:rPr>
      </w:pPr>
      <w:bookmarkStart w:id="26" w:name="_GoBack"/>
      <w:bookmarkEnd w:id="26"/>
    </w:p>
    <w:p w:rsidR="00184CAB" w:rsidRDefault="002B1930">
      <w:pPr>
        <w:spacing w:after="0" w:line="360" w:lineRule="auto"/>
        <w:jc w:val="center"/>
        <w:rPr>
          <w:b/>
          <w:bCs/>
          <w:color w:val="4C4747"/>
          <w:sz w:val="28"/>
        </w:rPr>
      </w:pPr>
      <w:r>
        <w:rPr>
          <w:b/>
          <w:bCs/>
          <w:color w:val="4C4747"/>
          <w:sz w:val="28"/>
        </w:rPr>
        <w:lastRenderedPageBreak/>
        <w:t xml:space="preserve">Principales </w:t>
      </w:r>
      <w:proofErr w:type="gramStart"/>
      <w:r>
        <w:rPr>
          <w:b/>
          <w:bCs/>
          <w:color w:val="4C4747"/>
          <w:sz w:val="28"/>
        </w:rPr>
        <w:t>Funcionarios</w:t>
      </w:r>
      <w:proofErr w:type="gramEnd"/>
      <w:r>
        <w:rPr>
          <w:b/>
          <w:bCs/>
          <w:color w:val="4C4747"/>
          <w:sz w:val="28"/>
        </w:rPr>
        <w:t>:</w:t>
      </w:r>
    </w:p>
    <w:p w:rsidR="00184CAB" w:rsidRDefault="002B1930">
      <w:pPr>
        <w:spacing w:line="360" w:lineRule="auto"/>
        <w:jc w:val="center"/>
      </w:pPr>
      <w:r>
        <w:rPr>
          <w:noProof/>
          <w:color w:val="4C4747"/>
        </w:rPr>
        <mc:AlternateContent>
          <mc:Choice Requires="wps">
            <w:drawing>
              <wp:inline distT="0" distB="0" distL="0" distR="0">
                <wp:extent cx="462915" cy="0"/>
                <wp:effectExtent l="0" t="19050" r="32385" b="19050"/>
                <wp:docPr id="36" name="Straight Connector 8"/>
                <wp:cNvGraphicFramePr/>
                <a:graphic xmlns:a="http://schemas.openxmlformats.org/drawingml/2006/main">
                  <a:graphicData uri="http://schemas.microsoft.com/office/word/2010/wordprocessingShape">
                    <wps:wsp>
                      <wps:cNvCnPr/>
                      <wps:spPr>
                        <a:xfrm>
                          <a:off x="0" y="0"/>
                          <a:ext cx="462915" cy="0"/>
                        </a:xfrm>
                        <a:prstGeom prst="straightConnector1">
                          <a:avLst/>
                        </a:prstGeom>
                        <a:noFill/>
                        <a:ln w="28575" cap="flat">
                          <a:solidFill>
                            <a:srgbClr val="EE2A24"/>
                          </a:solidFill>
                          <a:prstDash val="solid"/>
                          <a:miter/>
                        </a:ln>
                      </wps:spPr>
                      <wps:bodyPr/>
                    </wps:wsp>
                  </a:graphicData>
                </a:graphic>
              </wp:inline>
            </w:drawing>
          </mc:Choice>
          <mc:Fallback>
            <w:pict>
              <v:shape w14:anchorId="289E3633" id="Straight Connector 8" o:spid="_x0000_s1026" type="#_x0000_t32" style="width:36.4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9s5tAEAAFIDAAAOAAAAZHJzL2Uyb0RvYy54bWysU8tu2zAQvBfIPxC817LVxHUEy0FhJ70U&#10;rYEkH0BTpESAL+wylv33XdKOk7a3oBdS5O7M7gxXy7uDs2yvAE3wLZ9NppwpL0NnfN/y56eHzwvO&#10;MAnfCRu8avlRIb9bXX1ajrFRdRiC7RQwIvHYjLHlQ0qxqSqUg3ICJyEqT0EdwIlER+irDsRI7M5W&#10;9XQ6r8YAXYQgFSLdbk5Bvir8WiuZfmmNKjHbcuotlRXKustrtVqKpgcRByPPbYgPdOGE8VT0QrUR&#10;SbAXMP9QOSMhYNBpIoOrgtZGqqKB1Mymf6l5HERURQuZg/FiE/4/WvlzvwVmupZ/mXPmhaM3ekwg&#10;TD8ktg7ek4MB2CIbNUZsKH/tt3A+YdxCVn3Q4PJOetihmHu8mKsOiUm6vJ7Xt7MbzuRrqHrDRcD0&#10;XQXH8kfL8dzApf6seCv2PzBRZQK+AnJRHx6MteUhrWdjy+vFzddcSNA8aStSAWOwpsuJGYLQ79YW&#10;2F7QWNzf19/q6yyQiP9Iy1U2AodTXgmdBsaZpLIHBLCetuzMyYv8tQvdsVhU7unhSuJ5yPJkvD8X&#10;9NuvsPoNAAD//wMAUEsDBBQABgAIAAAAIQBfYla/2QAAAAEBAAAPAAAAZHJzL2Rvd25yZXYueG1s&#10;TI9BS8NAEIXvQv/DMgVvdtMWjYnZlCLUo2gsiLdNdkxCs7Nhd9tGf71TL3p58HjDe98Um8kO4oQ+&#10;9I4ULBcJCKTGmZ5aBfu33c09iBA1GT04QgVfGGBTzq4KnRt3plc8VbEVXEIh1wq6GMdcytB0aHVY&#10;uBGJs0/nrY5sfSuN12cut4NcJcmdtLonXuj0iI8dNofqaBXI5XO127+nWfayTp/8d32brNMPpa7n&#10;0/YBRMQp/h3DBZ/RoWSm2h3JBDEo4Efir3KWrjIQ9cXJspD/ycsfAAAA//8DAFBLAQItABQABgAI&#10;AAAAIQC2gziS/gAAAOEBAAATAAAAAAAAAAAAAAAAAAAAAABbQ29udGVudF9UeXBlc10ueG1sUEsB&#10;Ai0AFAAGAAgAAAAhADj9If/WAAAAlAEAAAsAAAAAAAAAAAAAAAAALwEAAF9yZWxzLy5yZWxzUEsB&#10;Ai0AFAAGAAgAAAAhAKUb2zm0AQAAUgMAAA4AAAAAAAAAAAAAAAAALgIAAGRycy9lMm9Eb2MueG1s&#10;UEsBAi0AFAAGAAgAAAAhAF9iVr/ZAAAAAQEAAA8AAAAAAAAAAAAAAAAADgQAAGRycy9kb3ducmV2&#10;LnhtbFBLBQYAAAAABAAEAPMAAAAUBQAAAAA=&#10;" strokecolor="#ee2a24" strokeweight="2.25pt">
                <v:stroke joinstyle="miter"/>
                <w10:anchorlock/>
              </v:shape>
            </w:pict>
          </mc:Fallback>
        </mc:AlternateContent>
      </w:r>
    </w:p>
    <w:p w:rsidR="00184CAB" w:rsidRDefault="002B1930">
      <w:pPr>
        <w:spacing w:line="360" w:lineRule="auto"/>
        <w:jc w:val="center"/>
        <w:rPr>
          <w:b/>
          <w:bCs/>
          <w:color w:val="4C4747"/>
        </w:rPr>
      </w:pPr>
      <w:r>
        <w:rPr>
          <w:b/>
          <w:bCs/>
          <w:color w:val="4C4747"/>
        </w:rPr>
        <w:t>Porfirio Andrés Bautista García</w:t>
      </w:r>
    </w:p>
    <w:p w:rsidR="00184CAB" w:rsidRDefault="002B1930">
      <w:pPr>
        <w:spacing w:line="360" w:lineRule="auto"/>
        <w:jc w:val="center"/>
        <w:rPr>
          <w:color w:val="4C4747"/>
        </w:rPr>
      </w:pPr>
      <w:r>
        <w:rPr>
          <w:color w:val="4C4747"/>
        </w:rPr>
        <w:t>Ministro Administrativo de la Presidencia</w:t>
      </w:r>
    </w:p>
    <w:p w:rsidR="00184CAB" w:rsidRDefault="002B1930">
      <w:pPr>
        <w:spacing w:line="360" w:lineRule="auto"/>
        <w:jc w:val="center"/>
        <w:rPr>
          <w:color w:val="4C4747"/>
        </w:rPr>
      </w:pPr>
      <w:r>
        <w:rPr>
          <w:color w:val="4C4747"/>
        </w:rPr>
        <w:t>Viceministros(as):</w:t>
      </w:r>
    </w:p>
    <w:p w:rsidR="00184CAB" w:rsidRDefault="002B1930">
      <w:pPr>
        <w:spacing w:line="360" w:lineRule="auto"/>
        <w:jc w:val="center"/>
        <w:rPr>
          <w:b/>
          <w:bCs/>
          <w:color w:val="4C4747"/>
        </w:rPr>
      </w:pPr>
      <w:r>
        <w:rPr>
          <w:b/>
          <w:bCs/>
          <w:color w:val="4C4747"/>
        </w:rPr>
        <w:t>Elvis López del Carmen</w:t>
      </w:r>
    </w:p>
    <w:p w:rsidR="00184CAB" w:rsidRDefault="002B1930">
      <w:pPr>
        <w:spacing w:line="360" w:lineRule="auto"/>
        <w:jc w:val="center"/>
        <w:rPr>
          <w:color w:val="4C4747"/>
        </w:rPr>
      </w:pPr>
      <w:r>
        <w:rPr>
          <w:color w:val="4C4747"/>
        </w:rPr>
        <w:t>Viceministerio Administrativo y Financiero</w:t>
      </w:r>
    </w:p>
    <w:p w:rsidR="00184CAB" w:rsidRDefault="002B1930">
      <w:pPr>
        <w:spacing w:line="360" w:lineRule="auto"/>
        <w:jc w:val="center"/>
        <w:rPr>
          <w:b/>
          <w:bCs/>
          <w:color w:val="4C4747"/>
        </w:rPr>
      </w:pPr>
      <w:r>
        <w:rPr>
          <w:b/>
          <w:bCs/>
          <w:color w:val="4C4747"/>
        </w:rPr>
        <w:t>Kenia Xiomara Guante Valdez</w:t>
      </w:r>
    </w:p>
    <w:p w:rsidR="00184CAB" w:rsidRDefault="002B1930">
      <w:pPr>
        <w:spacing w:line="360" w:lineRule="auto"/>
        <w:jc w:val="center"/>
        <w:rPr>
          <w:color w:val="4C4747"/>
        </w:rPr>
      </w:pPr>
      <w:r>
        <w:rPr>
          <w:color w:val="4C4747"/>
        </w:rPr>
        <w:t>Viceministerio de Innovación, Transparencia y Atención Ciudadana</w:t>
      </w:r>
    </w:p>
    <w:p w:rsidR="00184CAB" w:rsidRDefault="002B1930">
      <w:pPr>
        <w:spacing w:line="360" w:lineRule="auto"/>
        <w:jc w:val="center"/>
        <w:rPr>
          <w:b/>
          <w:bCs/>
          <w:color w:val="4C4747"/>
        </w:rPr>
      </w:pPr>
      <w:r>
        <w:rPr>
          <w:b/>
          <w:bCs/>
          <w:color w:val="4C4747"/>
        </w:rPr>
        <w:t xml:space="preserve">Juan De Jesús </w:t>
      </w:r>
      <w:proofErr w:type="spellStart"/>
      <w:r>
        <w:rPr>
          <w:b/>
          <w:bCs/>
          <w:color w:val="4C4747"/>
        </w:rPr>
        <w:t>Garrigó</w:t>
      </w:r>
      <w:proofErr w:type="spellEnd"/>
      <w:r>
        <w:rPr>
          <w:b/>
          <w:bCs/>
          <w:color w:val="4C4747"/>
        </w:rPr>
        <w:t xml:space="preserve"> Mejía</w:t>
      </w:r>
    </w:p>
    <w:p w:rsidR="00184CAB" w:rsidRDefault="002B1930">
      <w:pPr>
        <w:spacing w:line="360" w:lineRule="auto"/>
        <w:jc w:val="center"/>
        <w:rPr>
          <w:color w:val="4C4747"/>
        </w:rPr>
      </w:pPr>
      <w:r>
        <w:rPr>
          <w:color w:val="4C4747"/>
        </w:rPr>
        <w:t>Viceministerio de Gestión Social y Comunitaria</w:t>
      </w:r>
    </w:p>
    <w:p w:rsidR="00184CAB" w:rsidRDefault="002B1930">
      <w:pPr>
        <w:spacing w:line="360" w:lineRule="auto"/>
        <w:jc w:val="center"/>
        <w:rPr>
          <w:b/>
          <w:bCs/>
          <w:color w:val="4C4747"/>
        </w:rPr>
      </w:pPr>
      <w:r>
        <w:rPr>
          <w:b/>
          <w:bCs/>
          <w:color w:val="4C4747"/>
        </w:rPr>
        <w:t>Santiago Vilorio Lizardo</w:t>
      </w:r>
    </w:p>
    <w:p w:rsidR="00184CAB" w:rsidRDefault="002B1930">
      <w:pPr>
        <w:spacing w:line="360" w:lineRule="auto"/>
        <w:jc w:val="center"/>
        <w:rPr>
          <w:color w:val="4C4747"/>
        </w:rPr>
      </w:pPr>
      <w:r>
        <w:rPr>
          <w:color w:val="4C4747"/>
        </w:rPr>
        <w:t>Viceministerio Asuntos Interinstitucionales y Relación con los Poderes del Estado</w:t>
      </w:r>
    </w:p>
    <w:p w:rsidR="00184CAB" w:rsidRDefault="002B1930">
      <w:pPr>
        <w:spacing w:line="360" w:lineRule="auto"/>
        <w:jc w:val="center"/>
        <w:rPr>
          <w:b/>
          <w:bCs/>
          <w:color w:val="4C4747"/>
        </w:rPr>
      </w:pPr>
      <w:r>
        <w:rPr>
          <w:b/>
          <w:bCs/>
          <w:color w:val="4C4747"/>
        </w:rPr>
        <w:t xml:space="preserve">Escarlyn </w:t>
      </w:r>
      <w:proofErr w:type="spellStart"/>
      <w:r>
        <w:rPr>
          <w:b/>
          <w:bCs/>
          <w:color w:val="4C4747"/>
        </w:rPr>
        <w:t>Yakaira</w:t>
      </w:r>
      <w:proofErr w:type="spellEnd"/>
      <w:r>
        <w:rPr>
          <w:b/>
          <w:bCs/>
          <w:color w:val="4C4747"/>
        </w:rPr>
        <w:t xml:space="preserve"> Benzan</w:t>
      </w:r>
    </w:p>
    <w:p w:rsidR="00184CAB" w:rsidRDefault="002B1930">
      <w:pPr>
        <w:spacing w:line="360" w:lineRule="auto"/>
        <w:jc w:val="center"/>
        <w:rPr>
          <w:color w:val="4C4747"/>
        </w:rPr>
      </w:pPr>
      <w:r>
        <w:rPr>
          <w:color w:val="4C4747"/>
        </w:rPr>
        <w:t>Viceministerio de Incentivo a la Producción y Emprendimiento</w:t>
      </w:r>
    </w:p>
    <w:p w:rsidR="00184CAB" w:rsidRDefault="002B1930">
      <w:pPr>
        <w:spacing w:line="360" w:lineRule="auto"/>
        <w:jc w:val="center"/>
        <w:rPr>
          <w:b/>
          <w:bCs/>
          <w:color w:val="4C4747"/>
        </w:rPr>
      </w:pPr>
      <w:r>
        <w:rPr>
          <w:b/>
          <w:bCs/>
          <w:color w:val="4C4747"/>
        </w:rPr>
        <w:t>Ronald José Sánchez Nolasco</w:t>
      </w:r>
    </w:p>
    <w:p w:rsidR="00184CAB" w:rsidRDefault="002B1930">
      <w:pPr>
        <w:spacing w:line="360" w:lineRule="auto"/>
        <w:jc w:val="center"/>
        <w:rPr>
          <w:color w:val="4C4747"/>
        </w:rPr>
      </w:pPr>
      <w:r>
        <w:rPr>
          <w:color w:val="4C4747"/>
        </w:rPr>
        <w:t>Viceministerio de Gobierno y Sociedad</w:t>
      </w:r>
    </w:p>
    <w:p w:rsidR="00184CAB" w:rsidRDefault="00184CAB">
      <w:pPr>
        <w:spacing w:line="360" w:lineRule="auto"/>
        <w:jc w:val="center"/>
        <w:rPr>
          <w:b/>
          <w:bCs/>
          <w:color w:val="4C4747"/>
        </w:rPr>
      </w:pPr>
    </w:p>
    <w:p w:rsidR="00184CAB" w:rsidRDefault="00184CAB">
      <w:pPr>
        <w:spacing w:line="360" w:lineRule="auto"/>
        <w:rPr>
          <w:b/>
          <w:bCs/>
          <w:color w:val="4C4747"/>
        </w:rPr>
      </w:pPr>
    </w:p>
    <w:p w:rsidR="00184CAB" w:rsidRDefault="002B1930">
      <w:pPr>
        <w:spacing w:after="0" w:line="360" w:lineRule="auto"/>
        <w:ind w:right="270"/>
        <w:jc w:val="center"/>
        <w:rPr>
          <w:b/>
          <w:bCs/>
          <w:color w:val="4C4747"/>
          <w:sz w:val="28"/>
        </w:rPr>
      </w:pPr>
      <w:r>
        <w:rPr>
          <w:b/>
          <w:bCs/>
          <w:color w:val="4C4747"/>
          <w:sz w:val="28"/>
        </w:rPr>
        <w:lastRenderedPageBreak/>
        <w:t>Directores(as):</w:t>
      </w:r>
    </w:p>
    <w:p w:rsidR="00184CAB" w:rsidRDefault="002B1930">
      <w:pPr>
        <w:spacing w:after="0" w:line="360" w:lineRule="auto"/>
        <w:ind w:right="270"/>
        <w:jc w:val="center"/>
      </w:pPr>
      <w:r>
        <w:rPr>
          <w:noProof/>
          <w:color w:val="4C4747"/>
        </w:rPr>
        <mc:AlternateContent>
          <mc:Choice Requires="wps">
            <w:drawing>
              <wp:inline distT="0" distB="0" distL="0" distR="0">
                <wp:extent cx="462915" cy="0"/>
                <wp:effectExtent l="0" t="19050" r="32385" b="19050"/>
                <wp:docPr id="37" name="Straight Connector 8"/>
                <wp:cNvGraphicFramePr/>
                <a:graphic xmlns:a="http://schemas.openxmlformats.org/drawingml/2006/main">
                  <a:graphicData uri="http://schemas.microsoft.com/office/word/2010/wordprocessingShape">
                    <wps:wsp>
                      <wps:cNvCnPr/>
                      <wps:spPr>
                        <a:xfrm>
                          <a:off x="0" y="0"/>
                          <a:ext cx="462915" cy="0"/>
                        </a:xfrm>
                        <a:prstGeom prst="straightConnector1">
                          <a:avLst/>
                        </a:prstGeom>
                        <a:noFill/>
                        <a:ln w="28575" cap="flat">
                          <a:solidFill>
                            <a:srgbClr val="EE2A24"/>
                          </a:solidFill>
                          <a:prstDash val="solid"/>
                          <a:miter/>
                        </a:ln>
                      </wps:spPr>
                      <wps:bodyPr/>
                    </wps:wsp>
                  </a:graphicData>
                </a:graphic>
              </wp:inline>
            </w:drawing>
          </mc:Choice>
          <mc:Fallback>
            <w:pict>
              <v:shape w14:anchorId="40ED93C7" id="Straight Connector 8" o:spid="_x0000_s1026" type="#_x0000_t32" style="width:36.4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T4JtAEAAFIDAAAOAAAAZHJzL2Uyb0RvYy54bWysU8uO2zAMvBfoPwi6N07cfaRGnEWR7PZS&#10;tAG2/QBFlm0BkiiQapz8fSklm+3jVvQiWSJnyBnRq4ejd+JgkCyEVi5mcylM0NDZMLTy+7end0sp&#10;KKnQKQfBtPJkSD6s375ZTbExNYzgOoOCSQI1U2zlmFJsqor0aLyiGUQTONgDepX4iEPVoZqY3buq&#10;ns/vqgmwiwjaEPHt9hyU68Lf90anr31PJgnXSu4tlRXLus9rtV6pZkAVR6svbah/6MIrG7jolWqr&#10;khI/0P5F5a1GIOjTTIOvoO+tNkUDq1nM/1DzPKpoihY2h+LVJvp/tPrLYYfCdq18fy9FUJ7f6Dmh&#10;ssOYxAZCYAcBxTIbNUVqOH8Tdng5UdxhVn3s0eed9YhjMfd0Ndcck9B8eXNXf1jcSqFfQtUrLiKl&#10;Twa8yB+tpEsD1/qL4q06fKbElRn4AshFAzxZ58pDuiCmVtbL2/tcSPE89U6lAiZwtsuJGUI47DcO&#10;xUHxWDw+1h/rmyyQiX9Ly1W2isZzXgmdB8bbZLIHDHCBt+zM2Yv8tYfuVCwq9/xwJfEyZHkyfj0X&#10;9OuvsP4JAAD//wMAUEsDBBQABgAIAAAAIQBfYla/2QAAAAEBAAAPAAAAZHJzL2Rvd25yZXYueG1s&#10;TI9BS8NAEIXvQv/DMgVvdtMWjYnZlCLUo2gsiLdNdkxCs7Nhd9tGf71TL3p58HjDe98Um8kO4oQ+&#10;9I4ULBcJCKTGmZ5aBfu33c09iBA1GT04QgVfGGBTzq4KnRt3plc8VbEVXEIh1wq6GMdcytB0aHVY&#10;uBGJs0/nrY5sfSuN12cut4NcJcmdtLonXuj0iI8dNofqaBXI5XO127+nWfayTp/8d32brNMPpa7n&#10;0/YBRMQp/h3DBZ/RoWSm2h3JBDEo4Efir3KWrjIQ9cXJspD/ycsfAAAA//8DAFBLAQItABQABgAI&#10;AAAAIQC2gziS/gAAAOEBAAATAAAAAAAAAAAAAAAAAAAAAABbQ29udGVudF9UeXBlc10ueG1sUEsB&#10;Ai0AFAAGAAgAAAAhADj9If/WAAAAlAEAAAsAAAAAAAAAAAAAAAAALwEAAF9yZWxzLy5yZWxzUEsB&#10;Ai0AFAAGAAgAAAAhACbtPgm0AQAAUgMAAA4AAAAAAAAAAAAAAAAALgIAAGRycy9lMm9Eb2MueG1s&#10;UEsBAi0AFAAGAAgAAAAhAF9iVr/ZAAAAAQEAAA8AAAAAAAAAAAAAAAAADgQAAGRycy9kb3ducmV2&#10;LnhtbFBLBQYAAAAABAAEAPMAAAAUBQAAAAA=&#10;" strokecolor="#ee2a24" strokeweight="2.25pt">
                <v:stroke joinstyle="miter"/>
                <w10:anchorlock/>
              </v:shape>
            </w:pict>
          </mc:Fallback>
        </mc:AlternateContent>
      </w:r>
    </w:p>
    <w:p w:rsidR="00184CAB" w:rsidRDefault="00184CAB">
      <w:pPr>
        <w:spacing w:after="0" w:line="360" w:lineRule="auto"/>
        <w:ind w:right="270"/>
        <w:jc w:val="center"/>
        <w:rPr>
          <w:color w:val="4C4747"/>
        </w:rPr>
      </w:pPr>
    </w:p>
    <w:p w:rsidR="00184CAB" w:rsidRDefault="002B1930">
      <w:pPr>
        <w:spacing w:after="240" w:line="360" w:lineRule="auto"/>
        <w:ind w:right="180"/>
        <w:jc w:val="center"/>
        <w:rPr>
          <w:b/>
          <w:bCs/>
          <w:color w:val="4C4747"/>
        </w:rPr>
      </w:pPr>
      <w:r>
        <w:rPr>
          <w:b/>
          <w:bCs/>
          <w:color w:val="4C4747"/>
        </w:rPr>
        <w:t>Joel Antonio López Gómez</w:t>
      </w:r>
    </w:p>
    <w:p w:rsidR="00184CAB" w:rsidRDefault="002B1930">
      <w:pPr>
        <w:spacing w:after="240" w:line="360" w:lineRule="auto"/>
        <w:ind w:right="180"/>
        <w:jc w:val="center"/>
        <w:rPr>
          <w:color w:val="4C4747"/>
        </w:rPr>
      </w:pPr>
      <w:r>
        <w:rPr>
          <w:color w:val="4C4747"/>
        </w:rPr>
        <w:t xml:space="preserve">Dirección Gabinete del </w:t>
      </w:r>
      <w:proofErr w:type="gramStart"/>
      <w:r>
        <w:rPr>
          <w:color w:val="4C4747"/>
        </w:rPr>
        <w:t>Ministro</w:t>
      </w:r>
      <w:proofErr w:type="gramEnd"/>
    </w:p>
    <w:p w:rsidR="00000000" w:rsidRDefault="002B1930">
      <w:pPr>
        <w:sectPr w:rsidR="00000000">
          <w:footerReference w:type="default" r:id="rId54"/>
          <w:pgSz w:w="12240" w:h="15840"/>
          <w:pgMar w:top="1440" w:right="2160" w:bottom="1440" w:left="2160" w:header="720" w:footer="720" w:gutter="0"/>
          <w:cols w:space="720"/>
          <w:titlePg/>
        </w:sectPr>
      </w:pPr>
    </w:p>
    <w:p w:rsidR="00184CAB" w:rsidRDefault="002B1930">
      <w:pPr>
        <w:spacing w:after="240" w:line="360" w:lineRule="auto"/>
        <w:ind w:right="265"/>
        <w:jc w:val="center"/>
        <w:rPr>
          <w:b/>
          <w:bCs/>
          <w:color w:val="4C4747"/>
        </w:rPr>
      </w:pPr>
      <w:r>
        <w:rPr>
          <w:b/>
          <w:bCs/>
          <w:color w:val="4C4747"/>
        </w:rPr>
        <w:t>Anabelle Reynoso Adolphus</w:t>
      </w:r>
    </w:p>
    <w:p w:rsidR="00184CAB" w:rsidRDefault="002B1930">
      <w:pPr>
        <w:spacing w:after="240" w:line="360" w:lineRule="auto"/>
        <w:ind w:right="265"/>
        <w:jc w:val="center"/>
      </w:pPr>
      <w:r>
        <w:rPr>
          <w:color w:val="4C4747"/>
        </w:rPr>
        <w:t>Dirección</w:t>
      </w:r>
      <w:r>
        <w:rPr>
          <w:color w:val="4C4747"/>
        </w:rPr>
        <w:t xml:space="preserve"> Planificación y Desarrollo</w:t>
      </w:r>
    </w:p>
    <w:p w:rsidR="00184CAB" w:rsidRDefault="002B1930">
      <w:pPr>
        <w:spacing w:after="240" w:line="360" w:lineRule="auto"/>
        <w:ind w:right="265"/>
        <w:jc w:val="center"/>
        <w:rPr>
          <w:b/>
          <w:bCs/>
          <w:color w:val="4C4747"/>
        </w:rPr>
      </w:pPr>
      <w:r>
        <w:rPr>
          <w:b/>
          <w:bCs/>
          <w:color w:val="4C4747"/>
        </w:rPr>
        <w:t xml:space="preserve">Patricia </w:t>
      </w:r>
      <w:proofErr w:type="spellStart"/>
      <w:r>
        <w:rPr>
          <w:b/>
          <w:bCs/>
          <w:color w:val="4C4747"/>
        </w:rPr>
        <w:t>Yashin</w:t>
      </w:r>
      <w:proofErr w:type="spellEnd"/>
      <w:r>
        <w:rPr>
          <w:b/>
          <w:bCs/>
          <w:color w:val="4C4747"/>
        </w:rPr>
        <w:t xml:space="preserve"> Santana González</w:t>
      </w:r>
    </w:p>
    <w:p w:rsidR="00184CAB" w:rsidRDefault="002B1930">
      <w:pPr>
        <w:spacing w:after="240" w:line="360" w:lineRule="auto"/>
        <w:ind w:right="265"/>
        <w:jc w:val="center"/>
        <w:rPr>
          <w:color w:val="4C4747"/>
        </w:rPr>
      </w:pPr>
      <w:r>
        <w:rPr>
          <w:color w:val="4C4747"/>
        </w:rPr>
        <w:t>Dirección Recursos Humanos</w:t>
      </w:r>
    </w:p>
    <w:p w:rsidR="00184CAB" w:rsidRDefault="002B1930">
      <w:pPr>
        <w:spacing w:after="240" w:line="360" w:lineRule="auto"/>
        <w:ind w:right="265"/>
        <w:jc w:val="center"/>
        <w:rPr>
          <w:b/>
          <w:bCs/>
          <w:color w:val="4C4747"/>
        </w:rPr>
      </w:pPr>
      <w:r>
        <w:rPr>
          <w:b/>
          <w:bCs/>
          <w:color w:val="4C4747"/>
        </w:rPr>
        <w:t>Marie Esther Infante Vargas</w:t>
      </w:r>
    </w:p>
    <w:p w:rsidR="00184CAB" w:rsidRDefault="002B1930">
      <w:pPr>
        <w:spacing w:after="240" w:line="360" w:lineRule="auto"/>
        <w:ind w:right="265"/>
        <w:jc w:val="center"/>
        <w:rPr>
          <w:color w:val="4C4747"/>
        </w:rPr>
      </w:pPr>
      <w:r>
        <w:rPr>
          <w:color w:val="4C4747"/>
        </w:rPr>
        <w:t>Dirección Jurídica</w:t>
      </w:r>
    </w:p>
    <w:p w:rsidR="00184CAB" w:rsidRDefault="002B1930">
      <w:pPr>
        <w:spacing w:after="240" w:line="360" w:lineRule="auto"/>
        <w:ind w:right="265"/>
        <w:jc w:val="center"/>
        <w:rPr>
          <w:b/>
          <w:bCs/>
          <w:color w:val="4C4747"/>
        </w:rPr>
      </w:pPr>
      <w:r>
        <w:rPr>
          <w:b/>
          <w:bCs/>
          <w:color w:val="4C4747"/>
        </w:rPr>
        <w:t>Janeth Rafaela Dreyfus Ruiz</w:t>
      </w:r>
    </w:p>
    <w:p w:rsidR="00184CAB" w:rsidRDefault="002B1930">
      <w:pPr>
        <w:spacing w:after="240" w:line="360" w:lineRule="auto"/>
        <w:ind w:right="265"/>
        <w:jc w:val="center"/>
        <w:rPr>
          <w:color w:val="4C4747"/>
        </w:rPr>
      </w:pPr>
      <w:r>
        <w:rPr>
          <w:color w:val="4C4747"/>
        </w:rPr>
        <w:t xml:space="preserve">Dirección Gestión de Documentos del </w:t>
      </w:r>
      <w:proofErr w:type="gramStart"/>
      <w:r>
        <w:rPr>
          <w:color w:val="4C4747"/>
        </w:rPr>
        <w:t>Ministro</w:t>
      </w:r>
      <w:proofErr w:type="gramEnd"/>
    </w:p>
    <w:p w:rsidR="00184CAB" w:rsidRDefault="00184CAB">
      <w:pPr>
        <w:spacing w:after="240" w:line="360" w:lineRule="auto"/>
        <w:ind w:right="265"/>
        <w:rPr>
          <w:b/>
          <w:bCs/>
          <w:color w:val="4C4747"/>
        </w:rPr>
      </w:pPr>
    </w:p>
    <w:p w:rsidR="00184CAB" w:rsidRDefault="002B1930">
      <w:pPr>
        <w:spacing w:after="240" w:line="360" w:lineRule="auto"/>
        <w:ind w:right="265"/>
        <w:jc w:val="center"/>
        <w:rPr>
          <w:b/>
          <w:bCs/>
          <w:color w:val="4C4747"/>
        </w:rPr>
      </w:pPr>
      <w:r>
        <w:rPr>
          <w:b/>
          <w:bCs/>
          <w:color w:val="4C4747"/>
        </w:rPr>
        <w:t>Mabel Milagros González Bencosme</w:t>
      </w:r>
    </w:p>
    <w:p w:rsidR="00184CAB" w:rsidRDefault="002B1930">
      <w:pPr>
        <w:spacing w:after="240" w:line="360" w:lineRule="auto"/>
        <w:ind w:right="265"/>
        <w:jc w:val="center"/>
        <w:rPr>
          <w:color w:val="4C4747"/>
        </w:rPr>
      </w:pPr>
      <w:r>
        <w:rPr>
          <w:color w:val="4C4747"/>
        </w:rPr>
        <w:t>Dirección de C</w:t>
      </w:r>
      <w:r>
        <w:rPr>
          <w:color w:val="4C4747"/>
        </w:rPr>
        <w:t>omunicaciones</w:t>
      </w:r>
    </w:p>
    <w:p w:rsidR="00184CAB" w:rsidRDefault="002B1930">
      <w:pPr>
        <w:spacing w:after="240" w:line="360" w:lineRule="auto"/>
        <w:ind w:right="265"/>
        <w:jc w:val="center"/>
        <w:rPr>
          <w:b/>
          <w:bCs/>
          <w:color w:val="4C4747"/>
        </w:rPr>
      </w:pPr>
      <w:r>
        <w:rPr>
          <w:b/>
          <w:bCs/>
          <w:color w:val="4C4747"/>
        </w:rPr>
        <w:t>Agustín Lizardo Ovalle</w:t>
      </w:r>
    </w:p>
    <w:p w:rsidR="00184CAB" w:rsidRDefault="002B1930">
      <w:pPr>
        <w:spacing w:after="240" w:line="360" w:lineRule="auto"/>
        <w:ind w:right="265"/>
        <w:jc w:val="center"/>
        <w:rPr>
          <w:color w:val="4C4747"/>
        </w:rPr>
      </w:pPr>
      <w:r>
        <w:rPr>
          <w:color w:val="4C4747"/>
        </w:rPr>
        <w:t>Dirección de Control Interno</w:t>
      </w:r>
    </w:p>
    <w:p w:rsidR="00184CAB" w:rsidRDefault="002B1930">
      <w:pPr>
        <w:spacing w:after="240" w:line="360" w:lineRule="auto"/>
        <w:ind w:right="265"/>
        <w:jc w:val="center"/>
        <w:rPr>
          <w:b/>
          <w:bCs/>
          <w:color w:val="4C4747"/>
        </w:rPr>
      </w:pPr>
      <w:r>
        <w:rPr>
          <w:b/>
          <w:bCs/>
          <w:color w:val="4C4747"/>
        </w:rPr>
        <w:t>Jimmy Rosario Bernard</w:t>
      </w:r>
    </w:p>
    <w:p w:rsidR="00184CAB" w:rsidRDefault="002B1930">
      <w:pPr>
        <w:spacing w:after="240" w:line="360" w:lineRule="auto"/>
        <w:ind w:right="265"/>
        <w:jc w:val="center"/>
        <w:rPr>
          <w:color w:val="4C4747"/>
        </w:rPr>
      </w:pPr>
      <w:r>
        <w:rPr>
          <w:color w:val="4C4747"/>
        </w:rPr>
        <w:t>Dirección Tecnologías de la Información y Comunicación</w:t>
      </w:r>
    </w:p>
    <w:p w:rsidR="00184CAB" w:rsidRDefault="002B1930">
      <w:pPr>
        <w:spacing w:after="240" w:line="360" w:lineRule="auto"/>
        <w:ind w:right="265"/>
        <w:jc w:val="center"/>
        <w:rPr>
          <w:b/>
          <w:bCs/>
          <w:color w:val="4C4747"/>
        </w:rPr>
      </w:pPr>
      <w:r>
        <w:rPr>
          <w:b/>
          <w:bCs/>
          <w:color w:val="4C4747"/>
        </w:rPr>
        <w:t>Aurora María Sagredo Pla</w:t>
      </w:r>
    </w:p>
    <w:p w:rsidR="00184CAB" w:rsidRDefault="002B1930">
      <w:pPr>
        <w:spacing w:after="240" w:line="360" w:lineRule="auto"/>
        <w:ind w:right="265"/>
        <w:jc w:val="center"/>
        <w:rPr>
          <w:color w:val="4C4747"/>
        </w:rPr>
      </w:pPr>
      <w:r>
        <w:rPr>
          <w:color w:val="4C4747"/>
        </w:rPr>
        <w:t>Dirección Eventos</w:t>
      </w:r>
    </w:p>
    <w:p w:rsidR="00184CAB" w:rsidRDefault="00184CAB">
      <w:pPr>
        <w:spacing w:after="240" w:line="360" w:lineRule="auto"/>
        <w:ind w:right="265"/>
        <w:jc w:val="center"/>
        <w:rPr>
          <w:color w:val="4C4747"/>
        </w:rPr>
      </w:pPr>
    </w:p>
    <w:p w:rsidR="00184CAB" w:rsidRDefault="00184CAB">
      <w:pPr>
        <w:spacing w:after="240" w:line="360" w:lineRule="auto"/>
        <w:ind w:right="265"/>
        <w:jc w:val="center"/>
        <w:rPr>
          <w:color w:val="4C4747"/>
        </w:rPr>
      </w:pPr>
    </w:p>
    <w:p w:rsidR="00184CAB" w:rsidRDefault="002B1930">
      <w:pPr>
        <w:spacing w:after="240" w:line="360" w:lineRule="auto"/>
        <w:ind w:right="265"/>
        <w:jc w:val="center"/>
        <w:rPr>
          <w:b/>
          <w:bCs/>
          <w:color w:val="4C4747"/>
        </w:rPr>
      </w:pPr>
      <w:r>
        <w:rPr>
          <w:b/>
          <w:bCs/>
          <w:color w:val="4C4747"/>
        </w:rPr>
        <w:lastRenderedPageBreak/>
        <w:t>Penélope Rosilva Valdez Alcántara</w:t>
      </w:r>
    </w:p>
    <w:p w:rsidR="00184CAB" w:rsidRDefault="002B1930">
      <w:pPr>
        <w:spacing w:after="240" w:line="360" w:lineRule="auto"/>
        <w:ind w:right="265"/>
        <w:jc w:val="center"/>
        <w:rPr>
          <w:color w:val="4C4747"/>
        </w:rPr>
      </w:pPr>
      <w:r>
        <w:rPr>
          <w:color w:val="4C4747"/>
        </w:rPr>
        <w:t xml:space="preserve">Dirección Desarrollo de Proyectos </w:t>
      </w:r>
      <w:r>
        <w:rPr>
          <w:color w:val="4C4747"/>
        </w:rPr>
        <w:t>Comunitarios</w:t>
      </w:r>
    </w:p>
    <w:p w:rsidR="00184CAB" w:rsidRDefault="002B1930">
      <w:pPr>
        <w:spacing w:after="240" w:line="360" w:lineRule="auto"/>
        <w:ind w:right="265"/>
        <w:jc w:val="center"/>
        <w:rPr>
          <w:b/>
          <w:bCs/>
          <w:color w:val="4C4747"/>
        </w:rPr>
      </w:pPr>
      <w:r>
        <w:rPr>
          <w:b/>
          <w:bCs/>
          <w:color w:val="4C4747"/>
        </w:rPr>
        <w:t>Keila Priscila Calderón Pérez</w:t>
      </w:r>
    </w:p>
    <w:p w:rsidR="00184CAB" w:rsidRDefault="002B1930">
      <w:pPr>
        <w:spacing w:after="240" w:line="360" w:lineRule="auto"/>
        <w:ind w:right="265"/>
        <w:jc w:val="center"/>
        <w:rPr>
          <w:color w:val="4C4747"/>
        </w:rPr>
      </w:pPr>
      <w:r>
        <w:rPr>
          <w:color w:val="4C4747"/>
        </w:rPr>
        <w:t>Dirección Compras y Contrataciones</w:t>
      </w:r>
    </w:p>
    <w:p w:rsidR="00184CAB" w:rsidRDefault="002B1930">
      <w:pPr>
        <w:spacing w:after="240" w:line="360" w:lineRule="auto"/>
        <w:ind w:right="265"/>
        <w:jc w:val="center"/>
        <w:rPr>
          <w:b/>
          <w:bCs/>
          <w:color w:val="4C4747"/>
        </w:rPr>
      </w:pPr>
      <w:r>
        <w:rPr>
          <w:b/>
          <w:bCs/>
          <w:color w:val="4C4747"/>
        </w:rPr>
        <w:t xml:space="preserve">César Guillermo Díaz </w:t>
      </w:r>
      <w:proofErr w:type="spellStart"/>
      <w:r>
        <w:rPr>
          <w:b/>
          <w:bCs/>
          <w:color w:val="4C4747"/>
        </w:rPr>
        <w:t>Díaz</w:t>
      </w:r>
      <w:proofErr w:type="spellEnd"/>
    </w:p>
    <w:p w:rsidR="00184CAB" w:rsidRDefault="002B1930">
      <w:pPr>
        <w:spacing w:after="240" w:line="360" w:lineRule="auto"/>
        <w:ind w:right="265"/>
        <w:jc w:val="center"/>
        <w:rPr>
          <w:color w:val="4C4747"/>
        </w:rPr>
      </w:pPr>
      <w:bookmarkStart w:id="27" w:name="_Hlk184634450"/>
      <w:r>
        <w:rPr>
          <w:color w:val="4C4747"/>
        </w:rPr>
        <w:t xml:space="preserve">Dirección Ingeniería </w:t>
      </w:r>
    </w:p>
    <w:bookmarkEnd w:id="27"/>
    <w:p w:rsidR="00184CAB" w:rsidRDefault="002B1930">
      <w:pPr>
        <w:spacing w:after="240" w:line="360" w:lineRule="auto"/>
        <w:ind w:right="265"/>
        <w:jc w:val="center"/>
        <w:rPr>
          <w:b/>
          <w:bCs/>
          <w:color w:val="4C4747"/>
        </w:rPr>
      </w:pPr>
      <w:r>
        <w:rPr>
          <w:b/>
          <w:bCs/>
          <w:color w:val="4C4747"/>
        </w:rPr>
        <w:t>Rosa Elizabeth Matos Rodríguez</w:t>
      </w:r>
    </w:p>
    <w:p w:rsidR="00184CAB" w:rsidRDefault="002B1930">
      <w:pPr>
        <w:spacing w:after="240" w:line="360" w:lineRule="auto"/>
        <w:ind w:right="265"/>
        <w:jc w:val="center"/>
        <w:rPr>
          <w:color w:val="4C4747"/>
        </w:rPr>
      </w:pPr>
      <w:r>
        <w:rPr>
          <w:color w:val="4C4747"/>
        </w:rPr>
        <w:t xml:space="preserve">Dirección Servicios Generales </w:t>
      </w:r>
    </w:p>
    <w:p w:rsidR="00184CAB" w:rsidRDefault="00184CAB">
      <w:pPr>
        <w:spacing w:after="240" w:line="360" w:lineRule="auto"/>
        <w:ind w:right="265"/>
        <w:jc w:val="center"/>
        <w:rPr>
          <w:b/>
          <w:bCs/>
          <w:color w:val="4C4747"/>
        </w:rPr>
      </w:pPr>
    </w:p>
    <w:p w:rsidR="00184CAB" w:rsidRDefault="00184CAB">
      <w:pPr>
        <w:spacing w:after="240" w:line="360" w:lineRule="auto"/>
        <w:ind w:right="265"/>
        <w:jc w:val="center"/>
        <w:rPr>
          <w:b/>
          <w:bCs/>
          <w:color w:val="4C4747"/>
        </w:rPr>
      </w:pPr>
    </w:p>
    <w:p w:rsidR="00184CAB" w:rsidRDefault="00184CAB">
      <w:pPr>
        <w:spacing w:after="240" w:line="360" w:lineRule="auto"/>
        <w:ind w:right="265"/>
        <w:jc w:val="center"/>
        <w:rPr>
          <w:b/>
          <w:bCs/>
          <w:color w:val="4C4747"/>
        </w:rPr>
      </w:pPr>
    </w:p>
    <w:p w:rsidR="00184CAB" w:rsidRDefault="00184CAB">
      <w:pPr>
        <w:spacing w:after="240" w:line="360" w:lineRule="auto"/>
        <w:ind w:right="265"/>
        <w:jc w:val="center"/>
        <w:rPr>
          <w:b/>
          <w:bCs/>
          <w:color w:val="4C4747"/>
        </w:rPr>
      </w:pPr>
    </w:p>
    <w:p w:rsidR="00184CAB" w:rsidRDefault="00184CAB">
      <w:pPr>
        <w:spacing w:after="240" w:line="360" w:lineRule="auto"/>
        <w:ind w:right="265"/>
        <w:jc w:val="center"/>
        <w:rPr>
          <w:b/>
          <w:bCs/>
          <w:color w:val="4C4747"/>
        </w:rPr>
      </w:pPr>
    </w:p>
    <w:p w:rsidR="00184CAB" w:rsidRDefault="00184CAB">
      <w:pPr>
        <w:spacing w:after="240" w:line="360" w:lineRule="auto"/>
        <w:ind w:right="265"/>
        <w:rPr>
          <w:b/>
          <w:bCs/>
          <w:color w:val="4C4747"/>
        </w:rPr>
      </w:pPr>
    </w:p>
    <w:p w:rsidR="00184CAB" w:rsidRDefault="002B1930">
      <w:pPr>
        <w:spacing w:after="240" w:line="360" w:lineRule="auto"/>
        <w:ind w:right="265"/>
        <w:jc w:val="center"/>
        <w:rPr>
          <w:b/>
          <w:bCs/>
          <w:color w:val="4C4747"/>
        </w:rPr>
      </w:pPr>
      <w:r>
        <w:rPr>
          <w:b/>
          <w:bCs/>
          <w:color w:val="4C4747"/>
        </w:rPr>
        <w:t>Juana Teresa Báez Vasallo</w:t>
      </w:r>
    </w:p>
    <w:p w:rsidR="00184CAB" w:rsidRDefault="002B1930">
      <w:pPr>
        <w:spacing w:after="240" w:line="360" w:lineRule="auto"/>
        <w:ind w:right="265"/>
        <w:jc w:val="center"/>
        <w:rPr>
          <w:color w:val="4C4747"/>
        </w:rPr>
      </w:pPr>
      <w:r>
        <w:rPr>
          <w:color w:val="4C4747"/>
        </w:rPr>
        <w:t>Dirección Financiera</w:t>
      </w:r>
    </w:p>
    <w:p w:rsidR="00184CAB" w:rsidRDefault="002B1930">
      <w:pPr>
        <w:spacing w:after="240" w:line="360" w:lineRule="auto"/>
        <w:ind w:right="265"/>
        <w:rPr>
          <w:b/>
          <w:bCs/>
          <w:color w:val="4C4747"/>
          <w:lang w:val="es-DO"/>
        </w:rPr>
      </w:pPr>
      <w:r>
        <w:rPr>
          <w:b/>
          <w:bCs/>
          <w:color w:val="4C4747"/>
          <w:lang w:val="es-DO"/>
        </w:rPr>
        <w:t xml:space="preserve">Miguel </w:t>
      </w:r>
      <w:proofErr w:type="spellStart"/>
      <w:r>
        <w:rPr>
          <w:b/>
          <w:bCs/>
          <w:color w:val="4C4747"/>
          <w:lang w:val="es-DO"/>
        </w:rPr>
        <w:t>Oneil</w:t>
      </w:r>
      <w:proofErr w:type="spellEnd"/>
      <w:r>
        <w:rPr>
          <w:b/>
          <w:bCs/>
          <w:color w:val="4C4747"/>
          <w:lang w:val="es-DO"/>
        </w:rPr>
        <w:t xml:space="preserve"> </w:t>
      </w:r>
      <w:r>
        <w:rPr>
          <w:b/>
          <w:bCs/>
          <w:color w:val="4C4747"/>
          <w:lang w:val="es-DO"/>
        </w:rPr>
        <w:t>Gil Céspedes</w:t>
      </w:r>
    </w:p>
    <w:p w:rsidR="00184CAB" w:rsidRDefault="002B1930">
      <w:pPr>
        <w:spacing w:after="240" w:line="360" w:lineRule="auto"/>
        <w:ind w:right="265"/>
        <w:jc w:val="center"/>
        <w:rPr>
          <w:color w:val="4C4747"/>
        </w:rPr>
      </w:pPr>
      <w:r>
        <w:rPr>
          <w:color w:val="4C4747"/>
        </w:rPr>
        <w:t>Dirección Administrativo</w:t>
      </w:r>
    </w:p>
    <w:p w:rsidR="00184CAB" w:rsidRDefault="002B1930">
      <w:pPr>
        <w:spacing w:after="240" w:line="360" w:lineRule="auto"/>
        <w:ind w:right="265"/>
        <w:jc w:val="center"/>
        <w:rPr>
          <w:b/>
          <w:bCs/>
          <w:color w:val="4C4747"/>
        </w:rPr>
      </w:pPr>
      <w:r>
        <w:rPr>
          <w:b/>
          <w:bCs/>
          <w:color w:val="4C4747"/>
        </w:rPr>
        <w:t xml:space="preserve">Rosanna Steffany De La Cruz </w:t>
      </w:r>
      <w:proofErr w:type="spellStart"/>
      <w:r>
        <w:rPr>
          <w:b/>
          <w:bCs/>
          <w:color w:val="4C4747"/>
        </w:rPr>
        <w:t>Escarfu</w:t>
      </w:r>
      <w:proofErr w:type="spellEnd"/>
    </w:p>
    <w:p w:rsidR="00184CAB" w:rsidRDefault="002B1930">
      <w:pPr>
        <w:spacing w:after="240" w:line="360" w:lineRule="auto"/>
        <w:ind w:right="265"/>
        <w:jc w:val="center"/>
        <w:rPr>
          <w:color w:val="4C4747"/>
        </w:rPr>
      </w:pPr>
      <w:r>
        <w:rPr>
          <w:color w:val="4C4747"/>
        </w:rPr>
        <w:t xml:space="preserve">Dirección Transparencia y Atención Ciudadana </w:t>
      </w:r>
    </w:p>
    <w:p w:rsidR="00184CAB" w:rsidRDefault="002B1930">
      <w:pPr>
        <w:spacing w:after="240" w:line="360" w:lineRule="auto"/>
        <w:ind w:right="265"/>
        <w:jc w:val="center"/>
        <w:rPr>
          <w:b/>
          <w:bCs/>
          <w:color w:val="4C4747"/>
        </w:rPr>
      </w:pPr>
      <w:r>
        <w:rPr>
          <w:b/>
          <w:bCs/>
          <w:color w:val="4C4747"/>
        </w:rPr>
        <w:t>Gabriela Hilda Herrera Cabral</w:t>
      </w:r>
    </w:p>
    <w:p w:rsidR="00184CAB" w:rsidRDefault="002B1930">
      <w:pPr>
        <w:spacing w:after="240" w:line="360" w:lineRule="auto"/>
        <w:ind w:right="265"/>
        <w:jc w:val="center"/>
        <w:rPr>
          <w:color w:val="4C4747"/>
        </w:rPr>
      </w:pPr>
      <w:r>
        <w:rPr>
          <w:color w:val="4C4747"/>
        </w:rPr>
        <w:t>Dirección Ceremonial y Protocolo</w:t>
      </w:r>
    </w:p>
    <w:p w:rsidR="00000000" w:rsidRDefault="002B1930">
      <w:pPr>
        <w:sectPr w:rsidR="00000000">
          <w:type w:val="continuous"/>
          <w:pgSz w:w="12240" w:h="15840"/>
          <w:pgMar w:top="1440" w:right="2160" w:bottom="1440" w:left="2160" w:header="720" w:footer="720" w:gutter="0"/>
          <w:cols w:num="2" w:space="720"/>
          <w:titlePg/>
        </w:sectPr>
      </w:pPr>
    </w:p>
    <w:p w:rsidR="00184CAB" w:rsidRDefault="002B1930">
      <w:pPr>
        <w:pStyle w:val="Ttulo2"/>
        <w:numPr>
          <w:ilvl w:val="1"/>
          <w:numId w:val="2"/>
        </w:numPr>
        <w:spacing w:line="360" w:lineRule="auto"/>
        <w:ind w:left="284" w:hanging="284"/>
        <w:rPr>
          <w:b/>
          <w:bCs/>
          <w:color w:val="4C4747"/>
        </w:rPr>
      </w:pPr>
      <w:bookmarkStart w:id="28" w:name="_Toc217043939"/>
      <w:bookmarkStart w:id="29" w:name="_Toc217907910"/>
      <w:bookmarkStart w:id="30" w:name="_Toc217914411"/>
      <w:r>
        <w:rPr>
          <w:b/>
          <w:bCs/>
          <w:color w:val="4C4747"/>
        </w:rPr>
        <w:lastRenderedPageBreak/>
        <w:t>Estructura organizativa</w:t>
      </w:r>
      <w:bookmarkEnd w:id="28"/>
      <w:bookmarkEnd w:id="29"/>
      <w:bookmarkEnd w:id="30"/>
    </w:p>
    <w:p w:rsidR="00184CAB" w:rsidRDefault="00184CAB">
      <w:pPr>
        <w:spacing w:line="360" w:lineRule="auto"/>
        <w:ind w:right="-5040"/>
        <w:jc w:val="both"/>
        <w:rPr>
          <w:b/>
          <w:bCs/>
          <w:color w:val="4C4747"/>
        </w:rPr>
      </w:pPr>
    </w:p>
    <w:p w:rsidR="00184CAB" w:rsidRDefault="002B1930">
      <w:pPr>
        <w:spacing w:line="360" w:lineRule="auto"/>
        <w:ind w:right="612"/>
        <w:jc w:val="both"/>
        <w:rPr>
          <w:color w:val="4C4747"/>
        </w:rPr>
        <w:sectPr w:rsidR="00184CAB">
          <w:footerReference w:type="default" r:id="rId55"/>
          <w:pgSz w:w="12240" w:h="15840"/>
          <w:pgMar w:top="1440" w:right="2160" w:bottom="1440" w:left="2160" w:header="720" w:footer="720" w:gutter="0"/>
          <w:cols w:space="720"/>
        </w:sectPr>
      </w:pPr>
      <w:r>
        <w:rPr>
          <w:color w:val="4C4747"/>
        </w:rPr>
        <w:t xml:space="preserve">La estructura organizativa del Ministerio </w:t>
      </w:r>
      <w:r>
        <w:rPr>
          <w:color w:val="4C4747"/>
        </w:rPr>
        <w:t>Administrativo de la Presidencia (MAPRE) fue elaborada conforme a las disposiciones de la Ley núm. 147-17, del 12 de mayo de 2017, que en su artículo único modifica el artículo núm. 18 de la Ley Orgánica de Administración Pública, núm. 247-12, del 9 de ago</w:t>
      </w:r>
      <w:r>
        <w:rPr>
          <w:color w:val="4C4747"/>
        </w:rPr>
        <w:t xml:space="preserve">sto del 2012, y establece que el apoyo administrativo del presidente o de la presidenta de la República, estará a cargo del Ministerio Administrativo de la Presidencia y refrendada por el Ministerio de Administración Pública (MAP) mediante resolución </w:t>
      </w:r>
      <w:bookmarkStart w:id="31" w:name="_Hlk216957065"/>
      <w:r>
        <w:rPr>
          <w:color w:val="4C4747"/>
        </w:rPr>
        <w:t xml:space="preserve">núm. </w:t>
      </w:r>
      <w:r>
        <w:rPr>
          <w:color w:val="4C4747"/>
        </w:rPr>
        <w:t>003-2025</w:t>
      </w:r>
      <w:bookmarkEnd w:id="31"/>
      <w:r>
        <w:rPr>
          <w:color w:val="4C4747"/>
        </w:rPr>
        <w:t xml:space="preserve"> que aprueba la estructura organizativa vigente.</w:t>
      </w:r>
    </w:p>
    <w:p w:rsidR="00184CAB" w:rsidRDefault="002B1930">
      <w:pPr>
        <w:spacing w:line="360" w:lineRule="auto"/>
        <w:ind w:right="-5310"/>
        <w:jc w:val="both"/>
      </w:pPr>
      <w:r>
        <w:rPr>
          <w:i/>
          <w:color w:val="4C4747"/>
          <w:sz w:val="18"/>
          <w:szCs w:val="18"/>
        </w:rPr>
        <w:lastRenderedPageBreak/>
        <w:t>Estructura Organizativa del Ministerio Administrativo de la Presidencia.</w:t>
      </w:r>
    </w:p>
    <w:p w:rsidR="00184CAB" w:rsidRDefault="002B1930">
      <w:pPr>
        <w:spacing w:line="360" w:lineRule="auto"/>
        <w:ind w:right="612"/>
        <w:sectPr w:rsidR="00184CAB">
          <w:footerReference w:type="default" r:id="rId56"/>
          <w:pgSz w:w="15840" w:h="12240" w:orient="landscape"/>
          <w:pgMar w:top="1440" w:right="2160" w:bottom="1440" w:left="2160" w:header="720" w:footer="720" w:gutter="0"/>
          <w:cols w:space="720"/>
        </w:sectPr>
      </w:pPr>
      <w:r>
        <w:rPr>
          <w:noProof/>
          <w:color w:val="4C4747"/>
        </w:rPr>
        <w:drawing>
          <wp:inline distT="0" distB="0" distL="0" distR="0">
            <wp:extent cx="7749759" cy="4278697"/>
            <wp:effectExtent l="0" t="0" r="3591" b="7553"/>
            <wp:docPr id="38"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rcRect l="-317" t="8610" r="8757" b="6754"/>
                    <a:stretch>
                      <a:fillRect/>
                    </a:stretch>
                  </pic:blipFill>
                  <pic:spPr>
                    <a:xfrm>
                      <a:off x="0" y="0"/>
                      <a:ext cx="7749759" cy="4278697"/>
                    </a:xfrm>
                    <a:prstGeom prst="rect">
                      <a:avLst/>
                    </a:prstGeom>
                    <a:noFill/>
                    <a:ln>
                      <a:noFill/>
                      <a:prstDash/>
                    </a:ln>
                  </pic:spPr>
                </pic:pic>
              </a:graphicData>
            </a:graphic>
          </wp:inline>
        </w:drawing>
      </w:r>
    </w:p>
    <w:p w:rsidR="00184CAB" w:rsidRDefault="002B1930">
      <w:pPr>
        <w:pStyle w:val="Ttulo2"/>
        <w:numPr>
          <w:ilvl w:val="1"/>
          <w:numId w:val="2"/>
        </w:numPr>
        <w:spacing w:line="360" w:lineRule="auto"/>
        <w:ind w:left="284" w:hanging="284"/>
      </w:pPr>
      <w:bookmarkStart w:id="32" w:name="_Toc217043940"/>
      <w:bookmarkStart w:id="33" w:name="_Toc217907911"/>
      <w:bookmarkStart w:id="34" w:name="_Toc217914412"/>
      <w:r>
        <w:rPr>
          <w:b/>
          <w:bCs/>
          <w:color w:val="4C4747"/>
          <w:szCs w:val="24"/>
        </w:rPr>
        <w:lastRenderedPageBreak/>
        <w:t>Planificación estratégica institucional</w:t>
      </w:r>
      <w:bookmarkEnd w:id="32"/>
      <w:bookmarkEnd w:id="33"/>
      <w:bookmarkEnd w:id="34"/>
    </w:p>
    <w:p w:rsidR="00184CAB" w:rsidRDefault="002B1930">
      <w:pPr>
        <w:spacing w:line="360" w:lineRule="auto"/>
        <w:jc w:val="both"/>
        <w:rPr>
          <w:color w:val="4C4747"/>
        </w:rPr>
      </w:pPr>
      <w:r>
        <w:rPr>
          <w:color w:val="4C4747"/>
        </w:rPr>
        <w:t>El Plan Estratégico Institucional (PEI) del Ministerio Administrativo de la Presiden</w:t>
      </w:r>
      <w:r>
        <w:rPr>
          <w:color w:val="4C4747"/>
        </w:rPr>
        <w:t>cia periodo 2025-2028 es el resultado del proceso participativo entre las autoridades del Ministerio, el equipo técnico y los grupos de interés de la entidad, mediante el cual queda establecido los lineamientos estratégicos institucionales que brindarán la</w:t>
      </w:r>
      <w:r>
        <w:rPr>
          <w:color w:val="4C4747"/>
        </w:rPr>
        <w:t xml:space="preserve"> orientación a la gestión administrativa del Ministerio Administrativo de la Presidencia durante el periodo de gobernanza 2025-2028.</w:t>
      </w:r>
    </w:p>
    <w:p w:rsidR="00184CAB" w:rsidRDefault="002B1930">
      <w:pPr>
        <w:spacing w:line="360" w:lineRule="auto"/>
        <w:jc w:val="both"/>
      </w:pPr>
      <w:r>
        <w:rPr>
          <w:color w:val="4C4747"/>
        </w:rPr>
        <w:t>Para el proceso de formulación, se ha tomado en cuenta los instrumentos de planificación nacional, así como también las pol</w:t>
      </w:r>
      <w:r>
        <w:rPr>
          <w:color w:val="4C4747"/>
        </w:rPr>
        <w:t>íticas públicas priorizadas para la gestión del gobierno del presente cuatrienio, los objetivos de desarrollo sostenible, así como la Estrategia Nacional de Desarrollo (END) 2030.</w:t>
      </w:r>
    </w:p>
    <w:p w:rsidR="00184CAB" w:rsidRDefault="002B1930">
      <w:pPr>
        <w:spacing w:line="360" w:lineRule="auto"/>
        <w:jc w:val="both"/>
        <w:rPr>
          <w:color w:val="4C4747"/>
          <w:lang w:val="es-ES"/>
        </w:rPr>
      </w:pPr>
      <w:r>
        <w:rPr>
          <w:color w:val="4C4747"/>
          <w:lang w:val="es-ES"/>
        </w:rPr>
        <w:t>En este marco, el MAPRE asume el compromiso de fortalecer su rol como soport</w:t>
      </w:r>
      <w:r>
        <w:rPr>
          <w:color w:val="4C4747"/>
          <w:lang w:val="es-ES"/>
        </w:rPr>
        <w:t>e estratégico de la Casa de Gobierno, garantizando que cada acción institucional responda a criterios de eficiencia, transparencia, innovación, equidad territorial y participación ciudadana, al tiempo que contribuye directamente al cumplimiento de las prio</w:t>
      </w:r>
      <w:r>
        <w:rPr>
          <w:color w:val="4C4747"/>
          <w:lang w:val="es-ES"/>
        </w:rPr>
        <w:t xml:space="preserve">ridades y metas definidas por el </w:t>
      </w:r>
      <w:proofErr w:type="gramStart"/>
      <w:r>
        <w:rPr>
          <w:color w:val="4C4747"/>
          <w:lang w:val="es-ES"/>
        </w:rPr>
        <w:t>Presidente</w:t>
      </w:r>
      <w:proofErr w:type="gramEnd"/>
      <w:r>
        <w:rPr>
          <w:color w:val="4C4747"/>
          <w:lang w:val="es-ES"/>
        </w:rPr>
        <w:t xml:space="preserve"> de la República.</w:t>
      </w:r>
    </w:p>
    <w:p w:rsidR="00184CAB" w:rsidRDefault="002B1930">
      <w:pPr>
        <w:spacing w:line="360" w:lineRule="auto"/>
        <w:jc w:val="both"/>
        <w:rPr>
          <w:color w:val="4C4747"/>
        </w:rPr>
      </w:pPr>
      <w:r>
        <w:rPr>
          <w:color w:val="4C4747"/>
        </w:rPr>
        <w:t xml:space="preserve">Este Plan Estratégico contiene un conjunto de líneas de acción que expone la necesidad de lograr alcanzar metas en el plazo determinado mediante ejes y objetivos que, de forma coordinada, </w:t>
      </w:r>
      <w:r>
        <w:rPr>
          <w:color w:val="4C4747"/>
        </w:rPr>
        <w:t>muestran la ruta institucional y establecen las estrategias para lograrlos de forma satisfactoria en este próximo cuatrienio.</w:t>
      </w:r>
    </w:p>
    <w:p w:rsidR="00184CAB" w:rsidRDefault="002B1930">
      <w:pPr>
        <w:spacing w:line="360" w:lineRule="auto"/>
        <w:jc w:val="both"/>
        <w:rPr>
          <w:color w:val="4C4747"/>
        </w:rPr>
      </w:pPr>
      <w:r>
        <w:rPr>
          <w:color w:val="4C4747"/>
        </w:rPr>
        <w:t>El Plan Estratégico Institucional 2025-2028 está compuesto por cuatro ejes mediante los cuales se articulan los objetivos y lineam</w:t>
      </w:r>
      <w:r>
        <w:rPr>
          <w:color w:val="4C4747"/>
        </w:rPr>
        <w:t>ientos estratégicos a desarrollar durante los próximos cuatro años, estos son:</w:t>
      </w:r>
    </w:p>
    <w:p w:rsidR="00184CAB" w:rsidRDefault="002B1930">
      <w:pPr>
        <w:spacing w:line="360" w:lineRule="auto"/>
        <w:jc w:val="both"/>
        <w:rPr>
          <w:b/>
          <w:color w:val="4C4747"/>
        </w:rPr>
      </w:pPr>
      <w:r>
        <w:rPr>
          <w:b/>
          <w:color w:val="4C4747"/>
        </w:rPr>
        <w:lastRenderedPageBreak/>
        <w:t>Ejes Estratégicos:</w:t>
      </w:r>
    </w:p>
    <w:p w:rsidR="00184CAB" w:rsidRDefault="002B1930">
      <w:pPr>
        <w:pStyle w:val="Prrafodelista"/>
        <w:numPr>
          <w:ilvl w:val="3"/>
          <w:numId w:val="1"/>
        </w:numPr>
        <w:spacing w:line="360" w:lineRule="auto"/>
        <w:ind w:left="284" w:hanging="284"/>
        <w:jc w:val="both"/>
      </w:pPr>
      <w:r>
        <w:rPr>
          <w:bCs/>
          <w:color w:val="4C4747"/>
        </w:rPr>
        <w:t>Fortalecimiento de la Transparencia y la Integridad Institucional.</w:t>
      </w:r>
    </w:p>
    <w:p w:rsidR="00184CAB" w:rsidRDefault="002B1930">
      <w:pPr>
        <w:pStyle w:val="Prrafodelista"/>
        <w:numPr>
          <w:ilvl w:val="3"/>
          <w:numId w:val="1"/>
        </w:numPr>
        <w:spacing w:line="360" w:lineRule="auto"/>
        <w:ind w:left="284" w:hanging="284"/>
        <w:jc w:val="both"/>
      </w:pPr>
      <w:r>
        <w:rPr>
          <w:bCs/>
          <w:color w:val="4C4747"/>
        </w:rPr>
        <w:t>Mejora Continua de la Gestión Pública.</w:t>
      </w:r>
      <w:r>
        <w:rPr>
          <w:color w:val="4C4747"/>
        </w:rPr>
        <w:t xml:space="preserve"> </w:t>
      </w:r>
    </w:p>
    <w:p w:rsidR="00184CAB" w:rsidRDefault="002B1930">
      <w:pPr>
        <w:pStyle w:val="Prrafodelista"/>
        <w:numPr>
          <w:ilvl w:val="3"/>
          <w:numId w:val="1"/>
        </w:numPr>
        <w:spacing w:line="360" w:lineRule="auto"/>
        <w:ind w:left="284" w:hanging="284"/>
        <w:jc w:val="both"/>
      </w:pPr>
      <w:r>
        <w:rPr>
          <w:bCs/>
          <w:color w:val="4C4747"/>
        </w:rPr>
        <w:t>Innovación y Mejora Continua en Servicios Públicos.</w:t>
      </w:r>
      <w:r>
        <w:rPr>
          <w:color w:val="4C4747"/>
        </w:rPr>
        <w:t xml:space="preserve"> </w:t>
      </w:r>
    </w:p>
    <w:p w:rsidR="00184CAB" w:rsidRDefault="002B1930">
      <w:pPr>
        <w:pStyle w:val="Prrafodelista"/>
        <w:numPr>
          <w:ilvl w:val="3"/>
          <w:numId w:val="1"/>
        </w:numPr>
        <w:spacing w:line="360" w:lineRule="auto"/>
        <w:ind w:left="284" w:hanging="284"/>
        <w:jc w:val="both"/>
      </w:pPr>
      <w:r>
        <w:rPr>
          <w:bCs/>
          <w:color w:val="4C4747"/>
        </w:rPr>
        <w:t>Optimización de procesos de compras y contrataciones.</w:t>
      </w:r>
      <w:r>
        <w:rPr>
          <w:color w:val="4C4747"/>
        </w:rPr>
        <w:t xml:space="preserve"> </w:t>
      </w:r>
    </w:p>
    <w:p w:rsidR="00184CAB" w:rsidRDefault="002B1930">
      <w:pPr>
        <w:spacing w:line="360" w:lineRule="auto"/>
        <w:jc w:val="both"/>
        <w:rPr>
          <w:b/>
          <w:bCs/>
          <w:color w:val="4C4747"/>
        </w:rPr>
      </w:pPr>
      <w:r>
        <w:rPr>
          <w:b/>
          <w:bCs/>
          <w:color w:val="4C4747"/>
        </w:rPr>
        <w:t>En la siguiente tabla se muestra el marco de producción estratégica para el periodo 2025-2028:</w:t>
      </w:r>
    </w:p>
    <w:tbl>
      <w:tblPr>
        <w:tblW w:w="7920" w:type="dxa"/>
        <w:tblCellMar>
          <w:left w:w="10" w:type="dxa"/>
          <w:right w:w="10" w:type="dxa"/>
        </w:tblCellMar>
        <w:tblLook w:val="0000" w:firstRow="0" w:lastRow="0" w:firstColumn="0" w:lastColumn="0" w:noHBand="0" w:noVBand="0"/>
      </w:tblPr>
      <w:tblGrid>
        <w:gridCol w:w="2195"/>
        <w:gridCol w:w="5725"/>
      </w:tblGrid>
      <w:tr w:rsidR="00184CAB">
        <w:tblPrEx>
          <w:tblCellMar>
            <w:top w:w="0" w:type="dxa"/>
            <w:bottom w:w="0" w:type="dxa"/>
          </w:tblCellMar>
        </w:tblPrEx>
        <w:trPr>
          <w:trHeight w:val="949"/>
          <w:tblHeader/>
        </w:trPr>
        <w:tc>
          <w:tcPr>
            <w:tcW w:w="7920" w:type="dxa"/>
            <w:gridSpan w:val="2"/>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tabs>
                <w:tab w:val="left" w:pos="9214"/>
              </w:tabs>
              <w:spacing w:after="0" w:line="240" w:lineRule="auto"/>
              <w:jc w:val="center"/>
              <w:rPr>
                <w:rFonts w:eastAsia="Times New Roman"/>
                <w:b/>
                <w:bCs/>
                <w:color w:val="FFFFFF"/>
                <w:sz w:val="19"/>
                <w:szCs w:val="19"/>
              </w:rPr>
            </w:pPr>
            <w:r>
              <w:rPr>
                <w:rFonts w:eastAsia="Times New Roman"/>
                <w:b/>
                <w:bCs/>
                <w:color w:val="FFFFFF"/>
                <w:sz w:val="19"/>
                <w:szCs w:val="19"/>
              </w:rPr>
              <w:t>Tabla no. 1 sobre Relación del Marco de Producción Estratégica del Ministerio Administrativo de la Presi</w:t>
            </w:r>
            <w:r>
              <w:rPr>
                <w:rFonts w:eastAsia="Times New Roman"/>
                <w:b/>
                <w:bCs/>
                <w:color w:val="FFFFFF"/>
                <w:sz w:val="19"/>
                <w:szCs w:val="19"/>
              </w:rPr>
              <w:t>dencia para el período 2025-2028</w:t>
            </w:r>
          </w:p>
        </w:tc>
      </w:tr>
      <w:tr w:rsidR="00184CAB">
        <w:tblPrEx>
          <w:tblCellMar>
            <w:top w:w="0" w:type="dxa"/>
            <w:bottom w:w="0" w:type="dxa"/>
          </w:tblCellMar>
        </w:tblPrEx>
        <w:trPr>
          <w:trHeight w:val="414"/>
          <w:tblHeader/>
        </w:trPr>
        <w:tc>
          <w:tcPr>
            <w:tcW w:w="2195"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pPr>
            <w:r>
              <w:rPr>
                <w:rFonts w:eastAsia="Times New Roman"/>
                <w:b/>
                <w:bCs/>
                <w:color w:val="FFFFFF"/>
                <w:sz w:val="19"/>
                <w:szCs w:val="19"/>
              </w:rPr>
              <w:t>Ejes Estratégico</w:t>
            </w:r>
          </w:p>
        </w:tc>
        <w:tc>
          <w:tcPr>
            <w:tcW w:w="5725"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pPr>
            <w:r>
              <w:rPr>
                <w:rFonts w:eastAsia="Times New Roman"/>
                <w:b/>
                <w:bCs/>
                <w:color w:val="FFFFFF"/>
                <w:sz w:val="19"/>
                <w:szCs w:val="19"/>
              </w:rPr>
              <w:t>Objetivo Estratégico</w:t>
            </w:r>
          </w:p>
        </w:tc>
      </w:tr>
      <w:tr w:rsidR="00184CAB">
        <w:tblPrEx>
          <w:tblCellMar>
            <w:top w:w="0" w:type="dxa"/>
            <w:bottom w:w="0" w:type="dxa"/>
          </w:tblCellMar>
        </w:tblPrEx>
        <w:trPr>
          <w:trHeight w:val="375"/>
        </w:trPr>
        <w:tc>
          <w:tcPr>
            <w:tcW w:w="219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tabs>
                <w:tab w:val="left" w:pos="9214"/>
              </w:tabs>
              <w:spacing w:after="0" w:line="240" w:lineRule="auto"/>
              <w:ind w:right="53" w:hanging="90"/>
              <w:jc w:val="center"/>
              <w:rPr>
                <w:rFonts w:eastAsia="Times New Roman"/>
                <w:b/>
                <w:bCs/>
                <w:color w:val="4C4747"/>
                <w:sz w:val="19"/>
                <w:szCs w:val="19"/>
              </w:rPr>
            </w:pPr>
            <w:r>
              <w:rPr>
                <w:rFonts w:eastAsia="Times New Roman"/>
                <w:b/>
                <w:bCs/>
                <w:color w:val="4C4747"/>
                <w:sz w:val="19"/>
                <w:szCs w:val="19"/>
              </w:rPr>
              <w:t>Eje 1. Fortalecimiento de la Transparencia y la Integridad Institucional.</w:t>
            </w: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tabs>
                <w:tab w:val="left" w:pos="9214"/>
              </w:tabs>
              <w:spacing w:after="0" w:line="240" w:lineRule="auto"/>
              <w:jc w:val="center"/>
              <w:rPr>
                <w:rFonts w:eastAsia="Times New Roman"/>
                <w:color w:val="4C4747"/>
                <w:sz w:val="19"/>
                <w:szCs w:val="19"/>
              </w:rPr>
            </w:pPr>
            <w:r>
              <w:rPr>
                <w:rFonts w:eastAsia="Times New Roman"/>
                <w:color w:val="4C4747"/>
                <w:sz w:val="19"/>
                <w:szCs w:val="19"/>
              </w:rPr>
              <w:t xml:space="preserve">OE1.1: Garantizar políticas y procedimientos institucionales accesibles y actualizados para fortalecer la </w:t>
            </w:r>
            <w:r>
              <w:rPr>
                <w:rFonts w:eastAsia="Times New Roman"/>
                <w:color w:val="4C4747"/>
                <w:sz w:val="19"/>
                <w:szCs w:val="19"/>
              </w:rPr>
              <w:t>gestión pública.</w:t>
            </w:r>
          </w:p>
        </w:tc>
      </w:tr>
      <w:tr w:rsidR="00184CAB">
        <w:tblPrEx>
          <w:tblCellMar>
            <w:top w:w="0" w:type="dxa"/>
            <w:bottom w:w="0" w:type="dxa"/>
          </w:tblCellMar>
        </w:tblPrEx>
        <w:trPr>
          <w:trHeight w:val="105"/>
        </w:trPr>
        <w:tc>
          <w:tcPr>
            <w:tcW w:w="219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184CAB">
            <w:pPr>
              <w:spacing w:after="0" w:line="240" w:lineRule="auto"/>
              <w:jc w:val="center"/>
              <w:rPr>
                <w:b/>
                <w:bCs/>
                <w:color w:val="4C4747"/>
                <w:sz w:val="19"/>
                <w:szCs w:val="19"/>
              </w:rPr>
            </w:pP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tabs>
                <w:tab w:val="left" w:pos="9214"/>
              </w:tabs>
              <w:spacing w:after="0" w:line="240" w:lineRule="auto"/>
              <w:jc w:val="center"/>
              <w:rPr>
                <w:rFonts w:eastAsia="Times New Roman"/>
                <w:color w:val="4C4747"/>
                <w:sz w:val="19"/>
                <w:szCs w:val="19"/>
              </w:rPr>
            </w:pPr>
            <w:r>
              <w:rPr>
                <w:rFonts w:eastAsia="Times New Roman"/>
                <w:color w:val="4C4747"/>
                <w:sz w:val="19"/>
                <w:szCs w:val="19"/>
              </w:rPr>
              <w:t>OE1.2: Consolidar la rendición de cuentas y la auditoría social para aumentar la confianza ciudadana.</w:t>
            </w:r>
          </w:p>
        </w:tc>
      </w:tr>
      <w:tr w:rsidR="00184CAB">
        <w:tblPrEx>
          <w:tblCellMar>
            <w:top w:w="0" w:type="dxa"/>
            <w:bottom w:w="0" w:type="dxa"/>
          </w:tblCellMar>
        </w:tblPrEx>
        <w:trPr>
          <w:trHeight w:val="90"/>
        </w:trPr>
        <w:tc>
          <w:tcPr>
            <w:tcW w:w="219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184CAB">
            <w:pPr>
              <w:spacing w:after="0" w:line="240" w:lineRule="auto"/>
              <w:jc w:val="center"/>
              <w:rPr>
                <w:b/>
                <w:bCs/>
                <w:color w:val="4C4747"/>
                <w:sz w:val="19"/>
                <w:szCs w:val="19"/>
              </w:rPr>
            </w:pP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tabs>
                <w:tab w:val="left" w:pos="9214"/>
              </w:tabs>
              <w:spacing w:after="0" w:line="240" w:lineRule="auto"/>
              <w:jc w:val="center"/>
              <w:rPr>
                <w:rFonts w:eastAsia="Times New Roman"/>
                <w:color w:val="4C4747"/>
                <w:sz w:val="19"/>
                <w:szCs w:val="19"/>
              </w:rPr>
            </w:pPr>
            <w:r>
              <w:rPr>
                <w:rFonts w:eastAsia="Times New Roman"/>
                <w:color w:val="4C4747"/>
                <w:sz w:val="19"/>
                <w:szCs w:val="19"/>
              </w:rPr>
              <w:t>OE1.3: Asegurar una gestión de recursos humanos, financieros y materiales con altos estándares de transparencia y eficiencia.</w:t>
            </w:r>
          </w:p>
        </w:tc>
      </w:tr>
      <w:tr w:rsidR="00184CAB">
        <w:tblPrEx>
          <w:tblCellMar>
            <w:top w:w="0" w:type="dxa"/>
            <w:bottom w:w="0" w:type="dxa"/>
          </w:tblCellMar>
        </w:tblPrEx>
        <w:trPr>
          <w:trHeight w:val="816"/>
        </w:trPr>
        <w:tc>
          <w:tcPr>
            <w:tcW w:w="219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184CAB">
            <w:pPr>
              <w:spacing w:after="0" w:line="240" w:lineRule="auto"/>
              <w:jc w:val="center"/>
              <w:rPr>
                <w:b/>
                <w:bCs/>
                <w:color w:val="4C4747"/>
                <w:sz w:val="19"/>
                <w:szCs w:val="19"/>
              </w:rPr>
            </w:pP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tabs>
                <w:tab w:val="left" w:pos="9214"/>
              </w:tabs>
              <w:spacing w:after="0" w:line="240" w:lineRule="auto"/>
              <w:jc w:val="center"/>
            </w:pPr>
            <w:r>
              <w:rPr>
                <w:rFonts w:eastAsia="Times New Roman"/>
                <w:color w:val="4C4747"/>
                <w:sz w:val="19"/>
                <w:szCs w:val="19"/>
              </w:rPr>
              <w:t>OE1.4</w:t>
            </w:r>
            <w:r>
              <w:rPr>
                <w:rFonts w:eastAsia="Times New Roman"/>
                <w:b/>
                <w:bCs/>
                <w:color w:val="4C4747"/>
                <w:sz w:val="19"/>
                <w:szCs w:val="19"/>
              </w:rPr>
              <w:t>:</w:t>
            </w:r>
            <w:r>
              <w:rPr>
                <w:rFonts w:eastAsia="Times New Roman"/>
                <w:color w:val="4C4747"/>
                <w:sz w:val="19"/>
                <w:szCs w:val="19"/>
              </w:rPr>
              <w:t xml:space="preserve"> Promover una cultura de participación ciudadana y monitoreo que prevenga la corrupción y fortalezca la integridad institucional.</w:t>
            </w:r>
          </w:p>
        </w:tc>
      </w:tr>
      <w:tr w:rsidR="00184CAB">
        <w:tblPrEx>
          <w:tblCellMar>
            <w:top w:w="0" w:type="dxa"/>
            <w:bottom w:w="0" w:type="dxa"/>
          </w:tblCellMar>
        </w:tblPrEx>
        <w:trPr>
          <w:trHeight w:val="195"/>
        </w:trPr>
        <w:tc>
          <w:tcPr>
            <w:tcW w:w="219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tabs>
                <w:tab w:val="left" w:pos="9214"/>
              </w:tabs>
              <w:spacing w:after="0" w:line="240" w:lineRule="auto"/>
              <w:ind w:right="53"/>
              <w:jc w:val="center"/>
              <w:rPr>
                <w:rFonts w:eastAsia="Times New Roman"/>
                <w:b/>
                <w:bCs/>
                <w:color w:val="4C4747"/>
                <w:sz w:val="19"/>
                <w:szCs w:val="19"/>
              </w:rPr>
            </w:pPr>
            <w:r>
              <w:rPr>
                <w:rFonts w:eastAsia="Times New Roman"/>
                <w:b/>
                <w:bCs/>
                <w:color w:val="4C4747"/>
                <w:sz w:val="19"/>
                <w:szCs w:val="19"/>
              </w:rPr>
              <w:t>Eje 2 - Mejora Continua de la Gestión Pública</w:t>
            </w: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tabs>
                <w:tab w:val="left" w:pos="9214"/>
              </w:tabs>
              <w:spacing w:after="0" w:line="240" w:lineRule="auto"/>
              <w:jc w:val="center"/>
              <w:rPr>
                <w:rFonts w:eastAsia="Times New Roman"/>
                <w:color w:val="4C4747"/>
                <w:sz w:val="19"/>
                <w:szCs w:val="19"/>
              </w:rPr>
            </w:pPr>
            <w:r>
              <w:rPr>
                <w:rFonts w:eastAsia="Times New Roman"/>
                <w:color w:val="4C4747"/>
                <w:sz w:val="19"/>
                <w:szCs w:val="19"/>
              </w:rPr>
              <w:t xml:space="preserve">OE2.1: Orientar la gestión institucional a resultados mediante planes de </w:t>
            </w:r>
            <w:r>
              <w:rPr>
                <w:rFonts w:eastAsia="Times New Roman"/>
                <w:color w:val="4C4747"/>
                <w:sz w:val="19"/>
                <w:szCs w:val="19"/>
              </w:rPr>
              <w:t>acción medibles y verificables.</w:t>
            </w:r>
          </w:p>
        </w:tc>
      </w:tr>
      <w:tr w:rsidR="00184CAB">
        <w:tblPrEx>
          <w:tblCellMar>
            <w:top w:w="0" w:type="dxa"/>
            <w:bottom w:w="0" w:type="dxa"/>
          </w:tblCellMar>
        </w:tblPrEx>
        <w:trPr>
          <w:trHeight w:val="405"/>
        </w:trPr>
        <w:tc>
          <w:tcPr>
            <w:tcW w:w="219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184CAB">
            <w:pPr>
              <w:spacing w:after="0" w:line="240" w:lineRule="auto"/>
              <w:jc w:val="center"/>
              <w:rPr>
                <w:b/>
                <w:bCs/>
                <w:color w:val="4C4747"/>
                <w:sz w:val="19"/>
                <w:szCs w:val="19"/>
              </w:rPr>
            </w:pP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tabs>
                <w:tab w:val="left" w:pos="9214"/>
              </w:tabs>
              <w:spacing w:after="0" w:line="240" w:lineRule="auto"/>
              <w:ind w:right="53"/>
              <w:jc w:val="center"/>
              <w:rPr>
                <w:rFonts w:eastAsia="Times New Roman"/>
                <w:color w:val="4C4747"/>
                <w:sz w:val="19"/>
                <w:szCs w:val="19"/>
              </w:rPr>
            </w:pPr>
            <w:r>
              <w:rPr>
                <w:rFonts w:eastAsia="Times New Roman"/>
                <w:color w:val="4C4747"/>
                <w:sz w:val="19"/>
                <w:szCs w:val="19"/>
              </w:rPr>
              <w:t>OE2.2: Optimizar y simplificar procesos críticos para reducir tiempos de respuesta y mejorar la eficiencia institucional.</w:t>
            </w:r>
          </w:p>
        </w:tc>
      </w:tr>
      <w:tr w:rsidR="00184CAB">
        <w:tblPrEx>
          <w:tblCellMar>
            <w:top w:w="0" w:type="dxa"/>
            <w:bottom w:w="0" w:type="dxa"/>
          </w:tblCellMar>
        </w:tblPrEx>
        <w:trPr>
          <w:trHeight w:val="105"/>
        </w:trPr>
        <w:tc>
          <w:tcPr>
            <w:tcW w:w="219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184CAB">
            <w:pPr>
              <w:spacing w:after="0" w:line="240" w:lineRule="auto"/>
              <w:jc w:val="center"/>
              <w:rPr>
                <w:b/>
                <w:bCs/>
                <w:color w:val="4C4747"/>
                <w:sz w:val="19"/>
                <w:szCs w:val="19"/>
              </w:rPr>
            </w:pP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tabs>
                <w:tab w:val="left" w:pos="9214"/>
              </w:tabs>
              <w:spacing w:after="0" w:line="240" w:lineRule="auto"/>
              <w:ind w:right="53"/>
              <w:jc w:val="center"/>
              <w:rPr>
                <w:rFonts w:eastAsia="Times New Roman"/>
                <w:color w:val="4C4747"/>
                <w:sz w:val="19"/>
                <w:szCs w:val="19"/>
              </w:rPr>
            </w:pPr>
            <w:r>
              <w:rPr>
                <w:rFonts w:eastAsia="Times New Roman"/>
                <w:color w:val="4C4747"/>
                <w:sz w:val="19"/>
                <w:szCs w:val="19"/>
              </w:rPr>
              <w:t xml:space="preserve">OE2.3: Fortalecer las capacidades técnicas del personal para consolidar una cultura de mejora </w:t>
            </w:r>
            <w:r>
              <w:rPr>
                <w:rFonts w:eastAsia="Times New Roman"/>
                <w:color w:val="4C4747"/>
                <w:sz w:val="19"/>
                <w:szCs w:val="19"/>
              </w:rPr>
              <w:t>continua.</w:t>
            </w:r>
          </w:p>
        </w:tc>
      </w:tr>
      <w:tr w:rsidR="00184CAB">
        <w:tblPrEx>
          <w:tblCellMar>
            <w:top w:w="0" w:type="dxa"/>
            <w:bottom w:w="0" w:type="dxa"/>
          </w:tblCellMar>
        </w:tblPrEx>
        <w:trPr>
          <w:trHeight w:val="105"/>
        </w:trPr>
        <w:tc>
          <w:tcPr>
            <w:tcW w:w="219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184CAB">
            <w:pPr>
              <w:spacing w:after="0" w:line="240" w:lineRule="auto"/>
              <w:jc w:val="center"/>
              <w:rPr>
                <w:b/>
                <w:bCs/>
                <w:color w:val="4C4747"/>
                <w:sz w:val="19"/>
                <w:szCs w:val="19"/>
              </w:rPr>
            </w:pP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tabs>
                <w:tab w:val="left" w:pos="9214"/>
              </w:tabs>
              <w:spacing w:after="0" w:line="240" w:lineRule="auto"/>
              <w:ind w:right="53"/>
              <w:jc w:val="center"/>
              <w:rPr>
                <w:rFonts w:eastAsia="Times New Roman"/>
                <w:color w:val="4C4747"/>
                <w:sz w:val="19"/>
                <w:szCs w:val="19"/>
              </w:rPr>
            </w:pPr>
            <w:r>
              <w:rPr>
                <w:rFonts w:eastAsia="Times New Roman"/>
                <w:color w:val="4C4747"/>
                <w:sz w:val="19"/>
                <w:szCs w:val="19"/>
              </w:rPr>
              <w:t>OE2.4: Implementar un sistema de seguimiento y evaluación permanente que permita la toma de decisiones basada en evidencia.</w:t>
            </w:r>
          </w:p>
        </w:tc>
      </w:tr>
      <w:tr w:rsidR="00184CAB">
        <w:tblPrEx>
          <w:tblCellMar>
            <w:top w:w="0" w:type="dxa"/>
            <w:bottom w:w="0" w:type="dxa"/>
          </w:tblCellMar>
        </w:tblPrEx>
        <w:trPr>
          <w:trHeight w:val="270"/>
        </w:trPr>
        <w:tc>
          <w:tcPr>
            <w:tcW w:w="219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tabs>
                <w:tab w:val="left" w:pos="9214"/>
              </w:tabs>
              <w:spacing w:after="0" w:line="240" w:lineRule="auto"/>
              <w:ind w:right="53"/>
              <w:jc w:val="center"/>
              <w:rPr>
                <w:rFonts w:eastAsia="Times New Roman"/>
                <w:b/>
                <w:bCs/>
                <w:color w:val="4C4747"/>
                <w:sz w:val="19"/>
                <w:szCs w:val="19"/>
              </w:rPr>
            </w:pPr>
            <w:r>
              <w:rPr>
                <w:rFonts w:eastAsia="Times New Roman"/>
                <w:b/>
                <w:bCs/>
                <w:color w:val="4C4747"/>
                <w:sz w:val="19"/>
                <w:szCs w:val="19"/>
              </w:rPr>
              <w:t>Eje 3 - Innovación y Mejora Continua en Servicios Públicos</w:t>
            </w: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rFonts w:eastAsia="Times New Roman"/>
                <w:color w:val="4C4747"/>
                <w:sz w:val="19"/>
                <w:szCs w:val="19"/>
              </w:rPr>
            </w:pPr>
            <w:r>
              <w:rPr>
                <w:rFonts w:eastAsia="Times New Roman"/>
                <w:color w:val="4C4747"/>
                <w:sz w:val="19"/>
                <w:szCs w:val="19"/>
              </w:rPr>
              <w:t>OE3.1: Incorporar la voz de la ciudadanía en la priorización</w:t>
            </w:r>
            <w:r>
              <w:rPr>
                <w:rFonts w:eastAsia="Times New Roman"/>
                <w:color w:val="4C4747"/>
                <w:sz w:val="19"/>
                <w:szCs w:val="19"/>
              </w:rPr>
              <w:t xml:space="preserve"> de necesidades para mejorar los servicios públicos.</w:t>
            </w:r>
          </w:p>
        </w:tc>
      </w:tr>
      <w:tr w:rsidR="00184CAB">
        <w:tblPrEx>
          <w:tblCellMar>
            <w:top w:w="0" w:type="dxa"/>
            <w:bottom w:w="0" w:type="dxa"/>
          </w:tblCellMar>
        </w:tblPrEx>
        <w:trPr>
          <w:trHeight w:val="255"/>
        </w:trPr>
        <w:tc>
          <w:tcPr>
            <w:tcW w:w="219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184CAB">
            <w:pPr>
              <w:spacing w:after="0" w:line="240" w:lineRule="auto"/>
              <w:jc w:val="center"/>
              <w:rPr>
                <w:b/>
                <w:bCs/>
                <w:color w:val="4C4747"/>
                <w:sz w:val="19"/>
                <w:szCs w:val="19"/>
              </w:rPr>
            </w:pP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tabs>
                <w:tab w:val="left" w:pos="9214"/>
              </w:tabs>
              <w:spacing w:after="0" w:line="240" w:lineRule="auto"/>
              <w:jc w:val="center"/>
              <w:rPr>
                <w:rFonts w:eastAsia="Times New Roman"/>
                <w:color w:val="4C4747"/>
                <w:sz w:val="19"/>
                <w:szCs w:val="19"/>
              </w:rPr>
            </w:pPr>
            <w:r>
              <w:rPr>
                <w:rFonts w:eastAsia="Times New Roman"/>
                <w:color w:val="4C4747"/>
                <w:sz w:val="19"/>
                <w:szCs w:val="19"/>
              </w:rPr>
              <w:t>OE3.2: Implementar soluciones tecnológicas e innovadoras que hagan más ágiles y accesibles los servicios.</w:t>
            </w:r>
          </w:p>
        </w:tc>
      </w:tr>
      <w:tr w:rsidR="00184CAB">
        <w:tblPrEx>
          <w:tblCellMar>
            <w:top w:w="0" w:type="dxa"/>
            <w:bottom w:w="0" w:type="dxa"/>
          </w:tblCellMar>
        </w:tblPrEx>
        <w:trPr>
          <w:trHeight w:val="270"/>
        </w:trPr>
        <w:tc>
          <w:tcPr>
            <w:tcW w:w="219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184CAB">
            <w:pPr>
              <w:spacing w:after="0" w:line="240" w:lineRule="auto"/>
              <w:jc w:val="center"/>
              <w:rPr>
                <w:b/>
                <w:bCs/>
                <w:color w:val="4C4747"/>
                <w:sz w:val="19"/>
                <w:szCs w:val="19"/>
              </w:rPr>
            </w:pP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tabs>
                <w:tab w:val="left" w:pos="9214"/>
              </w:tabs>
              <w:spacing w:after="0" w:line="240" w:lineRule="auto"/>
              <w:jc w:val="center"/>
              <w:rPr>
                <w:rFonts w:eastAsia="Times New Roman"/>
                <w:color w:val="4C4747"/>
                <w:sz w:val="19"/>
                <w:szCs w:val="19"/>
              </w:rPr>
            </w:pPr>
            <w:r>
              <w:rPr>
                <w:rFonts w:eastAsia="Times New Roman"/>
                <w:color w:val="4C4747"/>
                <w:sz w:val="19"/>
                <w:szCs w:val="19"/>
              </w:rPr>
              <w:t xml:space="preserve">OE3.3: Fortalecer la asistencia técnica y la capacitación para garantizar el uso efectivo de </w:t>
            </w:r>
            <w:r>
              <w:rPr>
                <w:rFonts w:eastAsia="Times New Roman"/>
                <w:color w:val="4C4747"/>
                <w:sz w:val="19"/>
                <w:szCs w:val="19"/>
              </w:rPr>
              <w:t>las nuevas herramientas para la mejora de los servicios públicos.</w:t>
            </w:r>
          </w:p>
        </w:tc>
      </w:tr>
      <w:tr w:rsidR="00184CAB">
        <w:tblPrEx>
          <w:tblCellMar>
            <w:top w:w="0" w:type="dxa"/>
            <w:bottom w:w="0" w:type="dxa"/>
          </w:tblCellMar>
        </w:tblPrEx>
        <w:trPr>
          <w:trHeight w:val="718"/>
        </w:trPr>
        <w:tc>
          <w:tcPr>
            <w:tcW w:w="219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184CAB">
            <w:pPr>
              <w:spacing w:after="0" w:line="240" w:lineRule="auto"/>
              <w:jc w:val="center"/>
              <w:rPr>
                <w:b/>
                <w:bCs/>
                <w:color w:val="4C4747"/>
                <w:sz w:val="19"/>
                <w:szCs w:val="19"/>
              </w:rPr>
            </w:pP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tabs>
                <w:tab w:val="left" w:pos="9214"/>
              </w:tabs>
              <w:spacing w:after="0" w:line="240" w:lineRule="auto"/>
              <w:jc w:val="center"/>
              <w:rPr>
                <w:rFonts w:eastAsia="Times New Roman"/>
                <w:color w:val="4C4747"/>
                <w:sz w:val="19"/>
                <w:szCs w:val="19"/>
              </w:rPr>
            </w:pPr>
            <w:r>
              <w:rPr>
                <w:rFonts w:eastAsia="Times New Roman"/>
                <w:color w:val="4C4747"/>
                <w:sz w:val="19"/>
                <w:szCs w:val="19"/>
              </w:rPr>
              <w:t>OE3.4: Monitorear de manera continua el desempeño de las soluciones implementadas para asegurar su sostenibilidad y efectividad.</w:t>
            </w:r>
          </w:p>
        </w:tc>
      </w:tr>
      <w:tr w:rsidR="00184CAB">
        <w:tblPrEx>
          <w:tblCellMar>
            <w:top w:w="0" w:type="dxa"/>
            <w:bottom w:w="0" w:type="dxa"/>
          </w:tblCellMar>
        </w:tblPrEx>
        <w:trPr>
          <w:trHeight w:val="570"/>
        </w:trPr>
        <w:tc>
          <w:tcPr>
            <w:tcW w:w="219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tabs>
                <w:tab w:val="left" w:pos="9214"/>
              </w:tabs>
              <w:spacing w:after="0" w:line="240" w:lineRule="auto"/>
              <w:ind w:right="53"/>
              <w:jc w:val="center"/>
              <w:rPr>
                <w:rFonts w:eastAsia="Times New Roman"/>
                <w:b/>
                <w:bCs/>
                <w:color w:val="4C4747"/>
                <w:sz w:val="19"/>
                <w:szCs w:val="19"/>
              </w:rPr>
            </w:pPr>
            <w:r>
              <w:rPr>
                <w:rFonts w:eastAsia="Times New Roman"/>
                <w:b/>
                <w:bCs/>
                <w:color w:val="4C4747"/>
                <w:sz w:val="19"/>
                <w:szCs w:val="19"/>
              </w:rPr>
              <w:t xml:space="preserve">Eje 4 - Optimización de procesos de compras y </w:t>
            </w:r>
            <w:r>
              <w:rPr>
                <w:rFonts w:eastAsia="Times New Roman"/>
                <w:b/>
                <w:bCs/>
                <w:color w:val="4C4747"/>
                <w:sz w:val="19"/>
                <w:szCs w:val="19"/>
              </w:rPr>
              <w:t>contrataciones</w:t>
            </w: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tabs>
                <w:tab w:val="left" w:pos="9214"/>
              </w:tabs>
              <w:spacing w:after="0" w:line="240" w:lineRule="auto"/>
              <w:jc w:val="center"/>
              <w:rPr>
                <w:rFonts w:eastAsia="Times New Roman"/>
                <w:color w:val="4C4747"/>
                <w:sz w:val="19"/>
                <w:szCs w:val="19"/>
              </w:rPr>
            </w:pPr>
            <w:r>
              <w:rPr>
                <w:rFonts w:eastAsia="Times New Roman"/>
                <w:color w:val="4C4747"/>
                <w:sz w:val="19"/>
                <w:szCs w:val="19"/>
              </w:rPr>
              <w:t>OE4.1: Diagnosticar y optimizar los procesos de compras y contrataciones para eliminar cuellos de botella.</w:t>
            </w:r>
          </w:p>
        </w:tc>
      </w:tr>
      <w:tr w:rsidR="00184CAB">
        <w:tblPrEx>
          <w:tblCellMar>
            <w:top w:w="0" w:type="dxa"/>
            <w:bottom w:w="0" w:type="dxa"/>
          </w:tblCellMar>
        </w:tblPrEx>
        <w:trPr>
          <w:trHeight w:val="255"/>
        </w:trPr>
        <w:tc>
          <w:tcPr>
            <w:tcW w:w="219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184CAB">
            <w:pPr>
              <w:spacing w:after="0" w:line="240" w:lineRule="auto"/>
              <w:jc w:val="center"/>
              <w:rPr>
                <w:b/>
                <w:bCs/>
                <w:color w:val="4C4747"/>
                <w:sz w:val="19"/>
                <w:szCs w:val="19"/>
              </w:rPr>
            </w:pP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tabs>
                <w:tab w:val="left" w:pos="9214"/>
              </w:tabs>
              <w:spacing w:after="0" w:line="240" w:lineRule="auto"/>
              <w:jc w:val="center"/>
              <w:rPr>
                <w:rFonts w:eastAsia="Times New Roman"/>
                <w:color w:val="4C4747"/>
                <w:sz w:val="19"/>
                <w:szCs w:val="19"/>
              </w:rPr>
            </w:pPr>
            <w:r>
              <w:rPr>
                <w:rFonts w:eastAsia="Times New Roman"/>
                <w:color w:val="4C4747"/>
                <w:sz w:val="19"/>
                <w:szCs w:val="19"/>
              </w:rPr>
              <w:t>OE4.2: Reducir tiempos de adjudicación y trámites mediante la simplificación de procedimientos.</w:t>
            </w:r>
          </w:p>
        </w:tc>
      </w:tr>
      <w:tr w:rsidR="00184CAB">
        <w:tblPrEx>
          <w:tblCellMar>
            <w:top w:w="0" w:type="dxa"/>
            <w:bottom w:w="0" w:type="dxa"/>
          </w:tblCellMar>
        </w:tblPrEx>
        <w:trPr>
          <w:trHeight w:val="255"/>
        </w:trPr>
        <w:tc>
          <w:tcPr>
            <w:tcW w:w="219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184CAB">
            <w:pPr>
              <w:spacing w:after="0" w:line="240" w:lineRule="auto"/>
              <w:jc w:val="center"/>
              <w:rPr>
                <w:b/>
                <w:bCs/>
                <w:color w:val="4C4747"/>
                <w:sz w:val="19"/>
                <w:szCs w:val="19"/>
              </w:rPr>
            </w:pP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tabs>
                <w:tab w:val="left" w:pos="9214"/>
              </w:tabs>
              <w:spacing w:after="0" w:line="240" w:lineRule="auto"/>
              <w:jc w:val="center"/>
              <w:rPr>
                <w:rFonts w:eastAsia="Times New Roman"/>
                <w:color w:val="4C4747"/>
                <w:sz w:val="19"/>
                <w:szCs w:val="19"/>
              </w:rPr>
            </w:pPr>
            <w:r>
              <w:rPr>
                <w:rFonts w:eastAsia="Times New Roman"/>
                <w:color w:val="4C4747"/>
                <w:sz w:val="19"/>
                <w:szCs w:val="19"/>
              </w:rPr>
              <w:t xml:space="preserve">OE4.3: Integrar y automatizar los </w:t>
            </w:r>
            <w:r>
              <w:rPr>
                <w:rFonts w:eastAsia="Times New Roman"/>
                <w:color w:val="4C4747"/>
                <w:sz w:val="19"/>
                <w:szCs w:val="19"/>
              </w:rPr>
              <w:t>procesos de compras en la plataforma SISCOMPRAS para garantizar trazabilidad y transparencia.</w:t>
            </w:r>
          </w:p>
        </w:tc>
      </w:tr>
      <w:tr w:rsidR="00184CAB">
        <w:tblPrEx>
          <w:tblCellMar>
            <w:top w:w="0" w:type="dxa"/>
            <w:bottom w:w="0" w:type="dxa"/>
          </w:tblCellMar>
        </w:tblPrEx>
        <w:trPr>
          <w:trHeight w:val="1215"/>
        </w:trPr>
        <w:tc>
          <w:tcPr>
            <w:tcW w:w="219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184CAB">
            <w:pPr>
              <w:spacing w:after="0" w:line="240" w:lineRule="auto"/>
              <w:jc w:val="center"/>
              <w:rPr>
                <w:b/>
                <w:bCs/>
                <w:color w:val="4C4747"/>
                <w:sz w:val="19"/>
                <w:szCs w:val="19"/>
              </w:rPr>
            </w:pP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tabs>
                <w:tab w:val="left" w:pos="9214"/>
              </w:tabs>
              <w:spacing w:after="0" w:line="240" w:lineRule="auto"/>
              <w:jc w:val="center"/>
              <w:rPr>
                <w:rFonts w:eastAsia="Times New Roman"/>
                <w:color w:val="4C4747"/>
                <w:sz w:val="19"/>
                <w:szCs w:val="19"/>
              </w:rPr>
            </w:pPr>
            <w:r>
              <w:rPr>
                <w:rFonts w:eastAsia="Times New Roman"/>
                <w:color w:val="4C4747"/>
                <w:sz w:val="19"/>
                <w:szCs w:val="19"/>
              </w:rPr>
              <w:t>OE4.4: Desarrollar competencias en el personal para asegurar el cumplimiento normativo y el uso eficiente de las herramientas tecnológicas.</w:t>
            </w:r>
          </w:p>
        </w:tc>
      </w:tr>
    </w:tbl>
    <w:p w:rsidR="00184CAB" w:rsidRDefault="002B1930">
      <w:pPr>
        <w:spacing w:line="360" w:lineRule="auto"/>
        <w:jc w:val="both"/>
        <w:rPr>
          <w:bCs/>
          <w:i/>
          <w:color w:val="4C4747"/>
          <w:sz w:val="18"/>
          <w:szCs w:val="18"/>
        </w:rPr>
      </w:pPr>
      <w:r>
        <w:rPr>
          <w:bCs/>
          <w:i/>
          <w:color w:val="4C4747"/>
          <w:sz w:val="18"/>
          <w:szCs w:val="18"/>
        </w:rPr>
        <w:t xml:space="preserve">Fuente: Plan </w:t>
      </w:r>
      <w:r>
        <w:rPr>
          <w:bCs/>
          <w:i/>
          <w:color w:val="4C4747"/>
          <w:sz w:val="18"/>
          <w:szCs w:val="18"/>
        </w:rPr>
        <w:t>Estratégico Institucional (PEI) MAPRE 2025-2028</w:t>
      </w:r>
    </w:p>
    <w:p w:rsidR="00184CAB" w:rsidRDefault="00184CAB">
      <w:pPr>
        <w:spacing w:line="360" w:lineRule="auto"/>
        <w:jc w:val="both"/>
        <w:rPr>
          <w:b/>
          <w:bCs/>
          <w:color w:val="4C4747"/>
        </w:rPr>
      </w:pPr>
    </w:p>
    <w:p w:rsidR="00184CAB" w:rsidRDefault="00184CAB">
      <w:pPr>
        <w:spacing w:line="360" w:lineRule="auto"/>
        <w:jc w:val="both"/>
        <w:rPr>
          <w:b/>
          <w:bCs/>
          <w:color w:val="4C4747"/>
        </w:rPr>
      </w:pPr>
    </w:p>
    <w:p w:rsidR="00184CAB" w:rsidRDefault="00184CAB">
      <w:pPr>
        <w:spacing w:line="360" w:lineRule="auto"/>
        <w:jc w:val="both"/>
        <w:rPr>
          <w:b/>
          <w:bCs/>
          <w:color w:val="4C4747"/>
        </w:rPr>
      </w:pPr>
    </w:p>
    <w:p w:rsidR="00184CAB" w:rsidRDefault="00184CAB">
      <w:pPr>
        <w:spacing w:line="360" w:lineRule="auto"/>
        <w:jc w:val="both"/>
        <w:rPr>
          <w:b/>
          <w:bCs/>
          <w:color w:val="4C4747"/>
        </w:rPr>
      </w:pPr>
    </w:p>
    <w:p w:rsidR="00184CAB" w:rsidRDefault="00184CAB">
      <w:pPr>
        <w:spacing w:line="360" w:lineRule="auto"/>
        <w:jc w:val="both"/>
        <w:rPr>
          <w:b/>
          <w:bCs/>
          <w:color w:val="4C4747"/>
        </w:rPr>
      </w:pPr>
    </w:p>
    <w:p w:rsidR="00184CAB" w:rsidRDefault="00184CAB">
      <w:pPr>
        <w:spacing w:line="360" w:lineRule="auto"/>
        <w:jc w:val="both"/>
        <w:rPr>
          <w:b/>
          <w:bCs/>
          <w:color w:val="4C4747"/>
        </w:rPr>
      </w:pPr>
    </w:p>
    <w:p w:rsidR="00184CAB" w:rsidRDefault="00184CAB">
      <w:pPr>
        <w:spacing w:line="360" w:lineRule="auto"/>
        <w:jc w:val="both"/>
        <w:rPr>
          <w:b/>
          <w:bCs/>
          <w:color w:val="4C4747"/>
        </w:rPr>
      </w:pPr>
    </w:p>
    <w:p w:rsidR="00184CAB" w:rsidRDefault="00184CAB">
      <w:pPr>
        <w:spacing w:line="360" w:lineRule="auto"/>
        <w:jc w:val="both"/>
        <w:rPr>
          <w:b/>
          <w:bCs/>
          <w:color w:val="4C4747"/>
        </w:rPr>
      </w:pPr>
    </w:p>
    <w:p w:rsidR="00184CAB" w:rsidRDefault="00184CAB">
      <w:pPr>
        <w:spacing w:line="360" w:lineRule="auto"/>
        <w:jc w:val="both"/>
        <w:rPr>
          <w:b/>
          <w:bCs/>
          <w:color w:val="4C4747"/>
        </w:rPr>
      </w:pPr>
    </w:p>
    <w:p w:rsidR="00184CAB" w:rsidRDefault="00184CAB">
      <w:pPr>
        <w:spacing w:line="360" w:lineRule="auto"/>
        <w:jc w:val="both"/>
        <w:rPr>
          <w:b/>
          <w:bCs/>
          <w:color w:val="4C4747"/>
        </w:rPr>
      </w:pPr>
    </w:p>
    <w:p w:rsidR="00184CAB" w:rsidRDefault="00184CAB">
      <w:pPr>
        <w:spacing w:line="360" w:lineRule="auto"/>
        <w:jc w:val="both"/>
        <w:rPr>
          <w:b/>
          <w:bCs/>
          <w:color w:val="4C4747"/>
        </w:rPr>
      </w:pPr>
    </w:p>
    <w:p w:rsidR="00184CAB" w:rsidRDefault="00184CAB">
      <w:pPr>
        <w:spacing w:line="360" w:lineRule="auto"/>
        <w:jc w:val="both"/>
        <w:rPr>
          <w:b/>
          <w:bCs/>
          <w:color w:val="4C4747"/>
        </w:rPr>
      </w:pPr>
    </w:p>
    <w:p w:rsidR="00184CAB" w:rsidRDefault="002B1930">
      <w:pPr>
        <w:pStyle w:val="Ttulo1"/>
        <w:rPr>
          <w:color w:val="4C4747"/>
          <w:sz w:val="24"/>
          <w:szCs w:val="24"/>
        </w:rPr>
      </w:pPr>
      <w:bookmarkStart w:id="35" w:name="_Toc217043941"/>
      <w:bookmarkStart w:id="36" w:name="_Toc217907912"/>
      <w:bookmarkStart w:id="37" w:name="_Toc217914413"/>
      <w:r>
        <w:rPr>
          <w:color w:val="4C4747"/>
          <w:sz w:val="24"/>
          <w:szCs w:val="24"/>
        </w:rPr>
        <w:lastRenderedPageBreak/>
        <w:t>RESULTADOS MISIONALES</w:t>
      </w:r>
      <w:bookmarkEnd w:id="35"/>
      <w:bookmarkEnd w:id="36"/>
      <w:bookmarkEnd w:id="37"/>
    </w:p>
    <w:p w:rsidR="00184CAB" w:rsidRDefault="002B1930">
      <w:pPr>
        <w:spacing w:line="360" w:lineRule="auto"/>
      </w:pPr>
      <w:r>
        <w:rPr>
          <w:noProof/>
          <w:color w:val="4C4747"/>
        </w:rPr>
        <mc:AlternateContent>
          <mc:Choice Requires="wps">
            <w:drawing>
              <wp:anchor distT="0" distB="0" distL="114300" distR="114300" simplePos="0" relativeHeight="251654144" behindDoc="0" locked="0" layoutInCell="1" allowOverlap="1">
                <wp:simplePos x="0" y="0"/>
                <wp:positionH relativeFrom="margin">
                  <wp:align>center</wp:align>
                </wp:positionH>
                <wp:positionV relativeFrom="paragraph">
                  <wp:posOffset>30175</wp:posOffset>
                </wp:positionV>
                <wp:extent cx="462915" cy="0"/>
                <wp:effectExtent l="0" t="19050" r="32385" b="19050"/>
                <wp:wrapNone/>
                <wp:docPr id="39" name="Straight Connector 14"/>
                <wp:cNvGraphicFramePr/>
                <a:graphic xmlns:a="http://schemas.openxmlformats.org/drawingml/2006/main">
                  <a:graphicData uri="http://schemas.microsoft.com/office/word/2010/wordprocessingShape">
                    <wps:wsp>
                      <wps:cNvCnPr/>
                      <wps:spPr>
                        <a:xfrm>
                          <a:off x="0" y="0"/>
                          <a:ext cx="462915" cy="0"/>
                        </a:xfrm>
                        <a:prstGeom prst="straightConnector1">
                          <a:avLst/>
                        </a:prstGeom>
                        <a:noFill/>
                        <a:ln w="28575" cap="flat">
                          <a:solidFill>
                            <a:srgbClr val="EE2A24"/>
                          </a:solidFill>
                          <a:prstDash val="solid"/>
                          <a:miter/>
                        </a:ln>
                      </wps:spPr>
                      <wps:bodyPr/>
                    </wps:wsp>
                  </a:graphicData>
                </a:graphic>
              </wp:anchor>
            </w:drawing>
          </mc:Choice>
          <mc:Fallback>
            <w:pict>
              <v:shape w14:anchorId="2C7085CD" id="Straight Connector 14" o:spid="_x0000_s1026" type="#_x0000_t32" style="position:absolute;margin-left:0;margin-top:2.4pt;width:36.45pt;height:0;z-index:25165414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4NmtAEAAFMDAAAOAAAAZHJzL2Uyb0RvYy54bWysU8tu2zAQvBfoPxC817LUJE0Ey0FhJ7kU&#10;iYG0H0BTpESAL+yylv33XdKO0ya3oBdS5O7M7gxXi9u9s2ynAE3wHa9nc86Ul6E3fuj4r5/3X645&#10;wyR8L2zwquMHhfx2+fnTYoqtasIYbK+AEYnHdoodH1OKbVWhHJUTOAtReQrqAE4kOsJQ9SAmYne2&#10;aubzq2oK0EcIUiHS7foY5MvCr7WS6UlrVInZjlNvqaxQ1m1eq+VCtAOIOBp5akN8oAsnjKeiZ6q1&#10;SIL9BvOOyhkJAYNOMxlcFbQ2UhUNpKaev1HzPIqoihYyB+PZJvx/tPJxtwFm+o5/veHMC0dv9JxA&#10;mGFMbBW8JwcDsPoiOzVFbAmw8hs4nTBuIMvea3B5J0FsX9w9nN1V+8QkXV5cNTf1JWfyJVS94iJg&#10;elDBsfzRcTx1cG6gLuaK3Q9MVJmAL4Bc1Id7Y215SevZ1PHm+vJbLiRooLQVqYAxWNPnxAxBGLYr&#10;C2wnaC7u7prvTRFIxP+k5SprgeMxr4SOE+NMUtkDAlhPW3bm6EX+2ob+UCwq9/RyJfE0ZXk0/j4X&#10;9Ou/sPwDAAD//wMAUEsDBBQABgAIAAAAIQAS/NBH2gAAAAMBAAAPAAAAZHJzL2Rvd25yZXYueG1s&#10;TI/BTsMwEETvSP0Haytxo05bICSNUyGkckQQKiFuTrwkUeN1ZLtt4OtZuMBxNKOZN8V2soM4oQ+9&#10;IwXLRQICqXGmp1bB/nV3dQciRE1GD45QwScG2Jazi0Lnxp3pBU9VbAWXUMi1gi7GMZcyNB1aHRZu&#10;RGLvw3mrI0vfSuP1mcvtIFdJciut7okXOj3iQ4fNoTpaBXL5VO32b2mWPa/TR/9V3yTr9F2py/l0&#10;vwERcYp/YfjBZ3Qomal2RzJBDAr4SFRwzfhspqsMRP0rZVnI/+zlNwAAAP//AwBQSwECLQAUAAYA&#10;CAAAACEAtoM4kv4AAADhAQAAEwAAAAAAAAAAAAAAAAAAAAAAW0NvbnRlbnRfVHlwZXNdLnhtbFBL&#10;AQItABQABgAIAAAAIQA4/SH/1gAAAJQBAAALAAAAAAAAAAAAAAAAAC8BAABfcmVscy8ucmVsc1BL&#10;AQItABQABgAIAAAAIQD9V4NmtAEAAFMDAAAOAAAAAAAAAAAAAAAAAC4CAABkcnMvZTJvRG9jLnht&#10;bFBLAQItABQABgAIAAAAIQAS/NBH2gAAAAMBAAAPAAAAAAAAAAAAAAAAAA4EAABkcnMvZG93bnJl&#10;di54bWxQSwUGAAAAAAQABADzAAAAFQUAAAAA&#10;" strokecolor="#ee2a24" strokeweight="2.25pt">
                <v:stroke joinstyle="miter"/>
                <w10:wrap anchorx="margin"/>
              </v:shape>
            </w:pict>
          </mc:Fallback>
        </mc:AlternateContent>
      </w:r>
    </w:p>
    <w:p w:rsidR="00184CAB" w:rsidRDefault="002B1930">
      <w:pPr>
        <w:spacing w:line="360" w:lineRule="auto"/>
        <w:jc w:val="center"/>
        <w:rPr>
          <w:color w:val="4C4747"/>
        </w:rPr>
      </w:pPr>
      <w:r>
        <w:rPr>
          <w:color w:val="4C4747"/>
        </w:rPr>
        <w:t>Memoria Institucional 2025</w:t>
      </w:r>
    </w:p>
    <w:p w:rsidR="00184CAB" w:rsidRDefault="00184CAB">
      <w:pPr>
        <w:spacing w:line="360" w:lineRule="auto"/>
        <w:rPr>
          <w:color w:val="4C4747"/>
        </w:rPr>
      </w:pPr>
    </w:p>
    <w:p w:rsidR="00184CAB" w:rsidRDefault="002B1930">
      <w:pPr>
        <w:pStyle w:val="Ttulo2"/>
        <w:numPr>
          <w:ilvl w:val="1"/>
          <w:numId w:val="5"/>
        </w:numPr>
        <w:spacing w:line="360" w:lineRule="auto"/>
        <w:jc w:val="both"/>
        <w:rPr>
          <w:b/>
          <w:color w:val="4C4747"/>
          <w:szCs w:val="24"/>
        </w:rPr>
      </w:pPr>
      <w:bookmarkStart w:id="38" w:name="_Toc217043942"/>
      <w:bookmarkStart w:id="39" w:name="_Toc217907913"/>
      <w:bookmarkStart w:id="40" w:name="_Toc217914414"/>
      <w:r>
        <w:rPr>
          <w:b/>
          <w:color w:val="4C4747"/>
          <w:szCs w:val="24"/>
        </w:rPr>
        <w:t>Gestión del Viceministerio de Innovación, Transparencia y Atención Ciudadana</w:t>
      </w:r>
      <w:bookmarkEnd w:id="38"/>
      <w:bookmarkEnd w:id="39"/>
      <w:bookmarkEnd w:id="40"/>
      <w:r>
        <w:rPr>
          <w:b/>
          <w:color w:val="4C4747"/>
          <w:szCs w:val="24"/>
        </w:rPr>
        <w:t xml:space="preserve"> </w:t>
      </w:r>
    </w:p>
    <w:p w:rsidR="00184CAB" w:rsidRDefault="00184CAB"/>
    <w:p w:rsidR="00184CAB" w:rsidRDefault="002B1930">
      <w:pPr>
        <w:spacing w:line="360" w:lineRule="auto"/>
        <w:jc w:val="both"/>
      </w:pPr>
      <w:bookmarkStart w:id="41" w:name="_Hlk215041794"/>
      <w:r>
        <w:rPr>
          <w:b/>
          <w:color w:val="4C4747"/>
        </w:rPr>
        <w:t>El Premio Nacional a la Innovación Pública</w:t>
      </w:r>
      <w:r>
        <w:rPr>
          <w:color w:val="4C4747"/>
        </w:rPr>
        <w:t xml:space="preserve">, coordinado a través </w:t>
      </w:r>
      <w:r>
        <w:rPr>
          <w:color w:val="4C4747"/>
        </w:rPr>
        <w:t>del Laboratorio de Innovación Pública (LIP-RD), celebra la oportunidad de reducción, simplificación e innovación de procesos administrativos estatales, que animan a los servidores públicos a participar en el proceso de reducción de la burocracia respecto a</w:t>
      </w:r>
      <w:r>
        <w:rPr>
          <w:color w:val="4C4747"/>
        </w:rPr>
        <w:t xml:space="preserve"> los servicios ofrecidos por el Estado Dominicano. </w:t>
      </w:r>
    </w:p>
    <w:p w:rsidR="00184CAB" w:rsidRDefault="002B1930">
      <w:pPr>
        <w:spacing w:line="360" w:lineRule="auto"/>
        <w:jc w:val="both"/>
        <w:rPr>
          <w:color w:val="4C4747"/>
        </w:rPr>
      </w:pPr>
      <w:r>
        <w:rPr>
          <w:color w:val="4C4747"/>
        </w:rPr>
        <w:t>De conformidad con lo establecido en el Decreto Presidencial núm. 808–21, fue celebrada la Quinta Edición del Premio, donde fueron tomados en cuenta los proyectos, programas, servicios, equipos y procesos</w:t>
      </w:r>
      <w:r>
        <w:rPr>
          <w:color w:val="4C4747"/>
        </w:rPr>
        <w:t xml:space="preserve"> más innovadores provenientes del sector público bajo el enfoque de la transformación de procesos, servicios y políticas teniendo como eje central la ciudadanía. Las categorías fueron las siguientes:</w:t>
      </w:r>
    </w:p>
    <w:p w:rsidR="00184CAB" w:rsidRDefault="002B1930">
      <w:pPr>
        <w:numPr>
          <w:ilvl w:val="0"/>
          <w:numId w:val="6"/>
        </w:numPr>
        <w:spacing w:before="100" w:after="100" w:line="360" w:lineRule="auto"/>
        <w:jc w:val="both"/>
        <w:rPr>
          <w:b/>
          <w:color w:val="4C4747"/>
        </w:rPr>
      </w:pPr>
      <w:r>
        <w:rPr>
          <w:b/>
          <w:color w:val="4C4747"/>
        </w:rPr>
        <w:t xml:space="preserve">Innovación en Procesos Públicos y Digitales: </w:t>
      </w:r>
    </w:p>
    <w:p w:rsidR="00184CAB" w:rsidRDefault="002B1930">
      <w:pPr>
        <w:spacing w:before="100" w:after="100" w:line="360" w:lineRule="auto"/>
        <w:jc w:val="both"/>
        <w:rPr>
          <w:color w:val="4C4747"/>
        </w:rPr>
      </w:pPr>
      <w:r>
        <w:rPr>
          <w:color w:val="4C4747"/>
        </w:rPr>
        <w:t>Esta categ</w:t>
      </w:r>
      <w:r>
        <w:rPr>
          <w:color w:val="4C4747"/>
        </w:rPr>
        <w:t>oría hace reconocimiento de las innovaciones que contribuirán al aumento de los niveles de competitividad de las instituciones públicas, con miras a la modernización de los sistemas públicos y la creación de nuevas alternativas de servicios, identificación</w:t>
      </w:r>
      <w:r>
        <w:rPr>
          <w:color w:val="4C4747"/>
        </w:rPr>
        <w:t xml:space="preserve"> y solución de problemas organizacionales, de gestión y/o reducción de trámites.</w:t>
      </w:r>
    </w:p>
    <w:p w:rsidR="00184CAB" w:rsidRDefault="00184CAB">
      <w:pPr>
        <w:spacing w:before="100" w:after="100" w:line="360" w:lineRule="auto"/>
        <w:jc w:val="both"/>
        <w:rPr>
          <w:color w:val="4C4747"/>
        </w:rPr>
      </w:pPr>
    </w:p>
    <w:p w:rsidR="00184CAB" w:rsidRDefault="002B1930">
      <w:pPr>
        <w:numPr>
          <w:ilvl w:val="0"/>
          <w:numId w:val="6"/>
        </w:numPr>
        <w:spacing w:before="100" w:after="100" w:line="360" w:lineRule="auto"/>
        <w:jc w:val="both"/>
        <w:rPr>
          <w:b/>
          <w:color w:val="4C4747"/>
        </w:rPr>
      </w:pPr>
      <w:r>
        <w:rPr>
          <w:b/>
          <w:color w:val="4C4747"/>
        </w:rPr>
        <w:lastRenderedPageBreak/>
        <w:t xml:space="preserve">Innovación en Políticas Públicas y Servicios: </w:t>
      </w:r>
    </w:p>
    <w:p w:rsidR="00184CAB" w:rsidRDefault="002B1930">
      <w:pPr>
        <w:spacing w:before="100" w:after="100" w:line="360" w:lineRule="auto"/>
        <w:jc w:val="both"/>
        <w:rPr>
          <w:color w:val="4C4747"/>
        </w:rPr>
      </w:pPr>
      <w:r>
        <w:rPr>
          <w:color w:val="4C4747"/>
        </w:rPr>
        <w:t>Esta categoría reconoce a las propuestas que promuevan la innovación en el desarrollo de políticas y servicios, tomando en cuen</w:t>
      </w:r>
      <w:r>
        <w:rPr>
          <w:color w:val="4C4747"/>
        </w:rPr>
        <w:t>ta la capacidad de innovación por medio al estudio de problemas públicos en temáticas priorizadas. Para esta edición las temáticas seleccionadas fueron:</w:t>
      </w:r>
    </w:p>
    <w:p w:rsidR="00184CAB" w:rsidRDefault="002B1930">
      <w:pPr>
        <w:pStyle w:val="Prrafodelista"/>
        <w:numPr>
          <w:ilvl w:val="1"/>
          <w:numId w:val="7"/>
        </w:numPr>
        <w:spacing w:before="100" w:after="100" w:line="360" w:lineRule="auto"/>
        <w:jc w:val="both"/>
        <w:rPr>
          <w:color w:val="4C4747"/>
        </w:rPr>
      </w:pPr>
      <w:r>
        <w:rPr>
          <w:color w:val="4C4747"/>
        </w:rPr>
        <w:t>Seguridad Ciudadana</w:t>
      </w:r>
    </w:p>
    <w:p w:rsidR="00184CAB" w:rsidRDefault="002B1930">
      <w:pPr>
        <w:pStyle w:val="Prrafodelista"/>
        <w:numPr>
          <w:ilvl w:val="1"/>
          <w:numId w:val="7"/>
        </w:numPr>
        <w:spacing w:before="100" w:after="100" w:line="360" w:lineRule="auto"/>
        <w:jc w:val="both"/>
        <w:rPr>
          <w:color w:val="4C4747"/>
        </w:rPr>
      </w:pPr>
      <w:r>
        <w:rPr>
          <w:color w:val="4C4747"/>
        </w:rPr>
        <w:t>Movilidad urbana y transporte</w:t>
      </w:r>
    </w:p>
    <w:p w:rsidR="00184CAB" w:rsidRDefault="002B1930">
      <w:pPr>
        <w:pStyle w:val="Prrafodelista"/>
        <w:numPr>
          <w:ilvl w:val="1"/>
          <w:numId w:val="7"/>
        </w:numPr>
        <w:spacing w:before="100" w:after="100" w:line="360" w:lineRule="auto"/>
        <w:jc w:val="both"/>
        <w:rPr>
          <w:color w:val="4C4747"/>
        </w:rPr>
      </w:pPr>
      <w:r>
        <w:rPr>
          <w:color w:val="4C4747"/>
        </w:rPr>
        <w:t>Desarrollo Comunitario</w:t>
      </w:r>
    </w:p>
    <w:p w:rsidR="00184CAB" w:rsidRDefault="002B1930">
      <w:pPr>
        <w:pStyle w:val="Prrafodelista"/>
        <w:numPr>
          <w:ilvl w:val="1"/>
          <w:numId w:val="7"/>
        </w:numPr>
        <w:spacing w:before="100" w:after="100" w:line="360" w:lineRule="auto"/>
        <w:jc w:val="both"/>
        <w:rPr>
          <w:color w:val="4C4747"/>
        </w:rPr>
      </w:pPr>
      <w:r>
        <w:rPr>
          <w:color w:val="4C4747"/>
        </w:rPr>
        <w:t>Medioambiente</w:t>
      </w:r>
    </w:p>
    <w:p w:rsidR="00184CAB" w:rsidRDefault="002B1930">
      <w:pPr>
        <w:pStyle w:val="Prrafodelista"/>
        <w:numPr>
          <w:ilvl w:val="1"/>
          <w:numId w:val="7"/>
        </w:numPr>
        <w:spacing w:before="100" w:after="100" w:line="360" w:lineRule="auto"/>
        <w:jc w:val="both"/>
        <w:rPr>
          <w:color w:val="4C4747"/>
        </w:rPr>
      </w:pPr>
      <w:r>
        <w:rPr>
          <w:color w:val="4C4747"/>
        </w:rPr>
        <w:t>Educación Vial</w:t>
      </w:r>
    </w:p>
    <w:p w:rsidR="00184CAB" w:rsidRDefault="00184CAB">
      <w:pPr>
        <w:spacing w:before="100" w:after="100" w:line="360" w:lineRule="auto"/>
        <w:jc w:val="both"/>
        <w:rPr>
          <w:color w:val="4C4747"/>
        </w:rPr>
      </w:pPr>
    </w:p>
    <w:p w:rsidR="00184CAB" w:rsidRDefault="002B1930">
      <w:pPr>
        <w:numPr>
          <w:ilvl w:val="0"/>
          <w:numId w:val="6"/>
        </w:numPr>
        <w:spacing w:before="100" w:after="100" w:line="360" w:lineRule="auto"/>
        <w:jc w:val="both"/>
        <w:rPr>
          <w:b/>
          <w:color w:val="4C4747"/>
        </w:rPr>
      </w:pPr>
      <w:r>
        <w:rPr>
          <w:b/>
          <w:color w:val="4C4747"/>
        </w:rPr>
        <w:t xml:space="preserve">Innovación Pública Implementada: </w:t>
      </w:r>
    </w:p>
    <w:p w:rsidR="00184CAB" w:rsidRDefault="002B1930">
      <w:pPr>
        <w:spacing w:before="100" w:after="100" w:line="360" w:lineRule="auto"/>
        <w:jc w:val="both"/>
        <w:rPr>
          <w:color w:val="4C4747"/>
        </w:rPr>
      </w:pPr>
      <w:r>
        <w:rPr>
          <w:color w:val="4C4747"/>
        </w:rPr>
        <w:t>En esta categoría se reconocen los proyectos de éxito de innovación que los/las servidores públicos han desarrollado y están bajo ejecución en sus espacios de trabajo y que han servido para la modernización de sus procesos</w:t>
      </w:r>
      <w:r>
        <w:rPr>
          <w:color w:val="4C4747"/>
        </w:rPr>
        <w:t xml:space="preserve"> y el abordaje de los problemas existentes, promoviendo la creatividad en sus espacios de trabajo, a fin de poder compartir estas buenas prácticas con otras instituciones y darles visibilidad.</w:t>
      </w:r>
    </w:p>
    <w:p w:rsidR="00184CAB" w:rsidRDefault="00184CAB">
      <w:pPr>
        <w:spacing w:before="100" w:after="100" w:line="360" w:lineRule="auto"/>
        <w:jc w:val="both"/>
        <w:rPr>
          <w:color w:val="4C4747"/>
        </w:rPr>
      </w:pPr>
    </w:p>
    <w:p w:rsidR="00184CAB" w:rsidRDefault="00184CAB">
      <w:pPr>
        <w:spacing w:before="100" w:after="100" w:line="360" w:lineRule="auto"/>
        <w:jc w:val="both"/>
        <w:rPr>
          <w:color w:val="4C4747"/>
        </w:rPr>
      </w:pPr>
    </w:p>
    <w:p w:rsidR="00184CAB" w:rsidRDefault="00184CAB">
      <w:pPr>
        <w:spacing w:before="100" w:after="100" w:line="360" w:lineRule="auto"/>
        <w:jc w:val="both"/>
        <w:rPr>
          <w:color w:val="4C4747"/>
        </w:rPr>
      </w:pPr>
    </w:p>
    <w:p w:rsidR="00184CAB" w:rsidRDefault="00184CAB">
      <w:pPr>
        <w:spacing w:before="100" w:after="100" w:line="360" w:lineRule="auto"/>
        <w:jc w:val="both"/>
        <w:rPr>
          <w:color w:val="4C4747"/>
        </w:rPr>
      </w:pPr>
    </w:p>
    <w:p w:rsidR="00184CAB" w:rsidRDefault="00184CAB">
      <w:pPr>
        <w:spacing w:before="100" w:after="100" w:line="360" w:lineRule="auto"/>
        <w:jc w:val="both"/>
        <w:rPr>
          <w:color w:val="4C4747"/>
        </w:rPr>
      </w:pPr>
    </w:p>
    <w:p w:rsidR="00184CAB" w:rsidRDefault="00184CAB">
      <w:pPr>
        <w:spacing w:before="100" w:after="100" w:line="360" w:lineRule="auto"/>
        <w:jc w:val="both"/>
        <w:rPr>
          <w:color w:val="4C4747"/>
        </w:rPr>
      </w:pPr>
    </w:p>
    <w:p w:rsidR="00184CAB" w:rsidRDefault="00184CAB">
      <w:pPr>
        <w:spacing w:before="100" w:after="100" w:line="360" w:lineRule="auto"/>
        <w:jc w:val="both"/>
        <w:rPr>
          <w:color w:val="4C4747"/>
        </w:rPr>
      </w:pPr>
    </w:p>
    <w:p w:rsidR="00184CAB" w:rsidRDefault="002B1930">
      <w:pPr>
        <w:spacing w:before="100" w:after="100" w:line="360" w:lineRule="auto"/>
        <w:jc w:val="both"/>
        <w:rPr>
          <w:color w:val="4C4747"/>
        </w:rPr>
      </w:pPr>
      <w:r>
        <w:rPr>
          <w:color w:val="4C4747"/>
        </w:rPr>
        <w:lastRenderedPageBreak/>
        <w:t xml:space="preserve">Se evaluaron un total de setenta y tres (73) propuestas </w:t>
      </w:r>
      <w:r>
        <w:rPr>
          <w:color w:val="4C4747"/>
        </w:rPr>
        <w:t>de las cuales, conforme a los criterios establecidos, cincuenta y tres (53) pasaron a la tercera fase de evaluación oral finalmente, fueron declarados como ganadores del premio los siguientes proyectos/iniciativas:</w:t>
      </w:r>
    </w:p>
    <w:tbl>
      <w:tblPr>
        <w:tblW w:w="7938" w:type="dxa"/>
        <w:tblInd w:w="-5" w:type="dxa"/>
        <w:tblLayout w:type="fixed"/>
        <w:tblCellMar>
          <w:left w:w="10" w:type="dxa"/>
          <w:right w:w="10" w:type="dxa"/>
        </w:tblCellMar>
        <w:tblLook w:val="0000" w:firstRow="0" w:lastRow="0" w:firstColumn="0" w:lastColumn="0" w:noHBand="0" w:noVBand="0"/>
      </w:tblPr>
      <w:tblGrid>
        <w:gridCol w:w="1560"/>
        <w:gridCol w:w="1417"/>
        <w:gridCol w:w="1418"/>
        <w:gridCol w:w="1701"/>
        <w:gridCol w:w="1842"/>
      </w:tblGrid>
      <w:tr w:rsidR="00184CAB">
        <w:tblPrEx>
          <w:tblCellMar>
            <w:top w:w="0" w:type="dxa"/>
            <w:bottom w:w="0" w:type="dxa"/>
          </w:tblCellMar>
        </w:tblPrEx>
        <w:trPr>
          <w:trHeight w:val="377"/>
        </w:trPr>
        <w:tc>
          <w:tcPr>
            <w:tcW w:w="7938" w:type="dxa"/>
            <w:gridSpan w:val="5"/>
            <w:tcBorders>
              <w:top w:val="single" w:sz="4" w:space="0" w:color="000000"/>
              <w:left w:val="single" w:sz="4" w:space="0" w:color="000000"/>
              <w:bottom w:val="single" w:sz="4" w:space="0" w:color="000000"/>
              <w:right w:val="single" w:sz="4" w:space="0" w:color="000000"/>
            </w:tcBorders>
            <w:shd w:val="clear" w:color="auto" w:fill="002060"/>
            <w:tcMar>
              <w:top w:w="0" w:type="dxa"/>
              <w:left w:w="0" w:type="dxa"/>
              <w:bottom w:w="0" w:type="dxa"/>
              <w:right w:w="0" w:type="dxa"/>
            </w:tcMar>
            <w:vAlign w:val="center"/>
          </w:tcPr>
          <w:bookmarkEnd w:id="41"/>
          <w:p w:rsidR="00184CAB" w:rsidRDefault="002B1930">
            <w:pPr>
              <w:pStyle w:val="TableParagraph"/>
              <w:ind w:left="68"/>
              <w:jc w:val="center"/>
              <w:rPr>
                <w:b/>
                <w:color w:val="FFFFFF"/>
                <w:sz w:val="19"/>
                <w:szCs w:val="19"/>
              </w:rPr>
            </w:pPr>
            <w:r>
              <w:rPr>
                <w:b/>
                <w:color w:val="FFFFFF"/>
                <w:sz w:val="19"/>
                <w:szCs w:val="19"/>
              </w:rPr>
              <w:t>Tabla no. 2 Sobre Relación de Proyectos g</w:t>
            </w:r>
            <w:r>
              <w:rPr>
                <w:b/>
                <w:color w:val="FFFFFF"/>
                <w:sz w:val="19"/>
                <w:szCs w:val="19"/>
              </w:rPr>
              <w:t>alardonados en Premios Nacionales de la Innovación 5ta Edición</w:t>
            </w:r>
          </w:p>
        </w:tc>
      </w:tr>
      <w:tr w:rsidR="00184CAB">
        <w:tblPrEx>
          <w:tblCellMar>
            <w:top w:w="0" w:type="dxa"/>
            <w:bottom w:w="0" w:type="dxa"/>
          </w:tblCellMar>
        </w:tblPrEx>
        <w:trPr>
          <w:trHeight w:val="377"/>
        </w:trPr>
        <w:tc>
          <w:tcPr>
            <w:tcW w:w="1560" w:type="dxa"/>
            <w:tcBorders>
              <w:top w:val="single" w:sz="4" w:space="0" w:color="000000"/>
              <w:left w:val="single" w:sz="4" w:space="0" w:color="000000"/>
              <w:bottom w:val="single" w:sz="4" w:space="0" w:color="000000"/>
              <w:right w:val="single" w:sz="4" w:space="0" w:color="000000"/>
            </w:tcBorders>
            <w:shd w:val="clear" w:color="auto" w:fill="002060"/>
            <w:tcMar>
              <w:top w:w="0" w:type="dxa"/>
              <w:left w:w="0" w:type="dxa"/>
              <w:bottom w:w="0" w:type="dxa"/>
              <w:right w:w="0" w:type="dxa"/>
            </w:tcMar>
            <w:vAlign w:val="center"/>
          </w:tcPr>
          <w:p w:rsidR="00184CAB" w:rsidRDefault="002B1930">
            <w:pPr>
              <w:pStyle w:val="TableParagraph"/>
              <w:ind w:left="69"/>
              <w:jc w:val="center"/>
              <w:rPr>
                <w:b/>
                <w:color w:val="FFFFFF"/>
                <w:sz w:val="19"/>
                <w:szCs w:val="19"/>
                <w:lang w:val="es-ES_tradnl"/>
              </w:rPr>
            </w:pPr>
            <w:r>
              <w:rPr>
                <w:b/>
                <w:color w:val="FFFFFF"/>
                <w:sz w:val="19"/>
                <w:szCs w:val="19"/>
                <w:lang w:val="es-ES_tradnl"/>
              </w:rPr>
              <w:t>Proyecto</w:t>
            </w:r>
          </w:p>
        </w:tc>
        <w:tc>
          <w:tcPr>
            <w:tcW w:w="1417" w:type="dxa"/>
            <w:tcBorders>
              <w:top w:val="single" w:sz="4" w:space="0" w:color="000000"/>
              <w:left w:val="single" w:sz="4" w:space="0" w:color="000000"/>
              <w:bottom w:val="single" w:sz="4" w:space="0" w:color="000000"/>
              <w:right w:val="single" w:sz="4" w:space="0" w:color="000000"/>
            </w:tcBorders>
            <w:shd w:val="clear" w:color="auto" w:fill="002060"/>
            <w:tcMar>
              <w:top w:w="0" w:type="dxa"/>
              <w:left w:w="0" w:type="dxa"/>
              <w:bottom w:w="0" w:type="dxa"/>
              <w:right w:w="0" w:type="dxa"/>
            </w:tcMar>
            <w:vAlign w:val="center"/>
          </w:tcPr>
          <w:p w:rsidR="00184CAB" w:rsidRDefault="002B1930">
            <w:pPr>
              <w:pStyle w:val="TableParagraph"/>
              <w:jc w:val="center"/>
              <w:rPr>
                <w:b/>
                <w:color w:val="FFFFFF"/>
                <w:sz w:val="19"/>
                <w:szCs w:val="19"/>
                <w:lang w:val="es-ES_tradnl"/>
              </w:rPr>
            </w:pPr>
            <w:r>
              <w:rPr>
                <w:b/>
                <w:color w:val="FFFFFF"/>
                <w:sz w:val="19"/>
                <w:szCs w:val="19"/>
                <w:lang w:val="es-ES_tradnl"/>
              </w:rPr>
              <w:t>Posición</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0" w:type="dxa"/>
              <w:bottom w:w="0" w:type="dxa"/>
              <w:right w:w="0" w:type="dxa"/>
            </w:tcMar>
            <w:vAlign w:val="center"/>
          </w:tcPr>
          <w:p w:rsidR="00184CAB" w:rsidRDefault="002B1930">
            <w:pPr>
              <w:pStyle w:val="TableParagraph"/>
              <w:ind w:left="69"/>
              <w:jc w:val="center"/>
              <w:rPr>
                <w:b/>
                <w:color w:val="FFFFFF"/>
                <w:sz w:val="19"/>
                <w:szCs w:val="19"/>
                <w:lang w:val="es-ES_tradnl"/>
              </w:rPr>
            </w:pPr>
            <w:r>
              <w:rPr>
                <w:b/>
                <w:color w:val="FFFFFF"/>
                <w:sz w:val="19"/>
                <w:szCs w:val="19"/>
                <w:lang w:val="es-ES_tradnl"/>
              </w:rPr>
              <w:t>Calificación</w:t>
            </w:r>
          </w:p>
        </w:tc>
        <w:tc>
          <w:tcPr>
            <w:tcW w:w="1701" w:type="dxa"/>
            <w:tcBorders>
              <w:top w:val="single" w:sz="4" w:space="0" w:color="000000"/>
              <w:left w:val="single" w:sz="4" w:space="0" w:color="000000"/>
              <w:bottom w:val="single" w:sz="4" w:space="0" w:color="000000"/>
              <w:right w:val="single" w:sz="4" w:space="0" w:color="000000"/>
            </w:tcBorders>
            <w:shd w:val="clear" w:color="auto" w:fill="002060"/>
            <w:tcMar>
              <w:top w:w="0" w:type="dxa"/>
              <w:left w:w="0" w:type="dxa"/>
              <w:bottom w:w="0" w:type="dxa"/>
              <w:right w:w="0" w:type="dxa"/>
            </w:tcMar>
            <w:vAlign w:val="center"/>
          </w:tcPr>
          <w:p w:rsidR="00184CAB" w:rsidRDefault="002B1930">
            <w:pPr>
              <w:pStyle w:val="TableParagraph"/>
              <w:ind w:left="69"/>
              <w:jc w:val="center"/>
              <w:rPr>
                <w:b/>
                <w:color w:val="FFFFFF"/>
                <w:sz w:val="19"/>
                <w:szCs w:val="19"/>
                <w:lang w:val="es-ES_tradnl"/>
              </w:rPr>
            </w:pPr>
            <w:r>
              <w:rPr>
                <w:b/>
                <w:color w:val="FFFFFF"/>
                <w:sz w:val="19"/>
                <w:szCs w:val="19"/>
                <w:lang w:val="es-ES_tradnl"/>
              </w:rPr>
              <w:t>Categoría</w:t>
            </w:r>
          </w:p>
        </w:tc>
        <w:tc>
          <w:tcPr>
            <w:tcW w:w="1842" w:type="dxa"/>
            <w:tcBorders>
              <w:top w:val="single" w:sz="4" w:space="0" w:color="000000"/>
              <w:left w:val="single" w:sz="4" w:space="0" w:color="000000"/>
              <w:bottom w:val="single" w:sz="4" w:space="0" w:color="000000"/>
              <w:right w:val="single" w:sz="4" w:space="0" w:color="000000"/>
            </w:tcBorders>
            <w:shd w:val="clear" w:color="auto" w:fill="002060"/>
            <w:tcMar>
              <w:top w:w="0" w:type="dxa"/>
              <w:left w:w="0" w:type="dxa"/>
              <w:bottom w:w="0" w:type="dxa"/>
              <w:right w:w="0" w:type="dxa"/>
            </w:tcMar>
            <w:vAlign w:val="center"/>
          </w:tcPr>
          <w:p w:rsidR="00184CAB" w:rsidRDefault="002B1930">
            <w:pPr>
              <w:pStyle w:val="TableParagraph"/>
              <w:ind w:left="68"/>
              <w:jc w:val="center"/>
              <w:rPr>
                <w:b/>
                <w:color w:val="FFFFFF"/>
                <w:sz w:val="19"/>
                <w:szCs w:val="19"/>
                <w:lang w:val="es-ES_tradnl"/>
              </w:rPr>
            </w:pPr>
            <w:r>
              <w:rPr>
                <w:b/>
                <w:color w:val="FFFFFF"/>
                <w:sz w:val="19"/>
                <w:szCs w:val="19"/>
                <w:lang w:val="es-ES_tradnl"/>
              </w:rPr>
              <w:t>Institución</w:t>
            </w:r>
          </w:p>
        </w:tc>
      </w:tr>
      <w:tr w:rsidR="00184CAB">
        <w:tblPrEx>
          <w:tblCellMar>
            <w:top w:w="0" w:type="dxa"/>
            <w:bottom w:w="0" w:type="dxa"/>
          </w:tblCellMar>
        </w:tblPrEx>
        <w:trPr>
          <w:trHeight w:val="1247"/>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after="0" w:line="240" w:lineRule="auto"/>
            </w:pPr>
            <w:r>
              <w:rPr>
                <w:color w:val="4C4747"/>
                <w:sz w:val="19"/>
                <w:szCs w:val="19"/>
                <w:shd w:val="clear" w:color="auto" w:fill="FFFFFF"/>
              </w:rPr>
              <w:t>Red Vial Punto Seguro</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C4747"/>
                <w:sz w:val="19"/>
                <w:szCs w:val="19"/>
              </w:rPr>
            </w:pPr>
            <w:r>
              <w:rPr>
                <w:color w:val="4C4747"/>
                <w:sz w:val="19"/>
                <w:szCs w:val="19"/>
              </w:rPr>
              <w:t>1er. Lugar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C4747"/>
                <w:sz w:val="19"/>
                <w:szCs w:val="19"/>
              </w:rPr>
            </w:pPr>
            <w:r>
              <w:rPr>
                <w:color w:val="4C4747"/>
                <w:sz w:val="19"/>
                <w:szCs w:val="19"/>
              </w:rPr>
              <w:t>92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after="0" w:line="240" w:lineRule="auto"/>
              <w:rPr>
                <w:color w:val="4C4747"/>
                <w:sz w:val="19"/>
                <w:szCs w:val="19"/>
              </w:rPr>
            </w:pPr>
            <w:r>
              <w:rPr>
                <w:color w:val="4C4747"/>
                <w:sz w:val="19"/>
                <w:szCs w:val="19"/>
              </w:rPr>
              <w:t>Innovación Pública Implementada</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after="0" w:line="240" w:lineRule="auto"/>
            </w:pPr>
            <w:r>
              <w:rPr>
                <w:color w:val="4C4747"/>
                <w:sz w:val="19"/>
                <w:szCs w:val="19"/>
                <w:shd w:val="clear" w:color="auto" w:fill="FFFFFF"/>
              </w:rPr>
              <w:t>Comisión militar y policial del MOPC, (COMIPOL)</w:t>
            </w:r>
          </w:p>
        </w:tc>
      </w:tr>
      <w:tr w:rsidR="00184CAB">
        <w:tblPrEx>
          <w:tblCellMar>
            <w:top w:w="0" w:type="dxa"/>
            <w:bottom w:w="0" w:type="dxa"/>
          </w:tblCellMar>
        </w:tblPrEx>
        <w:trPr>
          <w:trHeight w:val="542"/>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after="0" w:line="240" w:lineRule="auto"/>
            </w:pPr>
            <w:r>
              <w:rPr>
                <w:color w:val="4C4747"/>
                <w:sz w:val="19"/>
                <w:szCs w:val="19"/>
                <w:shd w:val="clear" w:color="auto" w:fill="FFFFFF"/>
              </w:rPr>
              <w:t xml:space="preserve">Red Nacional de </w:t>
            </w:r>
            <w:r>
              <w:rPr>
                <w:color w:val="4C4747"/>
                <w:sz w:val="19"/>
                <w:szCs w:val="19"/>
                <w:shd w:val="clear" w:color="auto" w:fill="FFFFFF"/>
              </w:rPr>
              <w:t>Centros STEAM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C4747"/>
                <w:sz w:val="19"/>
                <w:szCs w:val="19"/>
              </w:rPr>
            </w:pPr>
            <w:r>
              <w:rPr>
                <w:color w:val="4C4747"/>
                <w:sz w:val="19"/>
                <w:szCs w:val="19"/>
              </w:rPr>
              <w:t>2do. Lugar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C4747"/>
                <w:sz w:val="19"/>
                <w:szCs w:val="19"/>
              </w:rPr>
            </w:pPr>
            <w:r>
              <w:rPr>
                <w:color w:val="4C4747"/>
                <w:sz w:val="19"/>
                <w:szCs w:val="19"/>
              </w:rPr>
              <w:t>90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pStyle w:val="TableParagraph"/>
              <w:rPr>
                <w:color w:val="4C4747"/>
                <w:sz w:val="19"/>
                <w:szCs w:val="19"/>
                <w:lang w:val="es-ES_tradnl"/>
              </w:rPr>
            </w:pPr>
            <w:r>
              <w:rPr>
                <w:color w:val="4C4747"/>
                <w:sz w:val="19"/>
                <w:szCs w:val="19"/>
                <w:lang w:val="es-ES_tradnl"/>
              </w:rPr>
              <w:t>Innovación en Políticas Públicas y Servicios</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after="0" w:line="240" w:lineRule="auto"/>
            </w:pPr>
            <w:r>
              <w:rPr>
                <w:color w:val="4C4747"/>
                <w:sz w:val="19"/>
                <w:szCs w:val="19"/>
                <w:shd w:val="clear" w:color="auto" w:fill="FFFFFF"/>
              </w:rPr>
              <w:t>Ministerio de Educación</w:t>
            </w:r>
          </w:p>
        </w:tc>
      </w:tr>
      <w:tr w:rsidR="00184CAB">
        <w:tblPrEx>
          <w:tblCellMar>
            <w:top w:w="0" w:type="dxa"/>
            <w:bottom w:w="0" w:type="dxa"/>
          </w:tblCellMar>
        </w:tblPrEx>
        <w:trPr>
          <w:trHeight w:val="397"/>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after="0" w:line="240" w:lineRule="auto"/>
            </w:pPr>
            <w:r>
              <w:rPr>
                <w:color w:val="4C4747"/>
                <w:sz w:val="19"/>
                <w:szCs w:val="19"/>
                <w:shd w:val="clear" w:color="auto" w:fill="FFFFFF"/>
              </w:rPr>
              <w:t>Voz Educativa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pStyle w:val="TableParagraph"/>
              <w:rPr>
                <w:rFonts w:eastAsia="PMingLiU"/>
                <w:color w:val="4C4747"/>
                <w:spacing w:val="20"/>
                <w:sz w:val="19"/>
                <w:szCs w:val="19"/>
                <w:lang w:val="es-ES_tradnl"/>
              </w:rPr>
            </w:pPr>
            <w:r>
              <w:rPr>
                <w:rFonts w:eastAsia="PMingLiU"/>
                <w:color w:val="4C4747"/>
                <w:spacing w:val="20"/>
                <w:sz w:val="19"/>
                <w:szCs w:val="19"/>
                <w:lang w:val="es-ES_tradnl"/>
              </w:rPr>
              <w:t>3er. Lugar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pStyle w:val="TableParagraph"/>
              <w:jc w:val="center"/>
              <w:rPr>
                <w:rFonts w:eastAsia="PMingLiU"/>
                <w:color w:val="4C4747"/>
                <w:spacing w:val="20"/>
                <w:sz w:val="19"/>
                <w:szCs w:val="19"/>
                <w:lang w:val="es-ES_tradnl"/>
              </w:rPr>
            </w:pPr>
            <w:r>
              <w:rPr>
                <w:rFonts w:eastAsia="PMingLiU"/>
                <w:color w:val="4C4747"/>
                <w:spacing w:val="20"/>
                <w:sz w:val="19"/>
                <w:szCs w:val="19"/>
                <w:lang w:val="es-ES_tradnl"/>
              </w:rPr>
              <w:t>88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pStyle w:val="TableParagraph"/>
            </w:pPr>
            <w:r>
              <w:rPr>
                <w:color w:val="4C4747"/>
                <w:sz w:val="19"/>
                <w:szCs w:val="19"/>
                <w:lang w:val="es-ES_tradnl"/>
              </w:rPr>
              <w:t>Innovación en Políticas Públicas y Servicios</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pStyle w:val="TableParagraph"/>
            </w:pPr>
            <w:r>
              <w:rPr>
                <w:color w:val="4C4747"/>
                <w:sz w:val="19"/>
                <w:szCs w:val="19"/>
                <w:shd w:val="clear" w:color="auto" w:fill="FFFFFF"/>
                <w:lang w:val="es-ES_tradnl"/>
              </w:rPr>
              <w:t>Instituto Técnico Superior Comunitario (ITSC)</w:t>
            </w:r>
          </w:p>
        </w:tc>
      </w:tr>
    </w:tbl>
    <w:p w:rsidR="00184CAB" w:rsidRDefault="002B1930">
      <w:pPr>
        <w:spacing w:after="100" w:line="360" w:lineRule="auto"/>
        <w:jc w:val="both"/>
      </w:pPr>
      <w:r>
        <w:rPr>
          <w:i/>
          <w:color w:val="4C4747"/>
          <w:sz w:val="18"/>
          <w:szCs w:val="18"/>
        </w:rPr>
        <w:t xml:space="preserve">Fuente: Informe del Viceministerio de </w:t>
      </w:r>
      <w:r>
        <w:rPr>
          <w:i/>
          <w:color w:val="4C4747"/>
          <w:sz w:val="18"/>
          <w:szCs w:val="18"/>
        </w:rPr>
        <w:t>Innovación, Transparencia y Atención Ciudadana correspondiente al periodo anual 2025</w:t>
      </w:r>
    </w:p>
    <w:p w:rsidR="00184CAB" w:rsidRDefault="002B1930">
      <w:pPr>
        <w:spacing w:before="100" w:after="100" w:line="360" w:lineRule="auto"/>
        <w:jc w:val="both"/>
        <w:rPr>
          <w:color w:val="4C4747"/>
          <w:lang w:val="es-ES"/>
        </w:rPr>
      </w:pPr>
      <w:r>
        <w:rPr>
          <w:color w:val="4C4747"/>
          <w:lang w:val="es-ES"/>
        </w:rPr>
        <w:t>Al equipo ganador del primer lugar se le otorgó un premio de RD$350,000, el segundo lugar, obtuvo RD$250,000 y el tercer lugar, obtuvo un monto de RD$150,000. Todos los ga</w:t>
      </w:r>
      <w:r>
        <w:rPr>
          <w:color w:val="4C4747"/>
          <w:lang w:val="es-ES"/>
        </w:rPr>
        <w:t>lardonados recibieron placas de reconocimiento y certificados.</w:t>
      </w:r>
    </w:p>
    <w:p w:rsidR="00184CAB" w:rsidRDefault="002B1930">
      <w:pPr>
        <w:spacing w:before="100" w:after="100" w:line="360" w:lineRule="auto"/>
        <w:jc w:val="both"/>
        <w:rPr>
          <w:color w:val="4C4747"/>
        </w:rPr>
      </w:pPr>
      <w:r>
        <w:rPr>
          <w:color w:val="4C4747"/>
        </w:rPr>
        <w:t>En ese mismo orden, se otorgaron menciones de honor, según el orden de las calificaciones, a los siguientes equipos:</w:t>
      </w:r>
    </w:p>
    <w:tbl>
      <w:tblPr>
        <w:tblW w:w="8075" w:type="dxa"/>
        <w:tblLayout w:type="fixed"/>
        <w:tblCellMar>
          <w:left w:w="10" w:type="dxa"/>
          <w:right w:w="10" w:type="dxa"/>
        </w:tblCellMar>
        <w:tblLook w:val="0000" w:firstRow="0" w:lastRow="0" w:firstColumn="0" w:lastColumn="0" w:noHBand="0" w:noVBand="0"/>
      </w:tblPr>
      <w:tblGrid>
        <w:gridCol w:w="2122"/>
        <w:gridCol w:w="1298"/>
        <w:gridCol w:w="1537"/>
        <w:gridCol w:w="1701"/>
        <w:gridCol w:w="1417"/>
      </w:tblGrid>
      <w:tr w:rsidR="00184CAB">
        <w:tblPrEx>
          <w:tblCellMar>
            <w:top w:w="0" w:type="dxa"/>
            <w:bottom w:w="0" w:type="dxa"/>
          </w:tblCellMar>
        </w:tblPrEx>
        <w:trPr>
          <w:trHeight w:val="564"/>
          <w:tblHeader/>
        </w:trPr>
        <w:tc>
          <w:tcPr>
            <w:tcW w:w="8075" w:type="dxa"/>
            <w:gridSpan w:val="5"/>
            <w:tcBorders>
              <w:top w:val="single" w:sz="4" w:space="0" w:color="000000"/>
              <w:left w:val="single" w:sz="4" w:space="0" w:color="000000"/>
              <w:bottom w:val="single" w:sz="4" w:space="0" w:color="000000"/>
              <w:right w:val="single" w:sz="4" w:space="0" w:color="000000"/>
            </w:tcBorders>
            <w:shd w:val="clear" w:color="auto" w:fill="002060"/>
            <w:tcMar>
              <w:top w:w="0" w:type="dxa"/>
              <w:left w:w="0" w:type="dxa"/>
              <w:bottom w:w="0" w:type="dxa"/>
              <w:right w:w="0" w:type="dxa"/>
            </w:tcMar>
            <w:vAlign w:val="center"/>
          </w:tcPr>
          <w:p w:rsidR="00184CAB" w:rsidRDefault="002B1930">
            <w:pPr>
              <w:spacing w:line="240" w:lineRule="auto"/>
              <w:jc w:val="center"/>
              <w:rPr>
                <w:b/>
                <w:color w:val="FFFFFF"/>
                <w:sz w:val="19"/>
                <w:szCs w:val="19"/>
                <w:lang w:val="es-ES"/>
              </w:rPr>
            </w:pPr>
            <w:r>
              <w:rPr>
                <w:b/>
                <w:color w:val="FFFFFF"/>
                <w:sz w:val="19"/>
                <w:szCs w:val="19"/>
                <w:lang w:val="es-ES"/>
              </w:rPr>
              <w:t>Tabla no. 3 Sobre Relación de Proyectos que recibieron Mención de Honor en P</w:t>
            </w:r>
            <w:r>
              <w:rPr>
                <w:b/>
                <w:color w:val="FFFFFF"/>
                <w:sz w:val="19"/>
                <w:szCs w:val="19"/>
                <w:lang w:val="es-ES"/>
              </w:rPr>
              <w:t>remios Nacionales de la Innovación 5ta. Edición</w:t>
            </w:r>
          </w:p>
        </w:tc>
      </w:tr>
      <w:tr w:rsidR="00184CAB">
        <w:tblPrEx>
          <w:tblCellMar>
            <w:top w:w="0" w:type="dxa"/>
            <w:bottom w:w="0" w:type="dxa"/>
          </w:tblCellMar>
        </w:tblPrEx>
        <w:trPr>
          <w:trHeight w:val="416"/>
          <w:tblHeader/>
        </w:trPr>
        <w:tc>
          <w:tcPr>
            <w:tcW w:w="2122" w:type="dxa"/>
            <w:tcBorders>
              <w:top w:val="single" w:sz="4" w:space="0" w:color="000000"/>
              <w:left w:val="single" w:sz="4" w:space="0" w:color="000000"/>
              <w:bottom w:val="single" w:sz="4" w:space="0" w:color="000000"/>
              <w:right w:val="single" w:sz="4" w:space="0" w:color="000000"/>
            </w:tcBorders>
            <w:shd w:val="clear" w:color="auto" w:fill="002060"/>
            <w:tcMar>
              <w:top w:w="0" w:type="dxa"/>
              <w:left w:w="0" w:type="dxa"/>
              <w:bottom w:w="0" w:type="dxa"/>
              <w:right w:w="0" w:type="dxa"/>
            </w:tcMar>
            <w:vAlign w:val="center"/>
          </w:tcPr>
          <w:p w:rsidR="00184CAB" w:rsidRDefault="002B1930">
            <w:pPr>
              <w:spacing w:line="240" w:lineRule="auto"/>
              <w:jc w:val="center"/>
              <w:rPr>
                <w:b/>
                <w:color w:val="FFFFFF"/>
                <w:sz w:val="19"/>
                <w:szCs w:val="19"/>
              </w:rPr>
            </w:pPr>
            <w:r>
              <w:rPr>
                <w:b/>
                <w:color w:val="FFFFFF"/>
                <w:sz w:val="19"/>
                <w:szCs w:val="19"/>
              </w:rPr>
              <w:t>Proyectos/iniciativas</w:t>
            </w:r>
          </w:p>
        </w:tc>
        <w:tc>
          <w:tcPr>
            <w:tcW w:w="1298" w:type="dxa"/>
            <w:tcBorders>
              <w:top w:val="single" w:sz="4" w:space="0" w:color="000000"/>
              <w:left w:val="single" w:sz="4" w:space="0" w:color="000000"/>
              <w:bottom w:val="single" w:sz="4" w:space="0" w:color="000000"/>
              <w:right w:val="single" w:sz="4" w:space="0" w:color="000000"/>
            </w:tcBorders>
            <w:shd w:val="clear" w:color="auto" w:fill="002060"/>
            <w:tcMar>
              <w:top w:w="0" w:type="dxa"/>
              <w:left w:w="0" w:type="dxa"/>
              <w:bottom w:w="0" w:type="dxa"/>
              <w:right w:w="0" w:type="dxa"/>
            </w:tcMar>
            <w:vAlign w:val="center"/>
          </w:tcPr>
          <w:p w:rsidR="00184CAB" w:rsidRDefault="002B1930">
            <w:pPr>
              <w:spacing w:line="240" w:lineRule="auto"/>
              <w:jc w:val="center"/>
              <w:rPr>
                <w:b/>
                <w:color w:val="FFFFFF"/>
                <w:sz w:val="19"/>
                <w:szCs w:val="19"/>
              </w:rPr>
            </w:pPr>
            <w:r>
              <w:rPr>
                <w:b/>
                <w:color w:val="FFFFFF"/>
                <w:sz w:val="19"/>
                <w:szCs w:val="19"/>
              </w:rPr>
              <w:t>Posición</w:t>
            </w:r>
          </w:p>
        </w:tc>
        <w:tc>
          <w:tcPr>
            <w:tcW w:w="1537" w:type="dxa"/>
            <w:tcBorders>
              <w:top w:val="single" w:sz="4" w:space="0" w:color="000000"/>
              <w:left w:val="single" w:sz="4" w:space="0" w:color="000000"/>
              <w:bottom w:val="single" w:sz="4" w:space="0" w:color="000000"/>
              <w:right w:val="single" w:sz="4" w:space="0" w:color="000000"/>
            </w:tcBorders>
            <w:shd w:val="clear" w:color="auto" w:fill="002060"/>
            <w:tcMar>
              <w:top w:w="0" w:type="dxa"/>
              <w:left w:w="0" w:type="dxa"/>
              <w:bottom w:w="0" w:type="dxa"/>
              <w:right w:w="0" w:type="dxa"/>
            </w:tcMar>
            <w:vAlign w:val="center"/>
          </w:tcPr>
          <w:p w:rsidR="00184CAB" w:rsidRDefault="002B1930">
            <w:pPr>
              <w:spacing w:line="240" w:lineRule="auto"/>
              <w:jc w:val="center"/>
              <w:rPr>
                <w:b/>
                <w:color w:val="FFFFFF"/>
                <w:sz w:val="19"/>
                <w:szCs w:val="19"/>
              </w:rPr>
            </w:pPr>
            <w:r>
              <w:rPr>
                <w:b/>
                <w:color w:val="FFFFFF"/>
                <w:sz w:val="19"/>
                <w:szCs w:val="19"/>
              </w:rPr>
              <w:t>Calificación</w:t>
            </w:r>
          </w:p>
        </w:tc>
        <w:tc>
          <w:tcPr>
            <w:tcW w:w="1701" w:type="dxa"/>
            <w:tcBorders>
              <w:top w:val="single" w:sz="4" w:space="0" w:color="000000"/>
              <w:left w:val="single" w:sz="4" w:space="0" w:color="000000"/>
              <w:bottom w:val="single" w:sz="4" w:space="0" w:color="000000"/>
              <w:right w:val="single" w:sz="4" w:space="0" w:color="000000"/>
            </w:tcBorders>
            <w:shd w:val="clear" w:color="auto" w:fill="002060"/>
            <w:tcMar>
              <w:top w:w="0" w:type="dxa"/>
              <w:left w:w="0" w:type="dxa"/>
              <w:bottom w:w="0" w:type="dxa"/>
              <w:right w:w="0" w:type="dxa"/>
            </w:tcMar>
            <w:vAlign w:val="center"/>
          </w:tcPr>
          <w:p w:rsidR="00184CAB" w:rsidRDefault="002B1930">
            <w:pPr>
              <w:spacing w:line="240" w:lineRule="auto"/>
              <w:jc w:val="center"/>
              <w:rPr>
                <w:b/>
                <w:color w:val="FFFFFF"/>
                <w:sz w:val="19"/>
                <w:szCs w:val="19"/>
              </w:rPr>
            </w:pPr>
            <w:r>
              <w:rPr>
                <w:b/>
                <w:color w:val="FFFFFF"/>
                <w:sz w:val="19"/>
                <w:szCs w:val="19"/>
              </w:rPr>
              <w:t>Categoría</w:t>
            </w:r>
          </w:p>
        </w:tc>
        <w:tc>
          <w:tcPr>
            <w:tcW w:w="1417" w:type="dxa"/>
            <w:tcBorders>
              <w:top w:val="single" w:sz="4" w:space="0" w:color="000000"/>
              <w:left w:val="single" w:sz="4" w:space="0" w:color="000000"/>
              <w:bottom w:val="single" w:sz="4" w:space="0" w:color="000000"/>
              <w:right w:val="single" w:sz="4" w:space="0" w:color="000000"/>
            </w:tcBorders>
            <w:shd w:val="clear" w:color="auto" w:fill="002060"/>
            <w:tcMar>
              <w:top w:w="0" w:type="dxa"/>
              <w:left w:w="0" w:type="dxa"/>
              <w:bottom w:w="0" w:type="dxa"/>
              <w:right w:w="0" w:type="dxa"/>
            </w:tcMar>
            <w:vAlign w:val="center"/>
          </w:tcPr>
          <w:p w:rsidR="00184CAB" w:rsidRDefault="002B1930">
            <w:pPr>
              <w:spacing w:line="240" w:lineRule="auto"/>
              <w:jc w:val="center"/>
              <w:rPr>
                <w:b/>
                <w:color w:val="FFFFFF"/>
                <w:sz w:val="19"/>
                <w:szCs w:val="19"/>
              </w:rPr>
            </w:pPr>
            <w:r>
              <w:rPr>
                <w:b/>
                <w:color w:val="FFFFFF"/>
                <w:sz w:val="19"/>
                <w:szCs w:val="19"/>
              </w:rPr>
              <w:t>Institución</w:t>
            </w:r>
          </w:p>
        </w:tc>
      </w:tr>
      <w:tr w:rsidR="00184CAB">
        <w:tblPrEx>
          <w:tblCellMar>
            <w:top w:w="0" w:type="dxa"/>
            <w:bottom w:w="0" w:type="dxa"/>
          </w:tblCellMar>
        </w:tblPrEx>
        <w:trPr>
          <w:trHeight w:val="270"/>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ind w:right="133"/>
              <w:jc w:val="center"/>
              <w:rPr>
                <w:color w:val="4B4747"/>
                <w:sz w:val="19"/>
                <w:szCs w:val="19"/>
                <w:lang w:val="es-ES"/>
              </w:rPr>
            </w:pPr>
            <w:proofErr w:type="spellStart"/>
            <w:r>
              <w:rPr>
                <w:color w:val="4B4747"/>
                <w:sz w:val="19"/>
                <w:szCs w:val="19"/>
                <w:lang w:val="es-ES"/>
              </w:rPr>
              <w:t>Scoring</w:t>
            </w:r>
            <w:proofErr w:type="spellEnd"/>
            <w:r>
              <w:rPr>
                <w:color w:val="4B4747"/>
                <w:sz w:val="19"/>
                <w:szCs w:val="19"/>
                <w:lang w:val="es-ES"/>
              </w:rPr>
              <w:t xml:space="preserve"> Tributario</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Mención de honor</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86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Innovación Pública Implementada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Dirección General de Impuestos Internos</w:t>
            </w:r>
          </w:p>
        </w:tc>
      </w:tr>
      <w:tr w:rsidR="00184CAB">
        <w:tblPrEx>
          <w:tblCellMar>
            <w:top w:w="0" w:type="dxa"/>
            <w:bottom w:w="0" w:type="dxa"/>
          </w:tblCellMar>
        </w:tblPrEx>
        <w:trPr>
          <w:trHeight w:val="458"/>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INAIPI Creciendo Juntos</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Mención de honor</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85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Innovación en Políticas Públicas y Servicios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Instituto Nacional de Atención Integral a la Primera Infancia (INAIPI)</w:t>
            </w:r>
          </w:p>
        </w:tc>
      </w:tr>
      <w:tr w:rsidR="00184CAB">
        <w:tblPrEx>
          <w:tblCellMar>
            <w:top w:w="0" w:type="dxa"/>
            <w:bottom w:w="0" w:type="dxa"/>
          </w:tblCellMar>
        </w:tblPrEx>
        <w:trPr>
          <w:trHeight w:val="1317"/>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lastRenderedPageBreak/>
              <w:t>Cuidarte RD</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Mención de honor</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84.9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Innovación en</w:t>
            </w:r>
          </w:p>
          <w:p w:rsidR="00184CAB" w:rsidRDefault="002B1930">
            <w:pPr>
              <w:spacing w:line="240" w:lineRule="auto"/>
              <w:jc w:val="center"/>
              <w:rPr>
                <w:color w:val="4B4747"/>
                <w:sz w:val="19"/>
                <w:szCs w:val="19"/>
              </w:rPr>
            </w:pPr>
            <w:r>
              <w:rPr>
                <w:color w:val="4B4747"/>
                <w:sz w:val="19"/>
                <w:szCs w:val="19"/>
              </w:rPr>
              <w:t>Procesos Públicos y Digitales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Servicio Nacional de Salud</w:t>
            </w:r>
          </w:p>
        </w:tc>
      </w:tr>
      <w:tr w:rsidR="00184CAB">
        <w:tblPrEx>
          <w:tblCellMar>
            <w:top w:w="0" w:type="dxa"/>
            <w:bottom w:w="0" w:type="dxa"/>
          </w:tblCellMar>
        </w:tblPrEx>
        <w:trPr>
          <w:trHeight w:val="711"/>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Estoy Contigo</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Mención de honor</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84.6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Innovación en Procesos Públicos y Digitales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Ministerio de la Presidencia y Centros Tecnológicos Comunitarios</w:t>
            </w:r>
          </w:p>
        </w:tc>
      </w:tr>
    </w:tbl>
    <w:p w:rsidR="00184CAB" w:rsidRDefault="002B1930">
      <w:pPr>
        <w:spacing w:line="360" w:lineRule="auto"/>
        <w:jc w:val="both"/>
        <w:rPr>
          <w:i/>
          <w:color w:val="4C4747"/>
          <w:sz w:val="18"/>
          <w:szCs w:val="18"/>
        </w:rPr>
      </w:pPr>
      <w:r>
        <w:rPr>
          <w:i/>
          <w:color w:val="4C4747"/>
          <w:sz w:val="18"/>
          <w:szCs w:val="18"/>
        </w:rPr>
        <w:t>Fuente: Informe del Viceministerio de Innovación, Transparencia y Atención Ciudadana correspondiente al periodo anual 2025.</w:t>
      </w:r>
    </w:p>
    <w:tbl>
      <w:tblPr>
        <w:tblW w:w="7959" w:type="dxa"/>
        <w:tblLayout w:type="fixed"/>
        <w:tblCellMar>
          <w:left w:w="10" w:type="dxa"/>
          <w:right w:w="10" w:type="dxa"/>
        </w:tblCellMar>
        <w:tblLook w:val="0000" w:firstRow="0" w:lastRow="0" w:firstColumn="0" w:lastColumn="0" w:noHBand="0" w:noVBand="0"/>
      </w:tblPr>
      <w:tblGrid>
        <w:gridCol w:w="2400"/>
        <w:gridCol w:w="1134"/>
        <w:gridCol w:w="992"/>
        <w:gridCol w:w="1560"/>
        <w:gridCol w:w="1873"/>
      </w:tblGrid>
      <w:tr w:rsidR="00184CAB">
        <w:tblPrEx>
          <w:tblCellMar>
            <w:top w:w="0" w:type="dxa"/>
            <w:bottom w:w="0" w:type="dxa"/>
          </w:tblCellMar>
        </w:tblPrEx>
        <w:trPr>
          <w:trHeight w:val="416"/>
          <w:tblHeader/>
        </w:trPr>
        <w:tc>
          <w:tcPr>
            <w:tcW w:w="7959" w:type="dxa"/>
            <w:gridSpan w:val="5"/>
            <w:tcBorders>
              <w:top w:val="single" w:sz="8" w:space="0" w:color="000000"/>
              <w:left w:val="single" w:sz="8" w:space="0" w:color="000000"/>
              <w:bottom w:val="single" w:sz="8" w:space="0" w:color="000000"/>
              <w:right w:val="single" w:sz="8" w:space="0" w:color="000000"/>
            </w:tcBorders>
            <w:shd w:val="clear" w:color="auto" w:fill="002060"/>
            <w:tcMar>
              <w:top w:w="0" w:type="dxa"/>
              <w:left w:w="0" w:type="dxa"/>
              <w:bottom w:w="0" w:type="dxa"/>
              <w:right w:w="0" w:type="dxa"/>
            </w:tcMar>
            <w:vAlign w:val="center"/>
          </w:tcPr>
          <w:p w:rsidR="00184CAB" w:rsidRDefault="002B1930">
            <w:pPr>
              <w:spacing w:line="240" w:lineRule="auto"/>
              <w:jc w:val="center"/>
              <w:rPr>
                <w:b/>
                <w:color w:val="FFFFFF"/>
                <w:sz w:val="19"/>
                <w:szCs w:val="19"/>
                <w:lang w:val="es-ES"/>
              </w:rPr>
            </w:pPr>
            <w:r>
              <w:rPr>
                <w:b/>
                <w:color w:val="FFFFFF"/>
                <w:sz w:val="19"/>
                <w:szCs w:val="19"/>
                <w:lang w:val="es-ES"/>
              </w:rPr>
              <w:t>Tabla no. 3 Sobre Relación de Proyectos que recibieron Mención de Honor en Premios Nacionales de la Innovación 5ta Edición</w:t>
            </w:r>
          </w:p>
        </w:tc>
      </w:tr>
      <w:tr w:rsidR="00184CAB">
        <w:tblPrEx>
          <w:tblCellMar>
            <w:top w:w="0" w:type="dxa"/>
            <w:bottom w:w="0" w:type="dxa"/>
          </w:tblCellMar>
        </w:tblPrEx>
        <w:trPr>
          <w:trHeight w:val="416"/>
          <w:tblHeader/>
        </w:trPr>
        <w:tc>
          <w:tcPr>
            <w:tcW w:w="2400" w:type="dxa"/>
            <w:tcBorders>
              <w:top w:val="single" w:sz="8" w:space="0" w:color="000000"/>
              <w:left w:val="single" w:sz="8" w:space="0" w:color="000000"/>
              <w:bottom w:val="single" w:sz="8" w:space="0" w:color="000000"/>
              <w:right w:val="single" w:sz="8" w:space="0" w:color="000000"/>
            </w:tcBorders>
            <w:shd w:val="clear" w:color="auto" w:fill="002060"/>
            <w:tcMar>
              <w:top w:w="0" w:type="dxa"/>
              <w:left w:w="0" w:type="dxa"/>
              <w:bottom w:w="0" w:type="dxa"/>
              <w:right w:w="0" w:type="dxa"/>
            </w:tcMar>
            <w:vAlign w:val="center"/>
          </w:tcPr>
          <w:p w:rsidR="00184CAB" w:rsidRDefault="002B1930">
            <w:pPr>
              <w:spacing w:line="240" w:lineRule="auto"/>
              <w:jc w:val="center"/>
              <w:rPr>
                <w:b/>
                <w:color w:val="FFFFFF"/>
                <w:sz w:val="19"/>
                <w:szCs w:val="19"/>
              </w:rPr>
            </w:pPr>
            <w:r>
              <w:rPr>
                <w:b/>
                <w:color w:val="FFFFFF"/>
                <w:sz w:val="19"/>
                <w:szCs w:val="19"/>
              </w:rPr>
              <w:t>Proyectos/iniciativas</w:t>
            </w:r>
          </w:p>
        </w:tc>
        <w:tc>
          <w:tcPr>
            <w:tcW w:w="1134" w:type="dxa"/>
            <w:tcBorders>
              <w:top w:val="single" w:sz="8" w:space="0" w:color="000000"/>
              <w:left w:val="single" w:sz="8" w:space="0" w:color="000000"/>
              <w:bottom w:val="single" w:sz="8" w:space="0" w:color="000000"/>
              <w:right w:val="single" w:sz="8" w:space="0" w:color="000000"/>
            </w:tcBorders>
            <w:shd w:val="clear" w:color="auto" w:fill="002060"/>
            <w:tcMar>
              <w:top w:w="0" w:type="dxa"/>
              <w:left w:w="0" w:type="dxa"/>
              <w:bottom w:w="0" w:type="dxa"/>
              <w:right w:w="0" w:type="dxa"/>
            </w:tcMar>
            <w:vAlign w:val="center"/>
          </w:tcPr>
          <w:p w:rsidR="00184CAB" w:rsidRDefault="002B1930">
            <w:pPr>
              <w:spacing w:line="240" w:lineRule="auto"/>
              <w:jc w:val="center"/>
              <w:rPr>
                <w:b/>
                <w:color w:val="FFFFFF"/>
                <w:sz w:val="19"/>
                <w:szCs w:val="19"/>
              </w:rPr>
            </w:pPr>
            <w:r>
              <w:rPr>
                <w:b/>
                <w:color w:val="FFFFFF"/>
                <w:sz w:val="19"/>
                <w:szCs w:val="19"/>
              </w:rPr>
              <w:t>Posición</w:t>
            </w:r>
          </w:p>
        </w:tc>
        <w:tc>
          <w:tcPr>
            <w:tcW w:w="992" w:type="dxa"/>
            <w:tcBorders>
              <w:top w:val="single" w:sz="8" w:space="0" w:color="000000"/>
              <w:left w:val="single" w:sz="8" w:space="0" w:color="000000"/>
              <w:bottom w:val="single" w:sz="8" w:space="0" w:color="000000"/>
              <w:right w:val="single" w:sz="8" w:space="0" w:color="000000"/>
            </w:tcBorders>
            <w:shd w:val="clear" w:color="auto" w:fill="002060"/>
            <w:tcMar>
              <w:top w:w="0" w:type="dxa"/>
              <w:left w:w="0" w:type="dxa"/>
              <w:bottom w:w="0" w:type="dxa"/>
              <w:right w:w="0" w:type="dxa"/>
            </w:tcMar>
            <w:vAlign w:val="center"/>
          </w:tcPr>
          <w:p w:rsidR="00184CAB" w:rsidRDefault="002B1930">
            <w:pPr>
              <w:spacing w:line="240" w:lineRule="auto"/>
              <w:jc w:val="center"/>
              <w:rPr>
                <w:b/>
                <w:color w:val="FFFFFF"/>
                <w:sz w:val="19"/>
                <w:szCs w:val="19"/>
              </w:rPr>
            </w:pPr>
            <w:r>
              <w:rPr>
                <w:b/>
                <w:color w:val="FFFFFF"/>
                <w:sz w:val="19"/>
                <w:szCs w:val="19"/>
              </w:rPr>
              <w:t>Calificación</w:t>
            </w:r>
          </w:p>
        </w:tc>
        <w:tc>
          <w:tcPr>
            <w:tcW w:w="1560" w:type="dxa"/>
            <w:tcBorders>
              <w:top w:val="single" w:sz="8" w:space="0" w:color="000000"/>
              <w:left w:val="single" w:sz="8" w:space="0" w:color="000000"/>
              <w:bottom w:val="single" w:sz="8" w:space="0" w:color="000000"/>
              <w:right w:val="single" w:sz="8" w:space="0" w:color="000000"/>
            </w:tcBorders>
            <w:shd w:val="clear" w:color="auto" w:fill="002060"/>
            <w:tcMar>
              <w:top w:w="0" w:type="dxa"/>
              <w:left w:w="0" w:type="dxa"/>
              <w:bottom w:w="0" w:type="dxa"/>
              <w:right w:w="0" w:type="dxa"/>
            </w:tcMar>
            <w:vAlign w:val="center"/>
          </w:tcPr>
          <w:p w:rsidR="00184CAB" w:rsidRDefault="002B1930">
            <w:pPr>
              <w:spacing w:line="240" w:lineRule="auto"/>
              <w:jc w:val="center"/>
              <w:rPr>
                <w:b/>
                <w:color w:val="FFFFFF"/>
                <w:sz w:val="19"/>
                <w:szCs w:val="19"/>
              </w:rPr>
            </w:pPr>
            <w:r>
              <w:rPr>
                <w:b/>
                <w:color w:val="FFFFFF"/>
                <w:sz w:val="19"/>
                <w:szCs w:val="19"/>
              </w:rPr>
              <w:t>Categoría</w:t>
            </w:r>
          </w:p>
        </w:tc>
        <w:tc>
          <w:tcPr>
            <w:tcW w:w="1873" w:type="dxa"/>
            <w:tcBorders>
              <w:top w:val="single" w:sz="8" w:space="0" w:color="000000"/>
              <w:left w:val="single" w:sz="8" w:space="0" w:color="000000"/>
              <w:bottom w:val="single" w:sz="8" w:space="0" w:color="000000"/>
              <w:right w:val="single" w:sz="8" w:space="0" w:color="000000"/>
            </w:tcBorders>
            <w:shd w:val="clear" w:color="auto" w:fill="002060"/>
            <w:tcMar>
              <w:top w:w="0" w:type="dxa"/>
              <w:left w:w="0" w:type="dxa"/>
              <w:bottom w:w="0" w:type="dxa"/>
              <w:right w:w="0" w:type="dxa"/>
            </w:tcMar>
            <w:vAlign w:val="center"/>
          </w:tcPr>
          <w:p w:rsidR="00184CAB" w:rsidRDefault="002B1930">
            <w:pPr>
              <w:spacing w:line="240" w:lineRule="auto"/>
              <w:jc w:val="center"/>
              <w:rPr>
                <w:b/>
                <w:color w:val="FFFFFF"/>
                <w:sz w:val="19"/>
                <w:szCs w:val="19"/>
              </w:rPr>
            </w:pPr>
            <w:r>
              <w:rPr>
                <w:b/>
                <w:color w:val="FFFFFF"/>
                <w:sz w:val="19"/>
                <w:szCs w:val="19"/>
              </w:rPr>
              <w:t>Institución</w:t>
            </w:r>
          </w:p>
        </w:tc>
      </w:tr>
      <w:tr w:rsidR="00184CAB">
        <w:tblPrEx>
          <w:tblCellMar>
            <w:top w:w="0" w:type="dxa"/>
            <w:bottom w:w="0" w:type="dxa"/>
          </w:tblCellMar>
        </w:tblPrEx>
        <w:trPr>
          <w:trHeight w:val="1541"/>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DNCD digital</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Mención de honor</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84</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Innovación en Procesos Públicos</w:t>
            </w:r>
            <w:r>
              <w:rPr>
                <w:color w:val="4B4747"/>
                <w:sz w:val="19"/>
                <w:szCs w:val="19"/>
              </w:rPr>
              <w:t xml:space="preserve"> y Digitales</w:t>
            </w:r>
          </w:p>
        </w:tc>
        <w:tc>
          <w:tcPr>
            <w:tcW w:w="187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Dirección Nacional de Control de Drogas</w:t>
            </w:r>
          </w:p>
        </w:tc>
      </w:tr>
      <w:tr w:rsidR="00184CAB">
        <w:tblPrEx>
          <w:tblCellMar>
            <w:top w:w="0" w:type="dxa"/>
            <w:bottom w:w="0" w:type="dxa"/>
          </w:tblCellMar>
        </w:tblPrEx>
        <w:trPr>
          <w:trHeight w:val="214"/>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SINERGYA - Sistema Integrado de Sinergia Gubernamental y Atención Ciudadana</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Mención de honor</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83.8</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Innovación en Procesos Públicos y Digitales</w:t>
            </w:r>
          </w:p>
        </w:tc>
        <w:tc>
          <w:tcPr>
            <w:tcW w:w="187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Dirección Nacional de Contrataciones Públicas</w:t>
            </w:r>
          </w:p>
        </w:tc>
      </w:tr>
      <w:tr w:rsidR="00184CAB">
        <w:tblPrEx>
          <w:tblCellMar>
            <w:top w:w="0" w:type="dxa"/>
            <w:bottom w:w="0" w:type="dxa"/>
          </w:tblCellMar>
        </w:tblPrEx>
        <w:trPr>
          <w:trHeight w:val="196"/>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 xml:space="preserve">Prescribe, </w:t>
            </w:r>
            <w:r>
              <w:rPr>
                <w:color w:val="4B4747"/>
                <w:sz w:val="19"/>
                <w:szCs w:val="19"/>
              </w:rPr>
              <w:t>herramienta inteligente para la solución de casos de tránsito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Mención de honor</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83.4</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Innovación Pública Implementada</w:t>
            </w:r>
          </w:p>
        </w:tc>
        <w:tc>
          <w:tcPr>
            <w:tcW w:w="187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Escuela Nacional de la Judicatura y el Poder Judicial</w:t>
            </w:r>
          </w:p>
        </w:tc>
      </w:tr>
      <w:tr w:rsidR="00184CAB">
        <w:tblPrEx>
          <w:tblCellMar>
            <w:top w:w="0" w:type="dxa"/>
            <w:bottom w:w="0" w:type="dxa"/>
          </w:tblCellMar>
        </w:tblPrEx>
        <w:trPr>
          <w:trHeight w:val="8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Sistema Informático de Gestión para la Última Milla (SIG-UM)</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Mención de honor</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83.3</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Innovación en Procesos Públicos y Digitales</w:t>
            </w:r>
          </w:p>
        </w:tc>
        <w:tc>
          <w:tcPr>
            <w:tcW w:w="1873"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Instituto Postal Dominicano (INPOSDOM)</w:t>
            </w:r>
          </w:p>
        </w:tc>
      </w:tr>
    </w:tbl>
    <w:p w:rsidR="00184CAB" w:rsidRDefault="002B1930">
      <w:pPr>
        <w:spacing w:line="360" w:lineRule="auto"/>
        <w:jc w:val="both"/>
        <w:rPr>
          <w:i/>
          <w:color w:val="4C4747"/>
          <w:sz w:val="18"/>
        </w:rPr>
      </w:pPr>
      <w:r>
        <w:rPr>
          <w:i/>
          <w:color w:val="4C4747"/>
          <w:sz w:val="18"/>
        </w:rPr>
        <w:t>Fuente: Informe del Viceministerio de Innovación, Transparencia y Atención Ciudadana correspondiente al periodo anual 2025.</w:t>
      </w:r>
    </w:p>
    <w:p w:rsidR="00184CAB" w:rsidRDefault="00184CAB">
      <w:pPr>
        <w:spacing w:line="360" w:lineRule="auto"/>
        <w:jc w:val="both"/>
        <w:rPr>
          <w:i/>
          <w:color w:val="4C4747"/>
        </w:rPr>
      </w:pPr>
    </w:p>
    <w:p w:rsidR="00184CAB" w:rsidRDefault="00184CAB">
      <w:pPr>
        <w:spacing w:line="360" w:lineRule="auto"/>
        <w:jc w:val="both"/>
        <w:rPr>
          <w:i/>
          <w:color w:val="4C4747"/>
        </w:rPr>
      </w:pPr>
    </w:p>
    <w:p w:rsidR="00184CAB" w:rsidRDefault="002B1930">
      <w:pPr>
        <w:pStyle w:val="Ttulo2"/>
        <w:numPr>
          <w:ilvl w:val="1"/>
          <w:numId w:val="5"/>
        </w:numPr>
        <w:spacing w:line="360" w:lineRule="auto"/>
        <w:jc w:val="both"/>
        <w:rPr>
          <w:b/>
          <w:color w:val="4C4747"/>
          <w:szCs w:val="24"/>
        </w:rPr>
      </w:pPr>
      <w:bookmarkStart w:id="42" w:name="_Toc217043943"/>
      <w:bookmarkStart w:id="43" w:name="_Toc217907914"/>
      <w:bookmarkStart w:id="44" w:name="_Toc217914415"/>
      <w:r>
        <w:rPr>
          <w:b/>
          <w:color w:val="4C4747"/>
          <w:szCs w:val="24"/>
        </w:rPr>
        <w:lastRenderedPageBreak/>
        <w:t>Gestión del Viceministerio de Gestión Social y</w:t>
      </w:r>
      <w:r>
        <w:rPr>
          <w:b/>
          <w:color w:val="4C4747"/>
          <w:szCs w:val="24"/>
        </w:rPr>
        <w:t xml:space="preserve"> Comunitaria</w:t>
      </w:r>
      <w:bookmarkEnd w:id="42"/>
      <w:bookmarkEnd w:id="43"/>
      <w:bookmarkEnd w:id="44"/>
    </w:p>
    <w:p w:rsidR="00184CAB" w:rsidRDefault="00184CAB">
      <w:pPr>
        <w:spacing w:line="360" w:lineRule="auto"/>
        <w:jc w:val="both"/>
        <w:rPr>
          <w:color w:val="4C4747"/>
        </w:rPr>
      </w:pPr>
    </w:p>
    <w:p w:rsidR="00184CAB" w:rsidRDefault="002B1930">
      <w:pPr>
        <w:spacing w:line="360" w:lineRule="auto"/>
        <w:jc w:val="both"/>
      </w:pPr>
      <w:r>
        <w:rPr>
          <w:color w:val="4C4747"/>
        </w:rPr>
        <w:t>Con el objetivo de atender requerimientos de los ciudadanos, este Viceministerio a través de su Dirección de Servicios Sociales, ha brindado apoyo a cientos de personas a través de ayudas de tipo de médicas, educativas, económicas, materiales</w:t>
      </w:r>
      <w:r>
        <w:rPr>
          <w:color w:val="4C4747"/>
        </w:rPr>
        <w:t xml:space="preserve"> de construcción, medicamentos, donaciones y becas nacionales e internacionales dando respuesta a más de</w:t>
      </w:r>
      <w:r>
        <w:rPr>
          <w:b/>
          <w:color w:val="4C4747"/>
        </w:rPr>
        <w:t xml:space="preserve"> 3,606</w:t>
      </w:r>
      <w:r>
        <w:rPr>
          <w:color w:val="4C4747"/>
        </w:rPr>
        <w:t xml:space="preserve"> beneficiarios, procurando aportar soluciones, en beneficio de la salud, condiciones de vida, así como también, a la formación académica de los be</w:t>
      </w:r>
      <w:r>
        <w:rPr>
          <w:color w:val="4C4747"/>
        </w:rPr>
        <w:t xml:space="preserve">neficiarios. </w:t>
      </w:r>
      <w:bookmarkStart w:id="45" w:name="_Hlk215042055"/>
    </w:p>
    <w:p w:rsidR="00184CAB" w:rsidRDefault="002B1930">
      <w:pPr>
        <w:spacing w:line="360" w:lineRule="auto"/>
        <w:jc w:val="both"/>
        <w:rPr>
          <w:color w:val="4C4747"/>
        </w:rPr>
      </w:pPr>
      <w:r>
        <w:rPr>
          <w:color w:val="4C4747"/>
        </w:rPr>
        <w:t>A noviembre del año en curso, se han entregado un total de RD$87,542,584.42. Ver detalle a continuación:</w:t>
      </w:r>
    </w:p>
    <w:tbl>
      <w:tblPr>
        <w:tblW w:w="7920" w:type="dxa"/>
        <w:tblCellMar>
          <w:left w:w="10" w:type="dxa"/>
          <w:right w:w="10" w:type="dxa"/>
        </w:tblCellMar>
        <w:tblLook w:val="0000" w:firstRow="0" w:lastRow="0" w:firstColumn="0" w:lastColumn="0" w:noHBand="0" w:noVBand="0"/>
      </w:tblPr>
      <w:tblGrid>
        <w:gridCol w:w="1502"/>
        <w:gridCol w:w="3875"/>
        <w:gridCol w:w="2543"/>
      </w:tblGrid>
      <w:tr w:rsidR="00184CAB">
        <w:tblPrEx>
          <w:tblCellMar>
            <w:top w:w="0" w:type="dxa"/>
            <w:bottom w:w="0" w:type="dxa"/>
          </w:tblCellMar>
        </w:tblPrEx>
        <w:trPr>
          <w:trHeight w:val="131"/>
        </w:trPr>
        <w:tc>
          <w:tcPr>
            <w:tcW w:w="7920" w:type="dxa"/>
            <w:gridSpan w:val="3"/>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tcPr>
          <w:p w:rsidR="00184CAB" w:rsidRDefault="002B1930">
            <w:pPr>
              <w:spacing w:after="0" w:line="240" w:lineRule="auto"/>
              <w:jc w:val="center"/>
              <w:rPr>
                <w:rFonts w:eastAsia="Times New Roman"/>
                <w:b/>
                <w:bCs/>
                <w:color w:val="FFFFFF"/>
                <w:spacing w:val="0"/>
                <w:sz w:val="19"/>
                <w:szCs w:val="19"/>
                <w:lang w:val="es-ES" w:eastAsia="es-DO"/>
              </w:rPr>
            </w:pPr>
            <w:bookmarkStart w:id="46" w:name="_Hlk215042069"/>
            <w:bookmarkEnd w:id="45"/>
            <w:r>
              <w:rPr>
                <w:rFonts w:eastAsia="Times New Roman"/>
                <w:b/>
                <w:bCs/>
                <w:color w:val="FFFFFF"/>
                <w:spacing w:val="0"/>
                <w:sz w:val="19"/>
                <w:szCs w:val="19"/>
                <w:lang w:val="es-ES" w:eastAsia="es-DO"/>
              </w:rPr>
              <w:t>Tabla no. 4 Sobre Relación de Distribución de los Programas Presupuestarios 98 y 99 del Ministerio Administrativo de la Presidencia</w:t>
            </w:r>
          </w:p>
        </w:tc>
      </w:tr>
      <w:tr w:rsidR="00184CAB">
        <w:tblPrEx>
          <w:tblCellMar>
            <w:top w:w="0" w:type="dxa"/>
            <w:bottom w:w="0" w:type="dxa"/>
          </w:tblCellMar>
        </w:tblPrEx>
        <w:trPr>
          <w:trHeight w:val="232"/>
        </w:trPr>
        <w:tc>
          <w:tcPr>
            <w:tcW w:w="1502" w:type="dxa"/>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tcPr>
          <w:p w:rsidR="00184CAB" w:rsidRDefault="002B1930">
            <w:pPr>
              <w:spacing w:after="0" w:line="240" w:lineRule="auto"/>
              <w:jc w:val="center"/>
              <w:rPr>
                <w:rFonts w:eastAsia="Times New Roman"/>
                <w:b/>
                <w:bCs/>
                <w:color w:val="FFFFFF"/>
                <w:spacing w:val="0"/>
                <w:sz w:val="19"/>
                <w:szCs w:val="19"/>
                <w:lang w:eastAsia="es-DO"/>
              </w:rPr>
            </w:pPr>
            <w:r>
              <w:rPr>
                <w:rFonts w:eastAsia="Times New Roman"/>
                <w:b/>
                <w:bCs/>
                <w:color w:val="FFFFFF"/>
                <w:spacing w:val="0"/>
                <w:sz w:val="19"/>
                <w:szCs w:val="19"/>
                <w:lang w:eastAsia="es-DO"/>
              </w:rPr>
              <w:t>Cuentas</w:t>
            </w:r>
          </w:p>
        </w:tc>
        <w:tc>
          <w:tcPr>
            <w:tcW w:w="3875"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rPr>
                <w:rFonts w:eastAsia="Times New Roman"/>
                <w:b/>
                <w:bCs/>
                <w:color w:val="FFFFFF"/>
                <w:spacing w:val="0"/>
                <w:sz w:val="19"/>
                <w:szCs w:val="19"/>
                <w:lang w:eastAsia="es-DO"/>
              </w:rPr>
            </w:pPr>
            <w:r>
              <w:rPr>
                <w:rFonts w:eastAsia="Times New Roman"/>
                <w:b/>
                <w:bCs/>
                <w:color w:val="FFFFFF"/>
                <w:spacing w:val="0"/>
                <w:sz w:val="19"/>
                <w:szCs w:val="19"/>
                <w:lang w:eastAsia="es-DO"/>
              </w:rPr>
              <w:t>Descripción</w:t>
            </w:r>
          </w:p>
        </w:tc>
        <w:tc>
          <w:tcPr>
            <w:tcW w:w="2543"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pPr>
            <w:r>
              <w:rPr>
                <w:rFonts w:eastAsia="Times New Roman"/>
                <w:b/>
                <w:bCs/>
                <w:color w:val="FFFFFF"/>
                <w:spacing w:val="0"/>
                <w:sz w:val="19"/>
                <w:szCs w:val="19"/>
                <w:lang w:val="en-US" w:eastAsia="es-DO"/>
              </w:rPr>
              <w:t>Total general</w:t>
            </w:r>
            <w:r>
              <w:rPr>
                <w:rFonts w:eastAsia="Times New Roman"/>
                <w:b/>
                <w:bCs/>
                <w:color w:val="FFFFFF"/>
                <w:spacing w:val="0"/>
                <w:sz w:val="19"/>
                <w:szCs w:val="19"/>
                <w:lang w:eastAsia="es-DO"/>
              </w:rPr>
              <w:t xml:space="preserve"> Montos</w:t>
            </w:r>
          </w:p>
        </w:tc>
      </w:tr>
      <w:tr w:rsidR="00184CAB">
        <w:tblPrEx>
          <w:tblCellMar>
            <w:top w:w="0" w:type="dxa"/>
            <w:bottom w:w="0" w:type="dxa"/>
          </w:tblCellMar>
        </w:tblPrEx>
        <w:trPr>
          <w:trHeight w:val="600"/>
        </w:trPr>
        <w:tc>
          <w:tcPr>
            <w:tcW w:w="150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pPr>
            <w:r>
              <w:rPr>
                <w:bCs/>
                <w:color w:val="4C4747"/>
                <w:sz w:val="19"/>
                <w:szCs w:val="19"/>
              </w:rPr>
              <w:t>2.4.1.2.01</w:t>
            </w:r>
          </w:p>
        </w:tc>
        <w:tc>
          <w:tcPr>
            <w:tcW w:w="387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pPr>
            <w:r>
              <w:rPr>
                <w:color w:val="4C4747"/>
                <w:sz w:val="19"/>
                <w:szCs w:val="19"/>
                <w:lang w:val="es-ES"/>
              </w:rPr>
              <w:t xml:space="preserve">Ayudas y donaciones </w:t>
            </w:r>
            <w:proofErr w:type="spellStart"/>
            <w:r>
              <w:rPr>
                <w:color w:val="4C4747"/>
                <w:sz w:val="19"/>
                <w:szCs w:val="19"/>
                <w:lang w:val="es-ES"/>
              </w:rPr>
              <w:t>prog</w:t>
            </w:r>
            <w:proofErr w:type="spellEnd"/>
            <w:r>
              <w:rPr>
                <w:color w:val="4C4747"/>
                <w:sz w:val="19"/>
                <w:szCs w:val="19"/>
                <w:lang w:val="es-ES"/>
              </w:rPr>
              <w:t>. a hogares y personas</w:t>
            </w:r>
          </w:p>
        </w:tc>
        <w:tc>
          <w:tcPr>
            <w:tcW w:w="2543"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rFonts w:eastAsia="Times New Roman"/>
                <w:bCs/>
                <w:color w:val="4C4747"/>
                <w:spacing w:val="0"/>
                <w:sz w:val="19"/>
                <w:szCs w:val="19"/>
                <w:lang w:val="en-US" w:eastAsia="es-DO"/>
              </w:rPr>
            </w:pPr>
            <w:r>
              <w:rPr>
                <w:rFonts w:eastAsia="Times New Roman"/>
                <w:bCs/>
                <w:color w:val="4C4747"/>
                <w:spacing w:val="0"/>
                <w:sz w:val="19"/>
                <w:szCs w:val="19"/>
                <w:lang w:val="en-US" w:eastAsia="es-DO"/>
              </w:rPr>
              <w:t>RD$1,695,000.00</w:t>
            </w:r>
          </w:p>
        </w:tc>
      </w:tr>
      <w:tr w:rsidR="00184CAB">
        <w:tblPrEx>
          <w:tblCellMar>
            <w:top w:w="0" w:type="dxa"/>
            <w:bottom w:w="0" w:type="dxa"/>
          </w:tblCellMar>
        </w:tblPrEx>
        <w:trPr>
          <w:trHeight w:val="242"/>
        </w:trPr>
        <w:tc>
          <w:tcPr>
            <w:tcW w:w="150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pPr>
            <w:r>
              <w:rPr>
                <w:bCs/>
                <w:color w:val="4C4747"/>
                <w:sz w:val="19"/>
                <w:szCs w:val="19"/>
              </w:rPr>
              <w:t>2.4.1.2.02</w:t>
            </w:r>
          </w:p>
        </w:tc>
        <w:tc>
          <w:tcPr>
            <w:tcW w:w="387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pPr>
            <w:r>
              <w:rPr>
                <w:color w:val="4C4747"/>
                <w:sz w:val="19"/>
                <w:szCs w:val="19"/>
              </w:rPr>
              <w:t>Ayudas y donaciones ocasionales a hogares y personas</w:t>
            </w:r>
          </w:p>
        </w:tc>
        <w:tc>
          <w:tcPr>
            <w:tcW w:w="2543"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rFonts w:eastAsia="Times New Roman"/>
                <w:bCs/>
                <w:color w:val="4C4747"/>
                <w:spacing w:val="0"/>
                <w:sz w:val="19"/>
                <w:szCs w:val="19"/>
                <w:lang w:val="en-US" w:eastAsia="es-DO"/>
              </w:rPr>
            </w:pPr>
            <w:r>
              <w:rPr>
                <w:rFonts w:eastAsia="Times New Roman"/>
                <w:bCs/>
                <w:color w:val="4C4747"/>
                <w:spacing w:val="0"/>
                <w:sz w:val="19"/>
                <w:szCs w:val="19"/>
                <w:lang w:val="en-US" w:eastAsia="es-DO"/>
              </w:rPr>
              <w:t>RD$62,550,948.17</w:t>
            </w:r>
          </w:p>
        </w:tc>
      </w:tr>
      <w:tr w:rsidR="00184CAB">
        <w:tblPrEx>
          <w:tblCellMar>
            <w:top w:w="0" w:type="dxa"/>
            <w:bottom w:w="0" w:type="dxa"/>
          </w:tblCellMar>
        </w:tblPrEx>
        <w:trPr>
          <w:trHeight w:val="364"/>
        </w:trPr>
        <w:tc>
          <w:tcPr>
            <w:tcW w:w="150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pPr>
            <w:r>
              <w:rPr>
                <w:bCs/>
                <w:color w:val="4C4747"/>
                <w:sz w:val="19"/>
                <w:szCs w:val="19"/>
              </w:rPr>
              <w:t>2.4.1.4.01</w:t>
            </w:r>
          </w:p>
        </w:tc>
        <w:tc>
          <w:tcPr>
            <w:tcW w:w="387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pPr>
            <w:r>
              <w:rPr>
                <w:color w:val="4C4747"/>
                <w:sz w:val="19"/>
                <w:szCs w:val="19"/>
              </w:rPr>
              <w:t>Becas nacionales</w:t>
            </w:r>
          </w:p>
        </w:tc>
        <w:tc>
          <w:tcPr>
            <w:tcW w:w="2543"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rFonts w:eastAsia="Times New Roman"/>
                <w:bCs/>
                <w:color w:val="4C4747"/>
                <w:spacing w:val="0"/>
                <w:sz w:val="19"/>
                <w:szCs w:val="19"/>
                <w:lang w:val="en-US" w:eastAsia="es-DO"/>
              </w:rPr>
            </w:pPr>
            <w:r>
              <w:rPr>
                <w:rFonts w:eastAsia="Times New Roman"/>
                <w:bCs/>
                <w:color w:val="4C4747"/>
                <w:spacing w:val="0"/>
                <w:sz w:val="19"/>
                <w:szCs w:val="19"/>
                <w:lang w:val="en-US" w:eastAsia="es-DO"/>
              </w:rPr>
              <w:t>RD$17,240,337.28</w:t>
            </w:r>
          </w:p>
        </w:tc>
      </w:tr>
      <w:tr w:rsidR="00184CAB">
        <w:tblPrEx>
          <w:tblCellMar>
            <w:top w:w="0" w:type="dxa"/>
            <w:bottom w:w="0" w:type="dxa"/>
          </w:tblCellMar>
        </w:tblPrEx>
        <w:trPr>
          <w:trHeight w:val="401"/>
        </w:trPr>
        <w:tc>
          <w:tcPr>
            <w:tcW w:w="150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pPr>
            <w:bookmarkStart w:id="47" w:name="_Hlk214965520"/>
            <w:r>
              <w:rPr>
                <w:bCs/>
                <w:color w:val="4C4747"/>
                <w:sz w:val="19"/>
                <w:szCs w:val="19"/>
              </w:rPr>
              <w:t>2.4.1.4.02</w:t>
            </w:r>
          </w:p>
        </w:tc>
        <w:tc>
          <w:tcPr>
            <w:tcW w:w="387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pPr>
            <w:r>
              <w:rPr>
                <w:color w:val="4C4747"/>
                <w:sz w:val="19"/>
                <w:szCs w:val="19"/>
              </w:rPr>
              <w:t>Becas extranjeras</w:t>
            </w:r>
          </w:p>
        </w:tc>
        <w:tc>
          <w:tcPr>
            <w:tcW w:w="2543"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rFonts w:eastAsia="Times New Roman"/>
                <w:bCs/>
                <w:color w:val="4C4747"/>
                <w:spacing w:val="0"/>
                <w:sz w:val="19"/>
                <w:szCs w:val="19"/>
                <w:lang w:val="en-US" w:eastAsia="es-DO"/>
              </w:rPr>
            </w:pPr>
            <w:r>
              <w:rPr>
                <w:rFonts w:eastAsia="Times New Roman"/>
                <w:bCs/>
                <w:color w:val="4C4747"/>
                <w:spacing w:val="0"/>
                <w:sz w:val="19"/>
                <w:szCs w:val="19"/>
                <w:lang w:val="en-US" w:eastAsia="es-DO"/>
              </w:rPr>
              <w:t>RD$4,579,860.96</w:t>
            </w:r>
          </w:p>
        </w:tc>
      </w:tr>
      <w:bookmarkEnd w:id="47"/>
      <w:tr w:rsidR="00184CAB">
        <w:tblPrEx>
          <w:tblCellMar>
            <w:top w:w="0" w:type="dxa"/>
            <w:bottom w:w="0" w:type="dxa"/>
          </w:tblCellMar>
        </w:tblPrEx>
        <w:trPr>
          <w:trHeight w:val="362"/>
        </w:trPr>
        <w:tc>
          <w:tcPr>
            <w:tcW w:w="5377" w:type="dxa"/>
            <w:gridSpan w:val="2"/>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tcPr>
          <w:p w:rsidR="00184CAB" w:rsidRDefault="002B1930">
            <w:pPr>
              <w:spacing w:after="0" w:line="240" w:lineRule="auto"/>
              <w:rPr>
                <w:rFonts w:eastAsia="Times New Roman"/>
                <w:b/>
                <w:bCs/>
                <w:color w:val="FFFFFF"/>
                <w:spacing w:val="0"/>
                <w:sz w:val="19"/>
                <w:szCs w:val="19"/>
                <w:lang w:eastAsia="es-DO"/>
              </w:rPr>
            </w:pPr>
            <w:r>
              <w:rPr>
                <w:rFonts w:eastAsia="Times New Roman"/>
                <w:b/>
                <w:bCs/>
                <w:color w:val="FFFFFF"/>
                <w:spacing w:val="0"/>
                <w:sz w:val="19"/>
                <w:szCs w:val="19"/>
                <w:lang w:eastAsia="es-DO"/>
              </w:rPr>
              <w:t>Ejecutado RD$</w:t>
            </w:r>
          </w:p>
        </w:tc>
        <w:tc>
          <w:tcPr>
            <w:tcW w:w="2543" w:type="dxa"/>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tcPr>
          <w:p w:rsidR="00184CAB" w:rsidRDefault="002B1930">
            <w:pPr>
              <w:spacing w:after="0" w:line="240" w:lineRule="auto"/>
              <w:rPr>
                <w:rFonts w:eastAsia="Times New Roman"/>
                <w:b/>
                <w:bCs/>
                <w:color w:val="FFFFFF"/>
                <w:spacing w:val="0"/>
                <w:sz w:val="19"/>
                <w:szCs w:val="19"/>
                <w:lang w:eastAsia="es-DO"/>
              </w:rPr>
            </w:pPr>
            <w:r>
              <w:rPr>
                <w:rFonts w:eastAsia="Times New Roman"/>
                <w:b/>
                <w:bCs/>
                <w:color w:val="FFFFFF"/>
                <w:spacing w:val="0"/>
                <w:sz w:val="19"/>
                <w:szCs w:val="19"/>
                <w:lang w:eastAsia="es-DO"/>
              </w:rPr>
              <w:t>RD$87,542,584.42</w:t>
            </w:r>
          </w:p>
        </w:tc>
      </w:tr>
    </w:tbl>
    <w:p w:rsidR="00184CAB" w:rsidRDefault="002B1930">
      <w:pPr>
        <w:spacing w:line="360" w:lineRule="auto"/>
        <w:jc w:val="both"/>
      </w:pPr>
      <w:bookmarkStart w:id="48" w:name="_Hlk215042084"/>
      <w:bookmarkEnd w:id="46"/>
      <w:r>
        <w:rPr>
          <w:i/>
          <w:color w:val="4C4747"/>
          <w:sz w:val="18"/>
        </w:rPr>
        <w:t>Fuente: Datos correspondientes hasta noviembre 2025, Programa Presupuestario 98 y 99, Dirección Financiera</w:t>
      </w:r>
      <w:r>
        <w:rPr>
          <w:i/>
          <w:color w:val="4C4747"/>
        </w:rPr>
        <w:t>.</w:t>
      </w:r>
      <w:bookmarkEnd w:id="48"/>
    </w:p>
    <w:p w:rsidR="00184CAB" w:rsidRDefault="002B1930">
      <w:pPr>
        <w:spacing w:line="360" w:lineRule="auto"/>
        <w:jc w:val="both"/>
      </w:pPr>
      <w:r>
        <w:rPr>
          <w:b/>
          <w:color w:val="4B4747"/>
        </w:rPr>
        <w:t xml:space="preserve">Proyecciones para cierre de año: </w:t>
      </w:r>
      <w:r>
        <w:rPr>
          <w:color w:val="4B4747"/>
        </w:rPr>
        <w:t xml:space="preserve">Se proyecta al cierre del año un incremento de </w:t>
      </w:r>
      <w:r>
        <w:rPr>
          <w:color w:val="4B4747"/>
        </w:rPr>
        <w:t>beneficiarios, alcanzando aproximadamente un total de 3800 personas, garantizando la atención social inmediata en salud, educación y necesidades prioritarias, lo cual reflejaría un cierre superior respecto al año 2024.</w:t>
      </w:r>
    </w:p>
    <w:p w:rsidR="00184CAB" w:rsidRDefault="00184CAB">
      <w:pPr>
        <w:spacing w:line="360" w:lineRule="auto"/>
        <w:jc w:val="both"/>
        <w:rPr>
          <w:i/>
          <w:color w:val="4C4747"/>
        </w:rPr>
      </w:pPr>
    </w:p>
    <w:p w:rsidR="00184CAB" w:rsidRDefault="002B1930">
      <w:pPr>
        <w:pStyle w:val="Ttulo2"/>
        <w:numPr>
          <w:ilvl w:val="1"/>
          <w:numId w:val="5"/>
        </w:numPr>
        <w:spacing w:line="360" w:lineRule="auto"/>
        <w:jc w:val="both"/>
        <w:rPr>
          <w:b/>
          <w:color w:val="4C4747"/>
          <w:szCs w:val="24"/>
        </w:rPr>
      </w:pPr>
      <w:bookmarkStart w:id="49" w:name="_Toc217043944"/>
      <w:bookmarkStart w:id="50" w:name="_Toc217907915"/>
      <w:bookmarkStart w:id="51" w:name="_Toc217914416"/>
      <w:r>
        <w:rPr>
          <w:b/>
          <w:color w:val="4C4747"/>
          <w:szCs w:val="24"/>
        </w:rPr>
        <w:lastRenderedPageBreak/>
        <w:t xml:space="preserve">Gestión de la Dirección de </w:t>
      </w:r>
      <w:r>
        <w:rPr>
          <w:b/>
          <w:color w:val="4C4747"/>
          <w:szCs w:val="24"/>
        </w:rPr>
        <w:t>Desarrollo de Proyectos Comunitarios</w:t>
      </w:r>
      <w:bookmarkEnd w:id="49"/>
      <w:bookmarkEnd w:id="50"/>
      <w:bookmarkEnd w:id="51"/>
    </w:p>
    <w:p w:rsidR="00184CAB" w:rsidRDefault="00184CAB">
      <w:pPr>
        <w:spacing w:line="360" w:lineRule="auto"/>
        <w:jc w:val="both"/>
        <w:rPr>
          <w:color w:val="4C4747"/>
        </w:rPr>
      </w:pPr>
    </w:p>
    <w:p w:rsidR="00184CAB" w:rsidRDefault="002B1930">
      <w:pPr>
        <w:spacing w:line="360" w:lineRule="auto"/>
        <w:jc w:val="both"/>
        <w:rPr>
          <w:color w:val="4C4747"/>
        </w:rPr>
      </w:pPr>
      <w:r>
        <w:rPr>
          <w:color w:val="4C4747"/>
        </w:rPr>
        <w:t xml:space="preserve">Durante el año 2025, la Dirección de Desarrollo de Proyectos Comunitarios consolidó su compromiso con la intervención efectiva en territorios prioritarios, la mejora de la calidad de vida de las comunidades y el </w:t>
      </w:r>
      <w:r>
        <w:rPr>
          <w:color w:val="4C4747"/>
        </w:rPr>
        <w:t xml:space="preserve">fortalecimiento institucional como ente ejecutor del Estado. </w:t>
      </w:r>
    </w:p>
    <w:p w:rsidR="00184CAB" w:rsidRDefault="002B1930">
      <w:pPr>
        <w:spacing w:line="360" w:lineRule="auto"/>
        <w:jc w:val="both"/>
        <w:rPr>
          <w:color w:val="4C4747"/>
        </w:rPr>
      </w:pPr>
      <w:r>
        <w:rPr>
          <w:color w:val="4C4747"/>
        </w:rPr>
        <w:t>Este período se caracteriza por avances sustanciales en la gestión, la planificación y la respuesta a las necesidades sociales, alcanzando resultados notables en cobertura territorial, eficienci</w:t>
      </w:r>
      <w:r>
        <w:rPr>
          <w:color w:val="4C4747"/>
        </w:rPr>
        <w:t xml:space="preserve">a operativa y respuesta a la ciudadanía: </w:t>
      </w:r>
    </w:p>
    <w:tbl>
      <w:tblPr>
        <w:tblW w:w="8075" w:type="dxa"/>
        <w:tblLayout w:type="fixed"/>
        <w:tblCellMar>
          <w:left w:w="10" w:type="dxa"/>
          <w:right w:w="10" w:type="dxa"/>
        </w:tblCellMar>
        <w:tblLook w:val="0000" w:firstRow="0" w:lastRow="0" w:firstColumn="0" w:lastColumn="0" w:noHBand="0" w:noVBand="0"/>
      </w:tblPr>
      <w:tblGrid>
        <w:gridCol w:w="4037"/>
        <w:gridCol w:w="4038"/>
      </w:tblGrid>
      <w:tr w:rsidR="00184CAB">
        <w:tblPrEx>
          <w:tblCellMar>
            <w:top w:w="0" w:type="dxa"/>
            <w:bottom w:w="0" w:type="dxa"/>
          </w:tblCellMar>
        </w:tblPrEx>
        <w:trPr>
          <w:trHeight w:val="464"/>
        </w:trPr>
        <w:tc>
          <w:tcPr>
            <w:tcW w:w="8075" w:type="dxa"/>
            <w:gridSpan w:val="2"/>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tcPr>
          <w:p w:rsidR="00184CAB" w:rsidRDefault="002B1930">
            <w:pPr>
              <w:spacing w:after="0" w:line="240" w:lineRule="auto"/>
              <w:jc w:val="center"/>
              <w:rPr>
                <w:rFonts w:eastAsia="Times New Roman"/>
                <w:b/>
                <w:bCs/>
                <w:color w:val="FFFFFF"/>
                <w:spacing w:val="0"/>
                <w:sz w:val="19"/>
                <w:szCs w:val="19"/>
                <w:lang w:eastAsia="es-US"/>
              </w:rPr>
            </w:pPr>
            <w:r>
              <w:rPr>
                <w:rFonts w:eastAsia="Times New Roman"/>
                <w:b/>
                <w:bCs/>
                <w:color w:val="FFFFFF"/>
                <w:spacing w:val="0"/>
                <w:sz w:val="19"/>
                <w:szCs w:val="19"/>
                <w:lang w:eastAsia="es-US"/>
              </w:rPr>
              <w:t>Tabla no. 5 sobre resumen general de los compromisos atendidos</w:t>
            </w:r>
          </w:p>
        </w:tc>
      </w:tr>
      <w:tr w:rsidR="00184CAB">
        <w:tblPrEx>
          <w:tblCellMar>
            <w:top w:w="0" w:type="dxa"/>
            <w:bottom w:w="0" w:type="dxa"/>
          </w:tblCellMar>
        </w:tblPrEx>
        <w:trPr>
          <w:trHeight w:val="464"/>
        </w:trPr>
        <w:tc>
          <w:tcPr>
            <w:tcW w:w="4037" w:type="dxa"/>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tcPr>
          <w:p w:rsidR="00184CAB" w:rsidRDefault="002B1930">
            <w:pPr>
              <w:spacing w:after="0" w:line="240" w:lineRule="auto"/>
              <w:jc w:val="center"/>
              <w:rPr>
                <w:rFonts w:eastAsia="Times New Roman"/>
                <w:b/>
                <w:bCs/>
                <w:color w:val="FFFFFF"/>
                <w:spacing w:val="0"/>
                <w:sz w:val="19"/>
                <w:szCs w:val="19"/>
                <w:lang w:eastAsia="es-US"/>
              </w:rPr>
            </w:pPr>
            <w:r>
              <w:rPr>
                <w:rFonts w:eastAsia="Times New Roman"/>
                <w:b/>
                <w:bCs/>
                <w:color w:val="FFFFFF"/>
                <w:spacing w:val="0"/>
                <w:sz w:val="19"/>
                <w:szCs w:val="19"/>
                <w:lang w:eastAsia="es-US"/>
              </w:rPr>
              <w:t>Concepto</w:t>
            </w:r>
          </w:p>
        </w:tc>
        <w:tc>
          <w:tcPr>
            <w:tcW w:w="4038"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rPr>
                <w:rFonts w:eastAsia="Times New Roman"/>
                <w:b/>
                <w:bCs/>
                <w:color w:val="FFFFFF"/>
                <w:spacing w:val="0"/>
                <w:sz w:val="19"/>
                <w:szCs w:val="19"/>
                <w:lang w:eastAsia="es-US"/>
              </w:rPr>
            </w:pPr>
            <w:r>
              <w:rPr>
                <w:rFonts w:eastAsia="Times New Roman"/>
                <w:b/>
                <w:bCs/>
                <w:color w:val="FFFFFF"/>
                <w:spacing w:val="0"/>
                <w:sz w:val="19"/>
                <w:szCs w:val="19"/>
                <w:lang w:eastAsia="es-US"/>
              </w:rPr>
              <w:t>Cantidad de compromisos</w:t>
            </w:r>
          </w:p>
        </w:tc>
      </w:tr>
      <w:tr w:rsidR="00184CAB">
        <w:tblPrEx>
          <w:tblCellMar>
            <w:top w:w="0" w:type="dxa"/>
            <w:bottom w:w="0" w:type="dxa"/>
          </w:tblCellMar>
        </w:tblPrEx>
        <w:trPr>
          <w:trHeight w:val="61"/>
        </w:trPr>
        <w:tc>
          <w:tcPr>
            <w:tcW w:w="4037"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bCs/>
                <w:color w:val="4C4747"/>
                <w:sz w:val="19"/>
                <w:szCs w:val="19"/>
              </w:rPr>
            </w:pPr>
            <w:r>
              <w:rPr>
                <w:bCs/>
                <w:color w:val="4C4747"/>
                <w:sz w:val="19"/>
                <w:szCs w:val="19"/>
              </w:rPr>
              <w:t>Proyectos Región Este</w:t>
            </w:r>
          </w:p>
        </w:tc>
        <w:tc>
          <w:tcPr>
            <w:tcW w:w="403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27</w:t>
            </w:r>
          </w:p>
        </w:tc>
      </w:tr>
      <w:tr w:rsidR="00184CAB">
        <w:tblPrEx>
          <w:tblCellMar>
            <w:top w:w="0" w:type="dxa"/>
            <w:bottom w:w="0" w:type="dxa"/>
          </w:tblCellMar>
        </w:tblPrEx>
        <w:trPr>
          <w:trHeight w:val="61"/>
        </w:trPr>
        <w:tc>
          <w:tcPr>
            <w:tcW w:w="4037"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pPr>
            <w:r>
              <w:rPr>
                <w:bCs/>
                <w:color w:val="4C4747"/>
                <w:sz w:val="19"/>
                <w:szCs w:val="19"/>
              </w:rPr>
              <w:t>Proyectos Región Sur</w:t>
            </w:r>
          </w:p>
        </w:tc>
        <w:tc>
          <w:tcPr>
            <w:tcW w:w="403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spacing w:after="0" w:line="240" w:lineRule="auto"/>
              <w:jc w:val="center"/>
            </w:pPr>
            <w:r>
              <w:rPr>
                <w:color w:val="4C4747"/>
                <w:sz w:val="19"/>
                <w:szCs w:val="19"/>
              </w:rPr>
              <w:t>47</w:t>
            </w:r>
          </w:p>
        </w:tc>
      </w:tr>
      <w:tr w:rsidR="00184CAB">
        <w:tblPrEx>
          <w:tblCellMar>
            <w:top w:w="0" w:type="dxa"/>
            <w:bottom w:w="0" w:type="dxa"/>
          </w:tblCellMar>
        </w:tblPrEx>
        <w:trPr>
          <w:trHeight w:val="61"/>
        </w:trPr>
        <w:tc>
          <w:tcPr>
            <w:tcW w:w="4037"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pPr>
            <w:r>
              <w:rPr>
                <w:bCs/>
                <w:color w:val="4C4747"/>
                <w:sz w:val="19"/>
                <w:szCs w:val="19"/>
              </w:rPr>
              <w:t>Proyectos Región Norte</w:t>
            </w:r>
          </w:p>
        </w:tc>
        <w:tc>
          <w:tcPr>
            <w:tcW w:w="403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spacing w:after="0" w:line="240" w:lineRule="auto"/>
              <w:jc w:val="center"/>
            </w:pPr>
            <w:r>
              <w:rPr>
                <w:color w:val="4C4747"/>
                <w:sz w:val="19"/>
                <w:szCs w:val="19"/>
              </w:rPr>
              <w:t>158</w:t>
            </w:r>
          </w:p>
        </w:tc>
      </w:tr>
      <w:tr w:rsidR="00184CAB">
        <w:tblPrEx>
          <w:tblCellMar>
            <w:top w:w="0" w:type="dxa"/>
            <w:bottom w:w="0" w:type="dxa"/>
          </w:tblCellMar>
        </w:tblPrEx>
        <w:trPr>
          <w:trHeight w:val="61"/>
        </w:trPr>
        <w:tc>
          <w:tcPr>
            <w:tcW w:w="4037"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pPr>
            <w:r>
              <w:rPr>
                <w:bCs/>
                <w:color w:val="4C4747"/>
                <w:sz w:val="19"/>
                <w:szCs w:val="19"/>
              </w:rPr>
              <w:t>Proyectos Santo Domingo</w:t>
            </w:r>
          </w:p>
        </w:tc>
        <w:tc>
          <w:tcPr>
            <w:tcW w:w="403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spacing w:after="0" w:line="240" w:lineRule="auto"/>
              <w:jc w:val="center"/>
            </w:pPr>
            <w:r>
              <w:rPr>
                <w:color w:val="4C4747"/>
                <w:sz w:val="19"/>
                <w:szCs w:val="19"/>
              </w:rPr>
              <w:t>26</w:t>
            </w:r>
          </w:p>
        </w:tc>
      </w:tr>
      <w:tr w:rsidR="00184CAB">
        <w:tblPrEx>
          <w:tblCellMar>
            <w:top w:w="0" w:type="dxa"/>
            <w:bottom w:w="0" w:type="dxa"/>
          </w:tblCellMar>
        </w:tblPrEx>
        <w:trPr>
          <w:trHeight w:val="464"/>
        </w:trPr>
        <w:tc>
          <w:tcPr>
            <w:tcW w:w="4037" w:type="dxa"/>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tcPr>
          <w:p w:rsidR="00184CAB" w:rsidRDefault="002B1930">
            <w:pPr>
              <w:spacing w:after="0" w:line="240" w:lineRule="auto"/>
              <w:jc w:val="center"/>
            </w:pPr>
            <w:r>
              <w:rPr>
                <w:b/>
                <w:bCs/>
                <w:color w:val="FFFFFF"/>
                <w:sz w:val="19"/>
                <w:szCs w:val="19"/>
              </w:rPr>
              <w:t>Certificaciones de fondos</w:t>
            </w:r>
          </w:p>
        </w:tc>
        <w:tc>
          <w:tcPr>
            <w:tcW w:w="4038"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49</w:t>
            </w:r>
          </w:p>
        </w:tc>
      </w:tr>
      <w:tr w:rsidR="00184CAB">
        <w:tblPrEx>
          <w:tblCellMar>
            <w:top w:w="0" w:type="dxa"/>
            <w:bottom w:w="0" w:type="dxa"/>
          </w:tblCellMar>
        </w:tblPrEx>
        <w:trPr>
          <w:trHeight w:val="464"/>
        </w:trPr>
        <w:tc>
          <w:tcPr>
            <w:tcW w:w="4037" w:type="dxa"/>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tcPr>
          <w:p w:rsidR="00184CAB" w:rsidRDefault="002B1930">
            <w:pPr>
              <w:spacing w:after="0" w:line="240" w:lineRule="auto"/>
              <w:jc w:val="center"/>
            </w:pPr>
            <w:r>
              <w:rPr>
                <w:rFonts w:eastAsia="Times New Roman"/>
                <w:b/>
                <w:bCs/>
                <w:color w:val="FFFFFF"/>
                <w:sz w:val="19"/>
                <w:szCs w:val="19"/>
              </w:rPr>
              <w:t>Transferencias de fondos</w:t>
            </w:r>
          </w:p>
        </w:tc>
        <w:tc>
          <w:tcPr>
            <w:tcW w:w="4038"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pPr>
            <w:r>
              <w:rPr>
                <w:rFonts w:eastAsia="Times New Roman"/>
                <w:b/>
                <w:bCs/>
                <w:color w:val="FFFFFF"/>
                <w:sz w:val="19"/>
                <w:szCs w:val="19"/>
              </w:rPr>
              <w:t>209</w:t>
            </w:r>
          </w:p>
        </w:tc>
      </w:tr>
      <w:tr w:rsidR="00184CAB">
        <w:tblPrEx>
          <w:tblCellMar>
            <w:top w:w="0" w:type="dxa"/>
            <w:bottom w:w="0" w:type="dxa"/>
          </w:tblCellMar>
        </w:tblPrEx>
        <w:trPr>
          <w:trHeight w:val="464"/>
        </w:trPr>
        <w:tc>
          <w:tcPr>
            <w:tcW w:w="4037" w:type="dxa"/>
            <w:tcBorders>
              <w:top w:val="single" w:sz="8" w:space="0" w:color="000000"/>
              <w:bottom w:val="single" w:sz="8" w:space="0" w:color="000000"/>
            </w:tcBorders>
            <w:shd w:val="clear" w:color="auto" w:fill="002060"/>
            <w:noWrap/>
            <w:tcMar>
              <w:top w:w="0" w:type="dxa"/>
              <w:left w:w="108" w:type="dxa"/>
              <w:bottom w:w="0" w:type="dxa"/>
              <w:right w:w="108" w:type="dxa"/>
            </w:tcMar>
          </w:tcPr>
          <w:p w:rsidR="00184CAB" w:rsidRDefault="002B1930">
            <w:pPr>
              <w:spacing w:after="0" w:line="240" w:lineRule="auto"/>
              <w:jc w:val="center"/>
              <w:rPr>
                <w:rFonts w:eastAsia="Times New Roman"/>
                <w:b/>
                <w:bCs/>
                <w:color w:val="FFFFFF"/>
                <w:spacing w:val="0"/>
                <w:sz w:val="19"/>
                <w:szCs w:val="19"/>
                <w:lang w:val="es-ES" w:eastAsia="es-US"/>
              </w:rPr>
            </w:pPr>
            <w:proofErr w:type="gramStart"/>
            <w:r>
              <w:rPr>
                <w:rFonts w:eastAsia="Times New Roman"/>
                <w:b/>
                <w:bCs/>
                <w:color w:val="FFFFFF"/>
                <w:spacing w:val="0"/>
                <w:sz w:val="19"/>
                <w:szCs w:val="19"/>
                <w:lang w:val="es-ES" w:eastAsia="es-US"/>
              </w:rPr>
              <w:t>Total</w:t>
            </w:r>
            <w:proofErr w:type="gramEnd"/>
            <w:r>
              <w:rPr>
                <w:rFonts w:eastAsia="Times New Roman"/>
                <w:b/>
                <w:bCs/>
                <w:color w:val="FFFFFF"/>
                <w:spacing w:val="0"/>
                <w:sz w:val="19"/>
                <w:szCs w:val="19"/>
                <w:lang w:val="es-ES" w:eastAsia="es-US"/>
              </w:rPr>
              <w:t xml:space="preserve"> de compromisos gestionados</w:t>
            </w:r>
          </w:p>
        </w:tc>
        <w:tc>
          <w:tcPr>
            <w:tcW w:w="4038" w:type="dxa"/>
            <w:tcBorders>
              <w:top w:val="single" w:sz="8" w:space="0" w:color="000000"/>
              <w:bottom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rPr>
                <w:rFonts w:eastAsia="Times New Roman"/>
                <w:b/>
                <w:bCs/>
                <w:color w:val="FFFFFF"/>
                <w:spacing w:val="0"/>
                <w:sz w:val="19"/>
                <w:szCs w:val="19"/>
                <w:lang w:eastAsia="es-US"/>
              </w:rPr>
            </w:pPr>
            <w:r>
              <w:rPr>
                <w:rFonts w:eastAsia="Times New Roman"/>
                <w:b/>
                <w:bCs/>
                <w:color w:val="FFFFFF"/>
                <w:spacing w:val="0"/>
                <w:sz w:val="19"/>
                <w:szCs w:val="19"/>
                <w:lang w:eastAsia="es-US"/>
              </w:rPr>
              <w:t>258</w:t>
            </w:r>
          </w:p>
        </w:tc>
      </w:tr>
    </w:tbl>
    <w:p w:rsidR="00184CAB" w:rsidRDefault="002B1930">
      <w:pPr>
        <w:pStyle w:val="NormalWeb"/>
        <w:spacing w:before="0" w:after="0" w:line="360" w:lineRule="auto"/>
        <w:jc w:val="both"/>
      </w:pPr>
      <w:r>
        <w:rPr>
          <w:rFonts w:eastAsia="Calibri"/>
          <w:i/>
          <w:color w:val="4C4747"/>
          <w:spacing w:val="20"/>
          <w:sz w:val="18"/>
          <w:lang w:val="es-ES_tradnl" w:eastAsia="en-US"/>
        </w:rPr>
        <w:t xml:space="preserve">Fuente: </w:t>
      </w:r>
      <w:r>
        <w:rPr>
          <w:i/>
          <w:color w:val="4C4747"/>
          <w:sz w:val="18"/>
          <w:lang w:val="es-ES_tradnl"/>
        </w:rPr>
        <w:t xml:space="preserve">Datos correspondientes al año 2025, </w:t>
      </w:r>
      <w:r>
        <w:rPr>
          <w:rFonts w:eastAsia="Calibri"/>
          <w:i/>
          <w:color w:val="4C4747"/>
          <w:spacing w:val="20"/>
          <w:sz w:val="18"/>
          <w:lang w:val="es-ES_tradnl" w:eastAsia="en-US"/>
        </w:rPr>
        <w:t>Dirección de Desarrollo de Proyectos Comunitarios.</w:t>
      </w:r>
    </w:p>
    <w:p w:rsidR="00184CAB" w:rsidRDefault="002B1930">
      <w:pPr>
        <w:pStyle w:val="NormalWeb"/>
        <w:spacing w:line="360" w:lineRule="auto"/>
        <w:jc w:val="both"/>
        <w:rPr>
          <w:color w:val="4C4747"/>
          <w:lang w:val="es-ES"/>
        </w:rPr>
      </w:pPr>
      <w:r>
        <w:rPr>
          <w:color w:val="4C4747"/>
          <w:lang w:val="es-ES"/>
        </w:rPr>
        <w:t xml:space="preserve">Los compromisos se clasifican dentro de las siguientes </w:t>
      </w:r>
      <w:r>
        <w:rPr>
          <w:color w:val="4C4747"/>
          <w:lang w:val="es-ES"/>
        </w:rPr>
        <w:t>categorías principales:</w:t>
      </w:r>
    </w:p>
    <w:tbl>
      <w:tblPr>
        <w:tblW w:w="7905" w:type="dxa"/>
        <w:tblCellMar>
          <w:left w:w="10" w:type="dxa"/>
          <w:right w:w="10" w:type="dxa"/>
        </w:tblCellMar>
        <w:tblLook w:val="0000" w:firstRow="0" w:lastRow="0" w:firstColumn="0" w:lastColumn="0" w:noHBand="0" w:noVBand="0"/>
      </w:tblPr>
      <w:tblGrid>
        <w:gridCol w:w="5354"/>
        <w:gridCol w:w="2551"/>
      </w:tblGrid>
      <w:tr w:rsidR="00184CAB">
        <w:tblPrEx>
          <w:tblCellMar>
            <w:top w:w="0" w:type="dxa"/>
            <w:bottom w:w="0" w:type="dxa"/>
          </w:tblCellMar>
        </w:tblPrEx>
        <w:trPr>
          <w:trHeight w:val="273"/>
          <w:tblHeader/>
        </w:trPr>
        <w:tc>
          <w:tcPr>
            <w:tcW w:w="7905" w:type="dxa"/>
            <w:gridSpan w:val="2"/>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pStyle w:val="NormalWeb"/>
              <w:jc w:val="center"/>
            </w:pPr>
            <w:r>
              <w:rPr>
                <w:b/>
                <w:bCs/>
                <w:color w:val="FFFFFF"/>
                <w:sz w:val="19"/>
                <w:szCs w:val="19"/>
                <w:lang w:val="es-ES_tradnl"/>
              </w:rPr>
              <w:t>Tabla no. 6 sobre relación de distribución general por tipo de intervención</w:t>
            </w:r>
          </w:p>
        </w:tc>
      </w:tr>
      <w:tr w:rsidR="00184CAB">
        <w:tblPrEx>
          <w:tblCellMar>
            <w:top w:w="0" w:type="dxa"/>
            <w:bottom w:w="0" w:type="dxa"/>
          </w:tblCellMar>
        </w:tblPrEx>
        <w:trPr>
          <w:trHeight w:val="261"/>
          <w:tblHeader/>
        </w:trPr>
        <w:tc>
          <w:tcPr>
            <w:tcW w:w="5354"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pStyle w:val="NormalWeb"/>
              <w:jc w:val="center"/>
              <w:rPr>
                <w:b/>
                <w:bCs/>
                <w:color w:val="FFFFFF"/>
                <w:sz w:val="19"/>
                <w:szCs w:val="19"/>
                <w:lang w:val="es-ES_tradnl"/>
              </w:rPr>
            </w:pPr>
            <w:r>
              <w:rPr>
                <w:b/>
                <w:bCs/>
                <w:color w:val="FFFFFF"/>
                <w:sz w:val="19"/>
                <w:szCs w:val="19"/>
                <w:lang w:val="es-ES_tradnl"/>
              </w:rPr>
              <w:t>Tipo de Intervención</w:t>
            </w:r>
          </w:p>
        </w:tc>
        <w:tc>
          <w:tcPr>
            <w:tcW w:w="2551"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pStyle w:val="NormalWeb"/>
              <w:jc w:val="center"/>
              <w:rPr>
                <w:b/>
                <w:bCs/>
                <w:color w:val="FFFFFF"/>
                <w:sz w:val="19"/>
                <w:szCs w:val="19"/>
                <w:lang w:val="es-ES_tradnl"/>
              </w:rPr>
            </w:pPr>
            <w:r>
              <w:rPr>
                <w:b/>
                <w:bCs/>
                <w:color w:val="FFFFFF"/>
                <w:sz w:val="19"/>
                <w:szCs w:val="19"/>
                <w:lang w:val="es-ES_tradnl"/>
              </w:rPr>
              <w:t>Cantidad realizada</w:t>
            </w:r>
          </w:p>
        </w:tc>
      </w:tr>
      <w:tr w:rsidR="00184CAB">
        <w:tblPrEx>
          <w:tblCellMar>
            <w:top w:w="0" w:type="dxa"/>
            <w:bottom w:w="0" w:type="dxa"/>
          </w:tblCellMar>
        </w:tblPrEx>
        <w:trPr>
          <w:trHeight w:val="93"/>
        </w:trPr>
        <w:tc>
          <w:tcPr>
            <w:tcW w:w="535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pStyle w:val="NormalWeb"/>
              <w:rPr>
                <w:bCs/>
                <w:color w:val="4C4747"/>
                <w:sz w:val="19"/>
                <w:szCs w:val="19"/>
                <w:lang w:val="es-ES_tradnl"/>
              </w:rPr>
            </w:pPr>
            <w:r>
              <w:rPr>
                <w:bCs/>
                <w:color w:val="4C4747"/>
                <w:sz w:val="19"/>
                <w:szCs w:val="19"/>
                <w:lang w:val="es-ES_tradnl"/>
              </w:rPr>
              <w:t>Infraestructura Urbana</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pStyle w:val="NormalWeb"/>
              <w:jc w:val="center"/>
              <w:rPr>
                <w:color w:val="4C4747"/>
                <w:sz w:val="19"/>
                <w:szCs w:val="19"/>
                <w:lang w:val="es-ES_tradnl"/>
              </w:rPr>
            </w:pPr>
            <w:r>
              <w:rPr>
                <w:color w:val="4C4747"/>
                <w:sz w:val="19"/>
                <w:szCs w:val="19"/>
                <w:lang w:val="es-ES_tradnl"/>
              </w:rPr>
              <w:t>40</w:t>
            </w:r>
          </w:p>
        </w:tc>
      </w:tr>
      <w:tr w:rsidR="00184CAB">
        <w:tblPrEx>
          <w:tblCellMar>
            <w:top w:w="0" w:type="dxa"/>
            <w:bottom w:w="0" w:type="dxa"/>
          </w:tblCellMar>
        </w:tblPrEx>
        <w:trPr>
          <w:trHeight w:val="273"/>
        </w:trPr>
        <w:tc>
          <w:tcPr>
            <w:tcW w:w="535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pStyle w:val="NormalWeb"/>
              <w:rPr>
                <w:bCs/>
                <w:color w:val="4C4747"/>
                <w:sz w:val="19"/>
                <w:szCs w:val="19"/>
                <w:lang w:val="es-ES_tradnl"/>
              </w:rPr>
            </w:pPr>
            <w:r>
              <w:rPr>
                <w:bCs/>
                <w:color w:val="4C4747"/>
                <w:sz w:val="19"/>
                <w:szCs w:val="19"/>
                <w:lang w:val="es-ES_tradnl"/>
              </w:rPr>
              <w:t>Vehículos y Equipos Pesados</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pStyle w:val="NormalWeb"/>
              <w:jc w:val="center"/>
              <w:rPr>
                <w:color w:val="4C4747"/>
                <w:sz w:val="19"/>
                <w:szCs w:val="19"/>
                <w:lang w:val="es-ES_tradnl"/>
              </w:rPr>
            </w:pPr>
            <w:r>
              <w:rPr>
                <w:color w:val="4C4747"/>
                <w:sz w:val="19"/>
                <w:szCs w:val="19"/>
                <w:lang w:val="es-ES_tradnl"/>
              </w:rPr>
              <w:t>38</w:t>
            </w:r>
          </w:p>
        </w:tc>
      </w:tr>
      <w:tr w:rsidR="00184CAB">
        <w:tblPrEx>
          <w:tblCellMar>
            <w:top w:w="0" w:type="dxa"/>
            <w:bottom w:w="0" w:type="dxa"/>
          </w:tblCellMar>
        </w:tblPrEx>
        <w:trPr>
          <w:trHeight w:val="261"/>
        </w:trPr>
        <w:tc>
          <w:tcPr>
            <w:tcW w:w="535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pStyle w:val="NormalWeb"/>
              <w:rPr>
                <w:bCs/>
                <w:color w:val="4C4747"/>
                <w:sz w:val="19"/>
                <w:szCs w:val="19"/>
                <w:lang w:val="es-ES_tradnl"/>
              </w:rPr>
            </w:pPr>
            <w:r>
              <w:rPr>
                <w:bCs/>
                <w:color w:val="4C4747"/>
                <w:sz w:val="19"/>
                <w:szCs w:val="19"/>
                <w:lang w:val="es-ES_tradnl"/>
              </w:rPr>
              <w:t>Infraestructura Vial</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pStyle w:val="NormalWeb"/>
              <w:jc w:val="center"/>
              <w:rPr>
                <w:color w:val="4C4747"/>
                <w:sz w:val="19"/>
                <w:szCs w:val="19"/>
                <w:lang w:val="es-ES_tradnl"/>
              </w:rPr>
            </w:pPr>
            <w:r>
              <w:rPr>
                <w:color w:val="4C4747"/>
                <w:sz w:val="19"/>
                <w:szCs w:val="19"/>
                <w:lang w:val="es-ES_tradnl"/>
              </w:rPr>
              <w:t>33</w:t>
            </w:r>
          </w:p>
        </w:tc>
      </w:tr>
      <w:tr w:rsidR="00184CAB">
        <w:tblPrEx>
          <w:tblCellMar>
            <w:top w:w="0" w:type="dxa"/>
            <w:bottom w:w="0" w:type="dxa"/>
          </w:tblCellMar>
        </w:tblPrEx>
        <w:trPr>
          <w:trHeight w:val="261"/>
        </w:trPr>
        <w:tc>
          <w:tcPr>
            <w:tcW w:w="535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pStyle w:val="NormalWeb"/>
              <w:rPr>
                <w:bCs/>
                <w:color w:val="4C4747"/>
                <w:sz w:val="19"/>
                <w:szCs w:val="19"/>
                <w:lang w:val="es-ES_tradnl"/>
              </w:rPr>
            </w:pPr>
            <w:r>
              <w:rPr>
                <w:bCs/>
                <w:color w:val="4C4747"/>
                <w:sz w:val="19"/>
                <w:szCs w:val="19"/>
                <w:lang w:val="es-ES_tradnl"/>
              </w:rPr>
              <w:lastRenderedPageBreak/>
              <w:t>Infraestructura Religiosa</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pStyle w:val="NormalWeb"/>
              <w:jc w:val="center"/>
              <w:rPr>
                <w:color w:val="4C4747"/>
                <w:sz w:val="19"/>
                <w:szCs w:val="19"/>
                <w:lang w:val="es-ES_tradnl"/>
              </w:rPr>
            </w:pPr>
            <w:r>
              <w:rPr>
                <w:color w:val="4C4747"/>
                <w:sz w:val="19"/>
                <w:szCs w:val="19"/>
                <w:lang w:val="es-ES_tradnl"/>
              </w:rPr>
              <w:t>31</w:t>
            </w:r>
          </w:p>
        </w:tc>
      </w:tr>
      <w:tr w:rsidR="00184CAB">
        <w:tblPrEx>
          <w:tblCellMar>
            <w:top w:w="0" w:type="dxa"/>
            <w:bottom w:w="0" w:type="dxa"/>
          </w:tblCellMar>
        </w:tblPrEx>
        <w:trPr>
          <w:trHeight w:val="273"/>
        </w:trPr>
        <w:tc>
          <w:tcPr>
            <w:tcW w:w="535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pStyle w:val="NormalWeb"/>
              <w:rPr>
                <w:bCs/>
                <w:color w:val="4C4747"/>
                <w:sz w:val="19"/>
                <w:szCs w:val="19"/>
                <w:lang w:val="es-ES_tradnl"/>
              </w:rPr>
            </w:pPr>
            <w:r>
              <w:rPr>
                <w:bCs/>
                <w:color w:val="4C4747"/>
                <w:sz w:val="19"/>
                <w:szCs w:val="19"/>
                <w:lang w:val="es-ES_tradnl"/>
              </w:rPr>
              <w:t>Infraestructura Deportiva</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pStyle w:val="NormalWeb"/>
              <w:jc w:val="center"/>
              <w:rPr>
                <w:color w:val="4C4747"/>
                <w:sz w:val="19"/>
                <w:szCs w:val="19"/>
                <w:lang w:val="es-ES_tradnl"/>
              </w:rPr>
            </w:pPr>
            <w:r>
              <w:rPr>
                <w:color w:val="4C4747"/>
                <w:sz w:val="19"/>
                <w:szCs w:val="19"/>
                <w:lang w:val="es-ES_tradnl"/>
              </w:rPr>
              <w:t>30</w:t>
            </w:r>
          </w:p>
        </w:tc>
      </w:tr>
      <w:tr w:rsidR="00184CAB">
        <w:tblPrEx>
          <w:tblCellMar>
            <w:top w:w="0" w:type="dxa"/>
            <w:bottom w:w="0" w:type="dxa"/>
          </w:tblCellMar>
        </w:tblPrEx>
        <w:trPr>
          <w:trHeight w:val="261"/>
        </w:trPr>
        <w:tc>
          <w:tcPr>
            <w:tcW w:w="535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pStyle w:val="NormalWeb"/>
              <w:rPr>
                <w:bCs/>
                <w:color w:val="4C4747"/>
                <w:sz w:val="19"/>
                <w:szCs w:val="19"/>
                <w:lang w:val="es-ES_tradnl"/>
              </w:rPr>
            </w:pPr>
            <w:r>
              <w:rPr>
                <w:bCs/>
                <w:color w:val="4C4747"/>
                <w:sz w:val="19"/>
                <w:szCs w:val="19"/>
                <w:lang w:val="es-ES_tradnl"/>
              </w:rPr>
              <w:t>Infraestructura Funeraria</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pStyle w:val="NormalWeb"/>
              <w:jc w:val="center"/>
              <w:rPr>
                <w:color w:val="4C4747"/>
                <w:sz w:val="19"/>
                <w:szCs w:val="19"/>
                <w:lang w:val="es-ES_tradnl"/>
              </w:rPr>
            </w:pPr>
            <w:r>
              <w:rPr>
                <w:color w:val="4C4747"/>
                <w:sz w:val="19"/>
                <w:szCs w:val="19"/>
                <w:lang w:val="es-ES_tradnl"/>
              </w:rPr>
              <w:t>29</w:t>
            </w:r>
          </w:p>
        </w:tc>
      </w:tr>
      <w:tr w:rsidR="00184CAB">
        <w:tblPrEx>
          <w:tblCellMar>
            <w:top w:w="0" w:type="dxa"/>
            <w:bottom w:w="0" w:type="dxa"/>
          </w:tblCellMar>
        </w:tblPrEx>
        <w:trPr>
          <w:trHeight w:val="273"/>
        </w:trPr>
        <w:tc>
          <w:tcPr>
            <w:tcW w:w="535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pStyle w:val="NormalWeb"/>
              <w:rPr>
                <w:bCs/>
                <w:color w:val="4C4747"/>
                <w:sz w:val="19"/>
                <w:szCs w:val="19"/>
                <w:lang w:val="es-ES_tradnl"/>
              </w:rPr>
            </w:pPr>
            <w:r>
              <w:rPr>
                <w:bCs/>
                <w:color w:val="4C4747"/>
                <w:sz w:val="19"/>
                <w:szCs w:val="19"/>
                <w:lang w:val="es-ES_tradnl"/>
              </w:rPr>
              <w:t>Emergencias Climáticas</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pStyle w:val="NormalWeb"/>
              <w:jc w:val="center"/>
              <w:rPr>
                <w:color w:val="4C4747"/>
                <w:sz w:val="19"/>
                <w:szCs w:val="19"/>
                <w:lang w:val="es-ES_tradnl"/>
              </w:rPr>
            </w:pPr>
            <w:r>
              <w:rPr>
                <w:color w:val="4C4747"/>
                <w:sz w:val="19"/>
                <w:szCs w:val="19"/>
                <w:lang w:val="es-ES_tradnl"/>
              </w:rPr>
              <w:t>21</w:t>
            </w:r>
          </w:p>
        </w:tc>
      </w:tr>
      <w:tr w:rsidR="00184CAB">
        <w:tblPrEx>
          <w:tblCellMar>
            <w:top w:w="0" w:type="dxa"/>
            <w:bottom w:w="0" w:type="dxa"/>
          </w:tblCellMar>
        </w:tblPrEx>
        <w:trPr>
          <w:trHeight w:val="261"/>
        </w:trPr>
        <w:tc>
          <w:tcPr>
            <w:tcW w:w="535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pStyle w:val="NormalWeb"/>
              <w:rPr>
                <w:bCs/>
                <w:color w:val="4C4747"/>
                <w:sz w:val="19"/>
                <w:szCs w:val="19"/>
                <w:lang w:val="es-ES_tradnl"/>
              </w:rPr>
            </w:pPr>
            <w:r>
              <w:rPr>
                <w:bCs/>
                <w:color w:val="4C4747"/>
                <w:sz w:val="19"/>
                <w:szCs w:val="19"/>
                <w:lang w:val="es-ES_tradnl"/>
              </w:rPr>
              <w:t>Otras Categorías</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pStyle w:val="NormalWeb"/>
              <w:jc w:val="center"/>
              <w:rPr>
                <w:color w:val="4C4747"/>
                <w:sz w:val="19"/>
                <w:szCs w:val="19"/>
                <w:lang w:val="es-ES_tradnl"/>
              </w:rPr>
            </w:pPr>
            <w:r>
              <w:rPr>
                <w:color w:val="4C4747"/>
                <w:sz w:val="19"/>
                <w:szCs w:val="19"/>
                <w:lang w:val="es-ES_tradnl"/>
              </w:rPr>
              <w:t>16</w:t>
            </w:r>
          </w:p>
        </w:tc>
      </w:tr>
      <w:tr w:rsidR="00184CAB">
        <w:tblPrEx>
          <w:tblCellMar>
            <w:top w:w="0" w:type="dxa"/>
            <w:bottom w:w="0" w:type="dxa"/>
          </w:tblCellMar>
        </w:tblPrEx>
        <w:trPr>
          <w:trHeight w:val="476"/>
        </w:trPr>
        <w:tc>
          <w:tcPr>
            <w:tcW w:w="5354"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pStyle w:val="NormalWeb"/>
              <w:ind w:right="123"/>
              <w:rPr>
                <w:b/>
                <w:bCs/>
                <w:color w:val="FFFFFF"/>
                <w:sz w:val="19"/>
                <w:szCs w:val="19"/>
                <w:lang w:val="es-ES_tradnl"/>
              </w:rPr>
            </w:pPr>
            <w:r>
              <w:rPr>
                <w:b/>
                <w:bCs/>
                <w:color w:val="FFFFFF"/>
                <w:sz w:val="19"/>
                <w:szCs w:val="19"/>
                <w:lang w:val="es-ES_tradnl"/>
              </w:rPr>
              <w:t>Intervenciones Educativas, Sociales, Ambientales y Especiales</w:t>
            </w:r>
          </w:p>
        </w:tc>
        <w:tc>
          <w:tcPr>
            <w:tcW w:w="2551"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pStyle w:val="NormalWeb"/>
              <w:ind w:right="123"/>
              <w:jc w:val="center"/>
              <w:rPr>
                <w:b/>
                <w:color w:val="FFFFFF"/>
                <w:sz w:val="19"/>
                <w:szCs w:val="19"/>
                <w:lang w:val="es-ES_tradnl"/>
              </w:rPr>
            </w:pPr>
            <w:r>
              <w:rPr>
                <w:b/>
                <w:color w:val="FFFFFF"/>
                <w:sz w:val="19"/>
                <w:szCs w:val="19"/>
                <w:lang w:val="es-ES_tradnl"/>
              </w:rPr>
              <w:t>20 (combinadas)</w:t>
            </w:r>
          </w:p>
        </w:tc>
      </w:tr>
    </w:tbl>
    <w:p w:rsidR="00184CAB" w:rsidRDefault="002B1930">
      <w:pPr>
        <w:pStyle w:val="NormalWeb"/>
        <w:spacing w:before="0" w:after="0" w:line="360" w:lineRule="auto"/>
        <w:jc w:val="both"/>
      </w:pPr>
      <w:bookmarkStart w:id="52" w:name="_Hlk215649774"/>
      <w:r>
        <w:rPr>
          <w:i/>
          <w:color w:val="4C4747"/>
          <w:sz w:val="18"/>
          <w:szCs w:val="18"/>
          <w:lang w:val="es-ES_tradnl"/>
        </w:rPr>
        <w:t xml:space="preserve">Fuente: Informe anual 2025, </w:t>
      </w:r>
      <w:r>
        <w:rPr>
          <w:rFonts w:eastAsia="Calibri"/>
          <w:i/>
          <w:color w:val="4C4747"/>
          <w:spacing w:val="20"/>
          <w:sz w:val="18"/>
          <w:szCs w:val="18"/>
          <w:lang w:val="es-ES_tradnl" w:eastAsia="en-US"/>
        </w:rPr>
        <w:t xml:space="preserve">Dirección de Desarrollo de Proyectos </w:t>
      </w:r>
      <w:r>
        <w:rPr>
          <w:rFonts w:eastAsia="Calibri"/>
          <w:i/>
          <w:color w:val="4C4747"/>
          <w:spacing w:val="20"/>
          <w:sz w:val="18"/>
          <w:szCs w:val="18"/>
          <w:lang w:val="es-ES_tradnl" w:eastAsia="en-US"/>
        </w:rPr>
        <w:t>Comunitarios.</w:t>
      </w:r>
    </w:p>
    <w:p w:rsidR="00184CAB" w:rsidRDefault="00184CAB">
      <w:pPr>
        <w:pStyle w:val="NormalWeb"/>
        <w:spacing w:before="0" w:after="0" w:line="360" w:lineRule="auto"/>
        <w:jc w:val="both"/>
        <w:rPr>
          <w:bCs/>
          <w:i/>
          <w:color w:val="4C4747"/>
        </w:rPr>
      </w:pPr>
    </w:p>
    <w:p w:rsidR="00184CAB" w:rsidRDefault="00184CAB">
      <w:pPr>
        <w:pStyle w:val="NormalWeb"/>
        <w:spacing w:before="0" w:after="0" w:line="360" w:lineRule="auto"/>
        <w:jc w:val="both"/>
        <w:rPr>
          <w:bCs/>
          <w:i/>
          <w:color w:val="4C4747"/>
          <w:lang w:val="es-ES_tradnl"/>
        </w:rPr>
      </w:pPr>
    </w:p>
    <w:bookmarkEnd w:id="52"/>
    <w:p w:rsidR="00184CAB" w:rsidRDefault="00184CAB">
      <w:pPr>
        <w:pStyle w:val="NormalWeb"/>
        <w:spacing w:before="0" w:line="360" w:lineRule="auto"/>
        <w:jc w:val="both"/>
        <w:rPr>
          <w:sz w:val="18"/>
          <w:szCs w:val="18"/>
        </w:rPr>
      </w:pPr>
    </w:p>
    <w:tbl>
      <w:tblPr>
        <w:tblW w:w="7813" w:type="dxa"/>
        <w:tblCellMar>
          <w:left w:w="10" w:type="dxa"/>
          <w:right w:w="10" w:type="dxa"/>
        </w:tblCellMar>
        <w:tblLook w:val="0000" w:firstRow="0" w:lastRow="0" w:firstColumn="0" w:lastColumn="0" w:noHBand="0" w:noVBand="0"/>
      </w:tblPr>
      <w:tblGrid>
        <w:gridCol w:w="5377"/>
        <w:gridCol w:w="2436"/>
      </w:tblGrid>
      <w:tr w:rsidR="00184CAB">
        <w:tblPrEx>
          <w:tblCellMar>
            <w:top w:w="0" w:type="dxa"/>
            <w:bottom w:w="0" w:type="dxa"/>
          </w:tblCellMar>
        </w:tblPrEx>
        <w:trPr>
          <w:trHeight w:val="169"/>
        </w:trPr>
        <w:tc>
          <w:tcPr>
            <w:tcW w:w="7813" w:type="dxa"/>
            <w:gridSpan w:val="2"/>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pStyle w:val="NormalWeb"/>
            </w:pPr>
            <w:r>
              <w:rPr>
                <w:rFonts w:eastAsia="Calibri"/>
                <w:b/>
                <w:bCs/>
                <w:color w:val="FFFFFF"/>
                <w:spacing w:val="20"/>
                <w:sz w:val="19"/>
                <w:szCs w:val="19"/>
                <w:lang w:val="es-ES_tradnl" w:eastAsia="en-US"/>
              </w:rPr>
              <w:t>Tabla no. 7 sobre relación del Comportamiento Financiero del período</w:t>
            </w:r>
          </w:p>
        </w:tc>
      </w:tr>
      <w:tr w:rsidR="00184CAB">
        <w:tblPrEx>
          <w:tblCellMar>
            <w:top w:w="0" w:type="dxa"/>
            <w:bottom w:w="0" w:type="dxa"/>
          </w:tblCellMar>
        </w:tblPrEx>
        <w:trPr>
          <w:trHeight w:val="169"/>
        </w:trPr>
        <w:tc>
          <w:tcPr>
            <w:tcW w:w="5377"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pStyle w:val="NormalWeb"/>
              <w:rPr>
                <w:b/>
                <w:bCs/>
                <w:color w:val="FFFFFF"/>
                <w:sz w:val="19"/>
                <w:szCs w:val="19"/>
                <w:lang w:val="es-ES_tradnl"/>
              </w:rPr>
            </w:pPr>
            <w:r>
              <w:rPr>
                <w:b/>
                <w:bCs/>
                <w:color w:val="FFFFFF"/>
                <w:sz w:val="19"/>
                <w:szCs w:val="19"/>
                <w:lang w:val="es-ES_tradnl"/>
              </w:rPr>
              <w:t>Descripción</w:t>
            </w:r>
          </w:p>
        </w:tc>
        <w:tc>
          <w:tcPr>
            <w:tcW w:w="2436"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pStyle w:val="NormalWeb"/>
              <w:rPr>
                <w:b/>
                <w:color w:val="FFFFFF"/>
                <w:sz w:val="19"/>
                <w:szCs w:val="19"/>
                <w:lang w:val="es-ES"/>
              </w:rPr>
            </w:pPr>
            <w:proofErr w:type="gramStart"/>
            <w:r>
              <w:rPr>
                <w:b/>
                <w:color w:val="FFFFFF"/>
                <w:sz w:val="19"/>
                <w:szCs w:val="19"/>
                <w:lang w:val="es-ES"/>
              </w:rPr>
              <w:t>Total</w:t>
            </w:r>
            <w:proofErr w:type="gramEnd"/>
            <w:r>
              <w:rPr>
                <w:b/>
                <w:color w:val="FFFFFF"/>
                <w:sz w:val="19"/>
                <w:szCs w:val="19"/>
                <w:lang w:val="es-ES"/>
              </w:rPr>
              <w:t xml:space="preserve"> RD$</w:t>
            </w:r>
          </w:p>
        </w:tc>
      </w:tr>
      <w:tr w:rsidR="00184CAB">
        <w:tblPrEx>
          <w:tblCellMar>
            <w:top w:w="0" w:type="dxa"/>
            <w:bottom w:w="0" w:type="dxa"/>
          </w:tblCellMar>
        </w:tblPrEx>
        <w:trPr>
          <w:trHeight w:val="352"/>
        </w:trPr>
        <w:tc>
          <w:tcPr>
            <w:tcW w:w="537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pStyle w:val="NormalWeb"/>
              <w:spacing w:before="0" w:after="0"/>
              <w:rPr>
                <w:bCs/>
                <w:color w:val="4C4747"/>
                <w:sz w:val="19"/>
                <w:szCs w:val="19"/>
                <w:lang w:val="es-ES_tradnl"/>
              </w:rPr>
            </w:pPr>
            <w:r>
              <w:rPr>
                <w:bCs/>
                <w:color w:val="4C4747"/>
                <w:sz w:val="19"/>
                <w:szCs w:val="19"/>
                <w:lang w:val="es-ES_tradnl"/>
              </w:rPr>
              <w:t xml:space="preserve">Presupuesto Gestionados Durante </w:t>
            </w:r>
          </w:p>
          <w:p w:rsidR="00184CAB" w:rsidRDefault="002B1930">
            <w:pPr>
              <w:pStyle w:val="NormalWeb"/>
              <w:spacing w:before="0" w:after="0"/>
              <w:rPr>
                <w:bCs/>
                <w:color w:val="4C4747"/>
                <w:sz w:val="19"/>
                <w:szCs w:val="19"/>
                <w:lang w:val="es-ES_tradnl"/>
              </w:rPr>
            </w:pPr>
            <w:r>
              <w:rPr>
                <w:bCs/>
                <w:color w:val="4C4747"/>
                <w:sz w:val="19"/>
                <w:szCs w:val="19"/>
                <w:lang w:val="es-ES_tradnl"/>
              </w:rPr>
              <w:t>(año 2025- Incl. Aprobados Periodos Anteriores):</w:t>
            </w:r>
          </w:p>
        </w:tc>
        <w:tc>
          <w:tcPr>
            <w:tcW w:w="243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pStyle w:val="NormalWeb"/>
              <w:spacing w:before="0" w:after="0"/>
            </w:pPr>
            <w:r>
              <w:rPr>
                <w:color w:val="4C4747"/>
                <w:sz w:val="19"/>
                <w:szCs w:val="19"/>
                <w:lang w:val="es-ES_tradnl"/>
              </w:rPr>
              <w:t>≈</w:t>
            </w:r>
            <w:r>
              <w:rPr>
                <w:bCs/>
                <w:color w:val="4C4747"/>
                <w:sz w:val="19"/>
                <w:szCs w:val="19"/>
                <w:lang w:val="es-ES_tradnl"/>
              </w:rPr>
              <w:t>$ 2,064,750,941.94</w:t>
            </w:r>
          </w:p>
        </w:tc>
      </w:tr>
      <w:tr w:rsidR="00184CAB">
        <w:tblPrEx>
          <w:tblCellMar>
            <w:top w:w="0" w:type="dxa"/>
            <w:bottom w:w="0" w:type="dxa"/>
          </w:tblCellMar>
        </w:tblPrEx>
        <w:trPr>
          <w:trHeight w:val="169"/>
        </w:trPr>
        <w:tc>
          <w:tcPr>
            <w:tcW w:w="537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pStyle w:val="NormalWeb"/>
              <w:spacing w:before="0" w:after="0"/>
              <w:rPr>
                <w:bCs/>
                <w:color w:val="4C4747"/>
                <w:sz w:val="19"/>
                <w:szCs w:val="19"/>
                <w:lang w:val="es-ES_tradnl"/>
              </w:rPr>
            </w:pPr>
            <w:r>
              <w:rPr>
                <w:bCs/>
                <w:color w:val="4C4747"/>
                <w:sz w:val="19"/>
                <w:szCs w:val="19"/>
                <w:lang w:val="es-ES_tradnl"/>
              </w:rPr>
              <w:t>Presupuesto Aprobados (año 2025):</w:t>
            </w:r>
          </w:p>
        </w:tc>
        <w:tc>
          <w:tcPr>
            <w:tcW w:w="243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pStyle w:val="NormalWeb"/>
              <w:spacing w:before="0" w:after="0"/>
            </w:pPr>
            <w:r>
              <w:rPr>
                <w:color w:val="4C4747"/>
                <w:sz w:val="19"/>
                <w:szCs w:val="19"/>
                <w:lang w:val="es-ES_tradnl"/>
              </w:rPr>
              <w:t>≈</w:t>
            </w:r>
            <w:r>
              <w:rPr>
                <w:bCs/>
                <w:color w:val="4C4747"/>
                <w:sz w:val="19"/>
                <w:szCs w:val="19"/>
                <w:lang w:val="es-ES_tradnl"/>
              </w:rPr>
              <w:t xml:space="preserve">$ </w:t>
            </w:r>
            <w:r>
              <w:rPr>
                <w:bCs/>
                <w:color w:val="4C4747"/>
                <w:sz w:val="19"/>
                <w:szCs w:val="19"/>
                <w:lang w:val="es-ES_tradnl"/>
              </w:rPr>
              <w:t>1,186,362,119.43</w:t>
            </w:r>
          </w:p>
        </w:tc>
      </w:tr>
      <w:tr w:rsidR="00184CAB">
        <w:tblPrEx>
          <w:tblCellMar>
            <w:top w:w="0" w:type="dxa"/>
            <w:bottom w:w="0" w:type="dxa"/>
          </w:tblCellMar>
        </w:tblPrEx>
        <w:trPr>
          <w:trHeight w:val="169"/>
        </w:trPr>
        <w:tc>
          <w:tcPr>
            <w:tcW w:w="537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pStyle w:val="NormalWeb"/>
              <w:spacing w:before="0" w:after="0"/>
              <w:rPr>
                <w:bCs/>
                <w:color w:val="4C4747"/>
                <w:sz w:val="19"/>
                <w:szCs w:val="19"/>
                <w:lang w:val="es-ES_tradnl"/>
              </w:rPr>
            </w:pPr>
            <w:r>
              <w:rPr>
                <w:bCs/>
                <w:color w:val="4C4747"/>
                <w:sz w:val="19"/>
                <w:szCs w:val="19"/>
                <w:lang w:val="es-ES_tradnl"/>
              </w:rPr>
              <w:t>Fondos Certificados (año 2025):</w:t>
            </w:r>
          </w:p>
        </w:tc>
        <w:tc>
          <w:tcPr>
            <w:tcW w:w="243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pStyle w:val="NormalWeb"/>
              <w:spacing w:before="0" w:after="0"/>
            </w:pPr>
            <w:r>
              <w:rPr>
                <w:color w:val="4C4747"/>
                <w:sz w:val="19"/>
                <w:szCs w:val="19"/>
                <w:lang w:val="es-ES_tradnl"/>
              </w:rPr>
              <w:t>≈</w:t>
            </w:r>
            <w:r>
              <w:rPr>
                <w:bCs/>
                <w:color w:val="4C4747"/>
                <w:sz w:val="19"/>
                <w:szCs w:val="19"/>
                <w:lang w:val="es-ES_tradnl"/>
              </w:rPr>
              <w:t>$ 468,402,267.40</w:t>
            </w:r>
          </w:p>
        </w:tc>
      </w:tr>
      <w:tr w:rsidR="00184CAB">
        <w:tblPrEx>
          <w:tblCellMar>
            <w:top w:w="0" w:type="dxa"/>
            <w:bottom w:w="0" w:type="dxa"/>
          </w:tblCellMar>
        </w:tblPrEx>
        <w:trPr>
          <w:trHeight w:val="352"/>
        </w:trPr>
        <w:tc>
          <w:tcPr>
            <w:tcW w:w="5377"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pStyle w:val="NormalWeb"/>
              <w:spacing w:before="0" w:after="0"/>
              <w:rPr>
                <w:bCs/>
                <w:color w:val="FFFFFF"/>
                <w:sz w:val="19"/>
                <w:szCs w:val="19"/>
                <w:lang w:val="es-ES_tradnl"/>
              </w:rPr>
            </w:pPr>
            <w:r>
              <w:rPr>
                <w:bCs/>
                <w:color w:val="FFFFFF"/>
                <w:sz w:val="19"/>
                <w:szCs w:val="19"/>
                <w:lang w:val="es-ES_tradnl"/>
              </w:rPr>
              <w:t>Fondos erogados general de compromisos aprobados (año 2025):</w:t>
            </w:r>
          </w:p>
        </w:tc>
        <w:tc>
          <w:tcPr>
            <w:tcW w:w="2436"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pStyle w:val="NormalWeb"/>
              <w:spacing w:before="0" w:after="0"/>
            </w:pPr>
            <w:r>
              <w:rPr>
                <w:color w:val="FFFFFF"/>
                <w:sz w:val="19"/>
                <w:szCs w:val="19"/>
                <w:lang w:val="es-ES_tradnl"/>
              </w:rPr>
              <w:t>≈</w:t>
            </w:r>
            <w:r>
              <w:rPr>
                <w:bCs/>
                <w:color w:val="FFFFFF"/>
                <w:sz w:val="19"/>
                <w:szCs w:val="19"/>
                <w:lang w:val="es-ES_tradnl"/>
              </w:rPr>
              <w:t>$ 717,959,852.03</w:t>
            </w:r>
          </w:p>
        </w:tc>
      </w:tr>
    </w:tbl>
    <w:p w:rsidR="00184CAB" w:rsidRDefault="002B1930">
      <w:pPr>
        <w:pStyle w:val="NormalWeb"/>
        <w:spacing w:before="0" w:after="0"/>
        <w:jc w:val="both"/>
        <w:rPr>
          <w:bCs/>
          <w:i/>
          <w:color w:val="4C4747"/>
          <w:sz w:val="18"/>
          <w:szCs w:val="18"/>
          <w:lang w:val="es-ES_tradnl"/>
        </w:rPr>
      </w:pPr>
      <w:r>
        <w:rPr>
          <w:bCs/>
          <w:i/>
          <w:color w:val="4C4747"/>
          <w:sz w:val="18"/>
          <w:szCs w:val="18"/>
          <w:lang w:val="es-ES_tradnl"/>
        </w:rPr>
        <w:t>Fuente: Datos correspondientes hasta noviembre 2025, Dirección de Desarrollo de Proyectos Comunitarios.</w:t>
      </w:r>
    </w:p>
    <w:p w:rsidR="00184CAB" w:rsidRDefault="00184CAB">
      <w:pPr>
        <w:pStyle w:val="NormalWeb"/>
        <w:spacing w:before="0" w:after="0"/>
        <w:jc w:val="both"/>
        <w:rPr>
          <w:bCs/>
          <w:i/>
          <w:color w:val="4C4747"/>
          <w:lang w:val="es-ES_tradnl"/>
        </w:rPr>
      </w:pPr>
    </w:p>
    <w:p w:rsidR="00184CAB" w:rsidRDefault="002B1930">
      <w:pPr>
        <w:pStyle w:val="NormalWeb"/>
        <w:spacing w:line="360" w:lineRule="auto"/>
        <w:jc w:val="both"/>
        <w:rPr>
          <w:color w:val="4C4747"/>
          <w:lang w:val="es-ES_tradnl"/>
        </w:rPr>
      </w:pPr>
      <w:r>
        <w:rPr>
          <w:color w:val="4C4747"/>
          <w:lang w:val="es-ES_tradnl"/>
        </w:rPr>
        <w:t>Estos montos reflejan la dimensión operativa asumida para cumplir con los compromisos presidenciales y atender necesidades comunitarias urgentes.</w:t>
      </w:r>
    </w:p>
    <w:tbl>
      <w:tblPr>
        <w:tblW w:w="7900" w:type="dxa"/>
        <w:tblCellMar>
          <w:left w:w="10" w:type="dxa"/>
          <w:right w:w="10" w:type="dxa"/>
        </w:tblCellMar>
        <w:tblLook w:val="0000" w:firstRow="0" w:lastRow="0" w:firstColumn="0" w:lastColumn="0" w:noHBand="0" w:noVBand="0"/>
      </w:tblPr>
      <w:tblGrid>
        <w:gridCol w:w="3229"/>
        <w:gridCol w:w="4671"/>
      </w:tblGrid>
      <w:tr w:rsidR="00184CAB">
        <w:tblPrEx>
          <w:tblCellMar>
            <w:top w:w="0" w:type="dxa"/>
            <w:bottom w:w="0" w:type="dxa"/>
          </w:tblCellMar>
        </w:tblPrEx>
        <w:tc>
          <w:tcPr>
            <w:tcW w:w="7900" w:type="dxa"/>
            <w:gridSpan w:val="2"/>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bCs/>
                <w:color w:val="FFFFFF"/>
                <w:sz w:val="19"/>
                <w:szCs w:val="19"/>
              </w:rPr>
            </w:pPr>
            <w:r>
              <w:rPr>
                <w:b/>
                <w:bCs/>
                <w:color w:val="FFFFFF"/>
                <w:sz w:val="19"/>
                <w:szCs w:val="19"/>
              </w:rPr>
              <w:t>Tabla no. 8 sobre relación de proyectos realizados segmentados por espacios territoriales</w:t>
            </w:r>
          </w:p>
        </w:tc>
      </w:tr>
      <w:tr w:rsidR="00184CAB">
        <w:tblPrEx>
          <w:tblCellMar>
            <w:top w:w="0" w:type="dxa"/>
            <w:bottom w:w="0" w:type="dxa"/>
          </w:tblCellMar>
        </w:tblPrEx>
        <w:tc>
          <w:tcPr>
            <w:tcW w:w="3229"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bCs/>
                <w:color w:val="FFFFFF"/>
                <w:sz w:val="19"/>
                <w:szCs w:val="19"/>
              </w:rPr>
            </w:pPr>
            <w:r>
              <w:rPr>
                <w:b/>
                <w:bCs/>
                <w:color w:val="FFFFFF"/>
                <w:sz w:val="19"/>
                <w:szCs w:val="19"/>
              </w:rPr>
              <w:t>Región</w:t>
            </w:r>
          </w:p>
        </w:tc>
        <w:tc>
          <w:tcPr>
            <w:tcW w:w="4671"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 xml:space="preserve">Cantidad de </w:t>
            </w:r>
            <w:r>
              <w:rPr>
                <w:b/>
                <w:color w:val="FFFFFF"/>
                <w:sz w:val="19"/>
                <w:szCs w:val="19"/>
              </w:rPr>
              <w:t>Proyectos</w:t>
            </w:r>
          </w:p>
        </w:tc>
      </w:tr>
      <w:tr w:rsidR="00184CAB">
        <w:tblPrEx>
          <w:tblCellMar>
            <w:top w:w="0" w:type="dxa"/>
            <w:bottom w:w="0" w:type="dxa"/>
          </w:tblCellMar>
        </w:tblPrEx>
        <w:tc>
          <w:tcPr>
            <w:tcW w:w="322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spacing w:after="0" w:line="240" w:lineRule="auto"/>
              <w:jc w:val="center"/>
              <w:rPr>
                <w:bCs/>
                <w:color w:val="4C4747"/>
                <w:sz w:val="19"/>
                <w:szCs w:val="19"/>
              </w:rPr>
            </w:pPr>
            <w:r>
              <w:rPr>
                <w:bCs/>
                <w:color w:val="4C4747"/>
                <w:sz w:val="19"/>
                <w:szCs w:val="19"/>
              </w:rPr>
              <w:t>Norte</w:t>
            </w:r>
          </w:p>
        </w:tc>
        <w:tc>
          <w:tcPr>
            <w:tcW w:w="467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158</w:t>
            </w:r>
          </w:p>
        </w:tc>
      </w:tr>
      <w:tr w:rsidR="00184CAB">
        <w:tblPrEx>
          <w:tblCellMar>
            <w:top w:w="0" w:type="dxa"/>
            <w:bottom w:w="0" w:type="dxa"/>
          </w:tblCellMar>
        </w:tblPrEx>
        <w:tc>
          <w:tcPr>
            <w:tcW w:w="322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spacing w:after="0" w:line="240" w:lineRule="auto"/>
              <w:jc w:val="center"/>
              <w:rPr>
                <w:bCs/>
                <w:color w:val="4C4747"/>
                <w:sz w:val="19"/>
                <w:szCs w:val="19"/>
              </w:rPr>
            </w:pPr>
            <w:r>
              <w:rPr>
                <w:bCs/>
                <w:color w:val="4C4747"/>
                <w:sz w:val="19"/>
                <w:szCs w:val="19"/>
              </w:rPr>
              <w:t>Sur</w:t>
            </w:r>
          </w:p>
        </w:tc>
        <w:tc>
          <w:tcPr>
            <w:tcW w:w="467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47</w:t>
            </w:r>
          </w:p>
        </w:tc>
      </w:tr>
      <w:tr w:rsidR="00184CAB">
        <w:tblPrEx>
          <w:tblCellMar>
            <w:top w:w="0" w:type="dxa"/>
            <w:bottom w:w="0" w:type="dxa"/>
          </w:tblCellMar>
        </w:tblPrEx>
        <w:tc>
          <w:tcPr>
            <w:tcW w:w="322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spacing w:after="0" w:line="240" w:lineRule="auto"/>
              <w:jc w:val="center"/>
              <w:rPr>
                <w:bCs/>
                <w:color w:val="4C4747"/>
                <w:sz w:val="19"/>
                <w:szCs w:val="19"/>
              </w:rPr>
            </w:pPr>
            <w:r>
              <w:rPr>
                <w:bCs/>
                <w:color w:val="4C4747"/>
                <w:sz w:val="19"/>
                <w:szCs w:val="19"/>
              </w:rPr>
              <w:t>Este</w:t>
            </w:r>
          </w:p>
        </w:tc>
        <w:tc>
          <w:tcPr>
            <w:tcW w:w="467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27</w:t>
            </w:r>
          </w:p>
        </w:tc>
      </w:tr>
      <w:tr w:rsidR="00184CAB">
        <w:tblPrEx>
          <w:tblCellMar>
            <w:top w:w="0" w:type="dxa"/>
            <w:bottom w:w="0" w:type="dxa"/>
          </w:tblCellMar>
        </w:tblPrEx>
        <w:tc>
          <w:tcPr>
            <w:tcW w:w="322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spacing w:after="0" w:line="240" w:lineRule="auto"/>
              <w:jc w:val="center"/>
              <w:rPr>
                <w:bCs/>
                <w:color w:val="4C4747"/>
                <w:sz w:val="19"/>
                <w:szCs w:val="19"/>
              </w:rPr>
            </w:pPr>
            <w:r>
              <w:rPr>
                <w:bCs/>
                <w:color w:val="4C4747"/>
                <w:sz w:val="19"/>
                <w:szCs w:val="19"/>
              </w:rPr>
              <w:t>Santo Domingo</w:t>
            </w:r>
          </w:p>
        </w:tc>
        <w:tc>
          <w:tcPr>
            <w:tcW w:w="467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spacing w:after="0" w:line="240" w:lineRule="auto"/>
              <w:jc w:val="center"/>
            </w:pPr>
            <w:r>
              <w:rPr>
                <w:color w:val="4C4747"/>
                <w:sz w:val="19"/>
                <w:szCs w:val="19"/>
              </w:rPr>
              <w:t>26</w:t>
            </w:r>
          </w:p>
        </w:tc>
      </w:tr>
      <w:tr w:rsidR="00184CAB">
        <w:tblPrEx>
          <w:tblCellMar>
            <w:top w:w="0" w:type="dxa"/>
            <w:bottom w:w="0" w:type="dxa"/>
          </w:tblCellMar>
        </w:tblPrEx>
        <w:tc>
          <w:tcPr>
            <w:tcW w:w="3229"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bCs/>
                <w:color w:val="FFFFFF"/>
                <w:sz w:val="19"/>
                <w:szCs w:val="19"/>
              </w:rPr>
            </w:pPr>
            <w:r>
              <w:rPr>
                <w:b/>
                <w:bCs/>
                <w:color w:val="FFFFFF"/>
                <w:sz w:val="19"/>
                <w:szCs w:val="19"/>
              </w:rPr>
              <w:t>Total</w:t>
            </w:r>
          </w:p>
        </w:tc>
        <w:tc>
          <w:tcPr>
            <w:tcW w:w="4671"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258</w:t>
            </w:r>
          </w:p>
        </w:tc>
      </w:tr>
    </w:tbl>
    <w:p w:rsidR="00184CAB" w:rsidRDefault="002B1930">
      <w:pPr>
        <w:pStyle w:val="NormalWeb"/>
        <w:spacing w:before="0" w:after="0" w:line="360" w:lineRule="auto"/>
        <w:jc w:val="both"/>
        <w:rPr>
          <w:bCs/>
          <w:i/>
          <w:color w:val="4C4747"/>
          <w:sz w:val="18"/>
          <w:szCs w:val="18"/>
          <w:lang w:val="es-ES_tradnl"/>
        </w:rPr>
      </w:pPr>
      <w:r>
        <w:rPr>
          <w:bCs/>
          <w:i/>
          <w:color w:val="4C4747"/>
          <w:sz w:val="18"/>
          <w:szCs w:val="18"/>
          <w:lang w:val="es-ES_tradnl"/>
        </w:rPr>
        <w:t>Fuente: Datos correspondientes hasta noviembre 2025, Dirección de Desarrollo de Proyectos Comunitarios.</w:t>
      </w:r>
    </w:p>
    <w:p w:rsidR="00184CAB" w:rsidRDefault="00184CAB">
      <w:pPr>
        <w:pStyle w:val="NormalWeb"/>
        <w:spacing w:before="0" w:after="0" w:line="360" w:lineRule="auto"/>
        <w:jc w:val="both"/>
        <w:rPr>
          <w:bCs/>
          <w:i/>
          <w:color w:val="4C4747"/>
          <w:lang w:val="es-ES_tradnl"/>
        </w:rPr>
      </w:pPr>
    </w:p>
    <w:p w:rsidR="00184CAB" w:rsidRDefault="002B1930">
      <w:pPr>
        <w:spacing w:line="360" w:lineRule="auto"/>
        <w:jc w:val="both"/>
      </w:pPr>
      <w:r>
        <w:rPr>
          <w:b/>
          <w:bCs/>
          <w:color w:val="4C4747"/>
        </w:rPr>
        <w:t>Región Norte</w:t>
      </w:r>
      <w:r>
        <w:rPr>
          <w:b/>
          <w:color w:val="4C4747"/>
        </w:rPr>
        <w:t xml:space="preserve">: </w:t>
      </w:r>
      <w:r>
        <w:rPr>
          <w:color w:val="4C4747"/>
        </w:rPr>
        <w:t>Concentra la mayor intervención del período, representando el 61% del</w:t>
      </w:r>
      <w:r>
        <w:rPr>
          <w:color w:val="4C4747"/>
        </w:rPr>
        <w:t xml:space="preserve"> total, dada su extensión territorial y volumen poblacional, seguido por la región Sur con el 18%.</w:t>
      </w:r>
    </w:p>
    <w:p w:rsidR="00184CAB" w:rsidRDefault="002B1930">
      <w:pPr>
        <w:spacing w:line="360" w:lineRule="auto"/>
        <w:jc w:val="both"/>
        <w:rPr>
          <w:color w:val="4C4747"/>
          <w:lang w:val="es-ES"/>
        </w:rPr>
      </w:pPr>
      <w:r>
        <w:rPr>
          <w:color w:val="4C4747"/>
          <w:lang w:val="es-ES"/>
        </w:rPr>
        <w:lastRenderedPageBreak/>
        <w:t>La Región Norte fue la de mayor volumen de compromisos gestionados, realizado en Espaillat, Puerto Plata, Santiago, La Vega y Monseñor Nouel. El Norte contin</w:t>
      </w:r>
      <w:r>
        <w:rPr>
          <w:color w:val="4C4747"/>
          <w:lang w:val="es-ES"/>
        </w:rPr>
        <w:t>úa siendo un eje prioritario debido a la magnitud de solicitudes y a la necesidad de fortalecer infraestructura local. Destacaron intervenciones como:</w:t>
      </w:r>
    </w:p>
    <w:p w:rsidR="00184CAB" w:rsidRDefault="002B1930">
      <w:pPr>
        <w:pStyle w:val="Prrafodelista"/>
        <w:numPr>
          <w:ilvl w:val="0"/>
          <w:numId w:val="8"/>
        </w:numPr>
        <w:spacing w:line="360" w:lineRule="auto"/>
        <w:rPr>
          <w:color w:val="4C4747"/>
        </w:rPr>
      </w:pPr>
      <w:r>
        <w:rPr>
          <w:color w:val="4C4747"/>
        </w:rPr>
        <w:t>Canchas deportivas</w:t>
      </w:r>
    </w:p>
    <w:p w:rsidR="00184CAB" w:rsidRDefault="002B1930">
      <w:pPr>
        <w:pStyle w:val="Prrafodelista"/>
        <w:numPr>
          <w:ilvl w:val="0"/>
          <w:numId w:val="8"/>
        </w:numPr>
        <w:spacing w:line="360" w:lineRule="auto"/>
        <w:rPr>
          <w:color w:val="4C4747"/>
        </w:rPr>
      </w:pPr>
      <w:r>
        <w:rPr>
          <w:color w:val="4C4747"/>
        </w:rPr>
        <w:t>Funerarias municipales</w:t>
      </w:r>
    </w:p>
    <w:p w:rsidR="00184CAB" w:rsidRDefault="002B1930">
      <w:pPr>
        <w:pStyle w:val="Prrafodelista"/>
        <w:numPr>
          <w:ilvl w:val="0"/>
          <w:numId w:val="8"/>
        </w:numPr>
        <w:spacing w:line="360" w:lineRule="auto"/>
        <w:rPr>
          <w:color w:val="4C4747"/>
        </w:rPr>
      </w:pPr>
      <w:r>
        <w:rPr>
          <w:color w:val="4C4747"/>
        </w:rPr>
        <w:t>Caminos y accesos rurales</w:t>
      </w:r>
    </w:p>
    <w:p w:rsidR="00184CAB" w:rsidRDefault="002B1930">
      <w:pPr>
        <w:pStyle w:val="Prrafodelista"/>
        <w:numPr>
          <w:ilvl w:val="0"/>
          <w:numId w:val="8"/>
        </w:numPr>
        <w:spacing w:line="360" w:lineRule="auto"/>
        <w:rPr>
          <w:color w:val="4C4747"/>
        </w:rPr>
      </w:pPr>
      <w:r>
        <w:rPr>
          <w:color w:val="4C4747"/>
        </w:rPr>
        <w:t>Adquisición de vehículos y equipos pe</w:t>
      </w:r>
      <w:r>
        <w:rPr>
          <w:color w:val="4C4747"/>
        </w:rPr>
        <w:t>sados</w:t>
      </w:r>
    </w:p>
    <w:p w:rsidR="00184CAB" w:rsidRDefault="002B1930">
      <w:pPr>
        <w:pStyle w:val="Prrafodelista"/>
        <w:numPr>
          <w:ilvl w:val="0"/>
          <w:numId w:val="8"/>
        </w:numPr>
        <w:spacing w:line="360" w:lineRule="auto"/>
        <w:rPr>
          <w:color w:val="4C4747"/>
        </w:rPr>
      </w:pPr>
      <w:r>
        <w:rPr>
          <w:color w:val="4C4747"/>
        </w:rPr>
        <w:t>Sectores educativos y religiosos</w:t>
      </w:r>
    </w:p>
    <w:p w:rsidR="00184CAB" w:rsidRDefault="002B1930">
      <w:pPr>
        <w:spacing w:line="360" w:lineRule="auto"/>
        <w:jc w:val="both"/>
      </w:pPr>
      <w:r>
        <w:rPr>
          <w:b/>
          <w:bCs/>
          <w:color w:val="4C4747"/>
        </w:rPr>
        <w:t xml:space="preserve">Región Este: </w:t>
      </w:r>
      <w:r>
        <w:rPr>
          <w:color w:val="4C4747"/>
        </w:rPr>
        <w:t>La Región Este concentró compromisos en Santo Domingo, Distrito Nacional, San Pedro de Macorís, Monte Plata, Hato Mayor y La Altagracia y el enfoque se dirigió a mejorar espacios comunitarios y fortalecer</w:t>
      </w:r>
      <w:r>
        <w:rPr>
          <w:color w:val="4C4747"/>
        </w:rPr>
        <w:t xml:space="preserve"> infraestructura social, destacándose en:</w:t>
      </w:r>
    </w:p>
    <w:p w:rsidR="00184CAB" w:rsidRDefault="002B1930">
      <w:pPr>
        <w:pStyle w:val="Prrafodelista"/>
        <w:numPr>
          <w:ilvl w:val="0"/>
          <w:numId w:val="9"/>
        </w:numPr>
        <w:spacing w:line="360" w:lineRule="auto"/>
        <w:rPr>
          <w:color w:val="4C4747"/>
        </w:rPr>
      </w:pPr>
      <w:r>
        <w:rPr>
          <w:color w:val="4C4747"/>
        </w:rPr>
        <w:t>Obras urbanas y comunitarias</w:t>
      </w:r>
    </w:p>
    <w:p w:rsidR="00184CAB" w:rsidRDefault="002B1930">
      <w:pPr>
        <w:pStyle w:val="Prrafodelista"/>
        <w:numPr>
          <w:ilvl w:val="0"/>
          <w:numId w:val="9"/>
        </w:numPr>
        <w:spacing w:line="360" w:lineRule="auto"/>
        <w:rPr>
          <w:color w:val="4C4747"/>
        </w:rPr>
      </w:pPr>
      <w:r>
        <w:rPr>
          <w:color w:val="4C4747"/>
        </w:rPr>
        <w:t>Proyectos religiosos</w:t>
      </w:r>
    </w:p>
    <w:p w:rsidR="00184CAB" w:rsidRDefault="002B1930">
      <w:pPr>
        <w:pStyle w:val="Prrafodelista"/>
        <w:numPr>
          <w:ilvl w:val="0"/>
          <w:numId w:val="9"/>
        </w:numPr>
        <w:spacing w:line="360" w:lineRule="auto"/>
        <w:rPr>
          <w:color w:val="4C4747"/>
        </w:rPr>
      </w:pPr>
      <w:r>
        <w:rPr>
          <w:color w:val="4C4747"/>
        </w:rPr>
        <w:t>Equipamiento municipal</w:t>
      </w:r>
    </w:p>
    <w:p w:rsidR="00184CAB" w:rsidRDefault="002B1930">
      <w:pPr>
        <w:pStyle w:val="Prrafodelista"/>
        <w:numPr>
          <w:ilvl w:val="0"/>
          <w:numId w:val="9"/>
        </w:numPr>
        <w:spacing w:line="360" w:lineRule="auto"/>
        <w:rPr>
          <w:color w:val="4C4747"/>
        </w:rPr>
      </w:pPr>
      <w:r>
        <w:rPr>
          <w:color w:val="4C4747"/>
        </w:rPr>
        <w:t>Intervenciones viales en zonas densamente pobladas</w:t>
      </w:r>
    </w:p>
    <w:p w:rsidR="00184CAB" w:rsidRDefault="002B1930">
      <w:pPr>
        <w:spacing w:line="360" w:lineRule="auto"/>
        <w:jc w:val="both"/>
      </w:pPr>
      <w:r>
        <w:rPr>
          <w:b/>
          <w:bCs/>
          <w:color w:val="4C4747"/>
        </w:rPr>
        <w:t xml:space="preserve">Región Sur: </w:t>
      </w:r>
      <w:r>
        <w:rPr>
          <w:color w:val="4C4747"/>
        </w:rPr>
        <w:t>La Región Sur mostró intervenciones significativas en San Juan, Azua, Bahoruco</w:t>
      </w:r>
      <w:r>
        <w:rPr>
          <w:color w:val="4C4747"/>
        </w:rPr>
        <w:t>, Barahona e Independencia. la región recibió una proporción relevante de fondos transferidos, dada la vulnerabilidad y las brechas estructurales en varios municipios con un enfoque en:</w:t>
      </w:r>
    </w:p>
    <w:p w:rsidR="00184CAB" w:rsidRDefault="002B1930">
      <w:pPr>
        <w:pStyle w:val="Prrafodelista"/>
        <w:numPr>
          <w:ilvl w:val="0"/>
          <w:numId w:val="10"/>
        </w:numPr>
        <w:spacing w:line="360" w:lineRule="auto"/>
        <w:rPr>
          <w:color w:val="4C4747"/>
        </w:rPr>
      </w:pPr>
      <w:r>
        <w:rPr>
          <w:color w:val="4C4747"/>
        </w:rPr>
        <w:t>Proyectos de equipamiento municipal</w:t>
      </w:r>
    </w:p>
    <w:p w:rsidR="00184CAB" w:rsidRDefault="002B1930">
      <w:pPr>
        <w:pStyle w:val="Prrafodelista"/>
        <w:numPr>
          <w:ilvl w:val="0"/>
          <w:numId w:val="10"/>
        </w:numPr>
        <w:spacing w:line="360" w:lineRule="auto"/>
        <w:rPr>
          <w:color w:val="4C4747"/>
        </w:rPr>
      </w:pPr>
      <w:r>
        <w:rPr>
          <w:color w:val="4C4747"/>
        </w:rPr>
        <w:t>Infraestructura funeraria y religi</w:t>
      </w:r>
      <w:r>
        <w:rPr>
          <w:color w:val="4C4747"/>
        </w:rPr>
        <w:t>osa</w:t>
      </w:r>
    </w:p>
    <w:p w:rsidR="00184CAB" w:rsidRDefault="002B1930">
      <w:pPr>
        <w:pStyle w:val="Prrafodelista"/>
        <w:numPr>
          <w:ilvl w:val="0"/>
          <w:numId w:val="10"/>
        </w:numPr>
        <w:spacing w:line="360" w:lineRule="auto"/>
        <w:rPr>
          <w:color w:val="4C4747"/>
        </w:rPr>
      </w:pPr>
      <w:r>
        <w:rPr>
          <w:color w:val="4C4747"/>
        </w:rPr>
        <w:lastRenderedPageBreak/>
        <w:t>Caminos vecinales</w:t>
      </w:r>
    </w:p>
    <w:p w:rsidR="00184CAB" w:rsidRDefault="002B1930">
      <w:pPr>
        <w:pStyle w:val="Prrafodelista"/>
        <w:numPr>
          <w:ilvl w:val="0"/>
          <w:numId w:val="10"/>
        </w:numPr>
        <w:spacing w:line="360" w:lineRule="auto"/>
        <w:rPr>
          <w:color w:val="4C4747"/>
        </w:rPr>
      </w:pPr>
      <w:r>
        <w:rPr>
          <w:color w:val="4C4747"/>
        </w:rPr>
        <w:t>Obras urbanas de remozamiento</w:t>
      </w:r>
    </w:p>
    <w:p w:rsidR="00184CAB" w:rsidRDefault="00184CAB">
      <w:pPr>
        <w:spacing w:line="360" w:lineRule="auto"/>
        <w:rPr>
          <w:b/>
          <w:color w:val="4C4747"/>
        </w:rPr>
      </w:pPr>
    </w:p>
    <w:p w:rsidR="00184CAB" w:rsidRDefault="002B1930">
      <w:pPr>
        <w:spacing w:line="360" w:lineRule="auto"/>
        <w:rPr>
          <w:b/>
          <w:color w:val="4C4747"/>
        </w:rPr>
      </w:pPr>
      <w:r>
        <w:rPr>
          <w:b/>
          <w:color w:val="4C4747"/>
        </w:rPr>
        <w:t>Proyecciones para cierre de año:</w:t>
      </w:r>
    </w:p>
    <w:p w:rsidR="00184CAB" w:rsidRDefault="002B1930">
      <w:pPr>
        <w:spacing w:line="360" w:lineRule="auto"/>
        <w:jc w:val="both"/>
        <w:rPr>
          <w:color w:val="4B4747"/>
        </w:rPr>
      </w:pPr>
      <w:r>
        <w:rPr>
          <w:color w:val="4B4747"/>
        </w:rPr>
        <w:t>Para el cierre de diciembre del año 2025, se proyecta llegar a 270 compromisos gestionados y un monto total erogado cercano a RD$780 millones, superando ya el total de co</w:t>
      </w:r>
      <w:r>
        <w:rPr>
          <w:color w:val="4B4747"/>
        </w:rPr>
        <w:t>mpromisos ejecutados a escala nacional del año anterior con un total de 230, consolidando a esta dirección como una de las unidades de mayor impacto territorial.</w:t>
      </w:r>
    </w:p>
    <w:p w:rsidR="00184CAB" w:rsidRDefault="00184CAB">
      <w:pPr>
        <w:spacing w:line="360" w:lineRule="auto"/>
        <w:jc w:val="both"/>
        <w:rPr>
          <w:color w:val="4B4747"/>
        </w:rPr>
      </w:pPr>
    </w:p>
    <w:p w:rsidR="00184CAB" w:rsidRDefault="002B1930">
      <w:pPr>
        <w:pStyle w:val="Ttulo2"/>
        <w:numPr>
          <w:ilvl w:val="1"/>
          <w:numId w:val="5"/>
        </w:numPr>
        <w:spacing w:line="360" w:lineRule="auto"/>
        <w:jc w:val="both"/>
        <w:rPr>
          <w:b/>
          <w:color w:val="4C4747"/>
          <w:szCs w:val="24"/>
        </w:rPr>
      </w:pPr>
      <w:bookmarkStart w:id="53" w:name="_Toc217043945"/>
      <w:bookmarkStart w:id="54" w:name="_Toc217907916"/>
      <w:bookmarkStart w:id="55" w:name="_Toc217914417"/>
      <w:r>
        <w:rPr>
          <w:b/>
          <w:color w:val="4C4747"/>
          <w:szCs w:val="24"/>
        </w:rPr>
        <w:t>Gestión del Viceministerio de Asuntos Interinstitucionales y Relación con los Poderes del Est</w:t>
      </w:r>
      <w:r>
        <w:rPr>
          <w:b/>
          <w:color w:val="4C4747"/>
          <w:szCs w:val="24"/>
        </w:rPr>
        <w:t>ado</w:t>
      </w:r>
      <w:bookmarkEnd w:id="53"/>
      <w:bookmarkEnd w:id="54"/>
      <w:bookmarkEnd w:id="55"/>
    </w:p>
    <w:p w:rsidR="00184CAB" w:rsidRDefault="00184CAB"/>
    <w:p w:rsidR="00184CAB" w:rsidRDefault="002B1930">
      <w:pPr>
        <w:spacing w:line="360" w:lineRule="auto"/>
        <w:jc w:val="both"/>
        <w:rPr>
          <w:color w:val="4C4747"/>
        </w:rPr>
      </w:pPr>
      <w:bookmarkStart w:id="56" w:name="_Hlk215648752"/>
      <w:r>
        <w:rPr>
          <w:color w:val="4C4747"/>
        </w:rPr>
        <w:t>Como parte de nuestra responsabilidad y compromiso de brindar apoyo a los gobiernos locales, provincial e instituciones asociativas públicas e interinstitucionales, se realizaron las siguientes actividades:</w:t>
      </w:r>
    </w:p>
    <w:p w:rsidR="00184CAB" w:rsidRDefault="002B1930">
      <w:pPr>
        <w:spacing w:line="360" w:lineRule="auto"/>
        <w:jc w:val="both"/>
      </w:pPr>
      <w:r>
        <w:rPr>
          <w:b/>
          <w:color w:val="4C4747"/>
        </w:rPr>
        <w:t>Apoyo a las gobernaciones:</w:t>
      </w:r>
      <w:r>
        <w:rPr>
          <w:color w:val="4C4747"/>
        </w:rPr>
        <w:t xml:space="preserve"> a través de la </w:t>
      </w:r>
      <w:r>
        <w:rPr>
          <w:color w:val="4C4747"/>
        </w:rPr>
        <w:t>coordinación de visita de estudiantes al Palacio Nacional, así como apoyo en la gestión administrativa de las gobernaciones provincias y los gobiernos locales.</w:t>
      </w:r>
    </w:p>
    <w:p w:rsidR="00184CAB" w:rsidRDefault="002B1930">
      <w:pPr>
        <w:pStyle w:val="NormalWeb"/>
        <w:spacing w:line="360" w:lineRule="auto"/>
        <w:jc w:val="both"/>
      </w:pPr>
      <w:bookmarkStart w:id="57" w:name="_Hlk215831740"/>
      <w:bookmarkEnd w:id="56"/>
      <w:r>
        <w:rPr>
          <w:rFonts w:eastAsia="PMingLiU"/>
          <w:b/>
          <w:color w:val="4C4747"/>
          <w:spacing w:val="20"/>
          <w:lang w:val="es-ES" w:eastAsia="en-US"/>
        </w:rPr>
        <w:t xml:space="preserve">Seguimiento a la agenda legislativa priorizada por el </w:t>
      </w:r>
      <w:proofErr w:type="gramStart"/>
      <w:r>
        <w:rPr>
          <w:rFonts w:eastAsia="PMingLiU"/>
          <w:b/>
          <w:color w:val="4C4747"/>
          <w:spacing w:val="20"/>
          <w:lang w:val="es-ES" w:eastAsia="en-US"/>
        </w:rPr>
        <w:t>Presidente</w:t>
      </w:r>
      <w:proofErr w:type="gramEnd"/>
      <w:r>
        <w:rPr>
          <w:rFonts w:eastAsia="PMingLiU"/>
          <w:b/>
          <w:color w:val="4C4747"/>
          <w:spacing w:val="20"/>
          <w:lang w:val="es-ES" w:eastAsia="en-US"/>
        </w:rPr>
        <w:t xml:space="preserve"> de la República</w:t>
      </w:r>
      <w:bookmarkEnd w:id="57"/>
      <w:r>
        <w:rPr>
          <w:rFonts w:eastAsia="PMingLiU"/>
          <w:b/>
          <w:color w:val="4C4747"/>
          <w:spacing w:val="20"/>
          <w:lang w:val="es-ES" w:eastAsia="en-US"/>
        </w:rPr>
        <w:t xml:space="preserve">: </w:t>
      </w:r>
      <w:r>
        <w:rPr>
          <w:rFonts w:eastAsia="Calibri"/>
          <w:color w:val="4C4747"/>
          <w:spacing w:val="20"/>
          <w:lang w:val="es-ES_tradnl" w:eastAsia="en-US"/>
        </w:rPr>
        <w:t>Una de las res</w:t>
      </w:r>
      <w:r>
        <w:rPr>
          <w:rFonts w:eastAsia="Calibri"/>
          <w:color w:val="4C4747"/>
          <w:spacing w:val="20"/>
          <w:lang w:val="es-ES_tradnl" w:eastAsia="en-US"/>
        </w:rPr>
        <w:t xml:space="preserve">ponsabilidades de este Viceministerio, es el seguimiento para fines de cooperación a la agenda legislativa priorizada del presidente de la República. </w:t>
      </w:r>
    </w:p>
    <w:p w:rsidR="00184CAB" w:rsidRDefault="002B1930">
      <w:pPr>
        <w:pStyle w:val="NormalWeb"/>
        <w:spacing w:line="360" w:lineRule="auto"/>
        <w:jc w:val="both"/>
        <w:rPr>
          <w:rFonts w:eastAsia="Calibri"/>
          <w:color w:val="4C4747"/>
          <w:spacing w:val="20"/>
          <w:lang w:val="es-ES_tradnl" w:eastAsia="en-US"/>
        </w:rPr>
      </w:pPr>
      <w:r>
        <w:rPr>
          <w:rFonts w:eastAsia="Calibri"/>
          <w:color w:val="4C4747"/>
          <w:spacing w:val="20"/>
          <w:lang w:val="es-ES_tradnl" w:eastAsia="en-US"/>
        </w:rPr>
        <w:lastRenderedPageBreak/>
        <w:t>Detallaremos dichas iniciativas a continuación:</w:t>
      </w:r>
    </w:p>
    <w:p w:rsidR="00184CAB" w:rsidRDefault="002B1930">
      <w:pPr>
        <w:pStyle w:val="NormalWeb"/>
        <w:spacing w:line="360" w:lineRule="auto"/>
        <w:jc w:val="both"/>
        <w:rPr>
          <w:b/>
          <w:color w:val="4C4747"/>
          <w:lang w:val="es-ES_tradnl"/>
        </w:rPr>
      </w:pPr>
      <w:r>
        <w:rPr>
          <w:b/>
          <w:color w:val="4C4747"/>
          <w:lang w:val="es-ES_tradnl"/>
        </w:rPr>
        <w:t>Proyectos aprobados:</w:t>
      </w:r>
    </w:p>
    <w:p w:rsidR="00184CAB" w:rsidRDefault="002B1930">
      <w:pPr>
        <w:pStyle w:val="Prrafodelista"/>
        <w:numPr>
          <w:ilvl w:val="3"/>
          <w:numId w:val="11"/>
        </w:numPr>
        <w:spacing w:line="360" w:lineRule="auto"/>
        <w:ind w:left="851"/>
        <w:jc w:val="both"/>
        <w:rPr>
          <w:color w:val="4C4747"/>
        </w:rPr>
      </w:pPr>
      <w:r>
        <w:rPr>
          <w:color w:val="4C4747"/>
        </w:rPr>
        <w:t xml:space="preserve">Proyecto de ley para el </w:t>
      </w:r>
      <w:r>
        <w:rPr>
          <w:color w:val="4C4747"/>
        </w:rPr>
        <w:t xml:space="preserve">Fortalecimiento del Sistema de Justicia y que crea el Ministerio de Justicia. </w:t>
      </w:r>
    </w:p>
    <w:p w:rsidR="00184CAB" w:rsidRDefault="002B1930">
      <w:pPr>
        <w:pStyle w:val="Prrafodelista"/>
        <w:numPr>
          <w:ilvl w:val="3"/>
          <w:numId w:val="11"/>
        </w:numPr>
        <w:spacing w:line="360" w:lineRule="auto"/>
        <w:ind w:left="851"/>
        <w:jc w:val="both"/>
        <w:rPr>
          <w:color w:val="4C4747"/>
        </w:rPr>
      </w:pPr>
      <w:r>
        <w:rPr>
          <w:color w:val="4C4747"/>
        </w:rPr>
        <w:t>Proyecto de ley de Código Penal de la República Dominicana</w:t>
      </w:r>
    </w:p>
    <w:p w:rsidR="00184CAB" w:rsidRDefault="002B1930">
      <w:pPr>
        <w:pStyle w:val="Prrafodelista"/>
        <w:numPr>
          <w:ilvl w:val="3"/>
          <w:numId w:val="11"/>
        </w:numPr>
        <w:spacing w:line="360" w:lineRule="auto"/>
        <w:ind w:left="851"/>
        <w:jc w:val="both"/>
        <w:rPr>
          <w:color w:val="4C4747"/>
        </w:rPr>
      </w:pPr>
      <w:r>
        <w:rPr>
          <w:color w:val="4C4747"/>
        </w:rPr>
        <w:t xml:space="preserve">Proyecto de ley que modifica la ley núm. 80-24 de presupuesto general del estado para el ejercicio presupuestario del </w:t>
      </w:r>
      <w:r>
        <w:rPr>
          <w:color w:val="4C4747"/>
        </w:rPr>
        <w:t xml:space="preserve">año 2025. </w:t>
      </w:r>
    </w:p>
    <w:p w:rsidR="00184CAB" w:rsidRDefault="002B1930">
      <w:pPr>
        <w:pStyle w:val="NormalWeb"/>
        <w:spacing w:line="360" w:lineRule="auto"/>
        <w:jc w:val="both"/>
        <w:rPr>
          <w:b/>
          <w:color w:val="4C4747"/>
          <w:lang w:val="es-ES_tradnl"/>
        </w:rPr>
      </w:pPr>
      <w:r>
        <w:rPr>
          <w:b/>
          <w:color w:val="4C4747"/>
          <w:lang w:val="es-ES_tradnl"/>
        </w:rPr>
        <w:t>Proyectos en comisión</w:t>
      </w:r>
    </w:p>
    <w:p w:rsidR="00184CAB" w:rsidRDefault="002B1930">
      <w:pPr>
        <w:pStyle w:val="Prrafodelista"/>
        <w:numPr>
          <w:ilvl w:val="0"/>
          <w:numId w:val="12"/>
        </w:numPr>
        <w:spacing w:line="360" w:lineRule="auto"/>
        <w:jc w:val="both"/>
        <w:rPr>
          <w:color w:val="4C4747"/>
        </w:rPr>
      </w:pPr>
      <w:r>
        <w:rPr>
          <w:color w:val="4C4747"/>
        </w:rPr>
        <w:t>Proyecto de ley orgánica que modifica a la ley Núm. 16-92, del 29 de mayo de 1992, que aprueba el Código de Trabajo.</w:t>
      </w:r>
    </w:p>
    <w:p w:rsidR="00184CAB" w:rsidRDefault="002B1930">
      <w:pPr>
        <w:pStyle w:val="Prrafodelista"/>
        <w:numPr>
          <w:ilvl w:val="0"/>
          <w:numId w:val="12"/>
        </w:numPr>
        <w:spacing w:line="360" w:lineRule="auto"/>
        <w:jc w:val="both"/>
        <w:rPr>
          <w:color w:val="4C4747"/>
        </w:rPr>
      </w:pPr>
      <w:r>
        <w:rPr>
          <w:color w:val="4C4747"/>
        </w:rPr>
        <w:t xml:space="preserve">Proyecto de ley Orgánica de la Policía Nacional. </w:t>
      </w:r>
    </w:p>
    <w:p w:rsidR="00184CAB" w:rsidRDefault="002B1930">
      <w:pPr>
        <w:pStyle w:val="Prrafodelista"/>
        <w:numPr>
          <w:ilvl w:val="0"/>
          <w:numId w:val="12"/>
        </w:numPr>
        <w:spacing w:line="360" w:lineRule="auto"/>
        <w:jc w:val="both"/>
        <w:rPr>
          <w:color w:val="4C4747"/>
        </w:rPr>
      </w:pPr>
      <w:r>
        <w:rPr>
          <w:color w:val="4C4747"/>
        </w:rPr>
        <w:t>Proyecto de ley de presupuesto del Estado para el Año 20</w:t>
      </w:r>
      <w:r>
        <w:rPr>
          <w:color w:val="4C4747"/>
        </w:rPr>
        <w:t>26.</w:t>
      </w:r>
    </w:p>
    <w:p w:rsidR="00184CAB" w:rsidRDefault="002B1930">
      <w:pPr>
        <w:pStyle w:val="Prrafodelista"/>
        <w:numPr>
          <w:ilvl w:val="0"/>
          <w:numId w:val="12"/>
        </w:numPr>
        <w:spacing w:line="360" w:lineRule="auto"/>
        <w:jc w:val="both"/>
        <w:rPr>
          <w:color w:val="4C4747"/>
        </w:rPr>
      </w:pPr>
      <w:r>
        <w:rPr>
          <w:color w:val="4C4747"/>
        </w:rPr>
        <w:t xml:space="preserve">Proyecto de ley sobre Violación y Traspaso Ilícito de la Propiedad Inmobiliaria Pública o Privada. </w:t>
      </w:r>
    </w:p>
    <w:p w:rsidR="00184CAB" w:rsidRDefault="002B1930">
      <w:pPr>
        <w:pStyle w:val="Prrafodelista"/>
        <w:numPr>
          <w:ilvl w:val="0"/>
          <w:numId w:val="12"/>
        </w:numPr>
        <w:spacing w:line="360" w:lineRule="auto"/>
        <w:jc w:val="both"/>
        <w:rPr>
          <w:color w:val="4C4747"/>
        </w:rPr>
      </w:pPr>
      <w:r>
        <w:rPr>
          <w:color w:val="4C4747"/>
        </w:rPr>
        <w:t>Proyecto de ley orgánica que crea la Dirección Nacional de Inteligencia (DNI).</w:t>
      </w:r>
    </w:p>
    <w:p w:rsidR="00184CAB" w:rsidRDefault="002B1930">
      <w:pPr>
        <w:pStyle w:val="Prrafodelista"/>
        <w:numPr>
          <w:ilvl w:val="0"/>
          <w:numId w:val="12"/>
        </w:numPr>
        <w:spacing w:line="360" w:lineRule="auto"/>
        <w:jc w:val="both"/>
        <w:rPr>
          <w:color w:val="4C4747"/>
        </w:rPr>
      </w:pPr>
      <w:r>
        <w:rPr>
          <w:color w:val="4C4747"/>
        </w:rPr>
        <w:t>Proyecto de ley Orgánica Integral para Prevención, Atención, Sanción y Er</w:t>
      </w:r>
      <w:r>
        <w:rPr>
          <w:color w:val="4C4747"/>
        </w:rPr>
        <w:t>radicación de la Violencia Contra las Mujeres.</w:t>
      </w:r>
    </w:p>
    <w:p w:rsidR="00184CAB" w:rsidRDefault="002B1930">
      <w:pPr>
        <w:pStyle w:val="Prrafodelista"/>
        <w:numPr>
          <w:ilvl w:val="0"/>
          <w:numId w:val="12"/>
        </w:numPr>
        <w:spacing w:line="360" w:lineRule="auto"/>
        <w:jc w:val="both"/>
        <w:rPr>
          <w:color w:val="4C4747"/>
        </w:rPr>
      </w:pPr>
      <w:r>
        <w:rPr>
          <w:color w:val="4C4747"/>
        </w:rPr>
        <w:t>Proyecto de ley que Regula las Cooperativas en República Dominicana.</w:t>
      </w:r>
    </w:p>
    <w:p w:rsidR="00184CAB" w:rsidRDefault="002B1930">
      <w:pPr>
        <w:pStyle w:val="Prrafodelista"/>
        <w:numPr>
          <w:ilvl w:val="0"/>
          <w:numId w:val="12"/>
        </w:numPr>
        <w:spacing w:line="360" w:lineRule="auto"/>
        <w:jc w:val="both"/>
        <w:rPr>
          <w:color w:val="4C4747"/>
        </w:rPr>
      </w:pPr>
      <w:r>
        <w:rPr>
          <w:color w:val="4C4747"/>
        </w:rPr>
        <w:t xml:space="preserve">Proyecto de ley sobre Gestión de la Ciberseguridad en República Dominicana. </w:t>
      </w:r>
    </w:p>
    <w:p w:rsidR="00184CAB" w:rsidRDefault="002B1930">
      <w:pPr>
        <w:pStyle w:val="Prrafodelista"/>
        <w:numPr>
          <w:ilvl w:val="0"/>
          <w:numId w:val="12"/>
        </w:numPr>
        <w:spacing w:line="360" w:lineRule="auto"/>
        <w:jc w:val="both"/>
        <w:rPr>
          <w:color w:val="4C4747"/>
        </w:rPr>
      </w:pPr>
      <w:r>
        <w:rPr>
          <w:color w:val="4C4747"/>
        </w:rPr>
        <w:t>Proyecto de ley sobre persecución y judicialización de las orga</w:t>
      </w:r>
      <w:r>
        <w:rPr>
          <w:color w:val="4C4747"/>
        </w:rPr>
        <w:t>nizaciones criminales.</w:t>
      </w:r>
    </w:p>
    <w:p w:rsidR="00184CAB" w:rsidRDefault="002B1930">
      <w:pPr>
        <w:pStyle w:val="Prrafodelista"/>
        <w:numPr>
          <w:ilvl w:val="0"/>
          <w:numId w:val="12"/>
        </w:numPr>
        <w:spacing w:line="360" w:lineRule="auto"/>
        <w:jc w:val="both"/>
        <w:rPr>
          <w:color w:val="4C4747"/>
        </w:rPr>
      </w:pPr>
      <w:r>
        <w:rPr>
          <w:color w:val="4C4747"/>
        </w:rPr>
        <w:lastRenderedPageBreak/>
        <w:t>Proyecto de ley de atención, presentación legal y protección a víctimas, testigos y sujetos en riesgo.</w:t>
      </w:r>
    </w:p>
    <w:p w:rsidR="00184CAB" w:rsidRDefault="002B1930">
      <w:pPr>
        <w:pStyle w:val="Prrafodelista"/>
        <w:numPr>
          <w:ilvl w:val="0"/>
          <w:numId w:val="12"/>
        </w:numPr>
        <w:spacing w:line="360" w:lineRule="auto"/>
        <w:jc w:val="both"/>
        <w:rPr>
          <w:color w:val="4C4747"/>
          <w:lang w:val="es-ES"/>
        </w:rPr>
      </w:pPr>
      <w:r>
        <w:rPr>
          <w:color w:val="4C4747"/>
          <w:lang w:val="es-ES"/>
        </w:rPr>
        <w:t>Proyecto de ley que fortalece y actualiza la ley general de migración num.285-04 de la republica dominicana.</w:t>
      </w:r>
    </w:p>
    <w:p w:rsidR="00184CAB" w:rsidRDefault="002B1930">
      <w:pPr>
        <w:pStyle w:val="Prrafodelista"/>
        <w:numPr>
          <w:ilvl w:val="0"/>
          <w:numId w:val="12"/>
        </w:numPr>
        <w:spacing w:line="360" w:lineRule="auto"/>
        <w:jc w:val="both"/>
        <w:rPr>
          <w:color w:val="4C4747"/>
        </w:rPr>
      </w:pPr>
      <w:r>
        <w:rPr>
          <w:color w:val="4C4747"/>
        </w:rPr>
        <w:t>Proyecto de ley orgán</w:t>
      </w:r>
      <w:r>
        <w:rPr>
          <w:color w:val="4C4747"/>
        </w:rPr>
        <w:t>ica de libertad de expresión y medios audiovisuales.</w:t>
      </w:r>
    </w:p>
    <w:p w:rsidR="00184CAB" w:rsidRDefault="002B1930">
      <w:pPr>
        <w:pStyle w:val="Prrafodelista"/>
        <w:numPr>
          <w:ilvl w:val="0"/>
          <w:numId w:val="12"/>
        </w:numPr>
        <w:spacing w:line="360" w:lineRule="auto"/>
        <w:jc w:val="both"/>
        <w:rPr>
          <w:color w:val="4C4747"/>
        </w:rPr>
      </w:pPr>
      <w:r>
        <w:rPr>
          <w:color w:val="4C4747"/>
        </w:rPr>
        <w:t xml:space="preserve">Proyecto de ley que regula los juegos de azar. </w:t>
      </w:r>
    </w:p>
    <w:p w:rsidR="00184CAB" w:rsidRDefault="002B1930">
      <w:pPr>
        <w:spacing w:line="360" w:lineRule="auto"/>
        <w:rPr>
          <w:b/>
          <w:color w:val="4C4747"/>
        </w:rPr>
      </w:pPr>
      <w:r>
        <w:rPr>
          <w:b/>
          <w:color w:val="4C4747"/>
        </w:rPr>
        <w:t>Proyecciones para cierre de año:</w:t>
      </w:r>
    </w:p>
    <w:p w:rsidR="00184CAB" w:rsidRDefault="002B1930">
      <w:pPr>
        <w:spacing w:line="360" w:lineRule="auto"/>
        <w:jc w:val="both"/>
        <w:rPr>
          <w:color w:val="4C4747"/>
        </w:rPr>
      </w:pPr>
      <w:r>
        <w:rPr>
          <w:color w:val="4C4747"/>
        </w:rPr>
        <w:t xml:space="preserve">Durante este periodo 2025 teníamos un total de dieciséis (16) iniciativas legislativas, de las cuales fueron aprobadas en </w:t>
      </w:r>
      <w:r>
        <w:rPr>
          <w:color w:val="4C4747"/>
        </w:rPr>
        <w:t>el Congreso Nacional por ambas Cámaras Legislativas un total de tres (3), se espera que trece (13) proyectos pasen a revisión para su posterior seguimiento a través de comisión y su aprobación en la próxima legislatura que iniciará en febrero del año 2026.</w:t>
      </w:r>
    </w:p>
    <w:p w:rsidR="00184CAB" w:rsidRDefault="00184CAB">
      <w:pPr>
        <w:spacing w:line="360" w:lineRule="auto"/>
        <w:jc w:val="both"/>
        <w:rPr>
          <w:color w:val="4C4747"/>
        </w:rPr>
      </w:pPr>
    </w:p>
    <w:p w:rsidR="00184CAB" w:rsidRDefault="002B1930">
      <w:pPr>
        <w:pStyle w:val="Ttulo2"/>
        <w:numPr>
          <w:ilvl w:val="1"/>
          <w:numId w:val="5"/>
        </w:numPr>
        <w:spacing w:line="360" w:lineRule="auto"/>
        <w:jc w:val="both"/>
        <w:rPr>
          <w:b/>
          <w:color w:val="4C4747"/>
          <w:szCs w:val="24"/>
        </w:rPr>
      </w:pPr>
      <w:bookmarkStart w:id="58" w:name="_Toc217043946"/>
      <w:bookmarkStart w:id="59" w:name="_Toc217907917"/>
      <w:bookmarkStart w:id="60" w:name="_Toc217914418"/>
      <w:r>
        <w:rPr>
          <w:b/>
          <w:color w:val="4C4747"/>
          <w:szCs w:val="24"/>
        </w:rPr>
        <w:t>Gestión del Departamento de Archivo Central de la Presidencia</w:t>
      </w:r>
      <w:bookmarkEnd w:id="58"/>
      <w:bookmarkEnd w:id="59"/>
      <w:bookmarkEnd w:id="60"/>
      <w:r>
        <w:rPr>
          <w:b/>
          <w:color w:val="4C4747"/>
          <w:szCs w:val="24"/>
        </w:rPr>
        <w:t xml:space="preserve"> </w:t>
      </w:r>
    </w:p>
    <w:p w:rsidR="00184CAB" w:rsidRDefault="00184CAB"/>
    <w:p w:rsidR="00184CAB" w:rsidRDefault="002B1930">
      <w:pPr>
        <w:spacing w:line="360" w:lineRule="auto"/>
        <w:jc w:val="both"/>
        <w:rPr>
          <w:color w:val="4C4747"/>
        </w:rPr>
      </w:pPr>
      <w:r>
        <w:rPr>
          <w:color w:val="4C4747"/>
        </w:rPr>
        <w:t xml:space="preserve">Durante el periodo actual, el Departamento de Archivo Central de la Presidencia dio cumplimiento a los objetivos institucionales establecidos, consolidando avances significativos en los </w:t>
      </w:r>
      <w:r>
        <w:rPr>
          <w:color w:val="4C4747"/>
        </w:rPr>
        <w:t>procesos de organización, preservación y acceso a la información mediante la documentación oficial que conservamos. A continuación, se presentan los principales resultados:</w:t>
      </w:r>
    </w:p>
    <w:p w:rsidR="00184CAB" w:rsidRDefault="002B1930">
      <w:pPr>
        <w:pStyle w:val="Prrafodelista"/>
        <w:numPr>
          <w:ilvl w:val="6"/>
          <w:numId w:val="11"/>
        </w:numPr>
        <w:spacing w:line="360" w:lineRule="auto"/>
        <w:ind w:left="426" w:firstLine="0"/>
        <w:jc w:val="both"/>
      </w:pPr>
      <w:r>
        <w:rPr>
          <w:b/>
          <w:color w:val="4C4747"/>
        </w:rPr>
        <w:t xml:space="preserve"> Verificación y normalización de documentos</w:t>
      </w:r>
      <w:r>
        <w:rPr>
          <w:color w:val="4C4747"/>
        </w:rPr>
        <w:t xml:space="preserve">: En el período correspondiente, fueron </w:t>
      </w:r>
      <w:r>
        <w:rPr>
          <w:color w:val="4C4747"/>
        </w:rPr>
        <w:t xml:space="preserve">procesadas 1,991 cajas tipo maletín de documentación oficial equivalente a 1,991,000 documentos </w:t>
      </w:r>
      <w:r>
        <w:rPr>
          <w:color w:val="4C4747"/>
        </w:rPr>
        <w:lastRenderedPageBreak/>
        <w:t>provenientes tanto del Archivo Histórico local, la Consultoría Jurídica del Poder Ejecutivo como del Archivo Central.</w:t>
      </w:r>
    </w:p>
    <w:p w:rsidR="00184CAB" w:rsidRDefault="002B1930">
      <w:pPr>
        <w:pStyle w:val="Prrafodelista"/>
        <w:spacing w:line="360" w:lineRule="auto"/>
        <w:ind w:left="426"/>
        <w:jc w:val="both"/>
        <w:rPr>
          <w:color w:val="4C4747"/>
        </w:rPr>
      </w:pPr>
      <w:r>
        <w:rPr>
          <w:color w:val="4C4747"/>
        </w:rPr>
        <w:t>Este proceso incluyó, además, documentos g</w:t>
      </w:r>
      <w:r>
        <w:rPr>
          <w:color w:val="4C4747"/>
        </w:rPr>
        <w:t>enerados por dependencias tales como:</w:t>
      </w:r>
    </w:p>
    <w:p w:rsidR="00184CAB" w:rsidRDefault="002B1930">
      <w:pPr>
        <w:pStyle w:val="Prrafodelista"/>
        <w:numPr>
          <w:ilvl w:val="0"/>
          <w:numId w:val="13"/>
        </w:numPr>
        <w:spacing w:line="360" w:lineRule="auto"/>
        <w:jc w:val="both"/>
        <w:rPr>
          <w:color w:val="4C4747"/>
        </w:rPr>
      </w:pPr>
      <w:r>
        <w:rPr>
          <w:color w:val="4C4747"/>
        </w:rPr>
        <w:t>Despacho Presidencial</w:t>
      </w:r>
    </w:p>
    <w:p w:rsidR="00184CAB" w:rsidRDefault="002B1930">
      <w:pPr>
        <w:pStyle w:val="Prrafodelista"/>
        <w:numPr>
          <w:ilvl w:val="0"/>
          <w:numId w:val="13"/>
        </w:numPr>
        <w:spacing w:line="360" w:lineRule="auto"/>
        <w:jc w:val="both"/>
        <w:rPr>
          <w:color w:val="4C4747"/>
        </w:rPr>
      </w:pPr>
      <w:r>
        <w:rPr>
          <w:color w:val="4C4747"/>
        </w:rPr>
        <w:t>Dirección de Estrategia y Comunicación Gubernamental DIECOM (DICOM–DIAPE)</w:t>
      </w:r>
    </w:p>
    <w:p w:rsidR="00184CAB" w:rsidRDefault="002B1930">
      <w:pPr>
        <w:pStyle w:val="Prrafodelista"/>
        <w:numPr>
          <w:ilvl w:val="0"/>
          <w:numId w:val="13"/>
        </w:numPr>
        <w:spacing w:line="360" w:lineRule="auto"/>
        <w:jc w:val="both"/>
        <w:rPr>
          <w:color w:val="4C4747"/>
          <w:lang w:val="es-ES"/>
        </w:rPr>
      </w:pPr>
      <w:r>
        <w:rPr>
          <w:color w:val="4C4747"/>
          <w:lang w:val="es-ES"/>
        </w:rPr>
        <w:t>Oficina de la Primera Dama</w:t>
      </w:r>
    </w:p>
    <w:p w:rsidR="00184CAB" w:rsidRDefault="002B1930">
      <w:pPr>
        <w:pStyle w:val="Prrafodelista"/>
        <w:numPr>
          <w:ilvl w:val="0"/>
          <w:numId w:val="13"/>
        </w:numPr>
        <w:spacing w:line="360" w:lineRule="auto"/>
        <w:jc w:val="both"/>
        <w:rPr>
          <w:color w:val="4C4747"/>
        </w:rPr>
      </w:pPr>
      <w:r>
        <w:rPr>
          <w:color w:val="4C4747"/>
        </w:rPr>
        <w:t>Viceministerio de Innovación, Transparencia y Atención Ciudadana.</w:t>
      </w:r>
    </w:p>
    <w:p w:rsidR="00184CAB" w:rsidRDefault="002B1930">
      <w:pPr>
        <w:pStyle w:val="Prrafodelista"/>
        <w:numPr>
          <w:ilvl w:val="6"/>
          <w:numId w:val="11"/>
        </w:numPr>
        <w:spacing w:line="360" w:lineRule="auto"/>
        <w:ind w:left="426" w:firstLine="0"/>
        <w:jc w:val="both"/>
      </w:pPr>
      <w:r>
        <w:rPr>
          <w:b/>
          <w:color w:val="4C4747"/>
        </w:rPr>
        <w:t>Atenciones a solicitudes:</w:t>
      </w:r>
      <w:r>
        <w:rPr>
          <w:color w:val="4C4747"/>
        </w:rPr>
        <w:t xml:space="preserve"> Has</w:t>
      </w:r>
      <w:r>
        <w:rPr>
          <w:color w:val="4C4747"/>
        </w:rPr>
        <w:t>ta la fecha, se han emitido 62 respuestas formales a solicitudes provenientes de unidades internas, instituciones externas y ciudadanos canalizados a través de la Oficina de Libre Acceso a la Información Pública.</w:t>
      </w:r>
    </w:p>
    <w:p w:rsidR="00184CAB" w:rsidRDefault="002B1930">
      <w:pPr>
        <w:spacing w:line="360" w:lineRule="auto"/>
        <w:ind w:left="426"/>
        <w:jc w:val="both"/>
        <w:rPr>
          <w:color w:val="4C4747"/>
        </w:rPr>
      </w:pPr>
      <w:r>
        <w:rPr>
          <w:color w:val="4C4747"/>
        </w:rPr>
        <w:t xml:space="preserve">Dichas solicitudes incluyen la búsqueda de </w:t>
      </w:r>
      <w:r>
        <w:rPr>
          <w:color w:val="4C4747"/>
        </w:rPr>
        <w:t>evidencia de haber laborado en el Estado para solicitar pensiones, expedientes de personal inactivo, decretos, resoluciones, planos y otros documentos institucionales, se facilitaron más de 1,500 expedientes conservados en nuestros repositorios documentale</w:t>
      </w:r>
      <w:r>
        <w:rPr>
          <w:color w:val="4C4747"/>
        </w:rPr>
        <w:t>s para fines de consulta por parte de la Cámara de Cuentas, como parte de las auditorías realizadas este año, que incluye los años 2012–2023.</w:t>
      </w:r>
    </w:p>
    <w:p w:rsidR="00184CAB" w:rsidRDefault="002B1930">
      <w:pPr>
        <w:pStyle w:val="Prrafodelista"/>
        <w:numPr>
          <w:ilvl w:val="6"/>
          <w:numId w:val="11"/>
        </w:numPr>
        <w:spacing w:line="360" w:lineRule="auto"/>
        <w:ind w:left="426" w:firstLine="0"/>
        <w:jc w:val="both"/>
      </w:pPr>
      <w:r>
        <w:rPr>
          <w:b/>
          <w:color w:val="4C4747"/>
        </w:rPr>
        <w:t>Transferencias internas:</w:t>
      </w:r>
      <w:r>
        <w:rPr>
          <w:color w:val="4C4747"/>
        </w:rPr>
        <w:t xml:space="preserve"> Durante el año, y como parte de los procedimientos regulares del departamento, se recibie</w:t>
      </w:r>
      <w:r>
        <w:rPr>
          <w:color w:val="4C4747"/>
        </w:rPr>
        <w:t>ron 8 transferencias internas, las cuales totalizaron 850 cajas tipo maletín con documentación que cumplió su ciclo vital en los archivos de gestión.</w:t>
      </w:r>
    </w:p>
    <w:p w:rsidR="00184CAB" w:rsidRDefault="002B1930">
      <w:pPr>
        <w:spacing w:line="360" w:lineRule="auto"/>
        <w:ind w:left="426"/>
        <w:jc w:val="both"/>
        <w:rPr>
          <w:color w:val="4C4747"/>
        </w:rPr>
      </w:pPr>
      <w:r>
        <w:rPr>
          <w:color w:val="4C4747"/>
        </w:rPr>
        <w:lastRenderedPageBreak/>
        <w:t>Estas transferencias fueron remitidas por:</w:t>
      </w:r>
    </w:p>
    <w:p w:rsidR="00184CAB" w:rsidRDefault="002B1930">
      <w:pPr>
        <w:pStyle w:val="Prrafodelista"/>
        <w:numPr>
          <w:ilvl w:val="0"/>
          <w:numId w:val="14"/>
        </w:numPr>
        <w:spacing w:line="360" w:lineRule="auto"/>
        <w:jc w:val="both"/>
        <w:rPr>
          <w:color w:val="4C4747"/>
          <w:lang w:val="es-ES"/>
        </w:rPr>
      </w:pPr>
      <w:r>
        <w:rPr>
          <w:color w:val="4C4747"/>
          <w:lang w:val="es-ES"/>
        </w:rPr>
        <w:t xml:space="preserve">Despacho del </w:t>
      </w:r>
      <w:proofErr w:type="gramStart"/>
      <w:r>
        <w:rPr>
          <w:color w:val="4C4747"/>
          <w:lang w:val="es-ES"/>
        </w:rPr>
        <w:t>Presidente</w:t>
      </w:r>
      <w:proofErr w:type="gramEnd"/>
    </w:p>
    <w:p w:rsidR="00184CAB" w:rsidRDefault="002B1930">
      <w:pPr>
        <w:pStyle w:val="Prrafodelista"/>
        <w:numPr>
          <w:ilvl w:val="0"/>
          <w:numId w:val="14"/>
        </w:numPr>
        <w:spacing w:line="360" w:lineRule="auto"/>
        <w:jc w:val="both"/>
        <w:rPr>
          <w:color w:val="4C4747"/>
          <w:lang w:val="es-ES"/>
        </w:rPr>
      </w:pPr>
      <w:r>
        <w:rPr>
          <w:color w:val="4C4747"/>
          <w:lang w:val="es-ES"/>
        </w:rPr>
        <w:t xml:space="preserve">Dirección de Gestión de Documentos del </w:t>
      </w:r>
      <w:proofErr w:type="gramStart"/>
      <w:r>
        <w:rPr>
          <w:color w:val="4C4747"/>
          <w:lang w:val="es-ES"/>
        </w:rPr>
        <w:t>Ministro</w:t>
      </w:r>
      <w:proofErr w:type="gramEnd"/>
      <w:r>
        <w:rPr>
          <w:color w:val="4C4747"/>
          <w:lang w:val="es-ES"/>
        </w:rPr>
        <w:t xml:space="preserve"> </w:t>
      </w:r>
    </w:p>
    <w:p w:rsidR="00184CAB" w:rsidRDefault="002B1930">
      <w:pPr>
        <w:pStyle w:val="Prrafodelista"/>
        <w:numPr>
          <w:ilvl w:val="0"/>
          <w:numId w:val="14"/>
        </w:numPr>
        <w:spacing w:line="360" w:lineRule="auto"/>
        <w:jc w:val="both"/>
        <w:rPr>
          <w:color w:val="4C4747"/>
        </w:rPr>
      </w:pPr>
      <w:r>
        <w:rPr>
          <w:color w:val="4C4747"/>
        </w:rPr>
        <w:t>Dirección Financiera (Tesorería)</w:t>
      </w:r>
    </w:p>
    <w:p w:rsidR="00184CAB" w:rsidRDefault="002B1930">
      <w:pPr>
        <w:pStyle w:val="Prrafodelista"/>
        <w:numPr>
          <w:ilvl w:val="0"/>
          <w:numId w:val="14"/>
        </w:numPr>
        <w:spacing w:line="360" w:lineRule="auto"/>
        <w:jc w:val="both"/>
        <w:rPr>
          <w:color w:val="4C4747"/>
        </w:rPr>
      </w:pPr>
      <w:r>
        <w:rPr>
          <w:color w:val="4C4747"/>
        </w:rPr>
        <w:t>Dirección de Estrategia y Comunicación Gubernamental DIECOM</w:t>
      </w:r>
    </w:p>
    <w:p w:rsidR="00184CAB" w:rsidRDefault="002B1930">
      <w:pPr>
        <w:pStyle w:val="Prrafodelista"/>
        <w:numPr>
          <w:ilvl w:val="0"/>
          <w:numId w:val="14"/>
        </w:numPr>
        <w:spacing w:line="360" w:lineRule="auto"/>
        <w:jc w:val="both"/>
        <w:rPr>
          <w:color w:val="4C4747"/>
        </w:rPr>
      </w:pPr>
      <w:r>
        <w:rPr>
          <w:color w:val="4C4747"/>
        </w:rPr>
        <w:t>Gestión Social</w:t>
      </w:r>
    </w:p>
    <w:p w:rsidR="00184CAB" w:rsidRDefault="002B1930">
      <w:pPr>
        <w:pStyle w:val="Prrafodelista"/>
        <w:numPr>
          <w:ilvl w:val="0"/>
          <w:numId w:val="14"/>
        </w:numPr>
        <w:spacing w:line="360" w:lineRule="auto"/>
        <w:jc w:val="both"/>
        <w:rPr>
          <w:color w:val="4C4747"/>
          <w:lang w:val="es-ES"/>
        </w:rPr>
      </w:pPr>
      <w:r>
        <w:rPr>
          <w:color w:val="4C4747"/>
          <w:lang w:val="es-ES"/>
        </w:rPr>
        <w:t>Oficina de la Primera Dama</w:t>
      </w:r>
    </w:p>
    <w:p w:rsidR="00184CAB" w:rsidRDefault="002B1930">
      <w:pPr>
        <w:pStyle w:val="Prrafodelista"/>
        <w:numPr>
          <w:ilvl w:val="6"/>
          <w:numId w:val="11"/>
        </w:numPr>
        <w:spacing w:line="360" w:lineRule="auto"/>
        <w:ind w:left="426" w:firstLine="0"/>
        <w:jc w:val="both"/>
      </w:pPr>
      <w:r>
        <w:rPr>
          <w:b/>
          <w:color w:val="4C4747"/>
        </w:rPr>
        <w:t>Transferencia externa al Archivo General de la Nación:</w:t>
      </w:r>
      <w:r>
        <w:rPr>
          <w:color w:val="4C4747"/>
        </w:rPr>
        <w:t xml:space="preserve"> En cumplimiento de las disposiciones contenidas en la </w:t>
      </w:r>
      <w:r>
        <w:rPr>
          <w:color w:val="4C4747"/>
        </w:rPr>
        <w:t>Ley 481-08 y su Reglamento 129-10, se efectuó una transferencia documental hacia el Archivo General de la Nación la cual, estuvo conformada por 758 cajas tipo maletín que contienen documentos históricos correspondientes a los años 1967–1977, así como docum</w:t>
      </w:r>
      <w:r>
        <w:rPr>
          <w:color w:val="4C4747"/>
        </w:rPr>
        <w:t>entación financiera relativa a cheques y libramientos de los años 2011 y 2012, y otra documentación oficial del año 2012.</w:t>
      </w:r>
    </w:p>
    <w:p w:rsidR="00184CAB" w:rsidRDefault="002B1930">
      <w:pPr>
        <w:pStyle w:val="Prrafodelista"/>
        <w:numPr>
          <w:ilvl w:val="6"/>
          <w:numId w:val="11"/>
        </w:numPr>
        <w:spacing w:line="360" w:lineRule="auto"/>
        <w:ind w:left="426" w:firstLine="0"/>
        <w:jc w:val="both"/>
      </w:pPr>
      <w:r>
        <w:rPr>
          <w:b/>
          <w:color w:val="4C4747"/>
        </w:rPr>
        <w:t>Visitas de inspección a archivos de gestión:</w:t>
      </w:r>
      <w:r>
        <w:rPr>
          <w:color w:val="4C4747"/>
        </w:rPr>
        <w:t xml:space="preserve"> En atención a las atribuciones conferidas por el artículo 8 del Reglamento 129-10 de la L</w:t>
      </w:r>
      <w:r>
        <w:rPr>
          <w:color w:val="4C4747"/>
        </w:rPr>
        <w:t>ey 481-08, se ejecutaron 14 visitas de inspección a archivos de gestión internos y externos, a solicitud de las áreas correspondientes.</w:t>
      </w:r>
    </w:p>
    <w:p w:rsidR="00184CAB" w:rsidRDefault="002B1930">
      <w:pPr>
        <w:pStyle w:val="Prrafodelista"/>
        <w:spacing w:line="360" w:lineRule="auto"/>
        <w:ind w:left="426"/>
        <w:jc w:val="both"/>
        <w:rPr>
          <w:color w:val="4C4747"/>
        </w:rPr>
      </w:pPr>
      <w:r>
        <w:rPr>
          <w:color w:val="4C4747"/>
        </w:rPr>
        <w:t>Estas intervenciones tuvieron como finalidad ofrecer acompañamiento técnico, verificar el cumplimiento de los lineamient</w:t>
      </w:r>
      <w:r>
        <w:rPr>
          <w:color w:val="4C4747"/>
        </w:rPr>
        <w:t>os conforme a la ley vigente y garantizar el adecuado tratamiento archivístico y las mejoras en favor de una buena gestión documental.</w:t>
      </w:r>
    </w:p>
    <w:p w:rsidR="00184CAB" w:rsidRDefault="002B1930">
      <w:pPr>
        <w:spacing w:line="360" w:lineRule="auto"/>
        <w:jc w:val="both"/>
        <w:rPr>
          <w:color w:val="4C4747"/>
          <w:lang w:val="es-ES"/>
        </w:rPr>
      </w:pPr>
      <w:r>
        <w:rPr>
          <w:color w:val="4C4747"/>
          <w:lang w:val="es-ES"/>
        </w:rPr>
        <w:lastRenderedPageBreak/>
        <w:t xml:space="preserve">Entre las unidades visitadas se encuentran: Dirección de Gestión de Documentos del </w:t>
      </w:r>
      <w:proofErr w:type="gramStart"/>
      <w:r>
        <w:rPr>
          <w:color w:val="4C4747"/>
          <w:lang w:val="es-ES"/>
        </w:rPr>
        <w:t>Ministro</w:t>
      </w:r>
      <w:proofErr w:type="gramEnd"/>
      <w:r>
        <w:rPr>
          <w:color w:val="4C4747"/>
          <w:lang w:val="es-ES"/>
        </w:rPr>
        <w:t>, Departamento de Tesorería, D</w:t>
      </w:r>
      <w:r>
        <w:rPr>
          <w:color w:val="4C4747"/>
          <w:lang w:val="es-ES"/>
        </w:rPr>
        <w:t xml:space="preserve">espacho del Presidente, Oficina de Enlace del Poder Ejecutivo con la Comunidad Cristiana, Oficina de la Primera Dama, Viceministerio de Gobierno y Sociedad, Dirección de Estrategia y Comunicación Gubernamental (DIECOM), Departamento de Presupuesto, Unidad </w:t>
      </w:r>
      <w:r>
        <w:rPr>
          <w:color w:val="4C4747"/>
          <w:lang w:val="es-ES"/>
        </w:rPr>
        <w:t>Ejecutora para la Readecuación de Barrios y Entornos (URBE) entre otras.</w:t>
      </w:r>
    </w:p>
    <w:p w:rsidR="00184CAB" w:rsidRDefault="002B1930">
      <w:pPr>
        <w:spacing w:line="360" w:lineRule="auto"/>
        <w:jc w:val="both"/>
        <w:rPr>
          <w:color w:val="4C4747"/>
        </w:rPr>
      </w:pPr>
      <w:r>
        <w:rPr>
          <w:color w:val="4C4747"/>
        </w:rPr>
        <w:t>Estas actividades fortalecen la transparencia administrativa y promueven las buenas prácticas archivísticas.</w:t>
      </w:r>
    </w:p>
    <w:p w:rsidR="00184CAB" w:rsidRDefault="00184CAB">
      <w:pPr>
        <w:spacing w:line="360" w:lineRule="auto"/>
        <w:jc w:val="both"/>
        <w:rPr>
          <w:color w:val="4C4747"/>
        </w:rPr>
      </w:pPr>
    </w:p>
    <w:p w:rsidR="00184CAB" w:rsidRDefault="002B1930">
      <w:pPr>
        <w:pStyle w:val="Prrafodelista"/>
        <w:numPr>
          <w:ilvl w:val="6"/>
          <w:numId w:val="11"/>
        </w:numPr>
        <w:spacing w:line="360" w:lineRule="auto"/>
        <w:ind w:left="284" w:hanging="284"/>
        <w:jc w:val="both"/>
      </w:pPr>
      <w:r>
        <w:rPr>
          <w:b/>
          <w:color w:val="4C4747"/>
        </w:rPr>
        <w:t xml:space="preserve">Actividades complementarias: </w:t>
      </w:r>
    </w:p>
    <w:p w:rsidR="00184CAB" w:rsidRDefault="002B1930">
      <w:pPr>
        <w:pStyle w:val="Prrafodelista"/>
        <w:numPr>
          <w:ilvl w:val="0"/>
          <w:numId w:val="15"/>
        </w:numPr>
        <w:spacing w:line="360" w:lineRule="auto"/>
        <w:jc w:val="both"/>
        <w:rPr>
          <w:color w:val="4C4747"/>
        </w:rPr>
      </w:pPr>
      <w:r>
        <w:rPr>
          <w:color w:val="4C4747"/>
        </w:rPr>
        <w:t>Participación como miembros del comité orga</w:t>
      </w:r>
      <w:r>
        <w:rPr>
          <w:color w:val="4C4747"/>
        </w:rPr>
        <w:t>nizador del VIII Encuentro Nacional de Archivo, así como intervención como panelista (moderador del bloque internacional) en dicho evento.</w:t>
      </w:r>
    </w:p>
    <w:p w:rsidR="00184CAB" w:rsidRDefault="002B1930">
      <w:pPr>
        <w:pStyle w:val="Prrafodelista"/>
        <w:numPr>
          <w:ilvl w:val="0"/>
          <w:numId w:val="15"/>
        </w:numPr>
        <w:spacing w:line="360" w:lineRule="auto"/>
        <w:jc w:val="both"/>
        <w:rPr>
          <w:color w:val="4C4747"/>
        </w:rPr>
      </w:pPr>
      <w:r>
        <w:rPr>
          <w:color w:val="4C4747"/>
        </w:rPr>
        <w:t>Desarrollo de reuniones técnicas con el Departamento de Archivo del Ministerio de Industria y Comercio, y a su vez co</w:t>
      </w:r>
      <w:r>
        <w:rPr>
          <w:color w:val="4C4747"/>
        </w:rPr>
        <w:t>n nuestra Dirección de Transformación Digital con el propósito de intercambiar buenas prácticas institucionales (fusión de criterios comunes), en procura de una plataforma artesanal de trabajo archivístico que sea efectivo para ambas instituciones.</w:t>
      </w:r>
    </w:p>
    <w:p w:rsidR="00184CAB" w:rsidRDefault="002B1930">
      <w:pPr>
        <w:pStyle w:val="Prrafodelista"/>
        <w:numPr>
          <w:ilvl w:val="0"/>
          <w:numId w:val="15"/>
        </w:numPr>
        <w:spacing w:line="360" w:lineRule="auto"/>
        <w:jc w:val="both"/>
      </w:pPr>
      <w:r>
        <w:rPr>
          <w:color w:val="4C4747"/>
        </w:rPr>
        <w:t>Partici</w:t>
      </w:r>
      <w:r>
        <w:rPr>
          <w:color w:val="4C4747"/>
        </w:rPr>
        <w:t>pación en el taller sobre Inteligencia Artificial y su Incidencia en la Archivística, impartido por el Archivo General de la Nación.</w:t>
      </w:r>
    </w:p>
    <w:p w:rsidR="00184CAB" w:rsidRDefault="00184CAB">
      <w:pPr>
        <w:spacing w:line="360" w:lineRule="auto"/>
        <w:jc w:val="both"/>
      </w:pPr>
    </w:p>
    <w:p w:rsidR="00184CAB" w:rsidRDefault="00184CAB">
      <w:pPr>
        <w:spacing w:line="360" w:lineRule="auto"/>
        <w:jc w:val="both"/>
      </w:pPr>
    </w:p>
    <w:p w:rsidR="00184CAB" w:rsidRDefault="002B1930">
      <w:pPr>
        <w:spacing w:line="360" w:lineRule="auto"/>
        <w:rPr>
          <w:b/>
          <w:color w:val="4C4747"/>
        </w:rPr>
      </w:pPr>
      <w:r>
        <w:rPr>
          <w:b/>
          <w:color w:val="4C4747"/>
        </w:rPr>
        <w:lastRenderedPageBreak/>
        <w:t>Proyecciones para cierre de año:</w:t>
      </w:r>
    </w:p>
    <w:p w:rsidR="00184CAB" w:rsidRDefault="002B1930">
      <w:pPr>
        <w:spacing w:line="360" w:lineRule="auto"/>
        <w:jc w:val="both"/>
      </w:pPr>
      <w:r>
        <w:rPr>
          <w:color w:val="4B4747"/>
        </w:rPr>
        <w:t>Al cierre del mes de diciembre, se prevé superar las 2,080 cajas procesadas y 67 solicit</w:t>
      </w:r>
      <w:r>
        <w:rPr>
          <w:color w:val="4B4747"/>
        </w:rPr>
        <w:t xml:space="preserve">udes atendidas, aumentando la capacidad de respuesta y la calidad de los repositorios documentales. El 2025 mantuvo un volumen alto de procesamiento documental, equivalente al </w:t>
      </w:r>
      <w:r>
        <w:rPr>
          <w:b/>
          <w:bCs/>
          <w:color w:val="4B4747"/>
        </w:rPr>
        <w:t>81% del nivel de 2024</w:t>
      </w:r>
      <w:r>
        <w:rPr>
          <w:color w:val="4B4747"/>
        </w:rPr>
        <w:t>, pese a la reducción en transferencias históricas y la reo</w:t>
      </w:r>
      <w:r>
        <w:rPr>
          <w:color w:val="4B4747"/>
        </w:rPr>
        <w:t>rganización interna del ministerio.</w:t>
      </w:r>
    </w:p>
    <w:p w:rsidR="00184CAB" w:rsidRDefault="00184CAB">
      <w:pPr>
        <w:spacing w:line="360" w:lineRule="auto"/>
        <w:jc w:val="both"/>
      </w:pPr>
    </w:p>
    <w:p w:rsidR="00184CAB" w:rsidRDefault="002B1930">
      <w:pPr>
        <w:pStyle w:val="Ttulo2"/>
        <w:numPr>
          <w:ilvl w:val="1"/>
          <w:numId w:val="5"/>
        </w:numPr>
        <w:spacing w:line="360" w:lineRule="auto"/>
        <w:jc w:val="both"/>
      </w:pPr>
      <w:bookmarkStart w:id="61" w:name="_Toc217043947"/>
      <w:bookmarkStart w:id="62" w:name="_Toc217907918"/>
      <w:bookmarkStart w:id="63" w:name="_Toc217914419"/>
      <w:r>
        <w:rPr>
          <w:b/>
          <w:color w:val="4C4747"/>
          <w:szCs w:val="24"/>
        </w:rPr>
        <w:t>Gestión de la Dirección de Gestión de Documentos del</w:t>
      </w:r>
      <w:bookmarkEnd w:id="61"/>
      <w:bookmarkEnd w:id="62"/>
      <w:bookmarkEnd w:id="63"/>
      <w:r>
        <w:rPr>
          <w:b/>
          <w:color w:val="4C4747"/>
          <w:szCs w:val="24"/>
        </w:rPr>
        <w:t xml:space="preserve">   </w:t>
      </w:r>
    </w:p>
    <w:p w:rsidR="00184CAB" w:rsidRDefault="002B1930">
      <w:pPr>
        <w:pStyle w:val="Ttulo2"/>
        <w:spacing w:line="360" w:lineRule="auto"/>
        <w:ind w:left="1080"/>
        <w:jc w:val="both"/>
        <w:rPr>
          <w:b/>
          <w:color w:val="4C4747"/>
          <w:szCs w:val="24"/>
        </w:rPr>
      </w:pPr>
      <w:r>
        <w:rPr>
          <w:b/>
          <w:color w:val="4C4747"/>
          <w:szCs w:val="24"/>
        </w:rPr>
        <w:t xml:space="preserve"> </w:t>
      </w:r>
      <w:bookmarkStart w:id="64" w:name="_Toc217043948"/>
      <w:bookmarkStart w:id="65" w:name="_Toc217907919"/>
      <w:bookmarkStart w:id="66" w:name="_Toc217914420"/>
      <w:r>
        <w:rPr>
          <w:b/>
          <w:color w:val="4C4747"/>
          <w:szCs w:val="24"/>
        </w:rPr>
        <w:t>Ministro</w:t>
      </w:r>
      <w:bookmarkEnd w:id="64"/>
      <w:bookmarkEnd w:id="65"/>
      <w:bookmarkEnd w:id="66"/>
      <w:r>
        <w:rPr>
          <w:b/>
          <w:color w:val="4C4747"/>
          <w:szCs w:val="24"/>
        </w:rPr>
        <w:t xml:space="preserve"> </w:t>
      </w:r>
    </w:p>
    <w:p w:rsidR="00184CAB" w:rsidRDefault="00184CAB"/>
    <w:p w:rsidR="00184CAB" w:rsidRDefault="002B1930">
      <w:pPr>
        <w:spacing w:line="360" w:lineRule="auto"/>
        <w:jc w:val="both"/>
        <w:rPr>
          <w:color w:val="4C4747"/>
          <w:lang w:val="es-ES"/>
        </w:rPr>
      </w:pPr>
      <w:r>
        <w:rPr>
          <w:color w:val="4C4747"/>
          <w:lang w:val="es-ES"/>
        </w:rPr>
        <w:t xml:space="preserve">En su misión de garantizar el funcionamiento óptimo de la gestión de documentos y a fin de lograr mayor transparencia y dar respuesta oportuna a las </w:t>
      </w:r>
      <w:r>
        <w:rPr>
          <w:color w:val="4C4747"/>
          <w:lang w:val="es-ES"/>
        </w:rPr>
        <w:t xml:space="preserve">necesidades de las instituciones públicas y privadas, así como también a la ciudadanía, la Dirección de Gestión de Documentos del </w:t>
      </w:r>
      <w:proofErr w:type="gramStart"/>
      <w:r>
        <w:rPr>
          <w:color w:val="4C4747"/>
          <w:lang w:val="es-ES"/>
        </w:rPr>
        <w:t>Ministro</w:t>
      </w:r>
      <w:proofErr w:type="gramEnd"/>
      <w:r>
        <w:rPr>
          <w:color w:val="4C4747"/>
          <w:lang w:val="es-ES"/>
        </w:rPr>
        <w:t xml:space="preserve"> se ocupa de supervisar la recepción, registro, clasificación y remisión oportuna de la correspondencia externa e inte</w:t>
      </w:r>
      <w:r>
        <w:rPr>
          <w:color w:val="4C4747"/>
          <w:lang w:val="es-ES"/>
        </w:rPr>
        <w:t>rna que son recibidas en el Despacho del Ministro Administrativo de la Presidencia.</w:t>
      </w:r>
      <w:bookmarkStart w:id="67" w:name="_Hlk216103314"/>
    </w:p>
    <w:p w:rsidR="00184CAB" w:rsidRDefault="002B1930">
      <w:pPr>
        <w:spacing w:line="360" w:lineRule="auto"/>
        <w:jc w:val="both"/>
        <w:rPr>
          <w:color w:val="4C4747"/>
          <w:lang w:val="es-ES"/>
        </w:rPr>
      </w:pPr>
      <w:r>
        <w:rPr>
          <w:color w:val="4C4747"/>
          <w:lang w:val="es-ES"/>
        </w:rPr>
        <w:t>De acuerdo a la clasificación realizada durante este periodo, esta Dirección obtuvo como resultado la siguiente cantidad de registros documentales:</w:t>
      </w:r>
    </w:p>
    <w:tbl>
      <w:tblPr>
        <w:tblW w:w="7928" w:type="dxa"/>
        <w:tblCellMar>
          <w:left w:w="10" w:type="dxa"/>
          <w:right w:w="10" w:type="dxa"/>
        </w:tblCellMar>
        <w:tblLook w:val="0000" w:firstRow="0" w:lastRow="0" w:firstColumn="0" w:lastColumn="0" w:noHBand="0" w:noVBand="0"/>
      </w:tblPr>
      <w:tblGrid>
        <w:gridCol w:w="5950"/>
        <w:gridCol w:w="1978"/>
      </w:tblGrid>
      <w:tr w:rsidR="00184CAB">
        <w:tblPrEx>
          <w:tblCellMar>
            <w:top w:w="0" w:type="dxa"/>
            <w:bottom w:w="0" w:type="dxa"/>
          </w:tblCellMar>
        </w:tblPrEx>
        <w:trPr>
          <w:trHeight w:val="274"/>
        </w:trPr>
        <w:tc>
          <w:tcPr>
            <w:tcW w:w="7928" w:type="dxa"/>
            <w:gridSpan w:val="2"/>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bCs/>
                <w:color w:val="FFFFFF"/>
                <w:sz w:val="19"/>
                <w:szCs w:val="19"/>
              </w:rPr>
            </w:pPr>
            <w:r>
              <w:rPr>
                <w:b/>
                <w:bCs/>
                <w:color w:val="FFFFFF"/>
                <w:sz w:val="19"/>
                <w:szCs w:val="19"/>
              </w:rPr>
              <w:t xml:space="preserve">Tabla no. 9 de Relación </w:t>
            </w:r>
            <w:r>
              <w:rPr>
                <w:b/>
                <w:bCs/>
                <w:color w:val="FFFFFF"/>
                <w:sz w:val="19"/>
                <w:szCs w:val="19"/>
              </w:rPr>
              <w:t>de registros documentales realizados durante el periodo enero-noviembre 2025</w:t>
            </w:r>
          </w:p>
        </w:tc>
      </w:tr>
      <w:tr w:rsidR="00184CAB">
        <w:tblPrEx>
          <w:tblCellMar>
            <w:top w:w="0" w:type="dxa"/>
            <w:bottom w:w="0" w:type="dxa"/>
          </w:tblCellMar>
        </w:tblPrEx>
        <w:trPr>
          <w:trHeight w:val="274"/>
        </w:trPr>
        <w:tc>
          <w:tcPr>
            <w:tcW w:w="5950"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rPr>
                <w:b/>
                <w:bCs/>
                <w:color w:val="FFFFFF"/>
                <w:sz w:val="19"/>
                <w:szCs w:val="19"/>
              </w:rPr>
            </w:pPr>
            <w:r>
              <w:rPr>
                <w:b/>
                <w:bCs/>
                <w:color w:val="FFFFFF"/>
                <w:sz w:val="19"/>
                <w:szCs w:val="19"/>
              </w:rPr>
              <w:t>Tipo</w:t>
            </w:r>
          </w:p>
        </w:tc>
        <w:tc>
          <w:tcPr>
            <w:tcW w:w="197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rPr>
                <w:b/>
                <w:color w:val="FFFFFF"/>
                <w:sz w:val="19"/>
                <w:szCs w:val="19"/>
              </w:rPr>
            </w:pPr>
            <w:r>
              <w:rPr>
                <w:b/>
                <w:color w:val="FFFFFF"/>
                <w:sz w:val="19"/>
                <w:szCs w:val="19"/>
              </w:rPr>
              <w:t>Cantidad</w:t>
            </w:r>
          </w:p>
        </w:tc>
      </w:tr>
      <w:tr w:rsidR="00184CAB">
        <w:tblPrEx>
          <w:tblCellMar>
            <w:top w:w="0" w:type="dxa"/>
            <w:bottom w:w="0" w:type="dxa"/>
          </w:tblCellMar>
        </w:tblPrEx>
        <w:tc>
          <w:tcPr>
            <w:tcW w:w="5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rPr>
                <w:bCs/>
                <w:color w:val="4B4747"/>
                <w:sz w:val="19"/>
                <w:szCs w:val="19"/>
              </w:rPr>
            </w:pPr>
            <w:r>
              <w:rPr>
                <w:bCs/>
                <w:color w:val="4B4747"/>
                <w:sz w:val="19"/>
                <w:szCs w:val="19"/>
              </w:rPr>
              <w:t>Comunicaciones recibidas</w:t>
            </w: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rPr>
                <w:color w:val="4B4747"/>
                <w:sz w:val="19"/>
                <w:szCs w:val="19"/>
              </w:rPr>
            </w:pPr>
            <w:r>
              <w:rPr>
                <w:color w:val="4B4747"/>
                <w:sz w:val="19"/>
                <w:szCs w:val="19"/>
              </w:rPr>
              <w:t>8252</w:t>
            </w:r>
          </w:p>
        </w:tc>
      </w:tr>
      <w:tr w:rsidR="00184CAB">
        <w:tblPrEx>
          <w:tblCellMar>
            <w:top w:w="0" w:type="dxa"/>
            <w:bottom w:w="0" w:type="dxa"/>
          </w:tblCellMar>
        </w:tblPrEx>
        <w:tc>
          <w:tcPr>
            <w:tcW w:w="5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rPr>
                <w:bCs/>
                <w:color w:val="4B4747"/>
                <w:sz w:val="19"/>
                <w:szCs w:val="19"/>
              </w:rPr>
            </w:pPr>
            <w:r>
              <w:rPr>
                <w:bCs/>
                <w:color w:val="4B4747"/>
                <w:sz w:val="19"/>
                <w:szCs w:val="19"/>
              </w:rPr>
              <w:t>Comunicaciones enviadas</w:t>
            </w: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rPr>
                <w:color w:val="4B4747"/>
                <w:sz w:val="19"/>
                <w:szCs w:val="19"/>
              </w:rPr>
            </w:pPr>
            <w:r>
              <w:rPr>
                <w:color w:val="4B4747"/>
                <w:sz w:val="19"/>
                <w:szCs w:val="19"/>
              </w:rPr>
              <w:t>2409</w:t>
            </w:r>
          </w:p>
        </w:tc>
      </w:tr>
      <w:tr w:rsidR="00184CAB">
        <w:tblPrEx>
          <w:tblCellMar>
            <w:top w:w="0" w:type="dxa"/>
            <w:bottom w:w="0" w:type="dxa"/>
          </w:tblCellMar>
        </w:tblPrEx>
        <w:tc>
          <w:tcPr>
            <w:tcW w:w="5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rPr>
                <w:bCs/>
                <w:color w:val="4B4747"/>
                <w:sz w:val="19"/>
                <w:szCs w:val="19"/>
              </w:rPr>
            </w:pPr>
            <w:r>
              <w:rPr>
                <w:bCs/>
                <w:color w:val="4B4747"/>
                <w:sz w:val="19"/>
                <w:szCs w:val="19"/>
              </w:rPr>
              <w:t>Oficios elaborados</w:t>
            </w: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rPr>
                <w:color w:val="4B4747"/>
                <w:sz w:val="19"/>
                <w:szCs w:val="19"/>
              </w:rPr>
            </w:pPr>
            <w:r>
              <w:rPr>
                <w:color w:val="4B4747"/>
                <w:sz w:val="19"/>
                <w:szCs w:val="19"/>
              </w:rPr>
              <w:t>3143</w:t>
            </w:r>
          </w:p>
        </w:tc>
      </w:tr>
      <w:tr w:rsidR="00184CAB">
        <w:tblPrEx>
          <w:tblCellMar>
            <w:top w:w="0" w:type="dxa"/>
            <w:bottom w:w="0" w:type="dxa"/>
          </w:tblCellMar>
        </w:tblPrEx>
        <w:tc>
          <w:tcPr>
            <w:tcW w:w="5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rPr>
                <w:bCs/>
                <w:color w:val="4B4747"/>
                <w:sz w:val="19"/>
                <w:szCs w:val="19"/>
              </w:rPr>
            </w:pPr>
            <w:r>
              <w:rPr>
                <w:bCs/>
                <w:color w:val="4B4747"/>
                <w:sz w:val="19"/>
                <w:szCs w:val="19"/>
              </w:rPr>
              <w:t>Fondo Documental</w:t>
            </w: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rPr>
                <w:color w:val="4B4747"/>
                <w:sz w:val="19"/>
                <w:szCs w:val="19"/>
              </w:rPr>
            </w:pPr>
            <w:r>
              <w:rPr>
                <w:color w:val="4B4747"/>
                <w:sz w:val="19"/>
                <w:szCs w:val="19"/>
              </w:rPr>
              <w:t>4484</w:t>
            </w:r>
          </w:p>
        </w:tc>
      </w:tr>
      <w:tr w:rsidR="00184CAB">
        <w:tblPrEx>
          <w:tblCellMar>
            <w:top w:w="0" w:type="dxa"/>
            <w:bottom w:w="0" w:type="dxa"/>
          </w:tblCellMar>
        </w:tblPrEx>
        <w:tc>
          <w:tcPr>
            <w:tcW w:w="5950"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rPr>
                <w:b/>
                <w:bCs/>
                <w:color w:val="FFFFFF"/>
                <w:sz w:val="19"/>
                <w:szCs w:val="19"/>
              </w:rPr>
            </w:pPr>
            <w:r>
              <w:rPr>
                <w:b/>
                <w:bCs/>
                <w:color w:val="FFFFFF"/>
                <w:sz w:val="19"/>
                <w:szCs w:val="19"/>
              </w:rPr>
              <w:t>Total</w:t>
            </w:r>
          </w:p>
        </w:tc>
        <w:tc>
          <w:tcPr>
            <w:tcW w:w="197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pPr>
            <w:r>
              <w:rPr>
                <w:b/>
                <w:color w:val="FFFFFF"/>
                <w:sz w:val="19"/>
                <w:szCs w:val="19"/>
              </w:rPr>
              <w:t>11,345</w:t>
            </w:r>
          </w:p>
        </w:tc>
      </w:tr>
    </w:tbl>
    <w:p w:rsidR="00184CAB" w:rsidRDefault="002B1930">
      <w:pPr>
        <w:spacing w:line="240" w:lineRule="auto"/>
        <w:jc w:val="both"/>
        <w:rPr>
          <w:i/>
          <w:color w:val="4C4747"/>
          <w:sz w:val="18"/>
          <w:szCs w:val="18"/>
          <w:lang w:val="es-ES"/>
        </w:rPr>
      </w:pPr>
      <w:r>
        <w:rPr>
          <w:i/>
          <w:color w:val="4C4747"/>
          <w:sz w:val="18"/>
          <w:szCs w:val="18"/>
          <w:lang w:val="es-ES"/>
        </w:rPr>
        <w:t xml:space="preserve">Fuente: Informe correspondiente al </w:t>
      </w:r>
      <w:r>
        <w:rPr>
          <w:i/>
          <w:color w:val="4C4747"/>
          <w:sz w:val="18"/>
          <w:szCs w:val="18"/>
          <w:lang w:val="es-ES"/>
        </w:rPr>
        <w:t xml:space="preserve">periodo enero – noviembre 2025 de la Dirección Gestión de Documentos del </w:t>
      </w:r>
      <w:proofErr w:type="gramStart"/>
      <w:r>
        <w:rPr>
          <w:i/>
          <w:color w:val="4C4747"/>
          <w:sz w:val="18"/>
          <w:szCs w:val="18"/>
          <w:lang w:val="es-ES"/>
        </w:rPr>
        <w:t>Ministro</w:t>
      </w:r>
      <w:proofErr w:type="gramEnd"/>
      <w:r>
        <w:rPr>
          <w:i/>
          <w:color w:val="4C4747"/>
          <w:sz w:val="18"/>
          <w:szCs w:val="18"/>
          <w:lang w:val="es-ES"/>
        </w:rPr>
        <w:t>.</w:t>
      </w:r>
      <w:bookmarkEnd w:id="67"/>
    </w:p>
    <w:p w:rsidR="00184CAB" w:rsidRDefault="00184CAB">
      <w:pPr>
        <w:spacing w:line="360" w:lineRule="auto"/>
        <w:jc w:val="both"/>
        <w:rPr>
          <w:color w:val="4B4747"/>
          <w:lang w:val="es-DO"/>
        </w:rPr>
      </w:pPr>
    </w:p>
    <w:p w:rsidR="00184CAB" w:rsidRDefault="002B1930">
      <w:pPr>
        <w:spacing w:line="360" w:lineRule="auto"/>
        <w:jc w:val="both"/>
      </w:pPr>
      <w:r>
        <w:rPr>
          <w:b/>
          <w:color w:val="4C4747"/>
        </w:rPr>
        <w:lastRenderedPageBreak/>
        <w:t xml:space="preserve">Proyecciones para cierre de año: </w:t>
      </w:r>
      <w:r>
        <w:rPr>
          <w:color w:val="4B4747"/>
          <w:lang w:val="es-DO"/>
        </w:rPr>
        <w:t xml:space="preserve">Para el mes de diciembre, se estima un cierre anual superior a 12,400 registros, sosteniendo la tendencia de crecimiento respecto al 2024, </w:t>
      </w:r>
      <w:r>
        <w:rPr>
          <w:color w:val="4B4747"/>
        </w:rPr>
        <w:t xml:space="preserve">lo que representa un crecimiento aproximado del </w:t>
      </w:r>
      <w:r>
        <w:rPr>
          <w:bCs/>
          <w:color w:val="4B4747"/>
        </w:rPr>
        <w:t>15–18%</w:t>
      </w:r>
      <w:r>
        <w:rPr>
          <w:color w:val="4B4747"/>
        </w:rPr>
        <w:t xml:space="preserve"> respecto al comportamiento promedio del año anterior.</w:t>
      </w:r>
    </w:p>
    <w:p w:rsidR="00184CAB" w:rsidRDefault="00184CAB">
      <w:pPr>
        <w:spacing w:line="360" w:lineRule="auto"/>
        <w:jc w:val="both"/>
      </w:pPr>
    </w:p>
    <w:p w:rsidR="00184CAB" w:rsidRDefault="002B1930">
      <w:pPr>
        <w:pStyle w:val="Ttulo2"/>
        <w:numPr>
          <w:ilvl w:val="1"/>
          <w:numId w:val="5"/>
        </w:numPr>
        <w:spacing w:line="360" w:lineRule="auto"/>
        <w:jc w:val="both"/>
        <w:rPr>
          <w:b/>
          <w:color w:val="4C4747"/>
          <w:szCs w:val="24"/>
        </w:rPr>
      </w:pPr>
      <w:bookmarkStart w:id="68" w:name="_Toc217043949"/>
      <w:bookmarkStart w:id="69" w:name="_Toc217907920"/>
      <w:bookmarkStart w:id="70" w:name="_Toc217914421"/>
      <w:r>
        <w:rPr>
          <w:b/>
          <w:color w:val="4C4747"/>
          <w:szCs w:val="24"/>
        </w:rPr>
        <w:t>Gestión del Departamento de Edecanes</w:t>
      </w:r>
      <w:bookmarkEnd w:id="68"/>
      <w:bookmarkEnd w:id="69"/>
      <w:bookmarkEnd w:id="70"/>
    </w:p>
    <w:p w:rsidR="00184CAB" w:rsidRDefault="00184CAB">
      <w:pPr>
        <w:spacing w:line="360" w:lineRule="auto"/>
        <w:jc w:val="both"/>
        <w:rPr>
          <w:color w:val="4C4747"/>
        </w:rPr>
      </w:pPr>
    </w:p>
    <w:p w:rsidR="00184CAB" w:rsidRDefault="002B1930">
      <w:pPr>
        <w:spacing w:line="360" w:lineRule="auto"/>
        <w:jc w:val="both"/>
        <w:rPr>
          <w:color w:val="4C4747"/>
        </w:rPr>
      </w:pPr>
      <w:r>
        <w:rPr>
          <w:color w:val="4C4747"/>
        </w:rPr>
        <w:t>El Departamento de Edecanes de la Dirección de Atención Ciudadana como área responsable de la coordinación y</w:t>
      </w:r>
      <w:r>
        <w:rPr>
          <w:color w:val="4C4747"/>
        </w:rPr>
        <w:t xml:space="preserve"> ejecución de los recorridos históricos-culturales, durante el año 2025, recibió a más de 7,702 visitantes, distribuidos en más de 394 grupos en sus diferentes tipos: estudiantiles, instituciones, público general y visitas no programadas.</w:t>
      </w:r>
    </w:p>
    <w:p w:rsidR="00184CAB" w:rsidRDefault="002B1930">
      <w:pPr>
        <w:spacing w:line="360" w:lineRule="auto"/>
        <w:jc w:val="both"/>
        <w:rPr>
          <w:color w:val="4C4747"/>
          <w:lang w:val="es-ES"/>
        </w:rPr>
      </w:pPr>
      <w:r>
        <w:rPr>
          <w:color w:val="4C4747"/>
          <w:lang w:val="es-ES"/>
        </w:rPr>
        <w:t>Recibimos un tota</w:t>
      </w:r>
      <w:r>
        <w:rPr>
          <w:color w:val="4C4747"/>
          <w:lang w:val="es-ES"/>
        </w:rPr>
        <w:t>l de 126 visitas guiadas donde estudiantes de todo el país recorrieron los emblemáticos salones del Palacio Nacional gracias a la coordinación realizada por el Viceministerio de Relaciones Interinstitucionales con los Poderes del Estado a través de las Gob</w:t>
      </w:r>
      <w:r>
        <w:rPr>
          <w:color w:val="4C4747"/>
          <w:lang w:val="es-ES"/>
        </w:rPr>
        <w:t>ernaciones Provinciales y las invitaciones realizadas por El Ministro Administrativo de la Presidencia a varios centros educativos de la Provincia Espaillat.</w:t>
      </w:r>
    </w:p>
    <w:p w:rsidR="00184CAB" w:rsidRDefault="002B1930">
      <w:pPr>
        <w:spacing w:line="360" w:lineRule="auto"/>
        <w:jc w:val="both"/>
        <w:rPr>
          <w:color w:val="4C4747"/>
        </w:rPr>
      </w:pPr>
      <w:r>
        <w:rPr>
          <w:color w:val="4C4747"/>
        </w:rPr>
        <w:t>Destacamos además que este servicio es ofrecido en los idiomas inglés, francés, italiano y portugu</w:t>
      </w:r>
      <w:r>
        <w:rPr>
          <w:color w:val="4C4747"/>
        </w:rPr>
        <w:t>és, por lo que detallamos a continuación el total de estos recorridos detallados:</w:t>
      </w:r>
    </w:p>
    <w:p w:rsidR="00184CAB" w:rsidRDefault="00184CAB">
      <w:pPr>
        <w:spacing w:line="360" w:lineRule="auto"/>
        <w:jc w:val="both"/>
        <w:rPr>
          <w:color w:val="4C4747"/>
        </w:rPr>
      </w:pPr>
    </w:p>
    <w:p w:rsidR="00184CAB" w:rsidRDefault="00184CAB">
      <w:pPr>
        <w:spacing w:line="360" w:lineRule="auto"/>
        <w:jc w:val="both"/>
        <w:rPr>
          <w:color w:val="4C4747"/>
        </w:rPr>
      </w:pPr>
    </w:p>
    <w:tbl>
      <w:tblPr>
        <w:tblW w:w="7920" w:type="dxa"/>
        <w:tblCellMar>
          <w:left w:w="10" w:type="dxa"/>
          <w:right w:w="10" w:type="dxa"/>
        </w:tblCellMar>
        <w:tblLook w:val="0000" w:firstRow="0" w:lastRow="0" w:firstColumn="0" w:lastColumn="0" w:noHBand="0" w:noVBand="0"/>
      </w:tblPr>
      <w:tblGrid>
        <w:gridCol w:w="1841"/>
        <w:gridCol w:w="3262"/>
        <w:gridCol w:w="2817"/>
      </w:tblGrid>
      <w:tr w:rsidR="00184CAB">
        <w:tblPrEx>
          <w:tblCellMar>
            <w:top w:w="0" w:type="dxa"/>
            <w:bottom w:w="0" w:type="dxa"/>
          </w:tblCellMar>
        </w:tblPrEx>
        <w:trPr>
          <w:trHeight w:val="793"/>
        </w:trPr>
        <w:tc>
          <w:tcPr>
            <w:tcW w:w="7920" w:type="dxa"/>
            <w:gridSpan w:val="3"/>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pPr>
            <w:r>
              <w:rPr>
                <w:b/>
                <w:bCs/>
                <w:color w:val="FFFFFF"/>
                <w:sz w:val="19"/>
                <w:szCs w:val="19"/>
              </w:rPr>
              <w:lastRenderedPageBreak/>
              <w:t>Tabla no. 10 sobre relación de recorridos realizados en idiomas extranjeros durante el periodo anual 2025</w:t>
            </w:r>
          </w:p>
        </w:tc>
      </w:tr>
      <w:tr w:rsidR="00184CAB">
        <w:tblPrEx>
          <w:tblCellMar>
            <w:top w:w="0" w:type="dxa"/>
            <w:bottom w:w="0" w:type="dxa"/>
          </w:tblCellMar>
        </w:tblPrEx>
        <w:trPr>
          <w:trHeight w:val="793"/>
        </w:trPr>
        <w:tc>
          <w:tcPr>
            <w:tcW w:w="1841"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bCs/>
                <w:color w:val="FFFFFF"/>
                <w:sz w:val="19"/>
                <w:szCs w:val="19"/>
              </w:rPr>
            </w:pPr>
            <w:r>
              <w:rPr>
                <w:b/>
                <w:bCs/>
                <w:color w:val="FFFFFF"/>
                <w:sz w:val="19"/>
                <w:szCs w:val="19"/>
              </w:rPr>
              <w:t>Idiomas</w:t>
            </w:r>
          </w:p>
        </w:tc>
        <w:tc>
          <w:tcPr>
            <w:tcW w:w="3262"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Cantidad de recorridos realizados</w:t>
            </w:r>
          </w:p>
        </w:tc>
        <w:tc>
          <w:tcPr>
            <w:tcW w:w="2817"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Cantidad total de Benef</w:t>
            </w:r>
            <w:r>
              <w:rPr>
                <w:b/>
                <w:color w:val="FFFFFF"/>
                <w:sz w:val="19"/>
                <w:szCs w:val="19"/>
              </w:rPr>
              <w:t>iciarios</w:t>
            </w:r>
          </w:p>
        </w:tc>
      </w:tr>
      <w:tr w:rsidR="00184CAB">
        <w:tblPrEx>
          <w:tblCellMar>
            <w:top w:w="0" w:type="dxa"/>
            <w:bottom w:w="0" w:type="dxa"/>
          </w:tblCellMar>
        </w:tblPrEx>
        <w:trPr>
          <w:trHeight w:val="407"/>
        </w:trPr>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bCs/>
                <w:color w:val="4B4747"/>
                <w:sz w:val="19"/>
                <w:szCs w:val="19"/>
              </w:rPr>
            </w:pPr>
            <w:r>
              <w:rPr>
                <w:bCs/>
                <w:color w:val="4B4747"/>
                <w:sz w:val="19"/>
                <w:szCs w:val="19"/>
              </w:rPr>
              <w:t>Inglés</w:t>
            </w:r>
          </w:p>
        </w:tc>
        <w:tc>
          <w:tcPr>
            <w:tcW w:w="3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B4747"/>
                <w:sz w:val="19"/>
                <w:szCs w:val="19"/>
              </w:rPr>
            </w:pPr>
            <w:r>
              <w:rPr>
                <w:color w:val="4B4747"/>
                <w:sz w:val="19"/>
                <w:szCs w:val="19"/>
              </w:rPr>
              <w:t>19</w:t>
            </w:r>
          </w:p>
        </w:tc>
        <w:tc>
          <w:tcPr>
            <w:tcW w:w="2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B4747"/>
                <w:sz w:val="19"/>
                <w:szCs w:val="19"/>
              </w:rPr>
            </w:pPr>
            <w:r>
              <w:rPr>
                <w:color w:val="4B4747"/>
                <w:sz w:val="19"/>
                <w:szCs w:val="19"/>
              </w:rPr>
              <w:t>180</w:t>
            </w:r>
          </w:p>
        </w:tc>
      </w:tr>
      <w:tr w:rsidR="00184CAB">
        <w:tblPrEx>
          <w:tblCellMar>
            <w:top w:w="0" w:type="dxa"/>
            <w:bottom w:w="0" w:type="dxa"/>
          </w:tblCellMar>
        </w:tblPrEx>
        <w:trPr>
          <w:trHeight w:val="386"/>
        </w:trPr>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bCs/>
                <w:color w:val="4B4747"/>
                <w:sz w:val="19"/>
                <w:szCs w:val="19"/>
              </w:rPr>
            </w:pPr>
            <w:r>
              <w:rPr>
                <w:bCs/>
                <w:color w:val="4B4747"/>
                <w:sz w:val="19"/>
                <w:szCs w:val="19"/>
              </w:rPr>
              <w:t>Francés</w:t>
            </w:r>
          </w:p>
        </w:tc>
        <w:tc>
          <w:tcPr>
            <w:tcW w:w="3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B4747"/>
                <w:sz w:val="19"/>
                <w:szCs w:val="19"/>
              </w:rPr>
            </w:pPr>
            <w:r>
              <w:rPr>
                <w:color w:val="4B4747"/>
                <w:sz w:val="19"/>
                <w:szCs w:val="19"/>
              </w:rPr>
              <w:t>3</w:t>
            </w:r>
          </w:p>
        </w:tc>
        <w:tc>
          <w:tcPr>
            <w:tcW w:w="2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B4747"/>
                <w:sz w:val="19"/>
                <w:szCs w:val="19"/>
              </w:rPr>
            </w:pPr>
            <w:r>
              <w:rPr>
                <w:color w:val="4B4747"/>
                <w:sz w:val="19"/>
                <w:szCs w:val="19"/>
              </w:rPr>
              <w:t>31</w:t>
            </w:r>
          </w:p>
        </w:tc>
      </w:tr>
      <w:tr w:rsidR="00184CAB">
        <w:tblPrEx>
          <w:tblCellMar>
            <w:top w:w="0" w:type="dxa"/>
            <w:bottom w:w="0" w:type="dxa"/>
          </w:tblCellMar>
        </w:tblPrEx>
        <w:trPr>
          <w:trHeight w:val="407"/>
        </w:trPr>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bCs/>
                <w:color w:val="4B4747"/>
                <w:sz w:val="19"/>
                <w:szCs w:val="19"/>
              </w:rPr>
            </w:pPr>
            <w:r>
              <w:rPr>
                <w:bCs/>
                <w:color w:val="4B4747"/>
                <w:sz w:val="19"/>
                <w:szCs w:val="19"/>
              </w:rPr>
              <w:t>Italiano</w:t>
            </w:r>
          </w:p>
        </w:tc>
        <w:tc>
          <w:tcPr>
            <w:tcW w:w="3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B4747"/>
                <w:sz w:val="19"/>
                <w:szCs w:val="19"/>
              </w:rPr>
            </w:pPr>
            <w:r>
              <w:rPr>
                <w:color w:val="4B4747"/>
                <w:sz w:val="19"/>
                <w:szCs w:val="19"/>
              </w:rPr>
              <w:t>1</w:t>
            </w:r>
          </w:p>
        </w:tc>
        <w:tc>
          <w:tcPr>
            <w:tcW w:w="2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B4747"/>
                <w:sz w:val="19"/>
                <w:szCs w:val="19"/>
              </w:rPr>
            </w:pPr>
            <w:r>
              <w:rPr>
                <w:color w:val="4B4747"/>
                <w:sz w:val="19"/>
                <w:szCs w:val="19"/>
              </w:rPr>
              <w:t>3</w:t>
            </w:r>
          </w:p>
        </w:tc>
      </w:tr>
      <w:tr w:rsidR="00184CAB">
        <w:tblPrEx>
          <w:tblCellMar>
            <w:top w:w="0" w:type="dxa"/>
            <w:bottom w:w="0" w:type="dxa"/>
          </w:tblCellMar>
        </w:tblPrEx>
        <w:trPr>
          <w:trHeight w:val="386"/>
        </w:trPr>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bCs/>
                <w:color w:val="4B4747"/>
                <w:sz w:val="19"/>
                <w:szCs w:val="19"/>
              </w:rPr>
            </w:pPr>
            <w:r>
              <w:rPr>
                <w:bCs/>
                <w:color w:val="4B4747"/>
                <w:sz w:val="19"/>
                <w:szCs w:val="19"/>
              </w:rPr>
              <w:t>Portugués</w:t>
            </w:r>
          </w:p>
        </w:tc>
        <w:tc>
          <w:tcPr>
            <w:tcW w:w="3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B4747"/>
                <w:sz w:val="19"/>
                <w:szCs w:val="19"/>
              </w:rPr>
            </w:pPr>
            <w:r>
              <w:rPr>
                <w:color w:val="4B4747"/>
                <w:sz w:val="19"/>
                <w:szCs w:val="19"/>
              </w:rPr>
              <w:t>1</w:t>
            </w:r>
          </w:p>
        </w:tc>
        <w:tc>
          <w:tcPr>
            <w:tcW w:w="2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B4747"/>
                <w:sz w:val="19"/>
                <w:szCs w:val="19"/>
              </w:rPr>
            </w:pPr>
            <w:r>
              <w:rPr>
                <w:color w:val="4B4747"/>
                <w:sz w:val="19"/>
                <w:szCs w:val="19"/>
              </w:rPr>
              <w:t>4</w:t>
            </w:r>
          </w:p>
        </w:tc>
      </w:tr>
      <w:tr w:rsidR="00184CAB">
        <w:tblPrEx>
          <w:tblCellMar>
            <w:top w:w="0" w:type="dxa"/>
            <w:bottom w:w="0" w:type="dxa"/>
          </w:tblCellMar>
        </w:tblPrEx>
        <w:trPr>
          <w:trHeight w:val="793"/>
        </w:trPr>
        <w:tc>
          <w:tcPr>
            <w:tcW w:w="1841"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bCs/>
                <w:color w:val="FFFFFF"/>
                <w:sz w:val="19"/>
                <w:szCs w:val="19"/>
              </w:rPr>
            </w:pPr>
            <w:r>
              <w:rPr>
                <w:b/>
                <w:bCs/>
                <w:color w:val="FFFFFF"/>
                <w:sz w:val="19"/>
                <w:szCs w:val="19"/>
              </w:rPr>
              <w:t>Cantidad total</w:t>
            </w:r>
          </w:p>
        </w:tc>
        <w:tc>
          <w:tcPr>
            <w:tcW w:w="3262"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24</w:t>
            </w:r>
          </w:p>
        </w:tc>
        <w:tc>
          <w:tcPr>
            <w:tcW w:w="2817"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208</w:t>
            </w:r>
          </w:p>
        </w:tc>
      </w:tr>
    </w:tbl>
    <w:p w:rsidR="00184CAB" w:rsidRDefault="002B1930">
      <w:pPr>
        <w:spacing w:line="240" w:lineRule="auto"/>
        <w:jc w:val="both"/>
        <w:rPr>
          <w:i/>
          <w:color w:val="4C4747"/>
          <w:sz w:val="18"/>
          <w:lang w:val="es-ES"/>
        </w:rPr>
      </w:pPr>
      <w:r>
        <w:rPr>
          <w:i/>
          <w:color w:val="4C4747"/>
          <w:sz w:val="18"/>
          <w:lang w:val="es-ES"/>
        </w:rPr>
        <w:t xml:space="preserve">Fuente: Informe correspondiente al periodo anual 2025, </w:t>
      </w:r>
      <w:proofErr w:type="spellStart"/>
      <w:r>
        <w:rPr>
          <w:i/>
          <w:color w:val="4C4747"/>
          <w:sz w:val="18"/>
          <w:lang w:val="es-ES"/>
        </w:rPr>
        <w:t>Dept</w:t>
      </w:r>
      <w:proofErr w:type="spellEnd"/>
      <w:r>
        <w:rPr>
          <w:i/>
          <w:color w:val="4C4747"/>
          <w:sz w:val="18"/>
          <w:lang w:val="es-ES"/>
        </w:rPr>
        <w:t>. de Edecanes de la Dirección de Atención Ciudadana</w:t>
      </w:r>
    </w:p>
    <w:p w:rsidR="00184CAB" w:rsidRDefault="002B1930">
      <w:pPr>
        <w:spacing w:line="360" w:lineRule="auto"/>
        <w:jc w:val="both"/>
        <w:rPr>
          <w:color w:val="4C4747"/>
        </w:rPr>
      </w:pPr>
      <w:r>
        <w:rPr>
          <w:color w:val="4C4747"/>
        </w:rPr>
        <w:t>Durante el año 2025, se llevaron a cabo las siguientes</w:t>
      </w:r>
      <w:r>
        <w:rPr>
          <w:color w:val="4C4747"/>
        </w:rPr>
        <w:t xml:space="preserve"> actividades:</w:t>
      </w:r>
    </w:p>
    <w:p w:rsidR="00184CAB" w:rsidRDefault="002B1930">
      <w:pPr>
        <w:pStyle w:val="Prrafodelista"/>
        <w:numPr>
          <w:ilvl w:val="0"/>
          <w:numId w:val="16"/>
        </w:numPr>
        <w:spacing w:line="360" w:lineRule="auto"/>
        <w:jc w:val="both"/>
      </w:pPr>
      <w:r>
        <w:rPr>
          <w:b/>
          <w:color w:val="4C4747"/>
        </w:rPr>
        <w:t>«Vive la Navidad»,</w:t>
      </w:r>
      <w:r>
        <w:rPr>
          <w:color w:val="4C4747"/>
        </w:rPr>
        <w:t xml:space="preserve"> actualmente en desarrollo, se espera recibir un promedio de 2,500 personas, entre ellos: familiares de colaboradores de Casa de Gobierno, Guardia Presidencial y ciudadanos a nivel general. </w:t>
      </w:r>
    </w:p>
    <w:p w:rsidR="00184CAB" w:rsidRDefault="002B1930">
      <w:pPr>
        <w:pStyle w:val="Prrafodelista"/>
        <w:numPr>
          <w:ilvl w:val="0"/>
          <w:numId w:val="16"/>
        </w:numPr>
        <w:spacing w:line="360" w:lineRule="auto"/>
        <w:jc w:val="both"/>
      </w:pPr>
      <w:r>
        <w:rPr>
          <w:b/>
          <w:color w:val="4C4747"/>
        </w:rPr>
        <w:t xml:space="preserve">Plan de Difusión Comunicacional </w:t>
      </w:r>
      <w:r>
        <w:rPr>
          <w:b/>
          <w:color w:val="4C4747"/>
        </w:rPr>
        <w:t>en Redes Sociales</w:t>
      </w:r>
      <w:r>
        <w:rPr>
          <w:color w:val="4C4747"/>
        </w:rPr>
        <w:t>, con el propósito de dar mayor visibilidad al servicio de los recorridos histórico-culturales, se inició una serie de publicaciones a través de los canales digitales institucionales a los fines de informar a la ciudadanía del acceso al me</w:t>
      </w:r>
      <w:r>
        <w:rPr>
          <w:color w:val="4C4747"/>
        </w:rPr>
        <w:t xml:space="preserve">ncionado servicio y la canalización gratuita de este a través del portal web del Ministerio Administrativo de la Presidencia. </w:t>
      </w:r>
    </w:p>
    <w:p w:rsidR="00184CAB" w:rsidRDefault="002B1930">
      <w:pPr>
        <w:pStyle w:val="Prrafodelista"/>
        <w:numPr>
          <w:ilvl w:val="0"/>
          <w:numId w:val="17"/>
        </w:numPr>
        <w:spacing w:line="360" w:lineRule="auto"/>
        <w:jc w:val="both"/>
      </w:pPr>
      <w:r>
        <w:rPr>
          <w:b/>
          <w:color w:val="4C4747"/>
          <w:lang w:val="es-ES"/>
        </w:rPr>
        <w:t>Asistencia protocolar.</w:t>
      </w:r>
      <w:r>
        <w:rPr>
          <w:color w:val="4C4747"/>
          <w:lang w:val="es-ES"/>
        </w:rPr>
        <w:t xml:space="preserve"> El Departamento de Edecanes, además, tiene como funciones servir de protocolo al Ministro Administrativo d</w:t>
      </w:r>
      <w:r>
        <w:rPr>
          <w:color w:val="4C4747"/>
          <w:lang w:val="es-ES"/>
        </w:rPr>
        <w:t>e la Presidencia, durante este año, realizamos 285 recibimientos de invitados y 69 asistencias protocolares en reuniones y eventos.</w:t>
      </w:r>
    </w:p>
    <w:p w:rsidR="00184CAB" w:rsidRDefault="00184CAB">
      <w:pPr>
        <w:pStyle w:val="Prrafodelista"/>
        <w:spacing w:line="360" w:lineRule="auto"/>
        <w:jc w:val="both"/>
      </w:pPr>
    </w:p>
    <w:p w:rsidR="00184CAB" w:rsidRDefault="002B1930">
      <w:pPr>
        <w:spacing w:line="360" w:lineRule="auto"/>
        <w:rPr>
          <w:b/>
          <w:color w:val="4C4747"/>
        </w:rPr>
      </w:pPr>
      <w:bookmarkStart w:id="71" w:name="_Hlk217901505"/>
      <w:r>
        <w:rPr>
          <w:b/>
          <w:color w:val="4C4747"/>
        </w:rPr>
        <w:lastRenderedPageBreak/>
        <w:t>Proyecciones para cierre de año:</w:t>
      </w:r>
    </w:p>
    <w:bookmarkEnd w:id="71"/>
    <w:p w:rsidR="00184CAB" w:rsidRDefault="002B1930">
      <w:pPr>
        <w:spacing w:line="360" w:lineRule="auto"/>
        <w:jc w:val="both"/>
        <w:rPr>
          <w:color w:val="4B4747"/>
        </w:rPr>
      </w:pPr>
      <w:r>
        <w:rPr>
          <w:color w:val="4B4747"/>
        </w:rPr>
        <w:t xml:space="preserve">A pesar de que en el mes de diciembre fluctúa en menor cantidad las solicitudes de </w:t>
      </w:r>
      <w:r>
        <w:rPr>
          <w:color w:val="4B4747"/>
        </w:rPr>
        <w:t>recorridos, este año se estima superar el año anterior entre un 12% a un 15% respecto al volumen de visitantes gestionados en el 2024, impulsado por iniciativas de promoción cultural y accesibilidad ciudadana.</w:t>
      </w:r>
    </w:p>
    <w:p w:rsidR="00184CAB" w:rsidRDefault="002B1930">
      <w:pPr>
        <w:spacing w:line="360" w:lineRule="auto"/>
        <w:jc w:val="both"/>
        <w:rPr>
          <w:color w:val="4B4747"/>
        </w:rPr>
      </w:pPr>
      <w:r>
        <w:rPr>
          <w:color w:val="4B4747"/>
        </w:rPr>
        <w:t>En este sentido, desde el 1ro. de diciembre al</w:t>
      </w:r>
      <w:r>
        <w:rPr>
          <w:color w:val="4B4747"/>
        </w:rPr>
        <w:t xml:space="preserve"> 26 de diciembre del año en curso, hemos recibido un total de 411 visitantes y esperamos cerrar con un aproximado de 427.</w:t>
      </w:r>
    </w:p>
    <w:p w:rsidR="00184CAB" w:rsidRDefault="00184CAB">
      <w:pPr>
        <w:spacing w:line="360" w:lineRule="auto"/>
        <w:jc w:val="both"/>
        <w:rPr>
          <w:color w:val="4B4747"/>
        </w:rPr>
      </w:pPr>
    </w:p>
    <w:p w:rsidR="00184CAB" w:rsidRDefault="00184CAB">
      <w:pPr>
        <w:spacing w:line="360" w:lineRule="auto"/>
        <w:jc w:val="both"/>
        <w:rPr>
          <w:color w:val="4B4747"/>
        </w:rPr>
      </w:pPr>
    </w:p>
    <w:p w:rsidR="00184CAB" w:rsidRDefault="00184CAB">
      <w:pPr>
        <w:spacing w:line="360" w:lineRule="auto"/>
        <w:jc w:val="both"/>
        <w:rPr>
          <w:color w:val="4B4747"/>
        </w:rPr>
      </w:pPr>
    </w:p>
    <w:p w:rsidR="00184CAB" w:rsidRDefault="00184CAB">
      <w:pPr>
        <w:spacing w:line="360" w:lineRule="auto"/>
        <w:jc w:val="both"/>
        <w:rPr>
          <w:color w:val="4B4747"/>
        </w:rPr>
      </w:pPr>
    </w:p>
    <w:p w:rsidR="00184CAB" w:rsidRDefault="00184CAB">
      <w:pPr>
        <w:spacing w:line="360" w:lineRule="auto"/>
        <w:jc w:val="both"/>
        <w:rPr>
          <w:color w:val="4B4747"/>
        </w:rPr>
      </w:pPr>
    </w:p>
    <w:p w:rsidR="00184CAB" w:rsidRDefault="00184CAB">
      <w:pPr>
        <w:spacing w:line="360" w:lineRule="auto"/>
        <w:jc w:val="both"/>
        <w:rPr>
          <w:color w:val="4B4747"/>
        </w:rPr>
      </w:pPr>
    </w:p>
    <w:p w:rsidR="00184CAB" w:rsidRDefault="00184CAB">
      <w:pPr>
        <w:spacing w:line="360" w:lineRule="auto"/>
        <w:jc w:val="both"/>
        <w:rPr>
          <w:color w:val="4B4747"/>
        </w:rPr>
      </w:pPr>
    </w:p>
    <w:p w:rsidR="00184CAB" w:rsidRDefault="00184CAB">
      <w:pPr>
        <w:spacing w:line="360" w:lineRule="auto"/>
        <w:jc w:val="both"/>
        <w:rPr>
          <w:color w:val="4B4747"/>
        </w:rPr>
      </w:pPr>
    </w:p>
    <w:p w:rsidR="00184CAB" w:rsidRDefault="00184CAB">
      <w:pPr>
        <w:spacing w:line="360" w:lineRule="auto"/>
        <w:jc w:val="both"/>
        <w:rPr>
          <w:color w:val="4B4747"/>
        </w:rPr>
      </w:pPr>
    </w:p>
    <w:p w:rsidR="00184CAB" w:rsidRDefault="00184CAB">
      <w:pPr>
        <w:spacing w:line="360" w:lineRule="auto"/>
        <w:jc w:val="both"/>
        <w:rPr>
          <w:color w:val="4B4747"/>
        </w:rPr>
      </w:pPr>
    </w:p>
    <w:p w:rsidR="00184CAB" w:rsidRDefault="00184CAB">
      <w:pPr>
        <w:spacing w:line="360" w:lineRule="auto"/>
        <w:jc w:val="both"/>
        <w:rPr>
          <w:color w:val="4B4747"/>
        </w:rPr>
      </w:pPr>
    </w:p>
    <w:p w:rsidR="00184CAB" w:rsidRDefault="00184CAB">
      <w:pPr>
        <w:spacing w:line="360" w:lineRule="auto"/>
        <w:jc w:val="both"/>
        <w:rPr>
          <w:color w:val="4B4747"/>
        </w:rPr>
      </w:pPr>
    </w:p>
    <w:p w:rsidR="00184CAB" w:rsidRDefault="00184CAB">
      <w:pPr>
        <w:spacing w:line="360" w:lineRule="auto"/>
        <w:jc w:val="both"/>
        <w:rPr>
          <w:color w:val="4B4747"/>
        </w:rPr>
      </w:pPr>
    </w:p>
    <w:p w:rsidR="00184CAB" w:rsidRDefault="00184CAB">
      <w:pPr>
        <w:spacing w:line="360" w:lineRule="auto"/>
        <w:jc w:val="both"/>
        <w:rPr>
          <w:color w:val="4B4747"/>
        </w:rPr>
      </w:pPr>
    </w:p>
    <w:p w:rsidR="00184CAB" w:rsidRDefault="002B1930">
      <w:pPr>
        <w:pStyle w:val="Ttulo1"/>
        <w:rPr>
          <w:color w:val="4C4747"/>
          <w:sz w:val="24"/>
          <w:szCs w:val="24"/>
        </w:rPr>
      </w:pPr>
      <w:bookmarkStart w:id="72" w:name="_Toc217907921"/>
      <w:bookmarkStart w:id="73" w:name="_Toc217914422"/>
      <w:r>
        <w:rPr>
          <w:color w:val="4C4747"/>
          <w:sz w:val="24"/>
          <w:szCs w:val="24"/>
        </w:rPr>
        <w:lastRenderedPageBreak/>
        <w:t>RESULTADOS ÁREAS TRANSVERSALES Y DE APOYO.</w:t>
      </w:r>
      <w:bookmarkEnd w:id="72"/>
      <w:bookmarkEnd w:id="73"/>
    </w:p>
    <w:p w:rsidR="00184CAB" w:rsidRDefault="002B1930">
      <w:pPr>
        <w:spacing w:line="360" w:lineRule="auto"/>
        <w:jc w:val="both"/>
      </w:pPr>
      <w:r>
        <w:rPr>
          <w:noProof/>
          <w:color w:val="4C4747"/>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18416</wp:posOffset>
                </wp:positionV>
                <wp:extent cx="462915" cy="0"/>
                <wp:effectExtent l="0" t="19050" r="32385" b="19050"/>
                <wp:wrapNone/>
                <wp:docPr id="40" name="Straight Connector 14"/>
                <wp:cNvGraphicFramePr/>
                <a:graphic xmlns:a="http://schemas.openxmlformats.org/drawingml/2006/main">
                  <a:graphicData uri="http://schemas.microsoft.com/office/word/2010/wordprocessingShape">
                    <wps:wsp>
                      <wps:cNvCnPr/>
                      <wps:spPr>
                        <a:xfrm>
                          <a:off x="0" y="0"/>
                          <a:ext cx="462915" cy="0"/>
                        </a:xfrm>
                        <a:prstGeom prst="straightConnector1">
                          <a:avLst/>
                        </a:prstGeom>
                        <a:noFill/>
                        <a:ln w="28575" cap="flat">
                          <a:solidFill>
                            <a:srgbClr val="EE2A24"/>
                          </a:solidFill>
                          <a:prstDash val="solid"/>
                          <a:miter/>
                        </a:ln>
                      </wps:spPr>
                      <wps:bodyPr/>
                    </wps:wsp>
                  </a:graphicData>
                </a:graphic>
              </wp:anchor>
            </w:drawing>
          </mc:Choice>
          <mc:Fallback>
            <w:pict>
              <v:shape w14:anchorId="5E9A429E" id="Straight Connector 14" o:spid="_x0000_s1026" type="#_x0000_t32" style="position:absolute;margin-left:0;margin-top:1.45pt;width:36.45pt;height:0;z-index:25168281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MsGswEAAFMDAAAOAAAAZHJzL2Uyb0RvYy54bWysU8tu2zAQvBfIPxC817IEJ00Fy0FhJ70U&#10;rYG0H0BTpESAL+wylv33XdKOk7S3IBdS5O7M7gxXy7uDs2yvAE3wHa9nc86Ul6E3fuj4n98Pn285&#10;wyR8L2zwquNHhfxudfVpOcVWNWEMtlfAiMRjO8WOjynFtqpQjsoJnIWoPAV1ACcSHWGoehATsTtb&#10;NfP5TTUF6CMEqRDpdnMK8lXh11rJ9EtrVInZjlNvqaxQ1l1eq9VStAOIOBp5bkO8owsnjKeiF6qN&#10;SII9gfmPyhkJAYNOMxlcFbQ2UhUNpKae/6PmcRRRFS1kDsaLTfhxtPLnfgvM9B1fkD1eOHqjxwTC&#10;DGNi6+A9ORiA1Yvs1BSxJcDab+F8wriFLPugweWdBLFDcfd4cVcdEpN0ubhpvtbXnMnnUPWCi4Dp&#10;uwqO5Y+O47mDSwN1MVfsf2CiygR8BuSiPjwYa8tLWs+mjje3119yIUEDpa1IBYzBmj4nZgjCsFtb&#10;YHtBc3F/33xrikAifpOWq2wEjqe8EjpNjDNJZQ8IYD1t2ZmTF/lrF/pjsajc08uVxPOU5dF4fS7o&#10;l39h9RcAAP//AwBQSwMEFAAGAAgAAAAhANrKRPzaAAAAAwEAAA8AAABkcnMvZG93bnJldi54bWxM&#10;j0FLw0AQhe9C/8MyBW920xaNiZmUItSjaCyIt012TEKzs2F320Z/vVsveno83vDeN8VmMoM4kfO9&#10;ZYTlIgFB3Fjdc4uwf9vd3IPwQbFWg2VC+CIPm3J2Vahc2zO/0qkKrYgl7HOF0IUw5lL6piOj/MKO&#10;xDH7tM6oEK1rpXbqHMvNIFdJcieN6jkudGqkx46aQ3U0CHL5XO3272mWvazTJ/dd3ybr9APxej5t&#10;H0AEmsLfMVzwIzqUkam2R9ZeDAjxkYCwykDEML1o/WtlWcj/7OUPAAAA//8DAFBLAQItABQABgAI&#10;AAAAIQC2gziS/gAAAOEBAAATAAAAAAAAAAAAAAAAAAAAAABbQ29udGVudF9UeXBlc10ueG1sUEsB&#10;Ai0AFAAGAAgAAAAhADj9If/WAAAAlAEAAAsAAAAAAAAAAAAAAAAALwEAAF9yZWxzLy5yZWxzUEsB&#10;Ai0AFAAGAAgAAAAhAO6UywazAQAAUwMAAA4AAAAAAAAAAAAAAAAALgIAAGRycy9lMm9Eb2MueG1s&#10;UEsBAi0AFAAGAAgAAAAhANrKRPzaAAAAAwEAAA8AAAAAAAAAAAAAAAAADQQAAGRycy9kb3ducmV2&#10;LnhtbFBLBQYAAAAABAAEAPMAAAAUBQAAAAA=&#10;" strokecolor="#ee2a24" strokeweight="2.25pt">
                <v:stroke joinstyle="miter"/>
                <w10:wrap anchorx="margin"/>
              </v:shape>
            </w:pict>
          </mc:Fallback>
        </mc:AlternateContent>
      </w:r>
    </w:p>
    <w:p w:rsidR="00184CAB" w:rsidRDefault="002B1930">
      <w:pPr>
        <w:pStyle w:val="Ttulo2"/>
        <w:numPr>
          <w:ilvl w:val="1"/>
          <w:numId w:val="5"/>
        </w:numPr>
        <w:spacing w:line="360" w:lineRule="auto"/>
        <w:jc w:val="both"/>
        <w:rPr>
          <w:b/>
          <w:color w:val="4C4747"/>
          <w:szCs w:val="24"/>
        </w:rPr>
      </w:pPr>
      <w:bookmarkStart w:id="74" w:name="_Toc217043950"/>
      <w:bookmarkStart w:id="75" w:name="_Toc217907922"/>
      <w:bookmarkStart w:id="76" w:name="_Toc217914423"/>
      <w:r>
        <w:rPr>
          <w:b/>
          <w:color w:val="4C4747"/>
          <w:szCs w:val="24"/>
        </w:rPr>
        <w:t>Gestión de la Dirección de Ceremonial y Protocolo</w:t>
      </w:r>
      <w:bookmarkEnd w:id="74"/>
      <w:bookmarkEnd w:id="75"/>
      <w:bookmarkEnd w:id="76"/>
      <w:r>
        <w:rPr>
          <w:b/>
          <w:color w:val="4C4747"/>
          <w:szCs w:val="24"/>
        </w:rPr>
        <w:t xml:space="preserve"> </w:t>
      </w:r>
    </w:p>
    <w:p w:rsidR="00184CAB" w:rsidRDefault="002B1930">
      <w:pPr>
        <w:spacing w:line="360" w:lineRule="auto"/>
        <w:jc w:val="both"/>
        <w:rPr>
          <w:color w:val="4C4747"/>
          <w:lang w:val="es-DO"/>
        </w:rPr>
      </w:pPr>
      <w:r>
        <w:rPr>
          <w:color w:val="4C4747"/>
          <w:lang w:val="es-DO"/>
        </w:rPr>
        <w:t>La Dirección de Ceremoni</w:t>
      </w:r>
      <w:r>
        <w:rPr>
          <w:color w:val="4C4747"/>
          <w:lang w:val="es-DO"/>
        </w:rPr>
        <w:t>al y Protocolo del Poder Ejecutivo evidencia el compromiso, planificación y el esfuerzo sostenido destinados a garantizar el cumplimiento correspondiente a las normas, usos y principios del ceremonial de Estado como órgano responsable de los actos y reunio</w:t>
      </w:r>
      <w:r>
        <w:rPr>
          <w:color w:val="4C4747"/>
          <w:lang w:val="es-DO"/>
        </w:rPr>
        <w:t xml:space="preserve">nes que preside el Excelentísimo Señor </w:t>
      </w:r>
      <w:proofErr w:type="gramStart"/>
      <w:r>
        <w:rPr>
          <w:color w:val="4C4747"/>
          <w:lang w:val="es-DO"/>
        </w:rPr>
        <w:t>Presidente</w:t>
      </w:r>
      <w:proofErr w:type="gramEnd"/>
      <w:r>
        <w:rPr>
          <w:color w:val="4C4747"/>
          <w:lang w:val="es-DO"/>
        </w:rPr>
        <w:t xml:space="preserve">. </w:t>
      </w:r>
    </w:p>
    <w:p w:rsidR="00184CAB" w:rsidRDefault="002B1930">
      <w:pPr>
        <w:spacing w:line="360" w:lineRule="auto"/>
        <w:jc w:val="both"/>
        <w:rPr>
          <w:color w:val="4C4747"/>
          <w:lang w:val="es-DO"/>
        </w:rPr>
      </w:pPr>
      <w:r>
        <w:rPr>
          <w:color w:val="4C4747"/>
          <w:lang w:val="es-DO"/>
        </w:rPr>
        <w:t>Durante el periodo enero-noviembre, la DCP brindó servicios de protocolo a varias actividades como actos oficiales dentro y fuera del Palacio Nacional, reuniones privadas y ceremonias especiales.</w:t>
      </w:r>
    </w:p>
    <w:p w:rsidR="00184CAB" w:rsidRDefault="002B1930">
      <w:pPr>
        <w:spacing w:line="360" w:lineRule="auto"/>
        <w:jc w:val="both"/>
        <w:rPr>
          <w:color w:val="4C4747"/>
          <w:lang w:val="es-DO"/>
        </w:rPr>
      </w:pPr>
      <w:r>
        <w:rPr>
          <w:color w:val="4C4747"/>
          <w:lang w:val="es-DO"/>
        </w:rPr>
        <w:t>Una de l</w:t>
      </w:r>
      <w:r>
        <w:rPr>
          <w:color w:val="4C4747"/>
          <w:lang w:val="es-DO"/>
        </w:rPr>
        <w:t xml:space="preserve">as actividades a destacar fue el Acto de Presentación de la Regrabación de las notas gloriosas del Himno Nacional, donde esta dirección tuvo la responsabilidad de asegurarse de que fuese difundido a las unidades de protocolo de todas las instituciones del </w:t>
      </w:r>
      <w:r>
        <w:rPr>
          <w:color w:val="4C4747"/>
          <w:lang w:val="es-DO"/>
        </w:rPr>
        <w:t xml:space="preserve">gobierno, así como también, de forma posterior, asegurar el uso de la remasterización del himno en todas las actividades en las que participe el señor presidente.  </w:t>
      </w:r>
    </w:p>
    <w:p w:rsidR="00184CAB" w:rsidRDefault="002B1930">
      <w:pPr>
        <w:spacing w:line="360" w:lineRule="auto"/>
        <w:rPr>
          <w:b/>
          <w:color w:val="4C4747"/>
        </w:rPr>
      </w:pPr>
      <w:bookmarkStart w:id="77" w:name="_Hlk217901458"/>
      <w:r>
        <w:rPr>
          <w:b/>
          <w:color w:val="4C4747"/>
        </w:rPr>
        <w:t>Proyecciones para cierre de año:</w:t>
      </w:r>
    </w:p>
    <w:bookmarkEnd w:id="77"/>
    <w:p w:rsidR="00184CAB" w:rsidRDefault="002B1930">
      <w:pPr>
        <w:spacing w:line="360" w:lineRule="auto"/>
        <w:jc w:val="both"/>
        <w:rPr>
          <w:color w:val="4B4747"/>
          <w:lang w:val="es-ES"/>
        </w:rPr>
      </w:pPr>
      <w:r>
        <w:rPr>
          <w:color w:val="4B4747"/>
          <w:lang w:val="es-ES"/>
        </w:rPr>
        <w:t>Esta unidad sostiene un crecimiento moderado y una articul</w:t>
      </w:r>
      <w:r>
        <w:rPr>
          <w:color w:val="4B4747"/>
          <w:lang w:val="es-ES"/>
        </w:rPr>
        <w:t>ación constante con la agenda del presidente, por lo que, durante el mes de diciembre se estima un aumento de al menos un 5% en actividades protocolares por el cierre de año.</w:t>
      </w:r>
    </w:p>
    <w:p w:rsidR="00184CAB" w:rsidRDefault="00184CAB">
      <w:pPr>
        <w:spacing w:line="360" w:lineRule="auto"/>
        <w:jc w:val="both"/>
        <w:rPr>
          <w:color w:val="4B4747"/>
          <w:lang w:val="es-ES"/>
        </w:rPr>
      </w:pPr>
    </w:p>
    <w:p w:rsidR="00184CAB" w:rsidRDefault="00184CAB">
      <w:pPr>
        <w:spacing w:line="360" w:lineRule="auto"/>
        <w:jc w:val="both"/>
        <w:rPr>
          <w:color w:val="4B4747"/>
          <w:lang w:val="es-ES"/>
        </w:rPr>
      </w:pPr>
    </w:p>
    <w:p w:rsidR="00184CAB" w:rsidRDefault="00184CAB">
      <w:pPr>
        <w:spacing w:line="360" w:lineRule="auto"/>
        <w:jc w:val="both"/>
        <w:rPr>
          <w:color w:val="4B4747"/>
          <w:lang w:val="es-ES"/>
        </w:rPr>
      </w:pPr>
    </w:p>
    <w:p w:rsidR="00184CAB" w:rsidRDefault="002B1930">
      <w:pPr>
        <w:pStyle w:val="Ttulo2"/>
        <w:numPr>
          <w:ilvl w:val="1"/>
          <w:numId w:val="5"/>
        </w:numPr>
        <w:spacing w:line="360" w:lineRule="auto"/>
        <w:jc w:val="both"/>
        <w:rPr>
          <w:b/>
          <w:color w:val="4C4747"/>
          <w:szCs w:val="24"/>
        </w:rPr>
      </w:pPr>
      <w:bookmarkStart w:id="78" w:name="_Toc217043951"/>
      <w:bookmarkStart w:id="79" w:name="_Toc217907923"/>
      <w:bookmarkStart w:id="80" w:name="_Toc217914424"/>
      <w:r>
        <w:rPr>
          <w:b/>
          <w:color w:val="4C4747"/>
          <w:szCs w:val="24"/>
        </w:rPr>
        <w:lastRenderedPageBreak/>
        <w:t>Gestión de la Dirección de Eventos</w:t>
      </w:r>
      <w:bookmarkEnd w:id="78"/>
      <w:bookmarkEnd w:id="79"/>
      <w:bookmarkEnd w:id="80"/>
    </w:p>
    <w:p w:rsidR="00184CAB" w:rsidRDefault="002B1930">
      <w:pPr>
        <w:spacing w:line="360" w:lineRule="auto"/>
        <w:jc w:val="both"/>
        <w:rPr>
          <w:color w:val="4C4747"/>
          <w:lang w:val="es-ES"/>
        </w:rPr>
      </w:pPr>
      <w:r>
        <w:rPr>
          <w:color w:val="4C4747"/>
          <w:lang w:val="es-ES"/>
        </w:rPr>
        <w:t xml:space="preserve">La Dirección de Eventos de la Presidencia </w:t>
      </w:r>
      <w:r>
        <w:rPr>
          <w:color w:val="4C4747"/>
          <w:lang w:val="es-ES"/>
        </w:rPr>
        <w:t>es un área de apoyo responsable de la planificación, organización y ejecución de las actividades institucionales solicitadas por las instituciones que forman parte de Casa de Gobierno.  Estas actividades se desarrollan tanto en Palacio como en diferentes l</w:t>
      </w:r>
      <w:r>
        <w:rPr>
          <w:color w:val="4C4747"/>
          <w:lang w:val="es-ES"/>
        </w:rPr>
        <w:t>ocalidades del país.</w:t>
      </w:r>
    </w:p>
    <w:p w:rsidR="00184CAB" w:rsidRDefault="002B1930">
      <w:pPr>
        <w:spacing w:line="360" w:lineRule="auto"/>
        <w:jc w:val="both"/>
        <w:rPr>
          <w:color w:val="4C4747"/>
        </w:rPr>
      </w:pPr>
      <w:r>
        <w:rPr>
          <w:color w:val="4C4747"/>
        </w:rPr>
        <w:t xml:space="preserve">Durante el año 2025 se ejecutó una agenda de trabajo de alta demanda, orientada a garantizar la logística, el protocolo, el montaje técnico y la coordinación interinstitucional requerida para los actos oficiales y las actividades </w:t>
      </w:r>
      <w:r>
        <w:rPr>
          <w:color w:val="4C4747"/>
        </w:rPr>
        <w:t xml:space="preserve">institucionales, sosteniendo una operación permanente basada en la capacidad de respuesta inmediata, la estandarización de procesos y el fortalecimiento de la articulación interna y externa lo cual vimos reflejado de la siguiente forma: </w:t>
      </w:r>
    </w:p>
    <w:p w:rsidR="00184CAB" w:rsidRDefault="002B1930">
      <w:pPr>
        <w:pStyle w:val="Prrafodelista"/>
        <w:numPr>
          <w:ilvl w:val="0"/>
          <w:numId w:val="18"/>
        </w:numPr>
        <w:spacing w:line="360" w:lineRule="auto"/>
        <w:jc w:val="both"/>
      </w:pPr>
      <w:r>
        <w:rPr>
          <w:b/>
          <w:color w:val="4C4747"/>
        </w:rPr>
        <w:t>Montaje de eventos</w:t>
      </w:r>
      <w:r>
        <w:rPr>
          <w:b/>
          <w:color w:val="4C4747"/>
        </w:rPr>
        <w:t>.</w:t>
      </w:r>
      <w:r>
        <w:rPr>
          <w:color w:val="4C4747"/>
        </w:rPr>
        <w:t xml:space="preserve"> Se realizó un total de ochenta y tres (83) montajes, garantizando que cada detalle se ajustara a las especificaciones requeridas.</w:t>
      </w:r>
    </w:p>
    <w:p w:rsidR="00184CAB" w:rsidRDefault="002B1930">
      <w:pPr>
        <w:pStyle w:val="Prrafodelista"/>
        <w:numPr>
          <w:ilvl w:val="0"/>
          <w:numId w:val="19"/>
        </w:numPr>
        <w:spacing w:line="360" w:lineRule="auto"/>
        <w:jc w:val="both"/>
      </w:pPr>
      <w:r>
        <w:rPr>
          <w:b/>
          <w:color w:val="4C4747"/>
        </w:rPr>
        <w:t xml:space="preserve">Cantidad de Organización Actos Protocolares y Conmemorativos: </w:t>
      </w:r>
      <w:r>
        <w:rPr>
          <w:color w:val="4C4747"/>
        </w:rPr>
        <w:t>Hasta noviembre del 2025, se han llevado a cabo un total de no</w:t>
      </w:r>
      <w:r>
        <w:rPr>
          <w:color w:val="4C4747"/>
        </w:rPr>
        <w:t>venta y dos (92) eventos conmemorativos y protocolares.</w:t>
      </w:r>
    </w:p>
    <w:p w:rsidR="00184CAB" w:rsidRDefault="002B1930">
      <w:pPr>
        <w:spacing w:line="360" w:lineRule="auto"/>
        <w:rPr>
          <w:b/>
          <w:color w:val="4C4747"/>
        </w:rPr>
      </w:pPr>
      <w:bookmarkStart w:id="81" w:name="_Hlk217901420"/>
      <w:r>
        <w:rPr>
          <w:b/>
          <w:color w:val="4C4747"/>
        </w:rPr>
        <w:t>Proyecciones para cierre de año:</w:t>
      </w:r>
    </w:p>
    <w:p w:rsidR="00184CAB" w:rsidRDefault="002B1930">
      <w:pPr>
        <w:spacing w:line="360" w:lineRule="auto"/>
        <w:jc w:val="both"/>
        <w:rPr>
          <w:color w:val="4B4747"/>
        </w:rPr>
      </w:pPr>
      <w:r>
        <w:rPr>
          <w:color w:val="4B4747"/>
        </w:rPr>
        <w:t>Este año superó en más de un 10% el número de eventos del año 2024, reflejando una intensificación de la agenda institucional. Se estima al cierre del mes de diciembre</w:t>
      </w:r>
      <w:r>
        <w:rPr>
          <w:color w:val="4B4747"/>
        </w:rPr>
        <w:t xml:space="preserve"> del año en curso, el incremento de estas actividades a un aproximado de 90 montajes y 100 actos protocolares celebrados.</w:t>
      </w:r>
    </w:p>
    <w:bookmarkEnd w:id="81"/>
    <w:p w:rsidR="00184CAB" w:rsidRDefault="00184CAB">
      <w:pPr>
        <w:spacing w:line="360" w:lineRule="auto"/>
        <w:jc w:val="both"/>
        <w:rPr>
          <w:color w:val="4B4747"/>
        </w:rPr>
      </w:pPr>
    </w:p>
    <w:p w:rsidR="00184CAB" w:rsidRDefault="00184CAB">
      <w:pPr>
        <w:spacing w:line="360" w:lineRule="auto"/>
        <w:jc w:val="both"/>
        <w:rPr>
          <w:color w:val="4B4747"/>
        </w:rPr>
      </w:pPr>
    </w:p>
    <w:p w:rsidR="00184CAB" w:rsidRDefault="002B1930">
      <w:pPr>
        <w:pStyle w:val="Ttulo2"/>
        <w:numPr>
          <w:ilvl w:val="1"/>
          <w:numId w:val="5"/>
        </w:numPr>
        <w:spacing w:line="360" w:lineRule="auto"/>
        <w:jc w:val="both"/>
        <w:rPr>
          <w:b/>
          <w:color w:val="4C4747"/>
          <w:szCs w:val="24"/>
        </w:rPr>
      </w:pPr>
      <w:bookmarkStart w:id="82" w:name="_Toc217043952"/>
      <w:bookmarkStart w:id="83" w:name="_Toc217907924"/>
      <w:bookmarkStart w:id="84" w:name="_Toc217914425"/>
      <w:r>
        <w:rPr>
          <w:b/>
          <w:color w:val="4C4747"/>
          <w:szCs w:val="24"/>
        </w:rPr>
        <w:lastRenderedPageBreak/>
        <w:t>Desempeño de la Dirección de Servicios de Alimentación Presidencial</w:t>
      </w:r>
      <w:bookmarkEnd w:id="82"/>
      <w:bookmarkEnd w:id="83"/>
      <w:bookmarkEnd w:id="84"/>
    </w:p>
    <w:p w:rsidR="00184CAB" w:rsidRDefault="002B1930">
      <w:pPr>
        <w:tabs>
          <w:tab w:val="left" w:pos="0"/>
        </w:tabs>
        <w:spacing w:before="240" w:after="200" w:line="360" w:lineRule="auto"/>
        <w:jc w:val="both"/>
        <w:rPr>
          <w:color w:val="4C4747"/>
          <w:lang w:val="es-ES"/>
        </w:rPr>
      </w:pPr>
      <w:r>
        <w:rPr>
          <w:color w:val="4C4747"/>
          <w:lang w:val="es-ES"/>
        </w:rPr>
        <w:t xml:space="preserve">Con el objetivo de satisfacer las necesidades gastronómicas del </w:t>
      </w:r>
      <w:r>
        <w:rPr>
          <w:color w:val="4C4747"/>
          <w:lang w:val="es-ES"/>
        </w:rPr>
        <w:t>Señor presidente de la República y su despacho, la Primera Dama y sus asistentes, la vicepresidenta y los ministros de Casa de Gobierno, así como los comensales asistentes a los eventos que se realicen en esta Casa de Gobierno, cumpliendo con los más altos</w:t>
      </w:r>
      <w:r>
        <w:rPr>
          <w:color w:val="4C4747"/>
          <w:lang w:val="es-ES"/>
        </w:rPr>
        <w:t xml:space="preserve"> estándares de calidad e higiene.  </w:t>
      </w:r>
    </w:p>
    <w:p w:rsidR="00184CAB" w:rsidRDefault="002B1930">
      <w:pPr>
        <w:tabs>
          <w:tab w:val="left" w:pos="0"/>
        </w:tabs>
        <w:spacing w:before="240" w:after="200" w:line="360" w:lineRule="auto"/>
        <w:jc w:val="both"/>
        <w:rPr>
          <w:color w:val="4C4747"/>
        </w:rPr>
      </w:pPr>
      <w:r>
        <w:rPr>
          <w:color w:val="4C4747"/>
        </w:rPr>
        <w:t xml:space="preserve">Durante todo este año 2025, nuestra área ha seguido la misma línea cumpliendo en tiempo y plazo con los requerimientos solicitados de las diferentes áreas de MAPRE, así como también, la capacitación de nuestro personal, </w:t>
      </w:r>
      <w:r>
        <w:rPr>
          <w:color w:val="4C4747"/>
        </w:rPr>
        <w:t>para mantenernos monitoreando los servicios que se ofrecen, desde las Oficinas, Salón Caoba y las diferentes actividades y eventos que se ofrecen en los salones de esta Casa de Gobierno.</w:t>
      </w:r>
    </w:p>
    <w:tbl>
      <w:tblPr>
        <w:tblW w:w="7933" w:type="dxa"/>
        <w:tblCellMar>
          <w:left w:w="10" w:type="dxa"/>
          <w:right w:w="10" w:type="dxa"/>
        </w:tblCellMar>
        <w:tblLook w:val="0000" w:firstRow="0" w:lastRow="0" w:firstColumn="0" w:lastColumn="0" w:noHBand="0" w:noVBand="0"/>
      </w:tblPr>
      <w:tblGrid>
        <w:gridCol w:w="3956"/>
        <w:gridCol w:w="3977"/>
      </w:tblGrid>
      <w:tr w:rsidR="00184CAB">
        <w:tblPrEx>
          <w:tblCellMar>
            <w:top w:w="0" w:type="dxa"/>
            <w:bottom w:w="0" w:type="dxa"/>
          </w:tblCellMar>
        </w:tblPrEx>
        <w:trPr>
          <w:trHeight w:val="1155"/>
          <w:tblHeader/>
        </w:trPr>
        <w:tc>
          <w:tcPr>
            <w:tcW w:w="7933" w:type="dxa"/>
            <w:gridSpan w:val="2"/>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tabs>
                <w:tab w:val="left" w:pos="0"/>
              </w:tabs>
              <w:spacing w:after="0" w:line="240" w:lineRule="auto"/>
              <w:jc w:val="center"/>
            </w:pPr>
            <w:r>
              <w:rPr>
                <w:b/>
                <w:bCs/>
                <w:color w:val="FFFFFF"/>
                <w:sz w:val="19"/>
                <w:szCs w:val="19"/>
                <w:lang w:val="es-ES"/>
              </w:rPr>
              <w:t>Tabla no. 11 de relación de reportes de servicios realizados por la D</w:t>
            </w:r>
            <w:r>
              <w:rPr>
                <w:b/>
                <w:bCs/>
                <w:color w:val="FFFFFF"/>
                <w:sz w:val="19"/>
                <w:szCs w:val="19"/>
                <w:lang w:val="es-ES"/>
              </w:rPr>
              <w:t>irección de Servicios de Alimentación Presidencial, Periodo anual 2025</w:t>
            </w:r>
          </w:p>
        </w:tc>
      </w:tr>
      <w:tr w:rsidR="00184CAB">
        <w:tblPrEx>
          <w:tblCellMar>
            <w:top w:w="0" w:type="dxa"/>
            <w:bottom w:w="0" w:type="dxa"/>
          </w:tblCellMar>
        </w:tblPrEx>
        <w:trPr>
          <w:tblHeader/>
        </w:trPr>
        <w:tc>
          <w:tcPr>
            <w:tcW w:w="3956"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bCs/>
                <w:color w:val="FFFFFF"/>
                <w:sz w:val="19"/>
                <w:szCs w:val="19"/>
              </w:rPr>
            </w:pPr>
            <w:r>
              <w:rPr>
                <w:b/>
                <w:bCs/>
                <w:color w:val="FFFFFF"/>
                <w:sz w:val="19"/>
                <w:szCs w:val="19"/>
              </w:rPr>
              <w:t>Concepto</w:t>
            </w:r>
          </w:p>
        </w:tc>
        <w:tc>
          <w:tcPr>
            <w:tcW w:w="3977"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Cantidad</w:t>
            </w:r>
          </w:p>
        </w:tc>
      </w:tr>
      <w:tr w:rsidR="00184CAB">
        <w:tblPrEx>
          <w:tblCellMar>
            <w:top w:w="0" w:type="dxa"/>
            <w:bottom w:w="0" w:type="dxa"/>
          </w:tblCellMar>
        </w:tblPrEx>
        <w:trPr>
          <w:tblHeader/>
        </w:trPr>
        <w:tc>
          <w:tcPr>
            <w:tcW w:w="39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bCs/>
                <w:color w:val="4C4747"/>
                <w:sz w:val="19"/>
                <w:szCs w:val="19"/>
              </w:rPr>
            </w:pPr>
            <w:r>
              <w:rPr>
                <w:bCs/>
                <w:color w:val="4C4747"/>
                <w:sz w:val="19"/>
                <w:szCs w:val="19"/>
              </w:rPr>
              <w:t>Comandas</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2247</w:t>
            </w:r>
          </w:p>
        </w:tc>
      </w:tr>
      <w:tr w:rsidR="00184CAB">
        <w:tblPrEx>
          <w:tblCellMar>
            <w:top w:w="0" w:type="dxa"/>
            <w:bottom w:w="0" w:type="dxa"/>
          </w:tblCellMar>
        </w:tblPrEx>
        <w:trPr>
          <w:tblHeader/>
        </w:trPr>
        <w:tc>
          <w:tcPr>
            <w:tcW w:w="39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bCs/>
                <w:color w:val="4C4747"/>
                <w:sz w:val="19"/>
                <w:szCs w:val="19"/>
              </w:rPr>
            </w:pPr>
            <w:r>
              <w:rPr>
                <w:bCs/>
                <w:color w:val="4C4747"/>
                <w:sz w:val="19"/>
                <w:szCs w:val="19"/>
              </w:rPr>
              <w:t>Reportes</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45</w:t>
            </w:r>
          </w:p>
        </w:tc>
      </w:tr>
      <w:tr w:rsidR="00184CAB">
        <w:tblPrEx>
          <w:tblCellMar>
            <w:top w:w="0" w:type="dxa"/>
            <w:bottom w:w="0" w:type="dxa"/>
          </w:tblCellMar>
        </w:tblPrEx>
        <w:trPr>
          <w:tblHeader/>
        </w:trPr>
        <w:tc>
          <w:tcPr>
            <w:tcW w:w="395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bCs/>
                <w:color w:val="4C4747"/>
                <w:sz w:val="19"/>
                <w:szCs w:val="19"/>
              </w:rPr>
            </w:pPr>
            <w:r>
              <w:rPr>
                <w:bCs/>
                <w:color w:val="4C4747"/>
                <w:sz w:val="19"/>
                <w:szCs w:val="19"/>
              </w:rPr>
              <w:t>Solicitudes</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5931</w:t>
            </w:r>
          </w:p>
        </w:tc>
      </w:tr>
    </w:tbl>
    <w:p w:rsidR="00184CAB" w:rsidRDefault="002B1930">
      <w:pPr>
        <w:tabs>
          <w:tab w:val="left" w:pos="0"/>
        </w:tabs>
        <w:spacing w:after="0" w:line="240" w:lineRule="auto"/>
        <w:jc w:val="both"/>
        <w:rPr>
          <w:i/>
          <w:color w:val="4C4747"/>
          <w:sz w:val="18"/>
          <w:lang w:val="es-ES"/>
        </w:rPr>
      </w:pPr>
      <w:r>
        <w:rPr>
          <w:i/>
          <w:color w:val="4C4747"/>
          <w:sz w:val="18"/>
          <w:lang w:val="es-ES"/>
        </w:rPr>
        <w:t xml:space="preserve">Fuente: Informe Estadístico de Servicios realizados durante el periodo anual 2025, Dirección de Servicios de </w:t>
      </w:r>
      <w:r>
        <w:rPr>
          <w:i/>
          <w:color w:val="4C4747"/>
          <w:sz w:val="18"/>
          <w:lang w:val="es-ES"/>
        </w:rPr>
        <w:t>Alimentación Presidencial</w:t>
      </w:r>
    </w:p>
    <w:p w:rsidR="00184CAB" w:rsidRDefault="00184CAB">
      <w:pPr>
        <w:tabs>
          <w:tab w:val="left" w:pos="0"/>
        </w:tabs>
        <w:spacing w:after="0" w:line="360" w:lineRule="auto"/>
        <w:jc w:val="both"/>
        <w:rPr>
          <w:i/>
          <w:color w:val="4C4747"/>
        </w:rPr>
      </w:pPr>
    </w:p>
    <w:p w:rsidR="00184CAB" w:rsidRDefault="002B1930">
      <w:pPr>
        <w:spacing w:line="360" w:lineRule="auto"/>
        <w:rPr>
          <w:b/>
          <w:color w:val="4C4747"/>
        </w:rPr>
      </w:pPr>
      <w:bookmarkStart w:id="85" w:name="_Hlk217901403"/>
      <w:r>
        <w:rPr>
          <w:b/>
          <w:color w:val="4C4747"/>
        </w:rPr>
        <w:t>Proyecciones para cierre de año:</w:t>
      </w:r>
    </w:p>
    <w:bookmarkEnd w:id="85"/>
    <w:p w:rsidR="00184CAB" w:rsidRDefault="002B1930">
      <w:pPr>
        <w:tabs>
          <w:tab w:val="left" w:pos="0"/>
        </w:tabs>
        <w:spacing w:after="0" w:line="360" w:lineRule="auto"/>
        <w:jc w:val="both"/>
        <w:rPr>
          <w:color w:val="4B4747"/>
        </w:rPr>
      </w:pPr>
      <w:r>
        <w:rPr>
          <w:color w:val="4B4747"/>
        </w:rPr>
        <w:t>Se tiene estimado un incremento del 8% respecto al 2024, asociado al aumento de eventos y actividades protocolares oficiales para fines del año.</w:t>
      </w:r>
    </w:p>
    <w:p w:rsidR="00184CAB" w:rsidRDefault="00184CAB">
      <w:pPr>
        <w:tabs>
          <w:tab w:val="left" w:pos="0"/>
        </w:tabs>
        <w:spacing w:after="0" w:line="360" w:lineRule="auto"/>
        <w:jc w:val="both"/>
        <w:rPr>
          <w:color w:val="4C4747"/>
        </w:rPr>
      </w:pPr>
    </w:p>
    <w:p w:rsidR="00184CAB" w:rsidRDefault="002B1930">
      <w:pPr>
        <w:pStyle w:val="Ttulo2"/>
        <w:numPr>
          <w:ilvl w:val="1"/>
          <w:numId w:val="5"/>
        </w:numPr>
        <w:spacing w:line="360" w:lineRule="auto"/>
        <w:jc w:val="both"/>
        <w:rPr>
          <w:b/>
          <w:color w:val="4C4747"/>
          <w:szCs w:val="24"/>
        </w:rPr>
      </w:pPr>
      <w:bookmarkStart w:id="86" w:name="_Toc217043953"/>
      <w:bookmarkStart w:id="87" w:name="_Toc217907925"/>
      <w:bookmarkStart w:id="88" w:name="_Toc217914426"/>
      <w:r>
        <w:rPr>
          <w:b/>
          <w:color w:val="4C4747"/>
          <w:szCs w:val="24"/>
        </w:rPr>
        <w:lastRenderedPageBreak/>
        <w:t>Desempeño de la Dirección de Compras y Contratacio</w:t>
      </w:r>
      <w:r>
        <w:rPr>
          <w:b/>
          <w:color w:val="4C4747"/>
          <w:szCs w:val="24"/>
        </w:rPr>
        <w:t>nes</w:t>
      </w:r>
      <w:bookmarkEnd w:id="86"/>
      <w:bookmarkEnd w:id="87"/>
      <w:bookmarkEnd w:id="88"/>
      <w:r>
        <w:rPr>
          <w:b/>
          <w:color w:val="4C4747"/>
          <w:szCs w:val="24"/>
        </w:rPr>
        <w:t xml:space="preserve"> </w:t>
      </w:r>
    </w:p>
    <w:p w:rsidR="00184CAB" w:rsidRDefault="002B1930">
      <w:pPr>
        <w:tabs>
          <w:tab w:val="left" w:pos="0"/>
        </w:tabs>
        <w:spacing w:before="240" w:after="200" w:line="360" w:lineRule="auto"/>
        <w:jc w:val="both"/>
        <w:rPr>
          <w:color w:val="4C4747"/>
          <w:lang w:val="es-ES"/>
        </w:rPr>
      </w:pPr>
      <w:r>
        <w:rPr>
          <w:color w:val="4C4747"/>
          <w:lang w:val="es-ES"/>
        </w:rPr>
        <w:t xml:space="preserve">La Dirección de Compras y Contrataciones del MAPRE funge como área de apoyo del Despacho del </w:t>
      </w:r>
      <w:proofErr w:type="gramStart"/>
      <w:r>
        <w:rPr>
          <w:color w:val="4C4747"/>
          <w:lang w:val="es-ES"/>
        </w:rPr>
        <w:t>Ministro</w:t>
      </w:r>
      <w:proofErr w:type="gramEnd"/>
      <w:r>
        <w:rPr>
          <w:color w:val="4C4747"/>
          <w:lang w:val="es-ES"/>
        </w:rPr>
        <w:t xml:space="preserve"> con el objetivo de garantizar que los procedimientos de compras de bienes, obras y servicios cumplan con los lineamientos y requerimientos </w:t>
      </w:r>
      <w:r>
        <w:rPr>
          <w:color w:val="4C4747"/>
          <w:lang w:val="es-ES"/>
        </w:rPr>
        <w:t>establecidos en la ley Núm. 340-06, así como su Reglamento de Aplicación, Decreto Núm. 416-23.</w:t>
      </w:r>
    </w:p>
    <w:p w:rsidR="00184CAB" w:rsidRDefault="002B1930">
      <w:pPr>
        <w:tabs>
          <w:tab w:val="left" w:pos="0"/>
        </w:tabs>
        <w:spacing w:before="240" w:after="200" w:line="360" w:lineRule="auto"/>
        <w:jc w:val="both"/>
      </w:pPr>
      <w:r>
        <w:rPr>
          <w:b/>
          <w:color w:val="4C4747"/>
        </w:rPr>
        <w:t xml:space="preserve">Ejecución Procesos de Compras y Contrataciones: </w:t>
      </w:r>
      <w:r>
        <w:rPr>
          <w:color w:val="4C4747"/>
        </w:rPr>
        <w:t>Respecto de la programación del Plan Anual de Compras y Contrataciones, es preciso referir que, durante el period</w:t>
      </w:r>
      <w:r>
        <w:rPr>
          <w:color w:val="4C4747"/>
        </w:rPr>
        <w:t>o anual 2025, en la ejecución del PACC, a través de la Dirección de Compras y Contrataciones, llevó a cabo un total de 258 procedimientos de selección (Licitación Pública Nacional, Comparación de Precios, Compra Menor, Excepciones, Compras por debajo del U</w:t>
      </w:r>
      <w:r>
        <w:rPr>
          <w:color w:val="4C4747"/>
        </w:rPr>
        <w:t>mbral), los cuales se gestionaron a través del Sistema Electrónico de Contrataciones Públicas (SECP), antiguo Portal Transaccional de la Dirección General de Contrataciones Públicas (DGCP).</w:t>
      </w:r>
    </w:p>
    <w:p w:rsidR="00184CAB" w:rsidRDefault="002B1930">
      <w:pPr>
        <w:tabs>
          <w:tab w:val="left" w:pos="0"/>
        </w:tabs>
        <w:spacing w:before="240" w:after="200" w:line="360" w:lineRule="auto"/>
        <w:jc w:val="both"/>
        <w:rPr>
          <w:color w:val="4C4747"/>
        </w:rPr>
      </w:pPr>
      <w:r>
        <w:rPr>
          <w:color w:val="4C4747"/>
        </w:rPr>
        <w:t>A continuación, el resumen de los procesos de selección ejecutados</w:t>
      </w:r>
      <w:r>
        <w:rPr>
          <w:color w:val="4C4747"/>
        </w:rPr>
        <w:t xml:space="preserve"> conforme al Plan Anual de Compras y Contrataciones (PACC):</w:t>
      </w:r>
    </w:p>
    <w:tbl>
      <w:tblPr>
        <w:tblW w:w="7938" w:type="dxa"/>
        <w:tblCellMar>
          <w:left w:w="10" w:type="dxa"/>
          <w:right w:w="10" w:type="dxa"/>
        </w:tblCellMar>
        <w:tblLook w:val="0000" w:firstRow="0" w:lastRow="0" w:firstColumn="0" w:lastColumn="0" w:noHBand="0" w:noVBand="0"/>
      </w:tblPr>
      <w:tblGrid>
        <w:gridCol w:w="1706"/>
        <w:gridCol w:w="3529"/>
        <w:gridCol w:w="2703"/>
      </w:tblGrid>
      <w:tr w:rsidR="00184CAB">
        <w:tblPrEx>
          <w:tblCellMar>
            <w:top w:w="0" w:type="dxa"/>
            <w:bottom w:w="0" w:type="dxa"/>
          </w:tblCellMar>
        </w:tblPrEx>
        <w:trPr>
          <w:trHeight w:val="442"/>
          <w:tblHeader/>
        </w:trPr>
        <w:tc>
          <w:tcPr>
            <w:tcW w:w="7938" w:type="dxa"/>
            <w:gridSpan w:val="3"/>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tcPr>
          <w:p w:rsidR="00184CAB" w:rsidRDefault="002B1930">
            <w:pPr>
              <w:spacing w:after="0" w:line="240" w:lineRule="auto"/>
              <w:jc w:val="center"/>
              <w:rPr>
                <w:b/>
                <w:bCs/>
                <w:color w:val="FFFFFF"/>
                <w:sz w:val="19"/>
                <w:szCs w:val="19"/>
              </w:rPr>
            </w:pPr>
            <w:r>
              <w:rPr>
                <w:b/>
                <w:bCs/>
                <w:color w:val="FFFFFF"/>
                <w:sz w:val="19"/>
                <w:szCs w:val="19"/>
              </w:rPr>
              <w:t>Tabla no. 12 de resumen ejecución procesos de compras</w:t>
            </w:r>
          </w:p>
        </w:tc>
      </w:tr>
      <w:tr w:rsidR="00184CAB">
        <w:tblPrEx>
          <w:tblCellMar>
            <w:top w:w="0" w:type="dxa"/>
            <w:bottom w:w="0" w:type="dxa"/>
          </w:tblCellMar>
        </w:tblPrEx>
        <w:trPr>
          <w:trHeight w:val="949"/>
          <w:tblHeader/>
        </w:trPr>
        <w:tc>
          <w:tcPr>
            <w:tcW w:w="1706"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bCs/>
                <w:color w:val="FFFFFF"/>
                <w:sz w:val="19"/>
                <w:szCs w:val="19"/>
              </w:rPr>
            </w:pPr>
            <w:r>
              <w:rPr>
                <w:b/>
                <w:bCs/>
                <w:color w:val="FFFFFF"/>
                <w:sz w:val="19"/>
                <w:szCs w:val="19"/>
              </w:rPr>
              <w:t>Cantidad por modalidad</w:t>
            </w:r>
          </w:p>
        </w:tc>
        <w:tc>
          <w:tcPr>
            <w:tcW w:w="3529"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bCs/>
                <w:color w:val="FFFFFF"/>
                <w:sz w:val="19"/>
                <w:szCs w:val="19"/>
              </w:rPr>
            </w:pPr>
            <w:r>
              <w:rPr>
                <w:b/>
                <w:bCs/>
                <w:color w:val="FFFFFF"/>
                <w:sz w:val="19"/>
                <w:szCs w:val="19"/>
              </w:rPr>
              <w:t>Modalidad de procedimiento de selección</w:t>
            </w:r>
          </w:p>
        </w:tc>
        <w:tc>
          <w:tcPr>
            <w:tcW w:w="2703"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bCs/>
                <w:color w:val="FFFFFF"/>
                <w:sz w:val="19"/>
                <w:szCs w:val="19"/>
              </w:rPr>
            </w:pPr>
            <w:r>
              <w:rPr>
                <w:b/>
                <w:bCs/>
                <w:color w:val="FFFFFF"/>
                <w:sz w:val="19"/>
                <w:szCs w:val="19"/>
              </w:rPr>
              <w:t>Monto total contratado por modalidad</w:t>
            </w:r>
          </w:p>
        </w:tc>
      </w:tr>
      <w:tr w:rsidR="00184CAB">
        <w:tblPrEx>
          <w:tblCellMar>
            <w:top w:w="0" w:type="dxa"/>
            <w:bottom w:w="0" w:type="dxa"/>
          </w:tblCellMar>
        </w:tblPrEx>
        <w:trPr>
          <w:trHeight w:val="125"/>
        </w:trPr>
        <w:tc>
          <w:tcPr>
            <w:tcW w:w="1706"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bCs/>
                <w:color w:val="4C4747"/>
                <w:sz w:val="19"/>
                <w:szCs w:val="19"/>
              </w:rPr>
            </w:pPr>
            <w:r>
              <w:rPr>
                <w:bCs/>
                <w:color w:val="4C4747"/>
                <w:sz w:val="19"/>
                <w:szCs w:val="19"/>
              </w:rPr>
              <w:t>11</w:t>
            </w:r>
          </w:p>
        </w:tc>
        <w:tc>
          <w:tcPr>
            <w:tcW w:w="35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Licitación Pública Nacional</w:t>
            </w:r>
          </w:p>
        </w:tc>
        <w:tc>
          <w:tcPr>
            <w:tcW w:w="2703"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RD$409,635,350.00</w:t>
            </w:r>
          </w:p>
        </w:tc>
      </w:tr>
      <w:tr w:rsidR="00184CAB">
        <w:tblPrEx>
          <w:tblCellMar>
            <w:top w:w="0" w:type="dxa"/>
            <w:bottom w:w="0" w:type="dxa"/>
          </w:tblCellMar>
        </w:tblPrEx>
        <w:trPr>
          <w:trHeight w:val="117"/>
        </w:trPr>
        <w:tc>
          <w:tcPr>
            <w:tcW w:w="1706"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bCs/>
                <w:color w:val="4C4747"/>
                <w:sz w:val="19"/>
                <w:szCs w:val="19"/>
              </w:rPr>
            </w:pPr>
            <w:r>
              <w:rPr>
                <w:bCs/>
                <w:color w:val="4C4747"/>
                <w:sz w:val="19"/>
                <w:szCs w:val="19"/>
              </w:rPr>
              <w:t>4</w:t>
            </w:r>
          </w:p>
        </w:tc>
        <w:tc>
          <w:tcPr>
            <w:tcW w:w="35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Comparación de Precios</w:t>
            </w:r>
          </w:p>
        </w:tc>
        <w:tc>
          <w:tcPr>
            <w:tcW w:w="2703"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RD$17,314,813.29</w:t>
            </w:r>
          </w:p>
        </w:tc>
      </w:tr>
      <w:tr w:rsidR="00184CAB">
        <w:tblPrEx>
          <w:tblCellMar>
            <w:top w:w="0" w:type="dxa"/>
            <w:bottom w:w="0" w:type="dxa"/>
          </w:tblCellMar>
        </w:tblPrEx>
        <w:trPr>
          <w:trHeight w:val="163"/>
        </w:trPr>
        <w:tc>
          <w:tcPr>
            <w:tcW w:w="1706"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bCs/>
                <w:color w:val="4C4747"/>
                <w:sz w:val="19"/>
                <w:szCs w:val="19"/>
              </w:rPr>
            </w:pPr>
            <w:r>
              <w:rPr>
                <w:bCs/>
                <w:color w:val="4C4747"/>
                <w:sz w:val="19"/>
                <w:szCs w:val="19"/>
              </w:rPr>
              <w:t>18</w:t>
            </w:r>
          </w:p>
        </w:tc>
        <w:tc>
          <w:tcPr>
            <w:tcW w:w="35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Procesos de Excepción</w:t>
            </w:r>
          </w:p>
        </w:tc>
        <w:tc>
          <w:tcPr>
            <w:tcW w:w="2703"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RD$206,079,232.50</w:t>
            </w:r>
          </w:p>
        </w:tc>
      </w:tr>
      <w:tr w:rsidR="00184CAB">
        <w:tblPrEx>
          <w:tblCellMar>
            <w:top w:w="0" w:type="dxa"/>
            <w:bottom w:w="0" w:type="dxa"/>
          </w:tblCellMar>
        </w:tblPrEx>
        <w:trPr>
          <w:trHeight w:val="61"/>
        </w:trPr>
        <w:tc>
          <w:tcPr>
            <w:tcW w:w="1706"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bCs/>
                <w:color w:val="4C4747"/>
                <w:sz w:val="19"/>
                <w:szCs w:val="19"/>
              </w:rPr>
            </w:pPr>
            <w:r>
              <w:rPr>
                <w:bCs/>
                <w:color w:val="4C4747"/>
                <w:sz w:val="19"/>
                <w:szCs w:val="19"/>
              </w:rPr>
              <w:t>6</w:t>
            </w:r>
          </w:p>
        </w:tc>
        <w:tc>
          <w:tcPr>
            <w:tcW w:w="35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Subasta Inversa</w:t>
            </w:r>
          </w:p>
        </w:tc>
        <w:tc>
          <w:tcPr>
            <w:tcW w:w="2703"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RD$626,406,000.00</w:t>
            </w:r>
          </w:p>
        </w:tc>
      </w:tr>
      <w:tr w:rsidR="00184CAB">
        <w:tblPrEx>
          <w:tblCellMar>
            <w:top w:w="0" w:type="dxa"/>
            <w:bottom w:w="0" w:type="dxa"/>
          </w:tblCellMar>
        </w:tblPrEx>
        <w:trPr>
          <w:trHeight w:val="199"/>
        </w:trPr>
        <w:tc>
          <w:tcPr>
            <w:tcW w:w="1706"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bCs/>
                <w:color w:val="4C4747"/>
                <w:sz w:val="19"/>
                <w:szCs w:val="19"/>
              </w:rPr>
            </w:pPr>
            <w:r>
              <w:rPr>
                <w:bCs/>
                <w:color w:val="4C4747"/>
                <w:sz w:val="19"/>
                <w:szCs w:val="19"/>
              </w:rPr>
              <w:t>55</w:t>
            </w:r>
          </w:p>
        </w:tc>
        <w:tc>
          <w:tcPr>
            <w:tcW w:w="35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Compras Menores</w:t>
            </w:r>
          </w:p>
        </w:tc>
        <w:tc>
          <w:tcPr>
            <w:tcW w:w="2703"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RD$68,006,610.78</w:t>
            </w:r>
          </w:p>
        </w:tc>
      </w:tr>
      <w:tr w:rsidR="00184CAB">
        <w:tblPrEx>
          <w:tblCellMar>
            <w:top w:w="0" w:type="dxa"/>
            <w:bottom w:w="0" w:type="dxa"/>
          </w:tblCellMar>
        </w:tblPrEx>
        <w:trPr>
          <w:trHeight w:val="320"/>
        </w:trPr>
        <w:tc>
          <w:tcPr>
            <w:tcW w:w="1706"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bCs/>
                <w:color w:val="4C4747"/>
                <w:sz w:val="19"/>
                <w:szCs w:val="19"/>
              </w:rPr>
            </w:pPr>
            <w:r>
              <w:rPr>
                <w:bCs/>
                <w:color w:val="4C4747"/>
                <w:sz w:val="19"/>
                <w:szCs w:val="19"/>
              </w:rPr>
              <w:t>164</w:t>
            </w:r>
          </w:p>
        </w:tc>
        <w:tc>
          <w:tcPr>
            <w:tcW w:w="35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Compras por Debajo del Umbral</w:t>
            </w:r>
          </w:p>
        </w:tc>
        <w:tc>
          <w:tcPr>
            <w:tcW w:w="2703"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RD$26,012,520.85</w:t>
            </w:r>
          </w:p>
        </w:tc>
      </w:tr>
    </w:tbl>
    <w:p w:rsidR="00184CAB" w:rsidRDefault="002B1930">
      <w:pPr>
        <w:spacing w:line="240" w:lineRule="auto"/>
        <w:jc w:val="both"/>
        <w:rPr>
          <w:i/>
          <w:color w:val="4C4747"/>
          <w:sz w:val="18"/>
          <w:szCs w:val="18"/>
        </w:rPr>
      </w:pPr>
      <w:r>
        <w:rPr>
          <w:i/>
          <w:color w:val="4C4747"/>
          <w:sz w:val="18"/>
          <w:szCs w:val="18"/>
        </w:rPr>
        <w:t xml:space="preserve">Fuente: Informe </w:t>
      </w:r>
      <w:r>
        <w:rPr>
          <w:i/>
          <w:color w:val="4C4747"/>
          <w:sz w:val="18"/>
          <w:szCs w:val="18"/>
        </w:rPr>
        <w:t>realizado por la Dirección de Compras y Contrataciones correspondiente al periodo anual 2025.</w:t>
      </w:r>
    </w:p>
    <w:p w:rsidR="00184CAB" w:rsidRDefault="00184CAB">
      <w:pPr>
        <w:spacing w:line="360" w:lineRule="auto"/>
        <w:jc w:val="both"/>
        <w:rPr>
          <w:b/>
          <w:color w:val="4C4747"/>
        </w:rPr>
      </w:pPr>
    </w:p>
    <w:p w:rsidR="00184CAB" w:rsidRDefault="002B1930">
      <w:pPr>
        <w:spacing w:line="360" w:lineRule="auto"/>
        <w:jc w:val="both"/>
      </w:pPr>
      <w:r>
        <w:rPr>
          <w:b/>
          <w:color w:val="4C4747"/>
        </w:rPr>
        <w:lastRenderedPageBreak/>
        <w:t xml:space="preserve">Plataforma SISCOMPRAS: </w:t>
      </w:r>
      <w:r>
        <w:rPr>
          <w:color w:val="4C4747"/>
        </w:rPr>
        <w:t xml:space="preserve">Esta herramienta contempla 5 indicadores y 2 subindicadores con puntajes, para medir la gestión de los procedimientos de compras y </w:t>
      </w:r>
      <w:r>
        <w:rPr>
          <w:color w:val="4C4747"/>
        </w:rPr>
        <w:t>contrataciones a través del Sistema Electrónico de Contrataciones Públicas (SECP). Al respecto, en el periodo anual 2025, este Ministerio ha obtenido una calificación promedio de 83.16 puntos en el SISCOMPRAS, como se detalla a continuación:</w:t>
      </w:r>
    </w:p>
    <w:tbl>
      <w:tblPr>
        <w:tblW w:w="7915" w:type="dxa"/>
        <w:tblCellMar>
          <w:left w:w="10" w:type="dxa"/>
          <w:right w:w="10" w:type="dxa"/>
        </w:tblCellMar>
        <w:tblLook w:val="0000" w:firstRow="0" w:lastRow="0" w:firstColumn="0" w:lastColumn="0" w:noHBand="0" w:noVBand="0"/>
      </w:tblPr>
      <w:tblGrid>
        <w:gridCol w:w="5240"/>
        <w:gridCol w:w="2675"/>
      </w:tblGrid>
      <w:tr w:rsidR="00184CAB">
        <w:tblPrEx>
          <w:tblCellMar>
            <w:top w:w="0" w:type="dxa"/>
            <w:bottom w:w="0" w:type="dxa"/>
          </w:tblCellMar>
        </w:tblPrEx>
        <w:trPr>
          <w:trHeight w:val="435"/>
        </w:trPr>
        <w:tc>
          <w:tcPr>
            <w:tcW w:w="7915" w:type="dxa"/>
            <w:gridSpan w:val="2"/>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vAlign w:val="center"/>
          </w:tcPr>
          <w:p w:rsidR="00184CAB" w:rsidRDefault="002B1930">
            <w:pPr>
              <w:spacing w:after="0" w:line="240" w:lineRule="auto"/>
              <w:jc w:val="center"/>
              <w:rPr>
                <w:b/>
                <w:bCs/>
                <w:color w:val="FFFFFF"/>
                <w:sz w:val="19"/>
                <w:szCs w:val="19"/>
                <w:lang w:eastAsia="es-DO"/>
              </w:rPr>
            </w:pPr>
            <w:r>
              <w:rPr>
                <w:b/>
                <w:bCs/>
                <w:color w:val="FFFFFF"/>
                <w:sz w:val="19"/>
                <w:szCs w:val="19"/>
                <w:lang w:eastAsia="es-DO"/>
              </w:rPr>
              <w:t>Tabla no. 13 d</w:t>
            </w:r>
            <w:r>
              <w:rPr>
                <w:b/>
                <w:bCs/>
                <w:color w:val="FFFFFF"/>
                <w:sz w:val="19"/>
                <w:szCs w:val="19"/>
                <w:lang w:eastAsia="es-DO"/>
              </w:rPr>
              <w:t>e resultados de medición del SISCOMPRAS</w:t>
            </w:r>
          </w:p>
        </w:tc>
      </w:tr>
      <w:tr w:rsidR="00184CAB">
        <w:tblPrEx>
          <w:tblCellMar>
            <w:top w:w="0" w:type="dxa"/>
            <w:bottom w:w="0" w:type="dxa"/>
          </w:tblCellMar>
        </w:tblPrEx>
        <w:trPr>
          <w:trHeight w:val="351"/>
        </w:trPr>
        <w:tc>
          <w:tcPr>
            <w:tcW w:w="5240" w:type="dxa"/>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vAlign w:val="center"/>
          </w:tcPr>
          <w:p w:rsidR="00184CAB" w:rsidRDefault="002B1930">
            <w:pPr>
              <w:spacing w:after="0" w:line="240" w:lineRule="auto"/>
              <w:jc w:val="center"/>
              <w:rPr>
                <w:b/>
                <w:bCs/>
                <w:color w:val="FFFFFF"/>
                <w:sz w:val="19"/>
                <w:szCs w:val="19"/>
                <w:lang w:eastAsia="es-DO"/>
              </w:rPr>
            </w:pPr>
            <w:r>
              <w:rPr>
                <w:b/>
                <w:bCs/>
                <w:color w:val="FFFFFF"/>
                <w:sz w:val="19"/>
                <w:szCs w:val="19"/>
                <w:lang w:eastAsia="es-DO"/>
              </w:rPr>
              <w:t>Indicador/subindicador</w:t>
            </w:r>
          </w:p>
        </w:tc>
        <w:tc>
          <w:tcPr>
            <w:tcW w:w="2675" w:type="dxa"/>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vAlign w:val="center"/>
          </w:tcPr>
          <w:p w:rsidR="00184CAB" w:rsidRDefault="002B1930">
            <w:pPr>
              <w:spacing w:after="0" w:line="240" w:lineRule="auto"/>
              <w:jc w:val="center"/>
              <w:rPr>
                <w:b/>
                <w:bCs/>
                <w:color w:val="FFFFFF"/>
                <w:sz w:val="19"/>
                <w:szCs w:val="19"/>
                <w:lang w:eastAsia="es-DO"/>
              </w:rPr>
            </w:pPr>
            <w:r>
              <w:rPr>
                <w:b/>
                <w:bCs/>
                <w:color w:val="FFFFFF"/>
                <w:sz w:val="19"/>
                <w:szCs w:val="19"/>
                <w:lang w:eastAsia="es-DO"/>
              </w:rPr>
              <w:t>Puntuación obtenida</w:t>
            </w:r>
          </w:p>
        </w:tc>
      </w:tr>
      <w:tr w:rsidR="00184CAB">
        <w:tblPrEx>
          <w:tblCellMar>
            <w:top w:w="0" w:type="dxa"/>
            <w:bottom w:w="0" w:type="dxa"/>
          </w:tblCellMar>
        </w:tblPrEx>
        <w:trPr>
          <w:trHeight w:val="61"/>
        </w:trPr>
        <w:tc>
          <w:tcPr>
            <w:tcW w:w="524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jc w:val="center"/>
              <w:rPr>
                <w:color w:val="4B4747"/>
                <w:sz w:val="19"/>
                <w:szCs w:val="19"/>
              </w:rPr>
            </w:pPr>
            <w:r>
              <w:rPr>
                <w:color w:val="4B4747"/>
                <w:sz w:val="19"/>
                <w:szCs w:val="19"/>
              </w:rPr>
              <w:t>Planificación de compras</w:t>
            </w:r>
          </w:p>
        </w:tc>
        <w:tc>
          <w:tcPr>
            <w:tcW w:w="2675"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jc w:val="center"/>
              <w:rPr>
                <w:color w:val="4B4747"/>
                <w:sz w:val="19"/>
                <w:szCs w:val="19"/>
              </w:rPr>
            </w:pPr>
            <w:r>
              <w:rPr>
                <w:color w:val="4B4747"/>
                <w:sz w:val="19"/>
                <w:szCs w:val="19"/>
              </w:rPr>
              <w:t>14 puntos</w:t>
            </w:r>
          </w:p>
        </w:tc>
      </w:tr>
      <w:tr w:rsidR="00184CAB">
        <w:tblPrEx>
          <w:tblCellMar>
            <w:top w:w="0" w:type="dxa"/>
            <w:bottom w:w="0" w:type="dxa"/>
          </w:tblCellMar>
        </w:tblPrEx>
        <w:trPr>
          <w:trHeight w:val="143"/>
        </w:trPr>
        <w:tc>
          <w:tcPr>
            <w:tcW w:w="524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jc w:val="center"/>
              <w:rPr>
                <w:color w:val="4B4747"/>
                <w:sz w:val="19"/>
                <w:szCs w:val="19"/>
              </w:rPr>
            </w:pPr>
            <w:r>
              <w:rPr>
                <w:color w:val="4B4747"/>
                <w:sz w:val="19"/>
                <w:szCs w:val="19"/>
              </w:rPr>
              <w:t>Gestión de procesos</w:t>
            </w:r>
          </w:p>
        </w:tc>
        <w:tc>
          <w:tcPr>
            <w:tcW w:w="2675"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jc w:val="center"/>
              <w:rPr>
                <w:color w:val="4B4747"/>
                <w:sz w:val="19"/>
                <w:szCs w:val="19"/>
              </w:rPr>
            </w:pPr>
            <w:r>
              <w:rPr>
                <w:color w:val="4B4747"/>
                <w:sz w:val="19"/>
                <w:szCs w:val="19"/>
              </w:rPr>
              <w:t>12 puntos</w:t>
            </w:r>
          </w:p>
        </w:tc>
      </w:tr>
      <w:tr w:rsidR="00184CAB">
        <w:tblPrEx>
          <w:tblCellMar>
            <w:top w:w="0" w:type="dxa"/>
            <w:bottom w:w="0" w:type="dxa"/>
          </w:tblCellMar>
        </w:tblPrEx>
        <w:trPr>
          <w:trHeight w:val="416"/>
        </w:trPr>
        <w:tc>
          <w:tcPr>
            <w:tcW w:w="524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jc w:val="center"/>
              <w:rPr>
                <w:color w:val="4B4747"/>
                <w:sz w:val="19"/>
                <w:szCs w:val="19"/>
              </w:rPr>
            </w:pPr>
            <w:r>
              <w:rPr>
                <w:color w:val="4B4747"/>
                <w:sz w:val="19"/>
                <w:szCs w:val="19"/>
              </w:rPr>
              <w:t>Tiempo de gestión de procesos</w:t>
            </w:r>
          </w:p>
        </w:tc>
        <w:tc>
          <w:tcPr>
            <w:tcW w:w="2675"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jc w:val="center"/>
              <w:rPr>
                <w:color w:val="4B4747"/>
                <w:sz w:val="19"/>
                <w:szCs w:val="19"/>
              </w:rPr>
            </w:pPr>
            <w:r>
              <w:rPr>
                <w:color w:val="4B4747"/>
                <w:sz w:val="19"/>
                <w:szCs w:val="19"/>
              </w:rPr>
              <w:t>14 puntos</w:t>
            </w:r>
          </w:p>
        </w:tc>
      </w:tr>
      <w:tr w:rsidR="00184CAB">
        <w:tblPrEx>
          <w:tblCellMar>
            <w:top w:w="0" w:type="dxa"/>
            <w:bottom w:w="0" w:type="dxa"/>
          </w:tblCellMar>
        </w:tblPrEx>
        <w:trPr>
          <w:trHeight w:val="423"/>
        </w:trPr>
        <w:tc>
          <w:tcPr>
            <w:tcW w:w="524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jc w:val="center"/>
              <w:rPr>
                <w:color w:val="4B4747"/>
                <w:sz w:val="19"/>
                <w:szCs w:val="19"/>
              </w:rPr>
            </w:pPr>
            <w:r>
              <w:rPr>
                <w:color w:val="4B4747"/>
                <w:sz w:val="19"/>
                <w:szCs w:val="19"/>
              </w:rPr>
              <w:t>Administración de contratos</w:t>
            </w:r>
          </w:p>
        </w:tc>
        <w:tc>
          <w:tcPr>
            <w:tcW w:w="2675"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jc w:val="center"/>
              <w:rPr>
                <w:color w:val="4B4747"/>
                <w:sz w:val="19"/>
                <w:szCs w:val="19"/>
              </w:rPr>
            </w:pPr>
            <w:r>
              <w:rPr>
                <w:color w:val="4B4747"/>
                <w:sz w:val="19"/>
                <w:szCs w:val="19"/>
              </w:rPr>
              <w:t>22 puntos</w:t>
            </w:r>
          </w:p>
        </w:tc>
      </w:tr>
      <w:tr w:rsidR="00184CAB">
        <w:tblPrEx>
          <w:tblCellMar>
            <w:top w:w="0" w:type="dxa"/>
            <w:bottom w:w="0" w:type="dxa"/>
          </w:tblCellMar>
        </w:tblPrEx>
        <w:trPr>
          <w:trHeight w:val="401"/>
        </w:trPr>
        <w:tc>
          <w:tcPr>
            <w:tcW w:w="524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jc w:val="center"/>
              <w:rPr>
                <w:color w:val="4B4747"/>
                <w:sz w:val="19"/>
                <w:szCs w:val="19"/>
              </w:rPr>
            </w:pPr>
            <w:r>
              <w:rPr>
                <w:color w:val="4B4747"/>
                <w:sz w:val="19"/>
                <w:szCs w:val="19"/>
              </w:rPr>
              <w:t xml:space="preserve">Compras a MiPymes y </w:t>
            </w:r>
            <w:r>
              <w:rPr>
                <w:color w:val="4B4747"/>
                <w:sz w:val="19"/>
                <w:szCs w:val="19"/>
              </w:rPr>
              <w:t>MiPymes Mujeres</w:t>
            </w:r>
          </w:p>
        </w:tc>
        <w:tc>
          <w:tcPr>
            <w:tcW w:w="2675"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jc w:val="center"/>
              <w:rPr>
                <w:color w:val="4B4747"/>
                <w:sz w:val="19"/>
                <w:szCs w:val="19"/>
              </w:rPr>
            </w:pPr>
            <w:r>
              <w:rPr>
                <w:color w:val="4B4747"/>
                <w:sz w:val="19"/>
                <w:szCs w:val="19"/>
              </w:rPr>
              <w:t>20 puntos</w:t>
            </w:r>
          </w:p>
        </w:tc>
      </w:tr>
      <w:tr w:rsidR="00184CAB">
        <w:tblPrEx>
          <w:tblCellMar>
            <w:top w:w="0" w:type="dxa"/>
            <w:bottom w:w="0" w:type="dxa"/>
          </w:tblCellMar>
        </w:tblPrEx>
        <w:trPr>
          <w:trHeight w:val="134"/>
        </w:trPr>
        <w:tc>
          <w:tcPr>
            <w:tcW w:w="5240" w:type="dxa"/>
            <w:tcBorders>
              <w:top w:val="single" w:sz="8" w:space="0" w:color="000000"/>
              <w:bottom w:val="single" w:sz="8" w:space="0" w:color="000000"/>
            </w:tcBorders>
            <w:shd w:val="clear" w:color="auto" w:fill="002060"/>
            <w:noWrap/>
            <w:tcMar>
              <w:top w:w="0" w:type="dxa"/>
              <w:left w:w="108" w:type="dxa"/>
              <w:bottom w:w="0" w:type="dxa"/>
              <w:right w:w="108" w:type="dxa"/>
            </w:tcMar>
          </w:tcPr>
          <w:p w:rsidR="00184CAB" w:rsidRDefault="002B1930">
            <w:pPr>
              <w:spacing w:after="0" w:line="240" w:lineRule="auto"/>
              <w:jc w:val="right"/>
              <w:rPr>
                <w:b/>
                <w:bCs/>
                <w:color w:val="FFFFFF"/>
                <w:sz w:val="19"/>
                <w:szCs w:val="19"/>
              </w:rPr>
            </w:pPr>
            <w:r>
              <w:rPr>
                <w:b/>
                <w:bCs/>
                <w:color w:val="FFFFFF"/>
                <w:sz w:val="19"/>
                <w:szCs w:val="19"/>
              </w:rPr>
              <w:t>Puntuación total</w:t>
            </w:r>
          </w:p>
        </w:tc>
        <w:tc>
          <w:tcPr>
            <w:tcW w:w="2675" w:type="dxa"/>
            <w:tcBorders>
              <w:top w:val="single" w:sz="8" w:space="0" w:color="000000"/>
              <w:bottom w:val="single" w:sz="8" w:space="0" w:color="000000"/>
            </w:tcBorders>
            <w:shd w:val="clear" w:color="auto" w:fill="002060"/>
            <w:noWrap/>
            <w:tcMar>
              <w:top w:w="0" w:type="dxa"/>
              <w:left w:w="108" w:type="dxa"/>
              <w:bottom w:w="0" w:type="dxa"/>
              <w:right w:w="108" w:type="dxa"/>
            </w:tcMar>
          </w:tcPr>
          <w:p w:rsidR="00184CAB" w:rsidRDefault="002B1930">
            <w:pPr>
              <w:spacing w:after="0" w:line="240" w:lineRule="auto"/>
              <w:jc w:val="right"/>
              <w:rPr>
                <w:b/>
                <w:color w:val="FFFFFF"/>
                <w:sz w:val="19"/>
                <w:szCs w:val="19"/>
              </w:rPr>
            </w:pPr>
            <w:r>
              <w:rPr>
                <w:b/>
                <w:color w:val="FFFFFF"/>
                <w:sz w:val="19"/>
                <w:szCs w:val="19"/>
              </w:rPr>
              <w:t>83.16 puntos</w:t>
            </w:r>
          </w:p>
        </w:tc>
      </w:tr>
    </w:tbl>
    <w:p w:rsidR="00184CAB" w:rsidRDefault="002B1930">
      <w:pPr>
        <w:spacing w:line="360" w:lineRule="auto"/>
        <w:ind w:right="832"/>
        <w:jc w:val="both"/>
        <w:rPr>
          <w:i/>
          <w:color w:val="4C4747"/>
          <w:sz w:val="18"/>
          <w:szCs w:val="18"/>
        </w:rPr>
      </w:pPr>
      <w:r>
        <w:rPr>
          <w:i/>
          <w:color w:val="4C4747"/>
          <w:sz w:val="18"/>
          <w:szCs w:val="18"/>
        </w:rPr>
        <w:t>Fuente: Datos vistos al 29 de noviembre del 2025, Plataforma SISCOMPRAS</w:t>
      </w:r>
    </w:p>
    <w:p w:rsidR="00184CAB" w:rsidRDefault="002B1930">
      <w:pPr>
        <w:spacing w:line="360" w:lineRule="auto"/>
        <w:rPr>
          <w:b/>
          <w:color w:val="4C4747"/>
        </w:rPr>
      </w:pPr>
      <w:bookmarkStart w:id="89" w:name="_Hlk217901331"/>
      <w:r>
        <w:rPr>
          <w:b/>
          <w:color w:val="4C4747"/>
        </w:rPr>
        <w:t>Proyecciones para cierre de año:</w:t>
      </w:r>
    </w:p>
    <w:p w:rsidR="00184CAB" w:rsidRDefault="002B1930">
      <w:pPr>
        <w:spacing w:line="360" w:lineRule="auto"/>
        <w:ind w:right="-18"/>
        <w:jc w:val="both"/>
      </w:pPr>
      <w:r>
        <w:rPr>
          <w:color w:val="4B4747"/>
        </w:rPr>
        <w:t>L</w:t>
      </w:r>
      <w:r>
        <w:rPr>
          <w:color w:val="4B4747"/>
          <w:lang w:val="es-DO"/>
        </w:rPr>
        <w:t xml:space="preserve">a institución cumplió en su totalidad con los plazos legales establecidos, concentrando su </w:t>
      </w:r>
      <w:r>
        <w:rPr>
          <w:color w:val="4B4747"/>
          <w:lang w:val="es-DO"/>
        </w:rPr>
        <w:t>actividad operativa en el período enero–noviembre, tal como ocurrió en el 2024.</w:t>
      </w:r>
    </w:p>
    <w:p w:rsidR="00184CAB" w:rsidRDefault="002B1930">
      <w:pPr>
        <w:spacing w:line="360" w:lineRule="auto"/>
        <w:ind w:right="-18"/>
        <w:jc w:val="both"/>
      </w:pPr>
      <w:r>
        <w:rPr>
          <w:color w:val="4B4747"/>
          <w:lang w:val="es-DO"/>
        </w:rPr>
        <w:t xml:space="preserve">En consecuencia, </w:t>
      </w:r>
      <w:r>
        <w:rPr>
          <w:bCs/>
          <w:color w:val="4B4747"/>
          <w:lang w:val="es-DO"/>
        </w:rPr>
        <w:t>la proyección al mes de diciembre 2025 no contempla el ingreso de nuevos procesos</w:t>
      </w:r>
      <w:r>
        <w:rPr>
          <w:color w:val="4B4747"/>
          <w:lang w:val="es-DO"/>
        </w:rPr>
        <w:t>, limitándose las acciones institucionales al cierre administrativo, formaliza</w:t>
      </w:r>
      <w:r>
        <w:rPr>
          <w:color w:val="4B4747"/>
          <w:lang w:val="es-DO"/>
        </w:rPr>
        <w:t>ción contractual y registro documental de adjudicaciones previamente ejecutadas.</w:t>
      </w:r>
    </w:p>
    <w:p w:rsidR="00184CAB" w:rsidRDefault="00184CAB">
      <w:pPr>
        <w:spacing w:line="360" w:lineRule="auto"/>
        <w:ind w:right="-18"/>
        <w:jc w:val="both"/>
      </w:pPr>
    </w:p>
    <w:p w:rsidR="00184CAB" w:rsidRDefault="00184CAB">
      <w:pPr>
        <w:spacing w:line="360" w:lineRule="auto"/>
        <w:ind w:right="-18"/>
        <w:jc w:val="both"/>
      </w:pPr>
    </w:p>
    <w:p w:rsidR="00184CAB" w:rsidRDefault="002B1930">
      <w:pPr>
        <w:pStyle w:val="Ttulo2"/>
        <w:numPr>
          <w:ilvl w:val="1"/>
          <w:numId w:val="5"/>
        </w:numPr>
        <w:spacing w:line="360" w:lineRule="auto"/>
        <w:jc w:val="both"/>
        <w:rPr>
          <w:b/>
          <w:color w:val="4C4747"/>
          <w:szCs w:val="24"/>
        </w:rPr>
      </w:pPr>
      <w:bookmarkStart w:id="90" w:name="_Toc217043954"/>
      <w:bookmarkStart w:id="91" w:name="_Toc217907926"/>
      <w:bookmarkStart w:id="92" w:name="_Toc217914427"/>
      <w:bookmarkEnd w:id="89"/>
      <w:r>
        <w:rPr>
          <w:b/>
          <w:color w:val="4C4747"/>
          <w:szCs w:val="24"/>
        </w:rPr>
        <w:lastRenderedPageBreak/>
        <w:t>Desempeño de la Dirección de Control Interno</w:t>
      </w:r>
      <w:bookmarkEnd w:id="90"/>
      <w:bookmarkEnd w:id="91"/>
      <w:bookmarkEnd w:id="92"/>
      <w:r>
        <w:rPr>
          <w:b/>
          <w:color w:val="4C4747"/>
          <w:szCs w:val="24"/>
        </w:rPr>
        <w:t xml:space="preserve"> </w:t>
      </w:r>
    </w:p>
    <w:p w:rsidR="00184CAB" w:rsidRDefault="002B1930">
      <w:pPr>
        <w:spacing w:line="360" w:lineRule="auto"/>
        <w:jc w:val="both"/>
      </w:pPr>
      <w:r>
        <w:rPr>
          <w:color w:val="4C4747"/>
        </w:rPr>
        <w:t>Con la finalidad de fiscalizar internamente, la evaluación del manejo correcto, uso e inversión de los recursos públicos,</w:t>
      </w:r>
      <w:r>
        <w:rPr>
          <w:b/>
          <w:color w:val="4C4747"/>
        </w:rPr>
        <w:t xml:space="preserve"> </w:t>
      </w:r>
      <w:r>
        <w:rPr>
          <w:color w:val="4C4747"/>
        </w:rPr>
        <w:t>se re</w:t>
      </w:r>
      <w:r>
        <w:rPr>
          <w:color w:val="4C4747"/>
        </w:rPr>
        <w:t>sumen las siguientes acciones:</w:t>
      </w:r>
    </w:p>
    <w:p w:rsidR="00184CAB" w:rsidRDefault="002B1930">
      <w:pPr>
        <w:spacing w:line="360" w:lineRule="auto"/>
        <w:jc w:val="both"/>
      </w:pPr>
      <w:r>
        <w:rPr>
          <w:b/>
          <w:color w:val="4C4747"/>
        </w:rPr>
        <w:t xml:space="preserve">Cumplimiento Validación, Revisión y Aprobación de expedientes al Ciclo de Pago institucional. </w:t>
      </w:r>
      <w:bookmarkStart w:id="93" w:name="_Hlk217901256"/>
      <w:r>
        <w:rPr>
          <w:color w:val="4C4747"/>
        </w:rPr>
        <w:t xml:space="preserve">Se han realizado revisiones oportunas a 10,940 expedientes de pagos, elaborados y recibidos de las diferentes áreas, </w:t>
      </w:r>
      <w:r>
        <w:rPr>
          <w:bCs/>
          <w:color w:val="4C4747"/>
          <w:lang w:val="es-MX"/>
        </w:rPr>
        <w:t>resumidos a co</w:t>
      </w:r>
      <w:r>
        <w:rPr>
          <w:bCs/>
          <w:color w:val="4C4747"/>
          <w:lang w:val="es-MX"/>
        </w:rPr>
        <w:t>ntinuación en el siguiente</w:t>
      </w:r>
      <w:r>
        <w:rPr>
          <w:bCs/>
          <w:color w:val="4C4747"/>
        </w:rPr>
        <w:t xml:space="preserve"> </w:t>
      </w:r>
      <w:proofErr w:type="spellStart"/>
      <w:r>
        <w:rPr>
          <w:bCs/>
          <w:color w:val="4C4747"/>
        </w:rPr>
        <w:t>cuadr</w:t>
      </w:r>
      <w:proofErr w:type="spellEnd"/>
      <w:r>
        <w:rPr>
          <w:bCs/>
          <w:color w:val="4C4747"/>
          <w:lang w:val="es-MX"/>
        </w:rPr>
        <w:t>o,</w:t>
      </w:r>
      <w:r>
        <w:rPr>
          <w:bCs/>
          <w:color w:val="4C4747"/>
        </w:rPr>
        <w:t xml:space="preserve"> los expedientes despachados y devueltos por la Unidad de Auditoría Interna (UAI):</w:t>
      </w:r>
      <w:bookmarkEnd w:id="93"/>
    </w:p>
    <w:tbl>
      <w:tblPr>
        <w:tblW w:w="7900" w:type="dxa"/>
        <w:tblCellMar>
          <w:left w:w="10" w:type="dxa"/>
          <w:right w:w="10" w:type="dxa"/>
        </w:tblCellMar>
        <w:tblLook w:val="0000" w:firstRow="0" w:lastRow="0" w:firstColumn="0" w:lastColumn="0" w:noHBand="0" w:noVBand="0"/>
      </w:tblPr>
      <w:tblGrid>
        <w:gridCol w:w="554"/>
        <w:gridCol w:w="2560"/>
        <w:gridCol w:w="1983"/>
        <w:gridCol w:w="1561"/>
        <w:gridCol w:w="1242"/>
      </w:tblGrid>
      <w:tr w:rsidR="00184CAB">
        <w:tblPrEx>
          <w:tblCellMar>
            <w:top w:w="0" w:type="dxa"/>
            <w:bottom w:w="0" w:type="dxa"/>
          </w:tblCellMar>
        </w:tblPrEx>
        <w:trPr>
          <w:trHeight w:val="416"/>
        </w:trPr>
        <w:tc>
          <w:tcPr>
            <w:tcW w:w="7900" w:type="dxa"/>
            <w:gridSpan w:val="5"/>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bCs/>
                <w:color w:val="FFFFFF"/>
                <w:sz w:val="19"/>
                <w:szCs w:val="19"/>
              </w:rPr>
            </w:pPr>
            <w:r>
              <w:rPr>
                <w:b/>
                <w:bCs/>
                <w:color w:val="FFFFFF"/>
                <w:sz w:val="19"/>
                <w:szCs w:val="19"/>
              </w:rPr>
              <w:t>Tabla no. 14 de relación de expedientes financieros revisados durante el periodo enero-noviembre 2025</w:t>
            </w:r>
          </w:p>
        </w:tc>
      </w:tr>
      <w:tr w:rsidR="00184CAB">
        <w:tblPrEx>
          <w:tblCellMar>
            <w:top w:w="0" w:type="dxa"/>
            <w:bottom w:w="0" w:type="dxa"/>
          </w:tblCellMar>
        </w:tblPrEx>
        <w:trPr>
          <w:trHeight w:val="416"/>
        </w:trPr>
        <w:tc>
          <w:tcPr>
            <w:tcW w:w="3114" w:type="dxa"/>
            <w:gridSpan w:val="2"/>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bCs/>
                <w:color w:val="FFFFFF"/>
                <w:sz w:val="19"/>
                <w:szCs w:val="19"/>
              </w:rPr>
            </w:pPr>
            <w:r>
              <w:rPr>
                <w:b/>
                <w:bCs/>
                <w:color w:val="FFFFFF"/>
                <w:sz w:val="19"/>
                <w:szCs w:val="19"/>
              </w:rPr>
              <w:t xml:space="preserve">Tipo expedientes y/o instrumento de </w:t>
            </w:r>
            <w:r>
              <w:rPr>
                <w:b/>
                <w:bCs/>
                <w:color w:val="FFFFFF"/>
                <w:sz w:val="19"/>
                <w:szCs w:val="19"/>
              </w:rPr>
              <w:t>pago</w:t>
            </w:r>
          </w:p>
        </w:tc>
        <w:tc>
          <w:tcPr>
            <w:tcW w:w="1983" w:type="dxa"/>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Despachados</w:t>
            </w:r>
          </w:p>
          <w:p w:rsidR="00184CAB" w:rsidRDefault="002B1930">
            <w:pPr>
              <w:spacing w:after="0" w:line="240" w:lineRule="auto"/>
              <w:jc w:val="center"/>
              <w:rPr>
                <w:b/>
                <w:color w:val="FFFFFF"/>
                <w:sz w:val="19"/>
                <w:szCs w:val="19"/>
              </w:rPr>
            </w:pPr>
            <w:r>
              <w:rPr>
                <w:b/>
                <w:color w:val="FFFFFF"/>
                <w:sz w:val="19"/>
                <w:szCs w:val="19"/>
              </w:rPr>
              <w:t>Ω</w:t>
            </w:r>
          </w:p>
        </w:tc>
        <w:tc>
          <w:tcPr>
            <w:tcW w:w="1561" w:type="dxa"/>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vAlign w:val="center"/>
          </w:tcPr>
          <w:p w:rsidR="00184CAB" w:rsidRDefault="002B1930">
            <w:pPr>
              <w:spacing w:after="0" w:line="240" w:lineRule="auto"/>
              <w:jc w:val="center"/>
              <w:rPr>
                <w:b/>
                <w:color w:val="FFFFFF"/>
                <w:sz w:val="19"/>
                <w:szCs w:val="19"/>
                <w:lang w:val="es-ES"/>
              </w:rPr>
            </w:pPr>
            <w:r>
              <w:rPr>
                <w:b/>
                <w:color w:val="FFFFFF"/>
                <w:sz w:val="19"/>
                <w:szCs w:val="19"/>
                <w:lang w:val="es-ES"/>
              </w:rPr>
              <w:t>Devueltos p/</w:t>
            </w:r>
            <w:proofErr w:type="spellStart"/>
            <w:r>
              <w:rPr>
                <w:b/>
                <w:color w:val="FFFFFF"/>
                <w:sz w:val="19"/>
                <w:szCs w:val="19"/>
                <w:lang w:val="es-ES"/>
              </w:rPr>
              <w:t>uai</w:t>
            </w:r>
            <w:proofErr w:type="spellEnd"/>
          </w:p>
          <w:p w:rsidR="00184CAB" w:rsidRDefault="002B1930">
            <w:pPr>
              <w:spacing w:after="0" w:line="240" w:lineRule="auto"/>
              <w:jc w:val="center"/>
              <w:rPr>
                <w:b/>
                <w:color w:val="FFFFFF"/>
                <w:sz w:val="19"/>
                <w:szCs w:val="19"/>
              </w:rPr>
            </w:pPr>
            <w:r>
              <w:rPr>
                <w:b/>
                <w:color w:val="FFFFFF"/>
                <w:sz w:val="19"/>
                <w:szCs w:val="19"/>
              </w:rPr>
              <w:t>Δ</w:t>
            </w:r>
          </w:p>
        </w:tc>
        <w:tc>
          <w:tcPr>
            <w:tcW w:w="1242" w:type="dxa"/>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w:t>
            </w:r>
          </w:p>
        </w:tc>
      </w:tr>
      <w:tr w:rsidR="00184CAB">
        <w:tblPrEx>
          <w:tblCellMar>
            <w:top w:w="0" w:type="dxa"/>
            <w:bottom w:w="0" w:type="dxa"/>
          </w:tblCellMar>
        </w:tblPrEx>
        <w:trPr>
          <w:trHeight w:val="262"/>
        </w:trPr>
        <w:tc>
          <w:tcPr>
            <w:tcW w:w="3114"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bCs/>
                <w:color w:val="4C4747"/>
                <w:sz w:val="19"/>
                <w:szCs w:val="19"/>
              </w:rPr>
            </w:pPr>
            <w:r>
              <w:rPr>
                <w:bCs/>
                <w:color w:val="4C4747"/>
                <w:sz w:val="19"/>
                <w:szCs w:val="19"/>
              </w:rPr>
              <w:t>Cheques</w:t>
            </w:r>
          </w:p>
        </w:tc>
        <w:tc>
          <w:tcPr>
            <w:tcW w:w="1983"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1,049</w:t>
            </w:r>
          </w:p>
        </w:tc>
        <w:tc>
          <w:tcPr>
            <w:tcW w:w="1561"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w:t>
            </w:r>
          </w:p>
        </w:tc>
        <w:tc>
          <w:tcPr>
            <w:tcW w:w="12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0.00%</w:t>
            </w:r>
          </w:p>
        </w:tc>
      </w:tr>
      <w:tr w:rsidR="00184CAB">
        <w:tblPrEx>
          <w:tblCellMar>
            <w:top w:w="0" w:type="dxa"/>
            <w:bottom w:w="0" w:type="dxa"/>
          </w:tblCellMar>
        </w:tblPrEx>
        <w:trPr>
          <w:trHeight w:val="207"/>
        </w:trPr>
        <w:tc>
          <w:tcPr>
            <w:tcW w:w="3114"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bCs/>
                <w:color w:val="4C4747"/>
                <w:sz w:val="19"/>
                <w:szCs w:val="19"/>
              </w:rPr>
            </w:pPr>
            <w:r>
              <w:rPr>
                <w:bCs/>
                <w:color w:val="4C4747"/>
                <w:sz w:val="19"/>
                <w:szCs w:val="19"/>
              </w:rPr>
              <w:t>Libramientos</w:t>
            </w:r>
          </w:p>
        </w:tc>
        <w:tc>
          <w:tcPr>
            <w:tcW w:w="1983"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2,839</w:t>
            </w:r>
          </w:p>
        </w:tc>
        <w:tc>
          <w:tcPr>
            <w:tcW w:w="1561"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w:t>
            </w:r>
          </w:p>
        </w:tc>
        <w:tc>
          <w:tcPr>
            <w:tcW w:w="12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0.00%</w:t>
            </w:r>
          </w:p>
        </w:tc>
      </w:tr>
      <w:tr w:rsidR="00184CAB">
        <w:tblPrEx>
          <w:tblCellMar>
            <w:top w:w="0" w:type="dxa"/>
            <w:bottom w:w="0" w:type="dxa"/>
          </w:tblCellMar>
        </w:tblPrEx>
        <w:trPr>
          <w:trHeight w:val="207"/>
        </w:trPr>
        <w:tc>
          <w:tcPr>
            <w:tcW w:w="3114"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bCs/>
                <w:color w:val="4C4747"/>
                <w:sz w:val="19"/>
                <w:szCs w:val="19"/>
              </w:rPr>
            </w:pPr>
            <w:r>
              <w:rPr>
                <w:bCs/>
                <w:color w:val="4C4747"/>
                <w:sz w:val="19"/>
                <w:szCs w:val="19"/>
              </w:rPr>
              <w:t>Transferencia</w:t>
            </w:r>
          </w:p>
        </w:tc>
        <w:tc>
          <w:tcPr>
            <w:tcW w:w="1983"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2,013</w:t>
            </w:r>
          </w:p>
        </w:tc>
        <w:tc>
          <w:tcPr>
            <w:tcW w:w="1561"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w:t>
            </w:r>
          </w:p>
        </w:tc>
        <w:tc>
          <w:tcPr>
            <w:tcW w:w="12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0.00%</w:t>
            </w:r>
          </w:p>
        </w:tc>
      </w:tr>
      <w:tr w:rsidR="00184CAB">
        <w:tblPrEx>
          <w:tblCellMar>
            <w:top w:w="0" w:type="dxa"/>
            <w:bottom w:w="0" w:type="dxa"/>
          </w:tblCellMar>
        </w:tblPrEx>
        <w:trPr>
          <w:trHeight w:val="207"/>
        </w:trPr>
        <w:tc>
          <w:tcPr>
            <w:tcW w:w="3114"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bCs/>
                <w:color w:val="4C4747"/>
                <w:sz w:val="19"/>
                <w:szCs w:val="19"/>
              </w:rPr>
            </w:pPr>
            <w:r>
              <w:rPr>
                <w:bCs/>
                <w:color w:val="4C4747"/>
                <w:sz w:val="19"/>
                <w:szCs w:val="19"/>
              </w:rPr>
              <w:t>Ordenes de compras</w:t>
            </w:r>
          </w:p>
        </w:tc>
        <w:tc>
          <w:tcPr>
            <w:tcW w:w="1983"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505</w:t>
            </w:r>
          </w:p>
        </w:tc>
        <w:tc>
          <w:tcPr>
            <w:tcW w:w="1561"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w:t>
            </w:r>
          </w:p>
        </w:tc>
        <w:tc>
          <w:tcPr>
            <w:tcW w:w="12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0.00%</w:t>
            </w:r>
          </w:p>
        </w:tc>
      </w:tr>
      <w:tr w:rsidR="00184CAB">
        <w:tblPrEx>
          <w:tblCellMar>
            <w:top w:w="0" w:type="dxa"/>
            <w:bottom w:w="0" w:type="dxa"/>
          </w:tblCellMar>
        </w:tblPrEx>
        <w:trPr>
          <w:trHeight w:val="207"/>
        </w:trPr>
        <w:tc>
          <w:tcPr>
            <w:tcW w:w="3114"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bCs/>
                <w:color w:val="4C4747"/>
                <w:sz w:val="19"/>
                <w:szCs w:val="19"/>
              </w:rPr>
            </w:pPr>
            <w:r>
              <w:rPr>
                <w:bCs/>
                <w:color w:val="4C4747"/>
                <w:sz w:val="19"/>
                <w:szCs w:val="19"/>
              </w:rPr>
              <w:t>Oficios</w:t>
            </w:r>
          </w:p>
        </w:tc>
        <w:tc>
          <w:tcPr>
            <w:tcW w:w="1983"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4,534</w:t>
            </w:r>
          </w:p>
        </w:tc>
        <w:tc>
          <w:tcPr>
            <w:tcW w:w="1561"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w:t>
            </w:r>
          </w:p>
        </w:tc>
        <w:tc>
          <w:tcPr>
            <w:tcW w:w="12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0.00%</w:t>
            </w:r>
          </w:p>
        </w:tc>
      </w:tr>
      <w:tr w:rsidR="00184CAB">
        <w:tblPrEx>
          <w:tblCellMar>
            <w:top w:w="0" w:type="dxa"/>
            <w:bottom w:w="0" w:type="dxa"/>
          </w:tblCellMar>
        </w:tblPrEx>
        <w:trPr>
          <w:trHeight w:val="207"/>
        </w:trPr>
        <w:tc>
          <w:tcPr>
            <w:tcW w:w="3114" w:type="dxa"/>
            <w:gridSpan w:val="2"/>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tcPr>
          <w:p w:rsidR="00184CAB" w:rsidRDefault="002B1930">
            <w:pPr>
              <w:spacing w:after="0" w:line="240" w:lineRule="auto"/>
              <w:jc w:val="center"/>
              <w:rPr>
                <w:b/>
                <w:bCs/>
                <w:color w:val="FFFFFF"/>
                <w:sz w:val="19"/>
                <w:szCs w:val="19"/>
                <w:lang w:val="es-ES"/>
              </w:rPr>
            </w:pPr>
            <w:proofErr w:type="gramStart"/>
            <w:r>
              <w:rPr>
                <w:b/>
                <w:bCs/>
                <w:color w:val="FFFFFF"/>
                <w:sz w:val="19"/>
                <w:szCs w:val="19"/>
                <w:lang w:val="es-ES"/>
              </w:rPr>
              <w:t>Total</w:t>
            </w:r>
            <w:proofErr w:type="gramEnd"/>
            <w:r>
              <w:rPr>
                <w:b/>
                <w:bCs/>
                <w:color w:val="FFFFFF"/>
                <w:sz w:val="19"/>
                <w:szCs w:val="19"/>
                <w:lang w:val="es-ES"/>
              </w:rPr>
              <w:t xml:space="preserve"> General</w:t>
            </w:r>
          </w:p>
        </w:tc>
        <w:tc>
          <w:tcPr>
            <w:tcW w:w="1983" w:type="dxa"/>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10,940</w:t>
            </w:r>
          </w:p>
        </w:tc>
        <w:tc>
          <w:tcPr>
            <w:tcW w:w="1561" w:type="dxa"/>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0</w:t>
            </w:r>
          </w:p>
        </w:tc>
        <w:tc>
          <w:tcPr>
            <w:tcW w:w="1242" w:type="dxa"/>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0.00%</w:t>
            </w:r>
          </w:p>
        </w:tc>
      </w:tr>
      <w:tr w:rsidR="00184CAB">
        <w:tblPrEx>
          <w:tblCellMar>
            <w:top w:w="0" w:type="dxa"/>
            <w:bottom w:w="0" w:type="dxa"/>
          </w:tblCellMar>
        </w:tblPrEx>
        <w:trPr>
          <w:trHeight w:val="207"/>
        </w:trPr>
        <w:tc>
          <w:tcPr>
            <w:tcW w:w="554"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pPr>
            <w:r>
              <w:rPr>
                <w:rFonts w:eastAsia="Times New Roman"/>
                <w:b/>
                <w:bCs/>
                <w:color w:val="4C4747"/>
                <w:sz w:val="19"/>
                <w:szCs w:val="19"/>
                <w:lang w:eastAsia="es-DO"/>
              </w:rPr>
              <w:t>Ω</w:t>
            </w:r>
          </w:p>
        </w:tc>
        <w:tc>
          <w:tcPr>
            <w:tcW w:w="7346" w:type="dxa"/>
            <w:gridSpan w:val="4"/>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rPr>
                <w:color w:val="4C4747"/>
                <w:sz w:val="19"/>
                <w:szCs w:val="19"/>
              </w:rPr>
            </w:pPr>
            <w:r>
              <w:rPr>
                <w:color w:val="4C4747"/>
                <w:sz w:val="19"/>
                <w:szCs w:val="19"/>
              </w:rPr>
              <w:t>Cantidades tomadas de las bitácoras de control de</w:t>
            </w:r>
            <w:r>
              <w:rPr>
                <w:color w:val="4C4747"/>
                <w:sz w:val="19"/>
                <w:szCs w:val="19"/>
              </w:rPr>
              <w:t xml:space="preserve"> los acuses recibido de los diferentes libros de recepción y entrega de expedientes de pagos.</w:t>
            </w:r>
          </w:p>
        </w:tc>
      </w:tr>
      <w:tr w:rsidR="00184CAB">
        <w:tblPrEx>
          <w:tblCellMar>
            <w:top w:w="0" w:type="dxa"/>
            <w:bottom w:w="0" w:type="dxa"/>
          </w:tblCellMar>
        </w:tblPrEx>
        <w:trPr>
          <w:trHeight w:val="207"/>
        </w:trPr>
        <w:tc>
          <w:tcPr>
            <w:tcW w:w="554"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jc w:val="center"/>
            </w:pPr>
            <w:r>
              <w:rPr>
                <w:rFonts w:eastAsia="Times New Roman"/>
                <w:b/>
                <w:bCs/>
                <w:color w:val="4C4747"/>
                <w:sz w:val="19"/>
                <w:szCs w:val="19"/>
                <w:lang w:eastAsia="es-DO"/>
              </w:rPr>
              <w:t>Δ</w:t>
            </w:r>
          </w:p>
        </w:tc>
        <w:tc>
          <w:tcPr>
            <w:tcW w:w="7346" w:type="dxa"/>
            <w:gridSpan w:val="4"/>
            <w:tcBorders>
              <w:top w:val="single" w:sz="8" w:space="0" w:color="000000"/>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tcPr>
          <w:p w:rsidR="00184CAB" w:rsidRDefault="002B1930">
            <w:pPr>
              <w:spacing w:after="0" w:line="240" w:lineRule="auto"/>
              <w:rPr>
                <w:color w:val="4C4747"/>
                <w:sz w:val="19"/>
                <w:szCs w:val="19"/>
              </w:rPr>
            </w:pPr>
            <w:r>
              <w:rPr>
                <w:color w:val="4C4747"/>
                <w:sz w:val="19"/>
                <w:szCs w:val="19"/>
              </w:rPr>
              <w:t>Cantidades tomadas de las devoluciones realizadas por la Unidad de Auditoría Interna (UAI) de la Contraloría.</w:t>
            </w:r>
          </w:p>
        </w:tc>
      </w:tr>
    </w:tbl>
    <w:p w:rsidR="00184CAB" w:rsidRDefault="002B1930">
      <w:pPr>
        <w:spacing w:line="360" w:lineRule="auto"/>
        <w:jc w:val="both"/>
      </w:pPr>
      <w:r>
        <w:rPr>
          <w:i/>
          <w:color w:val="4C4747"/>
          <w:sz w:val="18"/>
          <w:szCs w:val="18"/>
        </w:rPr>
        <w:t xml:space="preserve">Fuente: Datos vistos al 29 de noviembre del </w:t>
      </w:r>
      <w:r>
        <w:rPr>
          <w:i/>
          <w:color w:val="4C4747"/>
          <w:sz w:val="18"/>
          <w:szCs w:val="18"/>
        </w:rPr>
        <w:t>2025, Dirección de Control Interno</w:t>
      </w:r>
    </w:p>
    <w:p w:rsidR="00184CAB" w:rsidRDefault="002B1930">
      <w:pPr>
        <w:spacing w:line="360" w:lineRule="auto"/>
        <w:jc w:val="both"/>
      </w:pPr>
      <w:r>
        <w:rPr>
          <w:b/>
          <w:color w:val="4C4747"/>
        </w:rPr>
        <w:t>Generación y tramites de informes administrativos y financieros.</w:t>
      </w:r>
      <w:r>
        <w:rPr>
          <w:color w:val="4C4747"/>
        </w:rPr>
        <w:t xml:space="preserve"> Se han elaborado los informes correspondientes a las verificaciones de procesos y cuentas relacionados a los controles claves financieros, tales como:</w:t>
      </w:r>
    </w:p>
    <w:p w:rsidR="00184CAB" w:rsidRDefault="002B1930">
      <w:pPr>
        <w:numPr>
          <w:ilvl w:val="0"/>
          <w:numId w:val="20"/>
        </w:numPr>
        <w:spacing w:line="360" w:lineRule="auto"/>
        <w:jc w:val="both"/>
        <w:rPr>
          <w:color w:val="4C4747"/>
          <w:lang w:val="es-ES"/>
        </w:rPr>
      </w:pPr>
      <w:r>
        <w:rPr>
          <w:color w:val="4C4747"/>
          <w:lang w:val="es-ES"/>
        </w:rPr>
        <w:t>Infor</w:t>
      </w:r>
      <w:r>
        <w:rPr>
          <w:color w:val="4C4747"/>
          <w:lang w:val="es-ES"/>
        </w:rPr>
        <w:t>me de verificación Data de las informaciones Financieras (</w:t>
      </w:r>
      <w:proofErr w:type="spellStart"/>
      <w:r>
        <w:rPr>
          <w:color w:val="4C4747"/>
          <w:lang w:val="es-ES"/>
        </w:rPr>
        <w:t>Backup</w:t>
      </w:r>
      <w:proofErr w:type="spellEnd"/>
      <w:r>
        <w:rPr>
          <w:color w:val="4C4747"/>
          <w:lang w:val="es-ES"/>
        </w:rPr>
        <w:t>).</w:t>
      </w:r>
    </w:p>
    <w:p w:rsidR="00184CAB" w:rsidRDefault="002B1930">
      <w:pPr>
        <w:numPr>
          <w:ilvl w:val="0"/>
          <w:numId w:val="20"/>
        </w:numPr>
        <w:spacing w:line="360" w:lineRule="auto"/>
        <w:jc w:val="both"/>
        <w:rPr>
          <w:color w:val="4C4747"/>
          <w:lang w:val="es-ES"/>
        </w:rPr>
      </w:pPr>
      <w:r>
        <w:rPr>
          <w:color w:val="4C4747"/>
          <w:lang w:val="es-ES"/>
        </w:rPr>
        <w:t>Informe de verificación de la Antigüedad Saldos (Cuentas por Pagar Proveedores).</w:t>
      </w:r>
    </w:p>
    <w:p w:rsidR="00184CAB" w:rsidRDefault="002B1930">
      <w:pPr>
        <w:numPr>
          <w:ilvl w:val="0"/>
          <w:numId w:val="20"/>
        </w:numPr>
        <w:spacing w:line="360" w:lineRule="auto"/>
        <w:jc w:val="both"/>
        <w:rPr>
          <w:color w:val="4C4747"/>
          <w:lang w:val="es-ES"/>
        </w:rPr>
      </w:pPr>
      <w:r>
        <w:rPr>
          <w:color w:val="4C4747"/>
          <w:lang w:val="es-ES"/>
        </w:rPr>
        <w:t>Informe de Revisión de las Conciliaciones Bancarias.</w:t>
      </w:r>
    </w:p>
    <w:p w:rsidR="00184CAB" w:rsidRDefault="002B1930">
      <w:pPr>
        <w:numPr>
          <w:ilvl w:val="0"/>
          <w:numId w:val="20"/>
        </w:numPr>
        <w:spacing w:line="360" w:lineRule="auto"/>
        <w:jc w:val="both"/>
        <w:rPr>
          <w:color w:val="4C4747"/>
          <w:lang w:val="es-ES"/>
        </w:rPr>
      </w:pPr>
      <w:r>
        <w:rPr>
          <w:color w:val="4C4747"/>
          <w:lang w:val="es-ES"/>
        </w:rPr>
        <w:lastRenderedPageBreak/>
        <w:t>Informe de los Arqueos de Cajas Chicas.</w:t>
      </w:r>
    </w:p>
    <w:p w:rsidR="00184CAB" w:rsidRDefault="002B1930">
      <w:pPr>
        <w:numPr>
          <w:ilvl w:val="0"/>
          <w:numId w:val="20"/>
        </w:numPr>
        <w:spacing w:line="360" w:lineRule="auto"/>
        <w:jc w:val="both"/>
        <w:rPr>
          <w:color w:val="4C4747"/>
          <w:lang w:val="es-ES"/>
        </w:rPr>
      </w:pPr>
      <w:r>
        <w:rPr>
          <w:color w:val="4C4747"/>
          <w:lang w:val="es-ES"/>
        </w:rPr>
        <w:t>Informe Entrega</w:t>
      </w:r>
      <w:r>
        <w:rPr>
          <w:color w:val="4C4747"/>
          <w:lang w:val="es-ES"/>
        </w:rPr>
        <w:t xml:space="preserve"> de Cheques a Suplidores, Iglesias y Otros,</w:t>
      </w:r>
    </w:p>
    <w:p w:rsidR="00184CAB" w:rsidRDefault="002B1930">
      <w:pPr>
        <w:numPr>
          <w:ilvl w:val="0"/>
          <w:numId w:val="20"/>
        </w:numPr>
        <w:spacing w:line="360" w:lineRule="auto"/>
        <w:jc w:val="both"/>
        <w:rPr>
          <w:color w:val="4C4747"/>
          <w:lang w:val="es-ES"/>
        </w:rPr>
      </w:pPr>
      <w:r>
        <w:rPr>
          <w:color w:val="4C4747"/>
          <w:lang w:val="es-ES"/>
        </w:rPr>
        <w:t>Informe Medicamentos recibidos por PROMESECAL y otros (Si aplica en el mes).</w:t>
      </w:r>
    </w:p>
    <w:p w:rsidR="00184CAB" w:rsidRDefault="002B1930">
      <w:pPr>
        <w:numPr>
          <w:ilvl w:val="0"/>
          <w:numId w:val="20"/>
        </w:numPr>
        <w:spacing w:line="360" w:lineRule="auto"/>
        <w:jc w:val="both"/>
        <w:rPr>
          <w:color w:val="4C4747"/>
          <w:lang w:val="es-ES"/>
        </w:rPr>
      </w:pPr>
      <w:r>
        <w:rPr>
          <w:color w:val="4C4747"/>
          <w:lang w:val="es-ES"/>
        </w:rPr>
        <w:t>Informe Semestral del Arqueo de las Cuentas por Pagar Proveedores y Pasivos nos Registrados de las diferentes áreas funcionales del MAP</w:t>
      </w:r>
      <w:r>
        <w:rPr>
          <w:color w:val="4C4747"/>
          <w:lang w:val="es-ES"/>
        </w:rPr>
        <w:t>RE.</w:t>
      </w:r>
    </w:p>
    <w:p w:rsidR="00184CAB" w:rsidRDefault="002B1930">
      <w:pPr>
        <w:numPr>
          <w:ilvl w:val="0"/>
          <w:numId w:val="20"/>
        </w:numPr>
        <w:spacing w:line="360" w:lineRule="auto"/>
        <w:jc w:val="both"/>
        <w:rPr>
          <w:color w:val="4C4747"/>
          <w:lang w:val="es-ES"/>
        </w:rPr>
      </w:pPr>
      <w:r>
        <w:rPr>
          <w:color w:val="4C4747"/>
          <w:lang w:val="es-ES"/>
        </w:rPr>
        <w:t>Informe de Evaluación Procedimientos Inventarios</w:t>
      </w:r>
    </w:p>
    <w:p w:rsidR="00184CAB" w:rsidRDefault="002B1930">
      <w:pPr>
        <w:numPr>
          <w:ilvl w:val="0"/>
          <w:numId w:val="20"/>
        </w:numPr>
        <w:spacing w:line="360" w:lineRule="auto"/>
        <w:jc w:val="both"/>
        <w:rPr>
          <w:color w:val="4C4747"/>
          <w:lang w:val="es-ES"/>
        </w:rPr>
      </w:pPr>
      <w:r>
        <w:rPr>
          <w:color w:val="4C4747"/>
          <w:lang w:val="es-ES"/>
        </w:rPr>
        <w:t xml:space="preserve">Otros informes Especiales No Recurrentes </w:t>
      </w:r>
    </w:p>
    <w:p w:rsidR="00184CAB" w:rsidRDefault="002B1930">
      <w:pPr>
        <w:spacing w:line="360" w:lineRule="auto"/>
        <w:jc w:val="both"/>
        <w:rPr>
          <w:b/>
          <w:color w:val="4C4747"/>
          <w:lang w:val="es-ES"/>
        </w:rPr>
      </w:pPr>
      <w:bookmarkStart w:id="94" w:name="_Hlk217901275"/>
      <w:r>
        <w:rPr>
          <w:b/>
          <w:color w:val="4C4747"/>
          <w:lang w:val="es-ES"/>
        </w:rPr>
        <w:t>Desempeño del Índice de Control Interno</w:t>
      </w:r>
    </w:p>
    <w:p w:rsidR="00184CAB" w:rsidRDefault="002B1930">
      <w:pPr>
        <w:spacing w:line="360" w:lineRule="auto"/>
        <w:jc w:val="both"/>
        <w:rPr>
          <w:color w:val="4C4747"/>
          <w:lang w:val="es-ES"/>
        </w:rPr>
      </w:pPr>
      <w:r>
        <w:rPr>
          <w:color w:val="4C4747"/>
          <w:lang w:val="es-ES"/>
        </w:rPr>
        <w:t xml:space="preserve">El índice de Control Interno es una métrica agrupada que permite valorar razonablemente un conjunto de dimensiones </w:t>
      </w:r>
      <w:r>
        <w:rPr>
          <w:color w:val="4C4747"/>
          <w:lang w:val="es-ES"/>
        </w:rPr>
        <w:t>asociadas al nivel de cumplimiento del control interno de las instituciones bajo el alcance legal de la Contraloría General de la República Dominicana como órgano rector.</w:t>
      </w:r>
    </w:p>
    <w:p w:rsidR="00184CAB" w:rsidRDefault="002B1930">
      <w:pPr>
        <w:spacing w:line="360" w:lineRule="auto"/>
        <w:jc w:val="both"/>
        <w:rPr>
          <w:color w:val="4C4747"/>
          <w:lang w:val="es-ES"/>
        </w:rPr>
      </w:pPr>
      <w:r>
        <w:rPr>
          <w:color w:val="4C4747"/>
          <w:lang w:val="es-ES"/>
        </w:rPr>
        <w:t>Esta dirección ha cumplido con los indicadores del Índice del Control Interno como el</w:t>
      </w:r>
      <w:r>
        <w:rPr>
          <w:color w:val="4C4747"/>
          <w:lang w:val="es-ES"/>
        </w:rPr>
        <w:t xml:space="preserve"> Diseño y Documentación del Sistema de Control Interno dando como resultado una puntuación de 90.58% al corte del tercer trimestre (julio-sept.).</w:t>
      </w:r>
    </w:p>
    <w:p w:rsidR="00184CAB" w:rsidRDefault="002B1930">
      <w:pPr>
        <w:spacing w:line="360" w:lineRule="auto"/>
        <w:jc w:val="both"/>
        <w:rPr>
          <w:b/>
          <w:color w:val="4C4747"/>
          <w:lang w:val="es-ES"/>
        </w:rPr>
      </w:pPr>
      <w:r>
        <w:rPr>
          <w:b/>
          <w:color w:val="4C4747"/>
          <w:lang w:val="es-ES"/>
        </w:rPr>
        <w:t>Proyecciones para cierre de año:</w:t>
      </w:r>
    </w:p>
    <w:p w:rsidR="00184CAB" w:rsidRDefault="002B1930">
      <w:pPr>
        <w:spacing w:line="360" w:lineRule="auto"/>
        <w:jc w:val="both"/>
        <w:rPr>
          <w:color w:val="4C4747"/>
        </w:rPr>
      </w:pPr>
      <w:r>
        <w:rPr>
          <w:color w:val="4C4747"/>
        </w:rPr>
        <w:t>Para cierre de año, se pondera para la evaluación concerniente al cuarto trim</w:t>
      </w:r>
      <w:r>
        <w:rPr>
          <w:color w:val="4C4747"/>
        </w:rPr>
        <w:t xml:space="preserve">estre del año 2025 del Indicador del Índice de Control Interno (ICI), la cual está pautada para el 31 de </w:t>
      </w:r>
      <w:proofErr w:type="gramStart"/>
      <w:r>
        <w:rPr>
          <w:color w:val="4C4747"/>
        </w:rPr>
        <w:t>Diciembre</w:t>
      </w:r>
      <w:proofErr w:type="gramEnd"/>
      <w:r>
        <w:rPr>
          <w:color w:val="4C4747"/>
        </w:rPr>
        <w:t>, se proyecta un promedio 93.22%, lo que supondría a un incremento en la puntuación y calificación final.</w:t>
      </w:r>
    </w:p>
    <w:p w:rsidR="00184CAB" w:rsidRDefault="00184CAB">
      <w:pPr>
        <w:spacing w:line="360" w:lineRule="auto"/>
        <w:jc w:val="both"/>
        <w:rPr>
          <w:color w:val="4C4747"/>
        </w:rPr>
      </w:pPr>
    </w:p>
    <w:p w:rsidR="00184CAB" w:rsidRDefault="002B1930">
      <w:pPr>
        <w:pStyle w:val="Ttulo2"/>
        <w:numPr>
          <w:ilvl w:val="1"/>
          <w:numId w:val="5"/>
        </w:numPr>
        <w:spacing w:line="360" w:lineRule="auto"/>
        <w:jc w:val="both"/>
        <w:rPr>
          <w:b/>
          <w:color w:val="4C4747"/>
          <w:szCs w:val="24"/>
        </w:rPr>
      </w:pPr>
      <w:bookmarkStart w:id="95" w:name="_Toc217043956"/>
      <w:bookmarkStart w:id="96" w:name="_Toc217907927"/>
      <w:bookmarkStart w:id="97" w:name="_Toc217914428"/>
      <w:bookmarkEnd w:id="94"/>
      <w:r>
        <w:rPr>
          <w:b/>
          <w:color w:val="4C4747"/>
          <w:szCs w:val="24"/>
        </w:rPr>
        <w:lastRenderedPageBreak/>
        <w:t>Gestión de Enlace del Poder Ejecuti</w:t>
      </w:r>
      <w:r>
        <w:rPr>
          <w:b/>
          <w:color w:val="4C4747"/>
          <w:szCs w:val="24"/>
        </w:rPr>
        <w:t>vo con la Comunidad Cristiana</w:t>
      </w:r>
      <w:bookmarkEnd w:id="95"/>
      <w:bookmarkEnd w:id="96"/>
      <w:bookmarkEnd w:id="97"/>
    </w:p>
    <w:p w:rsidR="00184CAB" w:rsidRDefault="00184CAB"/>
    <w:p w:rsidR="00184CAB" w:rsidRDefault="002B1930">
      <w:pPr>
        <w:spacing w:after="91" w:line="360" w:lineRule="auto"/>
        <w:ind w:left="-5" w:hanging="10"/>
        <w:jc w:val="both"/>
        <w:rPr>
          <w:rFonts w:eastAsia="Arial"/>
          <w:color w:val="4C4747"/>
        </w:rPr>
      </w:pPr>
      <w:r>
        <w:rPr>
          <w:rFonts w:eastAsia="Arial"/>
          <w:color w:val="4C4747"/>
        </w:rPr>
        <w:t xml:space="preserve">La Oficina de Enlace del Poder Ejecutivo con la Comunidad Cristiana es la unidad de apoyo gubernamental que atiende las necesidades de índole económico, organizativo y asistencial del sector cristiano de la República </w:t>
      </w:r>
      <w:r>
        <w:rPr>
          <w:rFonts w:eastAsia="Arial"/>
          <w:color w:val="4C4747"/>
        </w:rPr>
        <w:t>Dominicana ofreciendo apoyo y capacitación en el área educativa, salud, planes de desarrollo y otros servicios que, demuestran el compromiso del Gobierno en apoyar el crecimiento y fortalecimiento de las distintas instituciones y actores de la comunidad de</w:t>
      </w:r>
      <w:r>
        <w:rPr>
          <w:rFonts w:eastAsia="Arial"/>
          <w:color w:val="4C4747"/>
        </w:rPr>
        <w:t xml:space="preserve"> fe del país.</w:t>
      </w:r>
    </w:p>
    <w:p w:rsidR="00184CAB" w:rsidRDefault="00184CAB">
      <w:pPr>
        <w:spacing w:after="91" w:line="360" w:lineRule="auto"/>
        <w:ind w:left="-5" w:hanging="10"/>
        <w:jc w:val="both"/>
        <w:rPr>
          <w:rFonts w:eastAsia="Arial"/>
          <w:color w:val="4C4747"/>
        </w:rPr>
      </w:pPr>
    </w:p>
    <w:p w:rsidR="00184CAB" w:rsidRDefault="002B1930">
      <w:pPr>
        <w:spacing w:after="91" w:line="360" w:lineRule="auto"/>
        <w:ind w:left="-5" w:hanging="10"/>
        <w:jc w:val="both"/>
        <w:rPr>
          <w:rFonts w:eastAsia="Arial"/>
          <w:color w:val="4C4747"/>
        </w:rPr>
      </w:pPr>
      <w:r>
        <w:rPr>
          <w:rFonts w:eastAsia="Arial"/>
          <w:color w:val="4C4747"/>
        </w:rPr>
        <w:t>A continuación, se presenta los principales logros y resultados del año 2025:</w:t>
      </w:r>
    </w:p>
    <w:p w:rsidR="00184CAB" w:rsidRDefault="002B1930">
      <w:pPr>
        <w:spacing w:line="360" w:lineRule="auto"/>
        <w:jc w:val="both"/>
      </w:pPr>
      <w:r>
        <w:rPr>
          <w:rFonts w:eastAsia="Arial"/>
          <w:b/>
          <w:color w:val="4C4747"/>
        </w:rPr>
        <w:t>Asistencia económica.</w:t>
      </w:r>
      <w:r>
        <w:rPr>
          <w:rFonts w:eastAsia="Arial"/>
          <w:color w:val="4C4747"/>
        </w:rPr>
        <w:t xml:space="preserve"> </w:t>
      </w:r>
      <w:r>
        <w:rPr>
          <w:rFonts w:eastAsia="Arial"/>
          <w:color w:val="4B4747"/>
        </w:rPr>
        <w:t xml:space="preserve">Durante el período enero–junio 2025, la Oficina de Enlace del Poder Ejecutivo con la Comunidad Cristiana canalizó </w:t>
      </w:r>
      <w:r>
        <w:rPr>
          <w:rFonts w:eastAsia="Arial"/>
          <w:bCs/>
          <w:color w:val="4B4747"/>
        </w:rPr>
        <w:t>aportes económicos por un m</w:t>
      </w:r>
      <w:r>
        <w:rPr>
          <w:rFonts w:eastAsia="Arial"/>
          <w:bCs/>
          <w:color w:val="4B4747"/>
        </w:rPr>
        <w:t>onto de RD$84,408,220.00</w:t>
      </w:r>
      <w:r>
        <w:rPr>
          <w:rFonts w:eastAsia="Arial"/>
          <w:color w:val="4B4747"/>
        </w:rPr>
        <w:t xml:space="preserve">, beneficiando a </w:t>
      </w:r>
      <w:r>
        <w:rPr>
          <w:rFonts w:eastAsia="Arial"/>
          <w:bCs/>
          <w:color w:val="4B4747"/>
        </w:rPr>
        <w:t>526 iglesias e instituciones cristianas a nivel nacional</w:t>
      </w:r>
      <w:r>
        <w:rPr>
          <w:rFonts w:eastAsia="Arial"/>
          <w:color w:val="4B4747"/>
        </w:rPr>
        <w:t>, destinados a proyectos de infraestructura, equipamiento, apoyo social, salud, misiones y actividades de impacto comunitario, contribuyendo al fortalecimiento</w:t>
      </w:r>
      <w:r>
        <w:rPr>
          <w:rFonts w:eastAsia="Arial"/>
          <w:color w:val="4B4747"/>
        </w:rPr>
        <w:t xml:space="preserve"> institucional y social de la comunidad de fe.</w:t>
      </w:r>
    </w:p>
    <w:p w:rsidR="00184CAB" w:rsidRDefault="002B1930">
      <w:pPr>
        <w:spacing w:line="360" w:lineRule="auto"/>
        <w:jc w:val="both"/>
      </w:pPr>
      <w:bookmarkStart w:id="98" w:name="_Toc152251392"/>
      <w:r>
        <w:rPr>
          <w:rFonts w:eastAsia="Arial"/>
          <w:b/>
          <w:color w:val="4C4747"/>
        </w:rPr>
        <w:t>Desarrollo Organizacional y Liderazgo</w:t>
      </w:r>
      <w:bookmarkEnd w:id="98"/>
      <w:r>
        <w:rPr>
          <w:rFonts w:eastAsia="Arial"/>
          <w:b/>
          <w:color w:val="4C4747"/>
        </w:rPr>
        <w:t xml:space="preserve">: </w:t>
      </w:r>
      <w:r>
        <w:rPr>
          <w:rFonts w:eastAsia="Arial"/>
          <w:color w:val="4B4747"/>
        </w:rPr>
        <w:t xml:space="preserve">Durante el primer semestre de 2025, la Oficina mantuvo una política de </w:t>
      </w:r>
      <w:r>
        <w:rPr>
          <w:rFonts w:eastAsia="Arial"/>
          <w:bCs/>
          <w:color w:val="4B4747"/>
        </w:rPr>
        <w:t>atención directa y diálogo permanente</w:t>
      </w:r>
      <w:r>
        <w:rPr>
          <w:rFonts w:eastAsia="Arial"/>
          <w:color w:val="4B4747"/>
        </w:rPr>
        <w:t xml:space="preserve">, recibiendo un aproximado de </w:t>
      </w:r>
      <w:r>
        <w:rPr>
          <w:rFonts w:eastAsia="Arial"/>
          <w:bCs/>
          <w:color w:val="4B4747"/>
        </w:rPr>
        <w:t>1,920 pastores, líderes y repres</w:t>
      </w:r>
      <w:r>
        <w:rPr>
          <w:rFonts w:eastAsia="Arial"/>
          <w:bCs/>
          <w:color w:val="4B4747"/>
        </w:rPr>
        <w:t>entantes de instituciones eclesiásticas a nivel nacional</w:t>
      </w:r>
      <w:r>
        <w:rPr>
          <w:rFonts w:eastAsia="Arial"/>
          <w:color w:val="4B4747"/>
        </w:rPr>
        <w:t>, fortaleciendo los canales de comunicación entre el Estado y la comunidad cristiana y facilitando la gestión de sus demandas ante las distintas instancias gubernamentales.</w:t>
      </w:r>
    </w:p>
    <w:p w:rsidR="00184CAB" w:rsidRDefault="002B1930">
      <w:pPr>
        <w:spacing w:line="360" w:lineRule="auto"/>
        <w:jc w:val="both"/>
      </w:pPr>
      <w:r>
        <w:rPr>
          <w:rFonts w:eastAsia="Arial"/>
          <w:b/>
          <w:color w:val="4C4747"/>
          <w:lang w:val="es-ES"/>
        </w:rPr>
        <w:lastRenderedPageBreak/>
        <w:t>Apoyo a la Cultura Cristian</w:t>
      </w:r>
      <w:r>
        <w:rPr>
          <w:rFonts w:eastAsia="Arial"/>
          <w:b/>
          <w:color w:val="4C4747"/>
          <w:lang w:val="es-ES"/>
        </w:rPr>
        <w:t xml:space="preserve">a: </w:t>
      </w:r>
      <w:r>
        <w:rPr>
          <w:rFonts w:eastAsia="Arial"/>
          <w:color w:val="4C4747"/>
          <w:lang w:val="es-ES"/>
        </w:rPr>
        <w:t xml:space="preserve">Realización del día nacional de la Biblia en el salón las Cariátides, manteniendo mediante este acto una cultura de alta valoración a las sagradas Escrituras con la Asistencia del Excelentísimo Señor </w:t>
      </w:r>
      <w:proofErr w:type="gramStart"/>
      <w:r>
        <w:rPr>
          <w:rFonts w:eastAsia="Arial"/>
          <w:color w:val="4C4747"/>
          <w:lang w:val="es-ES"/>
        </w:rPr>
        <w:t>Presidente</w:t>
      </w:r>
      <w:proofErr w:type="gramEnd"/>
      <w:r>
        <w:rPr>
          <w:rFonts w:eastAsia="Arial"/>
          <w:color w:val="4C4747"/>
          <w:lang w:val="es-ES"/>
        </w:rPr>
        <w:t xml:space="preserve"> Luis </w:t>
      </w:r>
      <w:proofErr w:type="spellStart"/>
      <w:r>
        <w:rPr>
          <w:rFonts w:eastAsia="Arial"/>
          <w:color w:val="4C4747"/>
          <w:lang w:val="es-ES"/>
        </w:rPr>
        <w:t>Abinader</w:t>
      </w:r>
      <w:proofErr w:type="spellEnd"/>
      <w:r>
        <w:rPr>
          <w:rFonts w:eastAsia="Arial"/>
          <w:color w:val="4C4747"/>
          <w:lang w:val="es-ES"/>
        </w:rPr>
        <w:t>, la honorable Primera Dama R</w:t>
      </w:r>
      <w:r>
        <w:rPr>
          <w:rFonts w:eastAsia="Arial"/>
          <w:color w:val="4C4747"/>
          <w:lang w:val="es-ES"/>
        </w:rPr>
        <w:t xml:space="preserve">aquel </w:t>
      </w:r>
      <w:proofErr w:type="spellStart"/>
      <w:r>
        <w:rPr>
          <w:rFonts w:eastAsia="Arial"/>
          <w:color w:val="4C4747"/>
          <w:lang w:val="es-ES"/>
        </w:rPr>
        <w:t>Arbaje</w:t>
      </w:r>
      <w:proofErr w:type="spellEnd"/>
      <w:r>
        <w:rPr>
          <w:rFonts w:eastAsia="Arial"/>
          <w:color w:val="4C4747"/>
          <w:lang w:val="es-ES"/>
        </w:rPr>
        <w:t xml:space="preserve"> y la excelentísima Señora Vicepresidenta Raquel Peña, así como el alto clero evangélico, representantes de instituciones eclesiásticas y diversas personalidades del ámbito cristiano nacional.</w:t>
      </w:r>
    </w:p>
    <w:p w:rsidR="00184CAB" w:rsidRDefault="002B1930">
      <w:pPr>
        <w:spacing w:line="360" w:lineRule="auto"/>
        <w:jc w:val="both"/>
      </w:pPr>
      <w:r>
        <w:rPr>
          <w:rFonts w:eastAsia="Arial"/>
          <w:b/>
          <w:color w:val="4C4747"/>
        </w:rPr>
        <w:t>Medidas adoptadas para implementar mejoras en los r</w:t>
      </w:r>
      <w:r>
        <w:rPr>
          <w:rFonts w:eastAsia="Arial"/>
          <w:b/>
          <w:color w:val="4C4747"/>
        </w:rPr>
        <w:t>esultados:</w:t>
      </w:r>
      <w:bookmarkStart w:id="99" w:name="_Toc152251394"/>
      <w:r>
        <w:rPr>
          <w:rFonts w:eastAsia="Arial"/>
          <w:b/>
          <w:color w:val="4C4747"/>
        </w:rPr>
        <w:t xml:space="preserve"> </w:t>
      </w:r>
      <w:r>
        <w:rPr>
          <w:rFonts w:eastAsia="Arial"/>
          <w:color w:val="4C4747"/>
        </w:rPr>
        <w:t xml:space="preserve">Como resultado de la optimización de los procesos internos, durante este semestre se logró </w:t>
      </w:r>
      <w:r>
        <w:rPr>
          <w:rFonts w:eastAsia="Arial"/>
          <w:bCs/>
          <w:color w:val="4C4747"/>
        </w:rPr>
        <w:t>reducir el tiempo de procesamiento de los expedientes de solicitudes de aportes a un máximo de 90 días</w:t>
      </w:r>
      <w:r>
        <w:rPr>
          <w:rFonts w:eastAsia="Arial"/>
          <w:color w:val="4C4747"/>
        </w:rPr>
        <w:t>, frente a plazos que anteriormente superaban un año</w:t>
      </w:r>
      <w:r>
        <w:rPr>
          <w:rFonts w:eastAsia="Arial"/>
          <w:color w:val="4C4747"/>
        </w:rPr>
        <w:t>, mejorando la eficiencia institucional y la satisfacción de los beneficiarios.</w:t>
      </w:r>
    </w:p>
    <w:p w:rsidR="00184CAB" w:rsidRDefault="002B1930">
      <w:pPr>
        <w:spacing w:line="360" w:lineRule="auto"/>
        <w:jc w:val="both"/>
      </w:pPr>
      <w:r>
        <w:rPr>
          <w:rFonts w:eastAsia="Arial"/>
          <w:color w:val="4C4747"/>
        </w:rPr>
        <w:t xml:space="preserve">Además, se formalizó el uso del </w:t>
      </w:r>
      <w:r>
        <w:rPr>
          <w:rFonts w:eastAsia="Arial"/>
          <w:bCs/>
          <w:color w:val="4C4747"/>
        </w:rPr>
        <w:t>correo electrónico institucional de la Oficina de Enlace Cristiano</w:t>
      </w:r>
      <w:r>
        <w:rPr>
          <w:rFonts w:eastAsia="Arial"/>
          <w:color w:val="4C4747"/>
        </w:rPr>
        <w:t xml:space="preserve"> como canal de atención ciudadana oficial, facilitando la recepción de solicit</w:t>
      </w:r>
      <w:r>
        <w:rPr>
          <w:rFonts w:eastAsia="Arial"/>
          <w:color w:val="4C4747"/>
        </w:rPr>
        <w:t>udes, gestión de citas, envío de documentación y orientación a los usuarios, incrementando la capacidad de respuesta institucional.</w:t>
      </w:r>
    </w:p>
    <w:p w:rsidR="00184CAB" w:rsidRDefault="002B1930">
      <w:pPr>
        <w:spacing w:line="360" w:lineRule="auto"/>
        <w:jc w:val="both"/>
      </w:pPr>
      <w:bookmarkStart w:id="100" w:name="_Toc152251395"/>
      <w:bookmarkEnd w:id="99"/>
      <w:r>
        <w:rPr>
          <w:rFonts w:eastAsia="Arial"/>
          <w:b/>
          <w:color w:val="4C4747"/>
        </w:rPr>
        <w:t>Rendición de Cuentas y Transparencia</w:t>
      </w:r>
      <w:bookmarkEnd w:id="100"/>
      <w:r>
        <w:rPr>
          <w:rFonts w:eastAsia="Arial"/>
          <w:b/>
          <w:color w:val="4C4747"/>
        </w:rPr>
        <w:t xml:space="preserve">: </w:t>
      </w:r>
      <w:r>
        <w:rPr>
          <w:rFonts w:eastAsia="Arial"/>
          <w:color w:val="4C4747"/>
        </w:rPr>
        <w:t>La Oficina participó como ente de acompañamiento institucional en diversas actividades</w:t>
      </w:r>
      <w:r>
        <w:rPr>
          <w:rFonts w:eastAsia="Arial"/>
          <w:color w:val="4C4747"/>
        </w:rPr>
        <w:t xml:space="preserve">, congresos y eventos de la comunidad cristiana a nivel nacional, fortaleciendo la presencia del Estado y el vínculo con los distintos sectores de la comunidad de fe. </w:t>
      </w:r>
    </w:p>
    <w:p w:rsidR="00184CAB" w:rsidRDefault="002B1930">
      <w:pPr>
        <w:spacing w:line="360" w:lineRule="auto"/>
        <w:jc w:val="both"/>
        <w:rPr>
          <w:rFonts w:eastAsia="Arial"/>
          <w:color w:val="4C4747"/>
        </w:rPr>
      </w:pPr>
      <w:r>
        <w:rPr>
          <w:rFonts w:eastAsia="Arial"/>
          <w:color w:val="4C4747"/>
        </w:rPr>
        <w:t>De igual manera, el 100% de las donaciones otorgadas cuentan con los documentos de sopor</w:t>
      </w:r>
      <w:r>
        <w:rPr>
          <w:rFonts w:eastAsia="Arial"/>
          <w:color w:val="4C4747"/>
        </w:rPr>
        <w:t>te que avalan que los fondos recibidos por las distintas organizaciones fueron empleados para los fines solicitados.</w:t>
      </w:r>
    </w:p>
    <w:p w:rsidR="00184CAB" w:rsidRDefault="002B1930">
      <w:pPr>
        <w:spacing w:line="360" w:lineRule="auto"/>
        <w:rPr>
          <w:b/>
          <w:color w:val="4C4747"/>
        </w:rPr>
      </w:pPr>
      <w:r>
        <w:rPr>
          <w:b/>
          <w:color w:val="4C4747"/>
        </w:rPr>
        <w:lastRenderedPageBreak/>
        <w:t>Proyecciones para cierre de año:</w:t>
      </w:r>
    </w:p>
    <w:p w:rsidR="00184CAB" w:rsidRDefault="002B1930">
      <w:pPr>
        <w:spacing w:line="360" w:lineRule="auto"/>
        <w:jc w:val="both"/>
      </w:pPr>
      <w:r>
        <w:rPr>
          <w:bCs/>
          <w:color w:val="4B4747"/>
          <w:lang w:val="es-DO"/>
        </w:rPr>
        <w:t>La proyección al cierre del mes de diciembre 2025 no contempla el ingreso de nuevos procesos</w:t>
      </w:r>
      <w:r>
        <w:rPr>
          <w:color w:val="4B4747"/>
          <w:lang w:val="es-DO"/>
        </w:rPr>
        <w:t xml:space="preserve">, limitándose </w:t>
      </w:r>
      <w:r>
        <w:rPr>
          <w:color w:val="4B4747"/>
          <w:lang w:val="es-DO"/>
        </w:rPr>
        <w:t>las acciones institucionales al cierre administrativo.</w:t>
      </w:r>
    </w:p>
    <w:p w:rsidR="00184CAB" w:rsidRDefault="00184CAB">
      <w:pPr>
        <w:spacing w:line="360" w:lineRule="auto"/>
        <w:jc w:val="both"/>
        <w:rPr>
          <w:rFonts w:eastAsia="Arial"/>
          <w:color w:val="4C4747"/>
        </w:rPr>
      </w:pPr>
    </w:p>
    <w:p w:rsidR="00184CAB" w:rsidRDefault="002B1930">
      <w:pPr>
        <w:pStyle w:val="Prrafodelista"/>
        <w:numPr>
          <w:ilvl w:val="1"/>
          <w:numId w:val="5"/>
        </w:numPr>
        <w:spacing w:line="360" w:lineRule="auto"/>
        <w:ind w:left="851"/>
        <w:jc w:val="both"/>
        <w:rPr>
          <w:b/>
          <w:color w:val="4C4747"/>
        </w:rPr>
      </w:pPr>
      <w:bookmarkStart w:id="101" w:name="_Toc217907928"/>
      <w:r>
        <w:rPr>
          <w:b/>
          <w:color w:val="4C4747"/>
        </w:rPr>
        <w:t>Gestión de la Oficina de Enlace del Poder Ejecutivo con la Iglesia Católica.</w:t>
      </w:r>
      <w:bookmarkEnd w:id="101"/>
    </w:p>
    <w:p w:rsidR="00184CAB" w:rsidRDefault="002B1930">
      <w:pPr>
        <w:spacing w:line="360" w:lineRule="auto"/>
        <w:jc w:val="both"/>
        <w:rPr>
          <w:color w:val="4C4747"/>
        </w:rPr>
      </w:pPr>
      <w:r>
        <w:rPr>
          <w:color w:val="4C4747"/>
        </w:rPr>
        <w:t xml:space="preserve">La oficina enlace del Poder Ejecutivo con la Iglesia Católica tiene como objetivo canalizar fondos en beneficio de las </w:t>
      </w:r>
      <w:r>
        <w:rPr>
          <w:color w:val="4C4747"/>
        </w:rPr>
        <w:t xml:space="preserve">instituciones eclesiales católicas existentes en el territorio nacional.  </w:t>
      </w:r>
    </w:p>
    <w:p w:rsidR="00184CAB" w:rsidRDefault="002B1930">
      <w:pPr>
        <w:spacing w:line="360" w:lineRule="auto"/>
        <w:jc w:val="both"/>
      </w:pPr>
      <w:r>
        <w:rPr>
          <w:color w:val="4C4747"/>
        </w:rPr>
        <w:t>Con el fin de apoyar las labores de educación, salud y promoción de los buenos valores, al cierre del año 2025, esta oficina realizó un aporte total de RD$93,000,000.00. distribuido</w:t>
      </w:r>
      <w:r>
        <w:rPr>
          <w:color w:val="4C4747"/>
        </w:rPr>
        <w:t>s a las siguientes instituciones: Episcopado Dominicano, los Arzobispados de Santo Domingo y Santiago; los Obispados de Baní, La Vega, Puerto Plata, La Altagracia, Stella Maris y el Castrense; las Diócesis de Barahona, Mao, San Juan, San Francisco de Macor</w:t>
      </w:r>
      <w:r>
        <w:rPr>
          <w:color w:val="4C4747"/>
        </w:rPr>
        <w:t>ís, San Pedro de Macorís.</w:t>
      </w:r>
      <w:r>
        <w:rPr>
          <w:b/>
          <w:color w:val="4C4747"/>
        </w:rPr>
        <w:t xml:space="preserve"> </w:t>
      </w:r>
    </w:p>
    <w:p w:rsidR="00184CAB" w:rsidRDefault="00184CAB">
      <w:pPr>
        <w:spacing w:line="360" w:lineRule="auto"/>
        <w:jc w:val="both"/>
        <w:rPr>
          <w:b/>
          <w:color w:val="4C4747"/>
        </w:rPr>
      </w:pPr>
    </w:p>
    <w:p w:rsidR="00184CAB" w:rsidRDefault="002B1930">
      <w:pPr>
        <w:spacing w:line="360" w:lineRule="auto"/>
        <w:rPr>
          <w:b/>
          <w:color w:val="4C4747"/>
        </w:rPr>
      </w:pPr>
      <w:r>
        <w:rPr>
          <w:b/>
          <w:color w:val="4C4747"/>
        </w:rPr>
        <w:t>Proyecciones para cierre de año:</w:t>
      </w:r>
    </w:p>
    <w:p w:rsidR="00184CAB" w:rsidRDefault="002B1930">
      <w:pPr>
        <w:spacing w:line="360" w:lineRule="auto"/>
        <w:ind w:right="-18"/>
        <w:jc w:val="both"/>
      </w:pPr>
      <w:r>
        <w:rPr>
          <w:bCs/>
          <w:color w:val="4B4747"/>
          <w:lang w:val="es-DO"/>
        </w:rPr>
        <w:t>La proyección al cierre del mes de diciembre 2025 no contempla el ingreso de nuevos procesos</w:t>
      </w:r>
      <w:r>
        <w:rPr>
          <w:color w:val="4B4747"/>
          <w:lang w:val="es-DO"/>
        </w:rPr>
        <w:t>, limitándose las acciones institucionales al cierre administrativo.</w:t>
      </w:r>
    </w:p>
    <w:p w:rsidR="00184CAB" w:rsidRDefault="00184CAB">
      <w:pPr>
        <w:spacing w:line="360" w:lineRule="auto"/>
        <w:jc w:val="both"/>
        <w:rPr>
          <w:b/>
          <w:color w:val="4C4747"/>
        </w:rPr>
      </w:pPr>
    </w:p>
    <w:p w:rsidR="00184CAB" w:rsidRDefault="00184CAB">
      <w:pPr>
        <w:spacing w:line="360" w:lineRule="auto"/>
        <w:jc w:val="both"/>
        <w:rPr>
          <w:b/>
          <w:color w:val="4C4747"/>
        </w:rPr>
      </w:pPr>
    </w:p>
    <w:p w:rsidR="00184CAB" w:rsidRDefault="00184CAB">
      <w:pPr>
        <w:spacing w:line="360" w:lineRule="auto"/>
        <w:jc w:val="both"/>
        <w:rPr>
          <w:b/>
          <w:color w:val="4C4747"/>
        </w:rPr>
      </w:pPr>
    </w:p>
    <w:p w:rsidR="00184CAB" w:rsidRDefault="002B1930">
      <w:pPr>
        <w:pStyle w:val="Ttulo2"/>
        <w:numPr>
          <w:ilvl w:val="1"/>
          <w:numId w:val="5"/>
        </w:numPr>
        <w:spacing w:line="360" w:lineRule="auto"/>
        <w:jc w:val="both"/>
        <w:rPr>
          <w:b/>
          <w:color w:val="4C4747"/>
          <w:szCs w:val="24"/>
        </w:rPr>
      </w:pPr>
      <w:bookmarkStart w:id="102" w:name="_Toc217043955"/>
      <w:bookmarkStart w:id="103" w:name="_Toc217907929"/>
      <w:bookmarkStart w:id="104" w:name="_Toc217914429"/>
      <w:bookmarkStart w:id="105" w:name="_Toc217043958"/>
      <w:r>
        <w:rPr>
          <w:b/>
          <w:color w:val="4C4747"/>
          <w:szCs w:val="24"/>
        </w:rPr>
        <w:lastRenderedPageBreak/>
        <w:t xml:space="preserve">Desempeño de la Dirección de </w:t>
      </w:r>
      <w:r>
        <w:rPr>
          <w:b/>
          <w:color w:val="4C4747"/>
          <w:szCs w:val="24"/>
        </w:rPr>
        <w:t>Ingeniería</w:t>
      </w:r>
      <w:bookmarkEnd w:id="102"/>
      <w:bookmarkEnd w:id="103"/>
      <w:bookmarkEnd w:id="104"/>
      <w:r>
        <w:rPr>
          <w:b/>
          <w:color w:val="4C4747"/>
          <w:szCs w:val="24"/>
        </w:rPr>
        <w:t xml:space="preserve"> </w:t>
      </w:r>
    </w:p>
    <w:p w:rsidR="00184CAB" w:rsidRDefault="00184CAB">
      <w:pPr>
        <w:spacing w:line="360" w:lineRule="auto"/>
        <w:jc w:val="both"/>
        <w:rPr>
          <w:color w:val="4C4747"/>
        </w:rPr>
      </w:pPr>
    </w:p>
    <w:p w:rsidR="00184CAB" w:rsidRDefault="002B1930">
      <w:pPr>
        <w:spacing w:line="360" w:lineRule="auto"/>
        <w:jc w:val="both"/>
      </w:pPr>
      <w:r>
        <w:rPr>
          <w:color w:val="4C4747"/>
        </w:rPr>
        <w:t xml:space="preserve">Esta unidad ha jugado un papel crucial en el desarrollo, gestión y ejecución de proyectos de alta envergadura, contribuyendo significativamente al fortalecimiento de la infraestructura y su conservación patrimonial </w:t>
      </w:r>
      <w:r>
        <w:rPr>
          <w:color w:val="4B4747"/>
        </w:rPr>
        <w:t>y la eficiencia funcional de</w:t>
      </w:r>
      <w:r>
        <w:rPr>
          <w:color w:val="4B4747"/>
        </w:rPr>
        <w:t xml:space="preserve"> las edificaciones bajo su responsabilidad, principalmente el Palacio Nacional y sus dependencias externas.</w:t>
      </w:r>
    </w:p>
    <w:p w:rsidR="00184CAB" w:rsidRDefault="002B1930">
      <w:pPr>
        <w:spacing w:line="360" w:lineRule="auto"/>
        <w:jc w:val="both"/>
        <w:rPr>
          <w:color w:val="4B4747"/>
        </w:rPr>
      </w:pPr>
      <w:r>
        <w:rPr>
          <w:color w:val="4B4747"/>
        </w:rPr>
        <w:t xml:space="preserve">Las intervenciones se ejecutaron en coordinación con entidades especializadas como la Comisión de Restauración y Conservación del Palacio Nacional, </w:t>
      </w:r>
      <w:r>
        <w:rPr>
          <w:color w:val="4B4747"/>
        </w:rPr>
        <w:t>la Dirección Nacional de Patrimonio Monumental, ETED, EDEESTE, INAPA y ONESVIE, atendiendo los criterios normativos, técnicos y de seguridad que rigen las edificaciones de alto valor institucional y patrimonial.</w:t>
      </w:r>
    </w:p>
    <w:p w:rsidR="00184CAB" w:rsidRDefault="002B1930">
      <w:pPr>
        <w:spacing w:line="360" w:lineRule="auto"/>
        <w:jc w:val="both"/>
      </w:pPr>
      <w:r>
        <w:rPr>
          <w:b/>
          <w:color w:val="4C4747"/>
        </w:rPr>
        <w:t>Departamento de mantenimiento electromecánic</w:t>
      </w:r>
      <w:r>
        <w:rPr>
          <w:b/>
          <w:color w:val="4C4747"/>
        </w:rPr>
        <w:t>o:</w:t>
      </w:r>
      <w:r>
        <w:rPr>
          <w:color w:val="4C4747"/>
          <w:lang w:val="es-ES"/>
        </w:rPr>
        <w:t xml:space="preserve"> Implementación y ejecución del Programa de Mantenimiento Electromecánico Preventivo, Correctivo y Predictivo, permitiendo la reducción de averías imprevistas, mayor vida útil de los equipos, optimización del consumo energético y la mejora de la confiabi</w:t>
      </w:r>
      <w:r>
        <w:rPr>
          <w:color w:val="4C4747"/>
          <w:lang w:val="es-ES"/>
        </w:rPr>
        <w:t>lidad operativa de áreas críticas.</w:t>
      </w:r>
      <w:r>
        <w:rPr>
          <w:b/>
          <w:color w:val="4C4747"/>
        </w:rPr>
        <w:t xml:space="preserve"> </w:t>
      </w:r>
      <w:r>
        <w:rPr>
          <w:color w:val="4C4747"/>
          <w:lang w:val="es-ES"/>
        </w:rPr>
        <w:t xml:space="preserve">Las áreas intervenidas corresponden al Palacio Nacional, Casa Blanca, Casa Presidencial Santiago y la Villa Presidencial de Juan </w:t>
      </w:r>
      <w:proofErr w:type="spellStart"/>
      <w:r>
        <w:rPr>
          <w:color w:val="4C4747"/>
          <w:lang w:val="es-ES"/>
        </w:rPr>
        <w:t>Dolio</w:t>
      </w:r>
      <w:proofErr w:type="spellEnd"/>
      <w:r>
        <w:rPr>
          <w:color w:val="4C4747"/>
          <w:lang w:val="es-ES"/>
        </w:rPr>
        <w:t>.</w:t>
      </w:r>
    </w:p>
    <w:p w:rsidR="00184CAB" w:rsidRDefault="002B1930">
      <w:pPr>
        <w:spacing w:line="360" w:lineRule="auto"/>
        <w:jc w:val="both"/>
      </w:pPr>
      <w:r>
        <w:rPr>
          <w:color w:val="4C4747"/>
          <w:lang w:val="es-ES"/>
        </w:rPr>
        <w:t>Se sustituyo además la tecnología obsoleta ubicada en el Salón Verde del Palacio Naci</w:t>
      </w:r>
      <w:r>
        <w:rPr>
          <w:color w:val="4C4747"/>
          <w:lang w:val="es-ES"/>
        </w:rPr>
        <w:t xml:space="preserve">onal por dos compresores </w:t>
      </w:r>
      <w:proofErr w:type="spellStart"/>
      <w:r>
        <w:rPr>
          <w:color w:val="4C4747"/>
          <w:lang w:val="es-ES"/>
        </w:rPr>
        <w:t>Scroll</w:t>
      </w:r>
      <w:proofErr w:type="spellEnd"/>
      <w:r>
        <w:rPr>
          <w:color w:val="4C4747"/>
          <w:lang w:val="es-ES"/>
        </w:rPr>
        <w:t xml:space="preserve"> de 10 y 13 toneladas, obteniendo como resultado la recuperación total de la capacidad térmica del salón y el reacondicionamiento integral del sistema de refrigeración.</w:t>
      </w:r>
      <w:r>
        <w:t xml:space="preserve"> </w:t>
      </w:r>
    </w:p>
    <w:p w:rsidR="00184CAB" w:rsidRDefault="00184CAB">
      <w:pPr>
        <w:spacing w:line="360" w:lineRule="auto"/>
        <w:jc w:val="both"/>
      </w:pPr>
    </w:p>
    <w:p w:rsidR="00184CAB" w:rsidRDefault="002B1930">
      <w:pPr>
        <w:spacing w:line="360" w:lineRule="auto"/>
        <w:jc w:val="both"/>
      </w:pPr>
      <w:r>
        <w:rPr>
          <w:color w:val="4C4747"/>
          <w:lang w:val="es-ES"/>
        </w:rPr>
        <w:lastRenderedPageBreak/>
        <w:t>Como parte de la gestión de ahorro energético, se impl</w:t>
      </w:r>
      <w:r>
        <w:rPr>
          <w:color w:val="4C4747"/>
          <w:lang w:val="es-ES"/>
        </w:rPr>
        <w:t>ementó la sustitución progresiva del 96% luminarias del Palacio Nacional a tecnología LED que junto con las políticas de eficiencia energética se pudo obtener la reducción progresiva del consumo en kWh a 15% promedio anual con relación al consumo del año 2</w:t>
      </w:r>
      <w:r>
        <w:rPr>
          <w:color w:val="4C4747"/>
          <w:lang w:val="es-ES"/>
        </w:rPr>
        <w:t xml:space="preserve">024, equivalente a </w:t>
      </w:r>
      <w:r>
        <w:rPr>
          <w:color w:val="4B4747"/>
        </w:rPr>
        <w:t>610 kWh menos por mes.</w:t>
      </w:r>
    </w:p>
    <w:p w:rsidR="00184CAB" w:rsidRDefault="002B1930">
      <w:pPr>
        <w:spacing w:line="360" w:lineRule="auto"/>
        <w:jc w:val="both"/>
        <w:rPr>
          <w:color w:val="4C4747"/>
          <w:lang w:val="es-DO"/>
        </w:rPr>
      </w:pPr>
      <w:r>
        <w:rPr>
          <w:color w:val="4C4747"/>
          <w:lang w:val="es-DO"/>
        </w:rPr>
        <w:t>Este avance cumple con la promesa de un gobierno que fomenta un estado eficiente y sostenible.</w:t>
      </w:r>
    </w:p>
    <w:tbl>
      <w:tblPr>
        <w:tblW w:w="7827" w:type="dxa"/>
        <w:tblLayout w:type="fixed"/>
        <w:tblCellMar>
          <w:left w:w="10" w:type="dxa"/>
          <w:right w:w="10" w:type="dxa"/>
        </w:tblCellMar>
        <w:tblLook w:val="0000" w:firstRow="0" w:lastRow="0" w:firstColumn="0" w:lastColumn="0" w:noHBand="0" w:noVBand="0"/>
      </w:tblPr>
      <w:tblGrid>
        <w:gridCol w:w="1408"/>
        <w:gridCol w:w="850"/>
        <w:gridCol w:w="993"/>
        <w:gridCol w:w="850"/>
        <w:gridCol w:w="1134"/>
        <w:gridCol w:w="1276"/>
        <w:gridCol w:w="1276"/>
        <w:gridCol w:w="40"/>
      </w:tblGrid>
      <w:tr w:rsidR="00184CAB">
        <w:tblPrEx>
          <w:tblCellMar>
            <w:top w:w="0" w:type="dxa"/>
            <w:bottom w:w="0" w:type="dxa"/>
          </w:tblCellMar>
        </w:tblPrEx>
        <w:trPr>
          <w:trHeight w:val="351"/>
          <w:tblHeader/>
        </w:trPr>
        <w:tc>
          <w:tcPr>
            <w:tcW w:w="7787" w:type="dxa"/>
            <w:gridSpan w:val="7"/>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ind w:left="6"/>
              <w:jc w:val="center"/>
            </w:pPr>
            <w:r>
              <w:rPr>
                <w:b/>
                <w:bCs/>
                <w:color w:val="FFFFFF"/>
                <w:sz w:val="19"/>
                <w:szCs w:val="19"/>
                <w:lang w:val="es-ES"/>
              </w:rPr>
              <w:t>Tabla no. 15 Sobre Comparación del Consumo de Energía kWh periodo enero-agosto 2024-2025</w:t>
            </w:r>
          </w:p>
        </w:tc>
        <w:tc>
          <w:tcPr>
            <w:tcW w:w="40" w:type="dxa"/>
            <w:shd w:val="clear" w:color="auto" w:fill="auto"/>
            <w:tcMar>
              <w:top w:w="0" w:type="dxa"/>
              <w:left w:w="10" w:type="dxa"/>
              <w:bottom w:w="0" w:type="dxa"/>
              <w:right w:w="10" w:type="dxa"/>
            </w:tcMar>
          </w:tcPr>
          <w:p w:rsidR="00184CAB" w:rsidRDefault="00184CAB">
            <w:pPr>
              <w:spacing w:after="0" w:line="240" w:lineRule="auto"/>
              <w:ind w:left="6"/>
              <w:jc w:val="center"/>
              <w:rPr>
                <w:sz w:val="19"/>
                <w:szCs w:val="19"/>
              </w:rPr>
            </w:pPr>
          </w:p>
        </w:tc>
      </w:tr>
      <w:tr w:rsidR="00184CAB">
        <w:tblPrEx>
          <w:tblCellMar>
            <w:top w:w="0" w:type="dxa"/>
            <w:bottom w:w="0" w:type="dxa"/>
          </w:tblCellMar>
        </w:tblPrEx>
        <w:trPr>
          <w:trHeight w:val="1264"/>
          <w:tblHeader/>
        </w:trPr>
        <w:tc>
          <w:tcPr>
            <w:tcW w:w="1408"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bCs/>
                <w:color w:val="FFFFFF"/>
                <w:sz w:val="19"/>
                <w:szCs w:val="19"/>
              </w:rPr>
            </w:pPr>
            <w:r>
              <w:rPr>
                <w:b/>
                <w:bCs/>
                <w:color w:val="FFFFFF"/>
                <w:sz w:val="19"/>
                <w:szCs w:val="19"/>
              </w:rPr>
              <w:t>Mes</w:t>
            </w:r>
          </w:p>
        </w:tc>
        <w:tc>
          <w:tcPr>
            <w:tcW w:w="85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17" w:line="240" w:lineRule="auto"/>
              <w:jc w:val="center"/>
              <w:rPr>
                <w:b/>
                <w:bCs/>
                <w:color w:val="FFFFFF"/>
                <w:sz w:val="19"/>
                <w:szCs w:val="19"/>
              </w:rPr>
            </w:pPr>
            <w:r>
              <w:rPr>
                <w:b/>
                <w:bCs/>
                <w:color w:val="FFFFFF"/>
                <w:sz w:val="19"/>
                <w:szCs w:val="19"/>
              </w:rPr>
              <w:t>Consumo</w:t>
            </w:r>
          </w:p>
          <w:p w:rsidR="00184CAB" w:rsidRDefault="002B1930">
            <w:pPr>
              <w:spacing w:after="17" w:line="240" w:lineRule="auto"/>
              <w:jc w:val="center"/>
              <w:rPr>
                <w:b/>
                <w:bCs/>
                <w:color w:val="FFFFFF"/>
                <w:sz w:val="19"/>
                <w:szCs w:val="19"/>
              </w:rPr>
            </w:pPr>
            <w:r>
              <w:rPr>
                <w:b/>
                <w:bCs/>
                <w:color w:val="FFFFFF"/>
                <w:sz w:val="19"/>
                <w:szCs w:val="19"/>
              </w:rPr>
              <w:t>2024</w:t>
            </w:r>
          </w:p>
          <w:p w:rsidR="00184CAB" w:rsidRDefault="002B1930">
            <w:pPr>
              <w:spacing w:after="17" w:line="240" w:lineRule="auto"/>
              <w:jc w:val="center"/>
              <w:rPr>
                <w:b/>
                <w:bCs/>
                <w:color w:val="FFFFFF"/>
                <w:sz w:val="19"/>
                <w:szCs w:val="19"/>
              </w:rPr>
            </w:pPr>
            <w:r>
              <w:rPr>
                <w:b/>
                <w:bCs/>
                <w:color w:val="FFFFFF"/>
                <w:sz w:val="19"/>
                <w:szCs w:val="19"/>
              </w:rPr>
              <w:t>(kWh)</w:t>
            </w:r>
          </w:p>
        </w:tc>
        <w:tc>
          <w:tcPr>
            <w:tcW w:w="993"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17" w:line="240" w:lineRule="auto"/>
              <w:jc w:val="center"/>
              <w:rPr>
                <w:b/>
                <w:bCs/>
                <w:color w:val="FFFFFF"/>
                <w:sz w:val="19"/>
                <w:szCs w:val="19"/>
              </w:rPr>
            </w:pPr>
            <w:r>
              <w:rPr>
                <w:b/>
                <w:bCs/>
                <w:color w:val="FFFFFF"/>
                <w:sz w:val="19"/>
                <w:szCs w:val="19"/>
              </w:rPr>
              <w:t>Potencia</w:t>
            </w:r>
          </w:p>
          <w:p w:rsidR="00184CAB" w:rsidRDefault="002B1930">
            <w:pPr>
              <w:spacing w:after="17" w:line="240" w:lineRule="auto"/>
              <w:jc w:val="center"/>
              <w:rPr>
                <w:b/>
                <w:bCs/>
                <w:color w:val="FFFFFF"/>
                <w:sz w:val="19"/>
                <w:szCs w:val="19"/>
              </w:rPr>
            </w:pPr>
            <w:r>
              <w:rPr>
                <w:b/>
                <w:bCs/>
                <w:color w:val="FFFFFF"/>
                <w:sz w:val="19"/>
                <w:szCs w:val="19"/>
              </w:rPr>
              <w:t>2024 (W)</w:t>
            </w:r>
          </w:p>
        </w:tc>
        <w:tc>
          <w:tcPr>
            <w:tcW w:w="85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17" w:line="240" w:lineRule="auto"/>
              <w:ind w:left="6"/>
              <w:jc w:val="center"/>
              <w:rPr>
                <w:b/>
                <w:bCs/>
                <w:color w:val="FFFFFF"/>
                <w:sz w:val="19"/>
                <w:szCs w:val="19"/>
              </w:rPr>
            </w:pPr>
            <w:r>
              <w:rPr>
                <w:b/>
                <w:bCs/>
                <w:color w:val="FFFFFF"/>
                <w:sz w:val="19"/>
                <w:szCs w:val="19"/>
              </w:rPr>
              <w:t>Consumo</w:t>
            </w:r>
          </w:p>
          <w:p w:rsidR="00184CAB" w:rsidRDefault="002B1930">
            <w:pPr>
              <w:spacing w:after="17" w:line="240" w:lineRule="auto"/>
              <w:ind w:left="6"/>
              <w:jc w:val="center"/>
              <w:rPr>
                <w:b/>
                <w:bCs/>
                <w:color w:val="FFFFFF"/>
                <w:sz w:val="19"/>
                <w:szCs w:val="19"/>
              </w:rPr>
            </w:pPr>
            <w:r>
              <w:rPr>
                <w:b/>
                <w:bCs/>
                <w:color w:val="FFFFFF"/>
                <w:sz w:val="19"/>
                <w:szCs w:val="19"/>
              </w:rPr>
              <w:t>2025</w:t>
            </w:r>
          </w:p>
          <w:p w:rsidR="00184CAB" w:rsidRDefault="002B1930">
            <w:pPr>
              <w:spacing w:after="17" w:line="240" w:lineRule="auto"/>
              <w:ind w:left="6"/>
              <w:jc w:val="center"/>
              <w:rPr>
                <w:b/>
                <w:bCs/>
                <w:color w:val="FFFFFF"/>
                <w:sz w:val="19"/>
                <w:szCs w:val="19"/>
              </w:rPr>
            </w:pPr>
            <w:r>
              <w:rPr>
                <w:b/>
                <w:bCs/>
                <w:color w:val="FFFFFF"/>
                <w:sz w:val="19"/>
                <w:szCs w:val="19"/>
              </w:rPr>
              <w:t>(kWh)</w:t>
            </w:r>
          </w:p>
        </w:tc>
        <w:tc>
          <w:tcPr>
            <w:tcW w:w="1134"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17" w:line="240" w:lineRule="auto"/>
              <w:ind w:left="6"/>
              <w:jc w:val="center"/>
              <w:rPr>
                <w:b/>
                <w:bCs/>
                <w:color w:val="FFFFFF"/>
                <w:sz w:val="19"/>
                <w:szCs w:val="19"/>
              </w:rPr>
            </w:pPr>
            <w:r>
              <w:rPr>
                <w:b/>
                <w:bCs/>
                <w:color w:val="FFFFFF"/>
                <w:sz w:val="19"/>
                <w:szCs w:val="19"/>
              </w:rPr>
              <w:t>Potencia</w:t>
            </w:r>
          </w:p>
          <w:p w:rsidR="00184CAB" w:rsidRDefault="002B1930">
            <w:pPr>
              <w:spacing w:after="17" w:line="240" w:lineRule="auto"/>
              <w:ind w:left="6"/>
              <w:jc w:val="center"/>
              <w:rPr>
                <w:b/>
                <w:bCs/>
                <w:color w:val="FFFFFF"/>
                <w:sz w:val="19"/>
                <w:szCs w:val="19"/>
              </w:rPr>
            </w:pPr>
            <w:r>
              <w:rPr>
                <w:b/>
                <w:bCs/>
                <w:color w:val="FFFFFF"/>
                <w:sz w:val="19"/>
                <w:szCs w:val="19"/>
              </w:rPr>
              <w:t>2025 (W)</w:t>
            </w:r>
          </w:p>
        </w:tc>
        <w:tc>
          <w:tcPr>
            <w:tcW w:w="1276"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17" w:line="240" w:lineRule="auto"/>
              <w:ind w:left="5"/>
              <w:jc w:val="center"/>
              <w:rPr>
                <w:b/>
                <w:bCs/>
                <w:color w:val="FFFFFF"/>
                <w:sz w:val="19"/>
                <w:szCs w:val="19"/>
              </w:rPr>
            </w:pPr>
            <w:r>
              <w:rPr>
                <w:b/>
                <w:bCs/>
                <w:color w:val="FFFFFF"/>
                <w:sz w:val="19"/>
                <w:szCs w:val="19"/>
              </w:rPr>
              <w:t>Variación</w:t>
            </w:r>
          </w:p>
          <w:p w:rsidR="00184CAB" w:rsidRDefault="002B1930">
            <w:pPr>
              <w:spacing w:after="17" w:line="240" w:lineRule="auto"/>
              <w:ind w:left="5"/>
              <w:jc w:val="center"/>
              <w:rPr>
                <w:b/>
                <w:bCs/>
                <w:color w:val="FFFFFF"/>
                <w:sz w:val="19"/>
                <w:szCs w:val="19"/>
              </w:rPr>
            </w:pPr>
            <w:r>
              <w:rPr>
                <w:b/>
                <w:bCs/>
                <w:color w:val="FFFFFF"/>
                <w:sz w:val="19"/>
                <w:szCs w:val="19"/>
              </w:rPr>
              <w:t>Consumo</w:t>
            </w:r>
          </w:p>
        </w:tc>
        <w:tc>
          <w:tcPr>
            <w:tcW w:w="1276"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17" w:line="240" w:lineRule="auto"/>
              <w:ind w:left="6"/>
              <w:jc w:val="center"/>
              <w:rPr>
                <w:b/>
                <w:bCs/>
                <w:color w:val="FFFFFF"/>
                <w:sz w:val="19"/>
                <w:szCs w:val="19"/>
              </w:rPr>
            </w:pPr>
            <w:r>
              <w:rPr>
                <w:b/>
                <w:bCs/>
                <w:color w:val="FFFFFF"/>
                <w:sz w:val="19"/>
                <w:szCs w:val="19"/>
              </w:rPr>
              <w:t>Variación</w:t>
            </w:r>
          </w:p>
          <w:p w:rsidR="00184CAB" w:rsidRDefault="002B1930">
            <w:pPr>
              <w:spacing w:after="17" w:line="240" w:lineRule="auto"/>
              <w:ind w:left="6"/>
              <w:jc w:val="center"/>
              <w:rPr>
                <w:b/>
                <w:bCs/>
                <w:color w:val="FFFFFF"/>
                <w:sz w:val="19"/>
                <w:szCs w:val="19"/>
              </w:rPr>
            </w:pPr>
            <w:r>
              <w:rPr>
                <w:b/>
                <w:bCs/>
                <w:color w:val="FFFFFF"/>
                <w:sz w:val="19"/>
                <w:szCs w:val="19"/>
              </w:rPr>
              <w:t>Potencia</w:t>
            </w:r>
          </w:p>
        </w:tc>
        <w:tc>
          <w:tcPr>
            <w:tcW w:w="40" w:type="dxa"/>
            <w:shd w:val="clear" w:color="auto" w:fill="auto"/>
            <w:tcMar>
              <w:top w:w="0" w:type="dxa"/>
              <w:left w:w="10" w:type="dxa"/>
              <w:bottom w:w="0" w:type="dxa"/>
              <w:right w:w="10" w:type="dxa"/>
            </w:tcMar>
          </w:tcPr>
          <w:p w:rsidR="00184CAB" w:rsidRDefault="00184CAB">
            <w:pPr>
              <w:spacing w:after="17" w:line="240" w:lineRule="auto"/>
              <w:ind w:left="6"/>
              <w:jc w:val="center"/>
              <w:rPr>
                <w:b/>
                <w:bCs/>
                <w:color w:val="FFFFFF"/>
                <w:sz w:val="19"/>
                <w:szCs w:val="19"/>
              </w:rPr>
            </w:pPr>
          </w:p>
        </w:tc>
      </w:tr>
      <w:tr w:rsidR="00184CAB">
        <w:tblPrEx>
          <w:tblCellMar>
            <w:top w:w="0" w:type="dxa"/>
            <w:bottom w:w="0" w:type="dxa"/>
          </w:tblCellMar>
        </w:tblPrEx>
        <w:trPr>
          <w:trHeight w:val="206"/>
          <w:tblHead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b/>
                <w:bCs/>
                <w:color w:val="4B4747"/>
                <w:sz w:val="19"/>
                <w:szCs w:val="19"/>
              </w:rPr>
            </w:pPr>
            <w:r>
              <w:rPr>
                <w:b/>
                <w:bCs/>
                <w:color w:val="4B4747"/>
                <w:sz w:val="19"/>
                <w:szCs w:val="19"/>
              </w:rPr>
              <w:t>Enero</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2,520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18,000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color w:val="4B4747"/>
                <w:sz w:val="19"/>
                <w:szCs w:val="19"/>
              </w:rPr>
            </w:pPr>
            <w:r>
              <w:rPr>
                <w:color w:val="4B4747"/>
                <w:sz w:val="19"/>
                <w:szCs w:val="19"/>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w:t>
            </w:r>
          </w:p>
        </w:tc>
        <w:tc>
          <w:tcPr>
            <w:tcW w:w="40" w:type="dxa"/>
            <w:shd w:val="clear" w:color="auto" w:fill="auto"/>
            <w:tcMar>
              <w:top w:w="0" w:type="dxa"/>
              <w:left w:w="10" w:type="dxa"/>
              <w:bottom w:w="0" w:type="dxa"/>
              <w:right w:w="10" w:type="dxa"/>
            </w:tcMar>
            <w:vAlign w:val="center"/>
          </w:tcPr>
          <w:p w:rsidR="00184CAB" w:rsidRDefault="00184CAB">
            <w:pPr>
              <w:spacing w:after="0" w:line="240" w:lineRule="auto"/>
              <w:ind w:left="6"/>
              <w:jc w:val="center"/>
              <w:rPr>
                <w:color w:val="4B4747"/>
                <w:sz w:val="19"/>
                <w:szCs w:val="19"/>
              </w:rPr>
            </w:pPr>
          </w:p>
        </w:tc>
      </w:tr>
      <w:tr w:rsidR="00184CAB">
        <w:tblPrEx>
          <w:tblCellMar>
            <w:top w:w="0" w:type="dxa"/>
            <w:bottom w:w="0" w:type="dxa"/>
          </w:tblCellMar>
        </w:tblPrEx>
        <w:trPr>
          <w:trHeight w:val="61"/>
          <w:tblHead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b/>
                <w:bCs/>
                <w:color w:val="4B4747"/>
                <w:sz w:val="19"/>
                <w:szCs w:val="19"/>
              </w:rPr>
            </w:pPr>
            <w:r>
              <w:rPr>
                <w:b/>
                <w:bCs/>
                <w:color w:val="4B4747"/>
                <w:sz w:val="19"/>
                <w:szCs w:val="19"/>
              </w:rPr>
              <w:t>Febrero</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color w:val="4B4747"/>
                <w:sz w:val="19"/>
                <w:szCs w:val="19"/>
              </w:rPr>
            </w:pPr>
            <w:r>
              <w:rPr>
                <w:color w:val="4B4747"/>
                <w:sz w:val="19"/>
                <w:szCs w:val="19"/>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3,780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3"/>
              <w:jc w:val="center"/>
              <w:rPr>
                <w:color w:val="4B4747"/>
                <w:sz w:val="19"/>
                <w:szCs w:val="19"/>
              </w:rPr>
            </w:pPr>
            <w:r>
              <w:rPr>
                <w:color w:val="4B4747"/>
                <w:sz w:val="19"/>
                <w:szCs w:val="19"/>
              </w:rPr>
              <w:t>18,000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2"/>
              <w:jc w:val="center"/>
              <w:rPr>
                <w:color w:val="4B4747"/>
                <w:sz w:val="19"/>
                <w:szCs w:val="19"/>
              </w:rPr>
            </w:pPr>
            <w:r>
              <w:rPr>
                <w:color w:val="4B4747"/>
                <w:sz w:val="19"/>
                <w:szCs w:val="19"/>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1"/>
              <w:jc w:val="center"/>
              <w:rPr>
                <w:color w:val="4B4747"/>
                <w:sz w:val="19"/>
                <w:szCs w:val="19"/>
              </w:rPr>
            </w:pPr>
            <w:r>
              <w:rPr>
                <w:color w:val="4B4747"/>
                <w:sz w:val="19"/>
                <w:szCs w:val="19"/>
              </w:rPr>
              <w:t>—</w:t>
            </w:r>
          </w:p>
        </w:tc>
        <w:tc>
          <w:tcPr>
            <w:tcW w:w="40" w:type="dxa"/>
            <w:shd w:val="clear" w:color="auto" w:fill="auto"/>
            <w:tcMar>
              <w:top w:w="0" w:type="dxa"/>
              <w:left w:w="10" w:type="dxa"/>
              <w:bottom w:w="0" w:type="dxa"/>
              <w:right w:w="10" w:type="dxa"/>
            </w:tcMar>
            <w:vAlign w:val="center"/>
          </w:tcPr>
          <w:p w:rsidR="00184CAB" w:rsidRDefault="00184CAB">
            <w:pPr>
              <w:spacing w:after="0" w:line="240" w:lineRule="auto"/>
              <w:ind w:left="1"/>
              <w:jc w:val="center"/>
              <w:rPr>
                <w:color w:val="4B4747"/>
                <w:sz w:val="19"/>
                <w:szCs w:val="19"/>
              </w:rPr>
            </w:pPr>
          </w:p>
        </w:tc>
      </w:tr>
      <w:tr w:rsidR="00184CAB">
        <w:tblPrEx>
          <w:tblCellMar>
            <w:top w:w="0" w:type="dxa"/>
            <w:bottom w:w="0" w:type="dxa"/>
          </w:tblCellMar>
        </w:tblPrEx>
        <w:trPr>
          <w:trHeight w:val="61"/>
          <w:tblHead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b/>
                <w:bCs/>
                <w:color w:val="4B4747"/>
                <w:sz w:val="19"/>
                <w:szCs w:val="19"/>
              </w:rPr>
            </w:pPr>
            <w:r>
              <w:rPr>
                <w:b/>
                <w:bCs/>
                <w:color w:val="4B4747"/>
                <w:sz w:val="19"/>
                <w:szCs w:val="19"/>
              </w:rPr>
              <w:t>Marzo</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3,480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18,000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color w:val="4B4747"/>
                <w:sz w:val="19"/>
                <w:szCs w:val="19"/>
              </w:rPr>
            </w:pPr>
            <w:r>
              <w:rPr>
                <w:color w:val="4B4747"/>
                <w:sz w:val="19"/>
                <w:szCs w:val="19"/>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w:t>
            </w:r>
          </w:p>
        </w:tc>
        <w:tc>
          <w:tcPr>
            <w:tcW w:w="40" w:type="dxa"/>
            <w:shd w:val="clear" w:color="auto" w:fill="auto"/>
            <w:tcMar>
              <w:top w:w="0" w:type="dxa"/>
              <w:left w:w="10" w:type="dxa"/>
              <w:bottom w:w="0" w:type="dxa"/>
              <w:right w:w="10" w:type="dxa"/>
            </w:tcMar>
            <w:vAlign w:val="center"/>
          </w:tcPr>
          <w:p w:rsidR="00184CAB" w:rsidRDefault="00184CAB">
            <w:pPr>
              <w:spacing w:after="0" w:line="240" w:lineRule="auto"/>
              <w:ind w:left="6"/>
              <w:jc w:val="center"/>
              <w:rPr>
                <w:color w:val="4B4747"/>
                <w:sz w:val="19"/>
                <w:szCs w:val="19"/>
              </w:rPr>
            </w:pPr>
          </w:p>
        </w:tc>
      </w:tr>
      <w:tr w:rsidR="00184CAB">
        <w:tblPrEx>
          <w:tblCellMar>
            <w:top w:w="0" w:type="dxa"/>
            <w:bottom w:w="0" w:type="dxa"/>
          </w:tblCellMar>
        </w:tblPrEx>
        <w:trPr>
          <w:trHeight w:val="301"/>
          <w:tblHead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b/>
                <w:bCs/>
                <w:color w:val="4B4747"/>
                <w:sz w:val="19"/>
                <w:szCs w:val="19"/>
              </w:rPr>
            </w:pPr>
            <w:r>
              <w:rPr>
                <w:b/>
                <w:bCs/>
                <w:color w:val="4B4747"/>
                <w:sz w:val="19"/>
                <w:szCs w:val="19"/>
              </w:rPr>
              <w:t>Abril</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color w:val="4B4747"/>
                <w:sz w:val="19"/>
                <w:szCs w:val="19"/>
              </w:rPr>
            </w:pPr>
            <w:r>
              <w:rPr>
                <w:color w:val="4B4747"/>
                <w:sz w:val="19"/>
                <w:szCs w:val="19"/>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3"/>
              <w:jc w:val="center"/>
              <w:rPr>
                <w:color w:val="4B4747"/>
                <w:sz w:val="19"/>
                <w:szCs w:val="19"/>
              </w:rPr>
            </w:pPr>
            <w:r>
              <w:rPr>
                <w:color w:val="4B4747"/>
                <w:sz w:val="19"/>
                <w:szCs w:val="19"/>
              </w:rPr>
              <w:t>3,720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3"/>
              <w:jc w:val="center"/>
              <w:rPr>
                <w:color w:val="4B4747"/>
                <w:sz w:val="19"/>
                <w:szCs w:val="19"/>
              </w:rPr>
            </w:pPr>
            <w:r>
              <w:rPr>
                <w:color w:val="4B4747"/>
                <w:sz w:val="19"/>
                <w:szCs w:val="19"/>
              </w:rPr>
              <w:t>19,200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2"/>
              <w:jc w:val="center"/>
              <w:rPr>
                <w:color w:val="4B4747"/>
                <w:sz w:val="19"/>
                <w:szCs w:val="19"/>
              </w:rPr>
            </w:pPr>
            <w:r>
              <w:rPr>
                <w:color w:val="4B4747"/>
                <w:sz w:val="19"/>
                <w:szCs w:val="19"/>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1"/>
              <w:jc w:val="center"/>
              <w:rPr>
                <w:color w:val="4B4747"/>
                <w:sz w:val="19"/>
                <w:szCs w:val="19"/>
              </w:rPr>
            </w:pPr>
            <w:r>
              <w:rPr>
                <w:color w:val="4B4747"/>
                <w:sz w:val="19"/>
                <w:szCs w:val="19"/>
              </w:rPr>
              <w:t>—</w:t>
            </w:r>
          </w:p>
        </w:tc>
        <w:tc>
          <w:tcPr>
            <w:tcW w:w="40" w:type="dxa"/>
            <w:shd w:val="clear" w:color="auto" w:fill="auto"/>
            <w:tcMar>
              <w:top w:w="0" w:type="dxa"/>
              <w:left w:w="10" w:type="dxa"/>
              <w:bottom w:w="0" w:type="dxa"/>
              <w:right w:w="10" w:type="dxa"/>
            </w:tcMar>
            <w:vAlign w:val="center"/>
          </w:tcPr>
          <w:p w:rsidR="00184CAB" w:rsidRDefault="00184CAB">
            <w:pPr>
              <w:spacing w:after="0" w:line="240" w:lineRule="auto"/>
              <w:ind w:left="1"/>
              <w:jc w:val="center"/>
              <w:rPr>
                <w:color w:val="4B4747"/>
                <w:sz w:val="19"/>
                <w:szCs w:val="19"/>
              </w:rPr>
            </w:pPr>
          </w:p>
        </w:tc>
      </w:tr>
      <w:tr w:rsidR="00184CAB">
        <w:tblPrEx>
          <w:tblCellMar>
            <w:top w:w="0" w:type="dxa"/>
            <w:bottom w:w="0" w:type="dxa"/>
          </w:tblCellMar>
        </w:tblPrEx>
        <w:trPr>
          <w:trHeight w:val="121"/>
          <w:tblHead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b/>
                <w:bCs/>
                <w:color w:val="4B4747"/>
                <w:sz w:val="19"/>
                <w:szCs w:val="19"/>
              </w:rPr>
            </w:pPr>
            <w:r>
              <w:rPr>
                <w:b/>
                <w:bCs/>
                <w:color w:val="4B4747"/>
                <w:sz w:val="19"/>
                <w:szCs w:val="19"/>
              </w:rPr>
              <w:t>Mayo</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4,020</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21,000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3,000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19,200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pPr>
            <w:r>
              <w:rPr>
                <w:rFonts w:ascii="Segoe UI Emoji" w:hAnsi="Segoe UI Emoji" w:cs="Segoe UI Emoji"/>
                <w:color w:val="4B4747"/>
                <w:sz w:val="19"/>
                <w:szCs w:val="19"/>
              </w:rPr>
              <w:t>🔻</w:t>
            </w:r>
            <w:r>
              <w:rPr>
                <w:color w:val="4B4747"/>
                <w:sz w:val="19"/>
                <w:szCs w:val="19"/>
              </w:rPr>
              <w:t xml:space="preserve"> -1,020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pPr>
            <w:r>
              <w:rPr>
                <w:rFonts w:ascii="Segoe UI Emoji" w:hAnsi="Segoe UI Emoji" w:cs="Segoe UI Emoji"/>
                <w:color w:val="4B4747"/>
                <w:sz w:val="19"/>
                <w:szCs w:val="19"/>
              </w:rPr>
              <w:t>🔻</w:t>
            </w:r>
            <w:r>
              <w:rPr>
                <w:color w:val="4B4747"/>
                <w:sz w:val="19"/>
                <w:szCs w:val="19"/>
              </w:rPr>
              <w:t xml:space="preserve"> </w:t>
            </w:r>
            <w:r>
              <w:rPr>
                <w:color w:val="4B4747"/>
                <w:sz w:val="19"/>
                <w:szCs w:val="19"/>
              </w:rPr>
              <w:t>-1,800</w:t>
            </w:r>
          </w:p>
        </w:tc>
        <w:tc>
          <w:tcPr>
            <w:tcW w:w="40" w:type="dxa"/>
            <w:shd w:val="clear" w:color="auto" w:fill="auto"/>
            <w:tcMar>
              <w:top w:w="0" w:type="dxa"/>
              <w:left w:w="10" w:type="dxa"/>
              <w:bottom w:w="0" w:type="dxa"/>
              <w:right w:w="10" w:type="dxa"/>
            </w:tcMar>
            <w:vAlign w:val="center"/>
          </w:tcPr>
          <w:p w:rsidR="00184CAB" w:rsidRDefault="00184CAB">
            <w:pPr>
              <w:spacing w:after="0" w:line="240" w:lineRule="auto"/>
              <w:ind w:left="6"/>
              <w:jc w:val="center"/>
              <w:rPr>
                <w:sz w:val="19"/>
                <w:szCs w:val="19"/>
              </w:rPr>
            </w:pPr>
          </w:p>
        </w:tc>
      </w:tr>
      <w:tr w:rsidR="00184CAB">
        <w:tblPrEx>
          <w:tblCellMar>
            <w:top w:w="0" w:type="dxa"/>
            <w:bottom w:w="0" w:type="dxa"/>
          </w:tblCellMar>
        </w:tblPrEx>
        <w:trPr>
          <w:trHeight w:val="61"/>
          <w:tblHead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b/>
                <w:bCs/>
                <w:color w:val="4B4747"/>
                <w:sz w:val="19"/>
                <w:szCs w:val="19"/>
              </w:rPr>
            </w:pPr>
            <w:r>
              <w:rPr>
                <w:b/>
                <w:bCs/>
                <w:color w:val="4B4747"/>
                <w:sz w:val="19"/>
                <w:szCs w:val="19"/>
              </w:rPr>
              <w:t>Junio</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7"/>
              <w:jc w:val="center"/>
              <w:rPr>
                <w:color w:val="4B4747"/>
                <w:sz w:val="19"/>
                <w:szCs w:val="19"/>
              </w:rPr>
            </w:pPr>
            <w:r>
              <w:rPr>
                <w:color w:val="4B4747"/>
                <w:sz w:val="19"/>
                <w:szCs w:val="19"/>
              </w:rPr>
              <w:t>—</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4"/>
              <w:jc w:val="center"/>
              <w:rPr>
                <w:color w:val="4B4747"/>
                <w:sz w:val="19"/>
                <w:szCs w:val="19"/>
              </w:rPr>
            </w:pPr>
            <w:r>
              <w:rPr>
                <w:color w:val="4B4747"/>
                <w:sz w:val="19"/>
                <w:szCs w:val="19"/>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4"/>
              <w:jc w:val="center"/>
              <w:rPr>
                <w:color w:val="4B4747"/>
                <w:sz w:val="19"/>
                <w:szCs w:val="19"/>
              </w:rPr>
            </w:pPr>
            <w:r>
              <w:rPr>
                <w:color w:val="4B4747"/>
                <w:sz w:val="19"/>
                <w:szCs w:val="19"/>
              </w:rPr>
              <w:t>3,600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4"/>
              <w:jc w:val="center"/>
              <w:rPr>
                <w:color w:val="4B4747"/>
                <w:sz w:val="19"/>
                <w:szCs w:val="19"/>
              </w:rPr>
            </w:pPr>
            <w:r>
              <w:rPr>
                <w:color w:val="4B4747"/>
                <w:sz w:val="19"/>
                <w:szCs w:val="19"/>
              </w:rPr>
              <w:t>18,000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1"/>
              <w:jc w:val="center"/>
              <w:rPr>
                <w:color w:val="4B4747"/>
                <w:sz w:val="19"/>
                <w:szCs w:val="19"/>
              </w:rPr>
            </w:pPr>
            <w:r>
              <w:rPr>
                <w:color w:val="4B4747"/>
                <w:sz w:val="19"/>
                <w:szCs w:val="19"/>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2"/>
              <w:jc w:val="center"/>
              <w:rPr>
                <w:color w:val="4B4747"/>
                <w:sz w:val="19"/>
                <w:szCs w:val="19"/>
              </w:rPr>
            </w:pPr>
            <w:r>
              <w:rPr>
                <w:color w:val="4B4747"/>
                <w:sz w:val="19"/>
                <w:szCs w:val="19"/>
              </w:rPr>
              <w:t>—</w:t>
            </w:r>
          </w:p>
        </w:tc>
        <w:tc>
          <w:tcPr>
            <w:tcW w:w="40" w:type="dxa"/>
            <w:shd w:val="clear" w:color="auto" w:fill="auto"/>
            <w:tcMar>
              <w:top w:w="0" w:type="dxa"/>
              <w:left w:w="10" w:type="dxa"/>
              <w:bottom w:w="0" w:type="dxa"/>
              <w:right w:w="10" w:type="dxa"/>
            </w:tcMar>
            <w:vAlign w:val="center"/>
          </w:tcPr>
          <w:p w:rsidR="00184CAB" w:rsidRDefault="00184CAB">
            <w:pPr>
              <w:spacing w:after="0" w:line="240" w:lineRule="auto"/>
              <w:ind w:left="2"/>
              <w:jc w:val="center"/>
              <w:rPr>
                <w:color w:val="4B4747"/>
                <w:sz w:val="19"/>
                <w:szCs w:val="19"/>
              </w:rPr>
            </w:pPr>
          </w:p>
        </w:tc>
      </w:tr>
      <w:tr w:rsidR="00184CAB">
        <w:tblPrEx>
          <w:tblCellMar>
            <w:top w:w="0" w:type="dxa"/>
            <w:bottom w:w="0" w:type="dxa"/>
          </w:tblCellMar>
        </w:tblPrEx>
        <w:trPr>
          <w:trHeight w:val="61"/>
          <w:tblHead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b/>
                <w:bCs/>
                <w:color w:val="4B4747"/>
                <w:sz w:val="19"/>
                <w:szCs w:val="19"/>
              </w:rPr>
            </w:pPr>
            <w:r>
              <w:rPr>
                <w:b/>
                <w:bCs/>
                <w:color w:val="4B4747"/>
                <w:sz w:val="19"/>
                <w:szCs w:val="19"/>
              </w:rPr>
              <w:t>Julio</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3,540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18,000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color w:val="4B4747"/>
                <w:sz w:val="19"/>
                <w:szCs w:val="19"/>
              </w:rPr>
            </w:pPr>
            <w:r>
              <w:rPr>
                <w:color w:val="4B4747"/>
                <w:sz w:val="19"/>
                <w:szCs w:val="19"/>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w:t>
            </w:r>
          </w:p>
        </w:tc>
        <w:tc>
          <w:tcPr>
            <w:tcW w:w="40" w:type="dxa"/>
            <w:shd w:val="clear" w:color="auto" w:fill="auto"/>
            <w:tcMar>
              <w:top w:w="0" w:type="dxa"/>
              <w:left w:w="10" w:type="dxa"/>
              <w:bottom w:w="0" w:type="dxa"/>
              <w:right w:w="10" w:type="dxa"/>
            </w:tcMar>
            <w:vAlign w:val="center"/>
          </w:tcPr>
          <w:p w:rsidR="00184CAB" w:rsidRDefault="00184CAB">
            <w:pPr>
              <w:spacing w:after="0" w:line="240" w:lineRule="auto"/>
              <w:ind w:left="6"/>
              <w:jc w:val="center"/>
              <w:rPr>
                <w:color w:val="4B4747"/>
                <w:sz w:val="19"/>
                <w:szCs w:val="19"/>
              </w:rPr>
            </w:pPr>
          </w:p>
        </w:tc>
      </w:tr>
      <w:tr w:rsidR="00184CAB">
        <w:tblPrEx>
          <w:tblCellMar>
            <w:top w:w="0" w:type="dxa"/>
            <w:bottom w:w="0" w:type="dxa"/>
          </w:tblCellMar>
        </w:tblPrEx>
        <w:trPr>
          <w:trHeight w:val="249"/>
          <w:tblHead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b/>
                <w:bCs/>
                <w:color w:val="4B4747"/>
                <w:sz w:val="19"/>
                <w:szCs w:val="19"/>
              </w:rPr>
            </w:pPr>
            <w:r>
              <w:rPr>
                <w:b/>
                <w:bCs/>
                <w:color w:val="4B4747"/>
                <w:sz w:val="19"/>
                <w:szCs w:val="19"/>
              </w:rPr>
              <w:t>Agosto</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color w:val="4B4747"/>
                <w:sz w:val="19"/>
                <w:szCs w:val="19"/>
              </w:rPr>
            </w:pPr>
            <w:r>
              <w:rPr>
                <w:color w:val="4B4747"/>
                <w:sz w:val="19"/>
                <w:szCs w:val="19"/>
              </w:rPr>
              <w:t>4,320</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color w:val="4B4747"/>
                <w:sz w:val="19"/>
                <w:szCs w:val="19"/>
              </w:rPr>
            </w:pPr>
            <w:r>
              <w:rPr>
                <w:color w:val="4B4747"/>
                <w:sz w:val="19"/>
                <w:szCs w:val="19"/>
              </w:rPr>
              <w:t>27,600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2"/>
              <w:jc w:val="center"/>
              <w:rPr>
                <w:color w:val="4B4747"/>
                <w:sz w:val="19"/>
                <w:szCs w:val="19"/>
              </w:rPr>
            </w:pPr>
            <w:r>
              <w:rPr>
                <w:color w:val="4B4747"/>
                <w:sz w:val="19"/>
                <w:szCs w:val="19"/>
              </w:rPr>
              <w:t>3,540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2"/>
              <w:jc w:val="center"/>
              <w:rPr>
                <w:color w:val="4B4747"/>
                <w:sz w:val="19"/>
                <w:szCs w:val="19"/>
              </w:rPr>
            </w:pPr>
            <w:r>
              <w:rPr>
                <w:color w:val="4B4747"/>
                <w:sz w:val="19"/>
                <w:szCs w:val="19"/>
              </w:rPr>
              <w:t>18,000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pPr>
            <w:r>
              <w:rPr>
                <w:rFonts w:ascii="Segoe UI Emoji" w:hAnsi="Segoe UI Emoji" w:cs="Segoe UI Emoji"/>
                <w:color w:val="4B4747"/>
                <w:sz w:val="19"/>
                <w:szCs w:val="19"/>
              </w:rPr>
              <w:t>🔻</w:t>
            </w:r>
            <w:r>
              <w:rPr>
                <w:color w:val="4B4747"/>
                <w:sz w:val="19"/>
                <w:szCs w:val="19"/>
              </w:rPr>
              <w:t xml:space="preserve"> -780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pPr>
            <w:r>
              <w:rPr>
                <w:rFonts w:ascii="Segoe UI Emoji" w:hAnsi="Segoe UI Emoji" w:cs="Segoe UI Emoji"/>
                <w:color w:val="4B4747"/>
                <w:sz w:val="19"/>
                <w:szCs w:val="19"/>
              </w:rPr>
              <w:t>🔻</w:t>
            </w:r>
            <w:r>
              <w:rPr>
                <w:color w:val="4B4747"/>
                <w:sz w:val="19"/>
                <w:szCs w:val="19"/>
              </w:rPr>
              <w:t xml:space="preserve"> -9,600</w:t>
            </w:r>
          </w:p>
        </w:tc>
        <w:tc>
          <w:tcPr>
            <w:tcW w:w="40" w:type="dxa"/>
            <w:shd w:val="clear" w:color="auto" w:fill="auto"/>
            <w:tcMar>
              <w:top w:w="0" w:type="dxa"/>
              <w:left w:w="10" w:type="dxa"/>
              <w:bottom w:w="0" w:type="dxa"/>
              <w:right w:w="10" w:type="dxa"/>
            </w:tcMar>
            <w:vAlign w:val="center"/>
          </w:tcPr>
          <w:p w:rsidR="00184CAB" w:rsidRDefault="00184CAB">
            <w:pPr>
              <w:spacing w:after="0" w:line="240" w:lineRule="auto"/>
              <w:ind w:left="6"/>
              <w:jc w:val="center"/>
              <w:rPr>
                <w:sz w:val="19"/>
                <w:szCs w:val="19"/>
              </w:rPr>
            </w:pPr>
          </w:p>
        </w:tc>
      </w:tr>
      <w:tr w:rsidR="00184CAB">
        <w:tblPrEx>
          <w:tblCellMar>
            <w:top w:w="0" w:type="dxa"/>
            <w:bottom w:w="0" w:type="dxa"/>
          </w:tblCellMar>
        </w:tblPrEx>
        <w:trPr>
          <w:trHeight w:val="61"/>
          <w:tblHead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b/>
                <w:bCs/>
                <w:color w:val="4B4747"/>
                <w:sz w:val="19"/>
                <w:szCs w:val="19"/>
              </w:rPr>
            </w:pPr>
            <w:r>
              <w:rPr>
                <w:b/>
                <w:bCs/>
                <w:color w:val="4B4747"/>
                <w:sz w:val="19"/>
                <w:szCs w:val="19"/>
              </w:rPr>
              <w:t>Septiembre</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4,020</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21,000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color w:val="4B4747"/>
                <w:sz w:val="19"/>
                <w:szCs w:val="19"/>
              </w:rPr>
            </w:pPr>
            <w:r>
              <w:rPr>
                <w:color w:val="4B4747"/>
                <w:sz w:val="19"/>
                <w:szCs w:val="19"/>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w:t>
            </w:r>
          </w:p>
        </w:tc>
        <w:tc>
          <w:tcPr>
            <w:tcW w:w="40" w:type="dxa"/>
            <w:shd w:val="clear" w:color="auto" w:fill="auto"/>
            <w:tcMar>
              <w:top w:w="0" w:type="dxa"/>
              <w:left w:w="10" w:type="dxa"/>
              <w:bottom w:w="0" w:type="dxa"/>
              <w:right w:w="10" w:type="dxa"/>
            </w:tcMar>
            <w:vAlign w:val="center"/>
          </w:tcPr>
          <w:p w:rsidR="00184CAB" w:rsidRDefault="00184CAB">
            <w:pPr>
              <w:spacing w:after="0" w:line="240" w:lineRule="auto"/>
              <w:ind w:left="6"/>
              <w:jc w:val="center"/>
              <w:rPr>
                <w:color w:val="4B4747"/>
                <w:sz w:val="19"/>
                <w:szCs w:val="19"/>
              </w:rPr>
            </w:pPr>
          </w:p>
        </w:tc>
      </w:tr>
      <w:tr w:rsidR="00184CAB">
        <w:tblPrEx>
          <w:tblCellMar>
            <w:top w:w="0" w:type="dxa"/>
            <w:bottom w:w="0" w:type="dxa"/>
          </w:tblCellMar>
        </w:tblPrEx>
        <w:trPr>
          <w:trHeight w:val="61"/>
          <w:tblHead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b/>
                <w:bCs/>
                <w:color w:val="4B4747"/>
                <w:sz w:val="19"/>
                <w:szCs w:val="19"/>
              </w:rPr>
            </w:pPr>
            <w:r>
              <w:rPr>
                <w:b/>
                <w:bCs/>
                <w:color w:val="4B4747"/>
                <w:sz w:val="19"/>
                <w:szCs w:val="19"/>
              </w:rPr>
              <w:t>Octubre</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color w:val="4B4747"/>
                <w:sz w:val="19"/>
                <w:szCs w:val="19"/>
              </w:rPr>
            </w:pPr>
            <w:r>
              <w:rPr>
                <w:color w:val="4B4747"/>
                <w:sz w:val="19"/>
                <w:szCs w:val="19"/>
              </w:rPr>
              <w:t>3,900</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color w:val="4B4747"/>
                <w:sz w:val="19"/>
                <w:szCs w:val="19"/>
              </w:rPr>
            </w:pPr>
            <w:r>
              <w:rPr>
                <w:color w:val="4B4747"/>
                <w:sz w:val="19"/>
                <w:szCs w:val="19"/>
              </w:rPr>
              <w:t>21,000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2"/>
              <w:jc w:val="center"/>
              <w:rPr>
                <w:color w:val="4B4747"/>
                <w:sz w:val="19"/>
                <w:szCs w:val="19"/>
              </w:rPr>
            </w:pPr>
            <w:r>
              <w:rPr>
                <w:color w:val="4B4747"/>
                <w:sz w:val="19"/>
                <w:szCs w:val="19"/>
              </w:rPr>
              <w: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2"/>
              <w:jc w:val="center"/>
              <w:rPr>
                <w:color w:val="4B4747"/>
                <w:sz w:val="19"/>
                <w:szCs w:val="19"/>
              </w:rPr>
            </w:pPr>
            <w:r>
              <w:rPr>
                <w:color w:val="4B4747"/>
                <w:sz w:val="19"/>
                <w:szCs w:val="19"/>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1"/>
              <w:jc w:val="center"/>
              <w:rPr>
                <w:color w:val="4B4747"/>
                <w:sz w:val="19"/>
                <w:szCs w:val="19"/>
              </w:rPr>
            </w:pPr>
            <w:r>
              <w:rPr>
                <w:color w:val="4B4747"/>
                <w:sz w:val="19"/>
                <w:szCs w:val="19"/>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40" w:type="dxa"/>
            <w:shd w:val="clear" w:color="auto" w:fill="auto"/>
            <w:tcMar>
              <w:top w:w="0" w:type="dxa"/>
              <w:left w:w="10" w:type="dxa"/>
              <w:bottom w:w="0" w:type="dxa"/>
              <w:right w:w="10" w:type="dxa"/>
            </w:tcMar>
            <w:vAlign w:val="center"/>
          </w:tcPr>
          <w:p w:rsidR="00184CAB" w:rsidRDefault="00184CAB">
            <w:pPr>
              <w:spacing w:after="0" w:line="240" w:lineRule="auto"/>
              <w:jc w:val="center"/>
              <w:rPr>
                <w:color w:val="4B4747"/>
                <w:sz w:val="19"/>
                <w:szCs w:val="19"/>
              </w:rPr>
            </w:pPr>
          </w:p>
        </w:tc>
      </w:tr>
      <w:tr w:rsidR="00184CAB">
        <w:tblPrEx>
          <w:tblCellMar>
            <w:top w:w="0" w:type="dxa"/>
            <w:bottom w:w="0" w:type="dxa"/>
          </w:tblCellMar>
        </w:tblPrEx>
        <w:trPr>
          <w:trHeight w:val="61"/>
          <w:tblHead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b/>
                <w:bCs/>
                <w:color w:val="4B4747"/>
                <w:sz w:val="19"/>
                <w:szCs w:val="19"/>
              </w:rPr>
            </w:pPr>
            <w:r>
              <w:rPr>
                <w:b/>
                <w:bCs/>
                <w:color w:val="4B4747"/>
                <w:sz w:val="19"/>
                <w:szCs w:val="19"/>
              </w:rPr>
              <w:t>Noviembre</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4,140</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21,000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color w:val="4B4747"/>
                <w:sz w:val="19"/>
                <w:szCs w:val="19"/>
              </w:rPr>
            </w:pPr>
            <w:r>
              <w:rPr>
                <w:color w:val="4B4747"/>
                <w:sz w:val="19"/>
                <w:szCs w:val="19"/>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w:t>
            </w:r>
          </w:p>
        </w:tc>
        <w:tc>
          <w:tcPr>
            <w:tcW w:w="40" w:type="dxa"/>
            <w:shd w:val="clear" w:color="auto" w:fill="auto"/>
            <w:tcMar>
              <w:top w:w="0" w:type="dxa"/>
              <w:left w:w="10" w:type="dxa"/>
              <w:bottom w:w="0" w:type="dxa"/>
              <w:right w:w="10" w:type="dxa"/>
            </w:tcMar>
            <w:vAlign w:val="center"/>
          </w:tcPr>
          <w:p w:rsidR="00184CAB" w:rsidRDefault="00184CAB">
            <w:pPr>
              <w:spacing w:after="0" w:line="240" w:lineRule="auto"/>
              <w:ind w:left="6"/>
              <w:jc w:val="center"/>
              <w:rPr>
                <w:color w:val="4B4747"/>
                <w:sz w:val="19"/>
                <w:szCs w:val="19"/>
              </w:rPr>
            </w:pPr>
          </w:p>
        </w:tc>
      </w:tr>
      <w:tr w:rsidR="00184CAB">
        <w:tblPrEx>
          <w:tblCellMar>
            <w:top w:w="0" w:type="dxa"/>
            <w:bottom w:w="0" w:type="dxa"/>
          </w:tblCellMar>
        </w:tblPrEx>
        <w:trPr>
          <w:trHeight w:val="61"/>
          <w:tblHead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b/>
                <w:bCs/>
                <w:color w:val="4B4747"/>
                <w:sz w:val="19"/>
                <w:szCs w:val="19"/>
              </w:rPr>
            </w:pPr>
            <w:r>
              <w:rPr>
                <w:b/>
                <w:bCs/>
                <w:color w:val="4B4747"/>
                <w:sz w:val="19"/>
                <w:szCs w:val="19"/>
              </w:rPr>
              <w:t>Diciembre</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3,660</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3"/>
              <w:jc w:val="center"/>
              <w:rPr>
                <w:color w:val="4B4747"/>
                <w:sz w:val="19"/>
                <w:szCs w:val="19"/>
              </w:rPr>
            </w:pPr>
            <w:r>
              <w:rPr>
                <w:color w:val="4B4747"/>
                <w:sz w:val="19"/>
                <w:szCs w:val="19"/>
              </w:rPr>
              <w:t>18,600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3"/>
              <w:jc w:val="center"/>
              <w:rPr>
                <w:color w:val="4B4747"/>
                <w:sz w:val="19"/>
                <w:szCs w:val="19"/>
              </w:rPr>
            </w:pPr>
            <w:r>
              <w:rPr>
                <w:color w:val="4B4747"/>
                <w:sz w:val="19"/>
                <w:szCs w:val="19"/>
              </w:rPr>
              <w: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3"/>
              <w:jc w:val="center"/>
              <w:rPr>
                <w:color w:val="4B4747"/>
                <w:sz w:val="19"/>
                <w:szCs w:val="19"/>
              </w:rPr>
            </w:pPr>
            <w:r>
              <w:rPr>
                <w:color w:val="4B4747"/>
                <w:sz w:val="19"/>
                <w:szCs w:val="19"/>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2"/>
              <w:jc w:val="center"/>
              <w:rPr>
                <w:color w:val="4B4747"/>
                <w:sz w:val="19"/>
                <w:szCs w:val="19"/>
              </w:rPr>
            </w:pPr>
            <w:r>
              <w:rPr>
                <w:color w:val="4B4747"/>
                <w:sz w:val="19"/>
                <w:szCs w:val="19"/>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1"/>
              <w:jc w:val="center"/>
              <w:rPr>
                <w:color w:val="4B4747"/>
                <w:sz w:val="19"/>
                <w:szCs w:val="19"/>
              </w:rPr>
            </w:pPr>
            <w:r>
              <w:rPr>
                <w:color w:val="4B4747"/>
                <w:sz w:val="19"/>
                <w:szCs w:val="19"/>
              </w:rPr>
              <w:t>—</w:t>
            </w:r>
          </w:p>
        </w:tc>
        <w:tc>
          <w:tcPr>
            <w:tcW w:w="40" w:type="dxa"/>
            <w:shd w:val="clear" w:color="auto" w:fill="auto"/>
            <w:tcMar>
              <w:top w:w="0" w:type="dxa"/>
              <w:left w:w="10" w:type="dxa"/>
              <w:bottom w:w="0" w:type="dxa"/>
              <w:right w:w="10" w:type="dxa"/>
            </w:tcMar>
            <w:vAlign w:val="center"/>
          </w:tcPr>
          <w:p w:rsidR="00184CAB" w:rsidRDefault="00184CAB">
            <w:pPr>
              <w:spacing w:after="0" w:line="240" w:lineRule="auto"/>
              <w:ind w:left="1"/>
              <w:jc w:val="center"/>
              <w:rPr>
                <w:color w:val="4B4747"/>
                <w:sz w:val="19"/>
                <w:szCs w:val="19"/>
              </w:rPr>
            </w:pPr>
          </w:p>
        </w:tc>
      </w:tr>
    </w:tbl>
    <w:p w:rsidR="00184CAB" w:rsidRDefault="00184CAB">
      <w:pPr>
        <w:spacing w:line="360" w:lineRule="auto"/>
        <w:jc w:val="both"/>
        <w:rPr>
          <w:color w:val="4C4747"/>
          <w:lang w:val="es-DO"/>
        </w:rPr>
      </w:pPr>
    </w:p>
    <w:p w:rsidR="00184CAB" w:rsidRDefault="002B1930">
      <w:pPr>
        <w:spacing w:line="360" w:lineRule="auto"/>
        <w:jc w:val="both"/>
      </w:pPr>
      <w:r>
        <w:rPr>
          <w:i/>
          <w:iCs/>
          <w:color w:val="4B4747"/>
          <w:sz w:val="18"/>
          <w:szCs w:val="18"/>
        </w:rPr>
        <w:t>Fuente:</w:t>
      </w:r>
      <w:r>
        <w:rPr>
          <w:i/>
          <w:iCs/>
          <w:color w:val="4B4747"/>
          <w:sz w:val="18"/>
          <w:szCs w:val="18"/>
          <w:lang w:val="es-DO"/>
        </w:rPr>
        <w:t xml:space="preserve"> Informe anual correspondiente al año 2025, Dirección de Ingeniería</w:t>
      </w:r>
    </w:p>
    <w:p w:rsidR="00184CAB" w:rsidRDefault="00184CAB">
      <w:pPr>
        <w:spacing w:line="360" w:lineRule="auto"/>
        <w:jc w:val="both"/>
      </w:pPr>
    </w:p>
    <w:p w:rsidR="00184CAB" w:rsidRDefault="00184CAB">
      <w:pPr>
        <w:spacing w:line="360" w:lineRule="auto"/>
        <w:jc w:val="both"/>
      </w:pPr>
    </w:p>
    <w:tbl>
      <w:tblPr>
        <w:tblW w:w="7797" w:type="dxa"/>
        <w:tblCellMar>
          <w:left w:w="10" w:type="dxa"/>
          <w:right w:w="10" w:type="dxa"/>
        </w:tblCellMar>
        <w:tblLook w:val="0000" w:firstRow="0" w:lastRow="0" w:firstColumn="0" w:lastColumn="0" w:noHBand="0" w:noVBand="0"/>
      </w:tblPr>
      <w:tblGrid>
        <w:gridCol w:w="776"/>
        <w:gridCol w:w="2699"/>
        <w:gridCol w:w="2394"/>
        <w:gridCol w:w="1928"/>
      </w:tblGrid>
      <w:tr w:rsidR="00184CAB">
        <w:tblPrEx>
          <w:tblCellMar>
            <w:top w:w="0" w:type="dxa"/>
            <w:bottom w:w="0" w:type="dxa"/>
          </w:tblCellMar>
        </w:tblPrEx>
        <w:trPr>
          <w:trHeight w:val="642"/>
          <w:tblHeader/>
        </w:trPr>
        <w:tc>
          <w:tcPr>
            <w:tcW w:w="7797" w:type="dxa"/>
            <w:gridSpan w:val="4"/>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ind w:left="8"/>
              <w:jc w:val="center"/>
              <w:rPr>
                <w:b/>
                <w:bCs/>
                <w:color w:val="FFFFFF"/>
                <w:sz w:val="19"/>
                <w:szCs w:val="19"/>
                <w:lang w:val="es-ES"/>
              </w:rPr>
            </w:pPr>
            <w:r>
              <w:rPr>
                <w:b/>
                <w:bCs/>
                <w:color w:val="FFFFFF"/>
                <w:sz w:val="19"/>
                <w:szCs w:val="19"/>
                <w:lang w:val="es-ES"/>
              </w:rPr>
              <w:lastRenderedPageBreak/>
              <w:t>Tabla no. 16 Sobre comparativo del periodo anual 2024-2025 consumo promedio de energía eléctrica y ahorro</w:t>
            </w:r>
          </w:p>
        </w:tc>
      </w:tr>
      <w:tr w:rsidR="00184CAB">
        <w:tblPrEx>
          <w:tblCellMar>
            <w:top w:w="0" w:type="dxa"/>
            <w:bottom w:w="0" w:type="dxa"/>
          </w:tblCellMar>
        </w:tblPrEx>
        <w:trPr>
          <w:trHeight w:val="642"/>
          <w:tblHeader/>
        </w:trPr>
        <w:tc>
          <w:tcPr>
            <w:tcW w:w="776"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ind w:left="26"/>
              <w:jc w:val="center"/>
              <w:rPr>
                <w:b/>
                <w:bCs/>
                <w:color w:val="FFFFFF"/>
                <w:sz w:val="19"/>
                <w:szCs w:val="19"/>
              </w:rPr>
            </w:pPr>
            <w:r>
              <w:rPr>
                <w:b/>
                <w:bCs/>
                <w:color w:val="FFFFFF"/>
                <w:sz w:val="19"/>
                <w:szCs w:val="19"/>
              </w:rPr>
              <w:t>Año</w:t>
            </w:r>
          </w:p>
        </w:tc>
        <w:tc>
          <w:tcPr>
            <w:tcW w:w="2699"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17" w:line="240" w:lineRule="auto"/>
              <w:ind w:right="63"/>
              <w:jc w:val="center"/>
              <w:rPr>
                <w:b/>
                <w:bCs/>
                <w:color w:val="FFFFFF"/>
                <w:sz w:val="19"/>
                <w:szCs w:val="19"/>
              </w:rPr>
            </w:pPr>
            <w:r>
              <w:rPr>
                <w:b/>
                <w:bCs/>
                <w:color w:val="FFFFFF"/>
                <w:sz w:val="19"/>
                <w:szCs w:val="19"/>
              </w:rPr>
              <w:t>Consumo Promedio</w:t>
            </w:r>
          </w:p>
          <w:p w:rsidR="00184CAB" w:rsidRDefault="002B1930">
            <w:pPr>
              <w:spacing w:after="17" w:line="240" w:lineRule="auto"/>
              <w:ind w:right="63"/>
              <w:jc w:val="center"/>
              <w:rPr>
                <w:b/>
                <w:bCs/>
                <w:color w:val="FFFFFF"/>
                <w:sz w:val="19"/>
                <w:szCs w:val="19"/>
              </w:rPr>
            </w:pPr>
            <w:r>
              <w:rPr>
                <w:b/>
                <w:bCs/>
                <w:color w:val="FFFFFF"/>
                <w:sz w:val="19"/>
                <w:szCs w:val="19"/>
              </w:rPr>
              <w:t>(kWh)</w:t>
            </w:r>
          </w:p>
        </w:tc>
        <w:tc>
          <w:tcPr>
            <w:tcW w:w="2394"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17" w:line="240" w:lineRule="auto"/>
              <w:ind w:right="60"/>
              <w:jc w:val="center"/>
              <w:rPr>
                <w:b/>
                <w:bCs/>
                <w:color w:val="FFFFFF"/>
                <w:sz w:val="19"/>
                <w:szCs w:val="19"/>
              </w:rPr>
            </w:pPr>
            <w:r>
              <w:rPr>
                <w:b/>
                <w:bCs/>
                <w:color w:val="FFFFFF"/>
                <w:sz w:val="19"/>
                <w:szCs w:val="19"/>
              </w:rPr>
              <w:t>Potencia Promedio</w:t>
            </w:r>
          </w:p>
          <w:p w:rsidR="00184CAB" w:rsidRDefault="002B1930">
            <w:pPr>
              <w:spacing w:after="17" w:line="240" w:lineRule="auto"/>
              <w:ind w:right="60"/>
              <w:jc w:val="center"/>
              <w:rPr>
                <w:b/>
                <w:bCs/>
                <w:color w:val="FFFFFF"/>
                <w:sz w:val="19"/>
                <w:szCs w:val="19"/>
              </w:rPr>
            </w:pPr>
            <w:r>
              <w:rPr>
                <w:b/>
                <w:bCs/>
                <w:color w:val="FFFFFF"/>
                <w:sz w:val="19"/>
                <w:szCs w:val="19"/>
              </w:rPr>
              <w:t>(W)</w:t>
            </w:r>
          </w:p>
        </w:tc>
        <w:tc>
          <w:tcPr>
            <w:tcW w:w="1928"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ind w:left="8"/>
              <w:jc w:val="center"/>
              <w:rPr>
                <w:b/>
                <w:bCs/>
                <w:color w:val="FFFFFF"/>
                <w:sz w:val="19"/>
                <w:szCs w:val="19"/>
              </w:rPr>
            </w:pPr>
            <w:r>
              <w:rPr>
                <w:b/>
                <w:bCs/>
                <w:color w:val="FFFFFF"/>
                <w:sz w:val="19"/>
                <w:szCs w:val="19"/>
              </w:rPr>
              <w:t xml:space="preserve">Variación Total </w:t>
            </w:r>
            <w:r>
              <w:rPr>
                <w:b/>
                <w:bCs/>
                <w:color w:val="FFFFFF"/>
                <w:sz w:val="19"/>
                <w:szCs w:val="19"/>
              </w:rPr>
              <w:t>Aproximada</w:t>
            </w:r>
          </w:p>
        </w:tc>
      </w:tr>
      <w:tr w:rsidR="00184CAB">
        <w:tblPrEx>
          <w:tblCellMar>
            <w:top w:w="0" w:type="dxa"/>
            <w:bottom w:w="0" w:type="dxa"/>
          </w:tblCellMar>
        </w:tblPrEx>
        <w:trPr>
          <w:trHeight w:val="329"/>
          <w:tblHeader/>
        </w:trPr>
        <w:tc>
          <w:tcPr>
            <w:tcW w:w="7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b/>
                <w:bCs/>
                <w:color w:val="4B4747"/>
                <w:sz w:val="19"/>
                <w:szCs w:val="19"/>
              </w:rPr>
            </w:pPr>
            <w:r>
              <w:rPr>
                <w:b/>
                <w:bCs/>
                <w:color w:val="4B4747"/>
                <w:sz w:val="19"/>
                <w:szCs w:val="19"/>
              </w:rPr>
              <w:t>2024</w:t>
            </w:r>
          </w:p>
        </w:tc>
        <w:tc>
          <w:tcPr>
            <w:tcW w:w="26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right="62"/>
              <w:jc w:val="center"/>
              <w:rPr>
                <w:color w:val="4B4747"/>
                <w:sz w:val="19"/>
                <w:szCs w:val="19"/>
              </w:rPr>
            </w:pPr>
            <w:r>
              <w:rPr>
                <w:color w:val="4B4747"/>
                <w:sz w:val="19"/>
                <w:szCs w:val="19"/>
              </w:rPr>
              <w:t>4,008</w:t>
            </w:r>
          </w:p>
        </w:tc>
        <w:tc>
          <w:tcPr>
            <w:tcW w:w="239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right="60"/>
              <w:jc w:val="center"/>
              <w:rPr>
                <w:color w:val="4B4747"/>
                <w:sz w:val="19"/>
                <w:szCs w:val="19"/>
              </w:rPr>
            </w:pPr>
            <w:r>
              <w:rPr>
                <w:color w:val="4B4747"/>
                <w:sz w:val="19"/>
                <w:szCs w:val="19"/>
              </w:rPr>
              <w:t>21,540</w:t>
            </w:r>
          </w:p>
        </w:tc>
        <w:tc>
          <w:tcPr>
            <w:tcW w:w="192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right="60"/>
              <w:jc w:val="center"/>
              <w:rPr>
                <w:color w:val="4B4747"/>
                <w:sz w:val="19"/>
                <w:szCs w:val="19"/>
              </w:rPr>
            </w:pPr>
            <w:r>
              <w:rPr>
                <w:color w:val="4B4747"/>
                <w:sz w:val="19"/>
                <w:szCs w:val="19"/>
              </w:rPr>
              <w:t>—</w:t>
            </w:r>
          </w:p>
        </w:tc>
      </w:tr>
      <w:tr w:rsidR="00184CAB">
        <w:tblPrEx>
          <w:tblCellMar>
            <w:top w:w="0" w:type="dxa"/>
            <w:bottom w:w="0" w:type="dxa"/>
          </w:tblCellMar>
        </w:tblPrEx>
        <w:trPr>
          <w:trHeight w:val="376"/>
          <w:tblHeader/>
        </w:trPr>
        <w:tc>
          <w:tcPr>
            <w:tcW w:w="7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b/>
                <w:bCs/>
                <w:color w:val="4B4747"/>
                <w:sz w:val="19"/>
                <w:szCs w:val="19"/>
              </w:rPr>
            </w:pPr>
            <w:r>
              <w:rPr>
                <w:b/>
                <w:bCs/>
                <w:color w:val="4B4747"/>
                <w:sz w:val="19"/>
                <w:szCs w:val="19"/>
              </w:rPr>
              <w:t>2025</w:t>
            </w:r>
          </w:p>
        </w:tc>
        <w:tc>
          <w:tcPr>
            <w:tcW w:w="26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right="62"/>
              <w:jc w:val="center"/>
              <w:rPr>
                <w:color w:val="4B4747"/>
                <w:sz w:val="19"/>
                <w:szCs w:val="19"/>
              </w:rPr>
            </w:pPr>
            <w:r>
              <w:rPr>
                <w:color w:val="4B4747"/>
                <w:sz w:val="19"/>
                <w:szCs w:val="19"/>
              </w:rPr>
              <w:t>3,398</w:t>
            </w:r>
          </w:p>
        </w:tc>
        <w:tc>
          <w:tcPr>
            <w:tcW w:w="239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right="60"/>
              <w:jc w:val="center"/>
              <w:rPr>
                <w:color w:val="4B4747"/>
                <w:sz w:val="19"/>
                <w:szCs w:val="19"/>
              </w:rPr>
            </w:pPr>
            <w:r>
              <w:rPr>
                <w:color w:val="4B4747"/>
                <w:sz w:val="19"/>
                <w:szCs w:val="19"/>
              </w:rPr>
              <w:t>18,240</w:t>
            </w:r>
          </w:p>
        </w:tc>
        <w:tc>
          <w:tcPr>
            <w:tcW w:w="192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right="62"/>
              <w:jc w:val="center"/>
            </w:pPr>
            <w:r>
              <w:rPr>
                <w:rFonts w:ascii="Segoe UI Emoji" w:hAnsi="Segoe UI Emoji" w:cs="Segoe UI Emoji"/>
                <w:color w:val="4B4747"/>
                <w:sz w:val="19"/>
                <w:szCs w:val="19"/>
              </w:rPr>
              <w:t>🔻</w:t>
            </w:r>
            <w:r>
              <w:rPr>
                <w:color w:val="4B4747"/>
                <w:sz w:val="19"/>
                <w:szCs w:val="19"/>
              </w:rPr>
              <w:t xml:space="preserve"> -15 %</w:t>
            </w:r>
          </w:p>
        </w:tc>
      </w:tr>
    </w:tbl>
    <w:p w:rsidR="00184CAB" w:rsidRDefault="002B1930">
      <w:pPr>
        <w:spacing w:line="360" w:lineRule="auto"/>
        <w:jc w:val="both"/>
      </w:pPr>
      <w:r>
        <w:rPr>
          <w:i/>
          <w:iCs/>
          <w:color w:val="4B4747"/>
          <w:sz w:val="18"/>
          <w:szCs w:val="18"/>
        </w:rPr>
        <w:t>Fuente:</w:t>
      </w:r>
      <w:r>
        <w:rPr>
          <w:i/>
          <w:iCs/>
          <w:color w:val="4B4747"/>
          <w:sz w:val="18"/>
          <w:szCs w:val="18"/>
          <w:lang w:val="es-DO"/>
        </w:rPr>
        <w:t xml:space="preserve"> Informe anual correspondiente al año 2025, Dirección de Ingeniería</w:t>
      </w:r>
    </w:p>
    <w:p w:rsidR="00184CAB" w:rsidRDefault="002B1930">
      <w:pPr>
        <w:spacing w:line="360" w:lineRule="auto"/>
        <w:jc w:val="both"/>
      </w:pPr>
      <w:r>
        <w:rPr>
          <w:b/>
          <w:color w:val="4C4747"/>
        </w:rPr>
        <w:t>Intervenciones Electromecánicas</w:t>
      </w:r>
      <w:r>
        <w:rPr>
          <w:b/>
          <w:color w:val="4C4747"/>
          <w:lang w:val="es-DO"/>
        </w:rPr>
        <w:t xml:space="preserve">: </w:t>
      </w:r>
      <w:r>
        <w:rPr>
          <w:color w:val="4C4747"/>
          <w:lang w:val="es-DO"/>
        </w:rPr>
        <w:t xml:space="preserve">Durante el 2025 se realizaron más de 190 intervenciones electromecánicas relacionadas </w:t>
      </w:r>
      <w:r>
        <w:rPr>
          <w:color w:val="4C4747"/>
          <w:lang w:val="es-DO"/>
        </w:rPr>
        <w:t>con climatización, iluminación, electricidad y sistemas especiales.</w:t>
      </w:r>
    </w:p>
    <w:p w:rsidR="00184CAB" w:rsidRDefault="002B1930">
      <w:pPr>
        <w:spacing w:line="360" w:lineRule="auto"/>
        <w:jc w:val="both"/>
      </w:pPr>
      <w:r>
        <w:rPr>
          <w:b/>
          <w:color w:val="4C4747"/>
        </w:rPr>
        <w:t xml:space="preserve">Reducción de Riesgos Estructurales: </w:t>
      </w:r>
      <w:r>
        <w:rPr>
          <w:color w:val="4C4747"/>
          <w:lang w:val="es-DO"/>
        </w:rPr>
        <w:t>Uno de los resultados más importantes del año en curso, fue la mitigación de riesgos estructurales eléctricos, sanitarios y operativos</w:t>
      </w:r>
      <w:r>
        <w:rPr>
          <w:color w:val="4C4747"/>
        </w:rPr>
        <w:t xml:space="preserve"> entendiendo que n</w:t>
      </w:r>
      <w:r>
        <w:rPr>
          <w:color w:val="4C4747"/>
        </w:rPr>
        <w:t>uestros colaboradores son un recurso vital y protegerlas es una prioridad de la institución.</w:t>
      </w:r>
    </w:p>
    <w:p w:rsidR="00184CAB" w:rsidRDefault="002B1930">
      <w:pPr>
        <w:spacing w:line="360" w:lineRule="auto"/>
        <w:jc w:val="both"/>
      </w:pPr>
      <w:r>
        <w:rPr>
          <w:b/>
          <w:color w:val="4C4747"/>
          <w:lang w:val="es-ES"/>
        </w:rPr>
        <w:t xml:space="preserve">Departamento de Mantenimiento Civil: </w:t>
      </w:r>
      <w:r>
        <w:rPr>
          <w:color w:val="4C4747"/>
          <w:lang w:val="es-ES"/>
        </w:rPr>
        <w:t>con el deber de preservar la integridad funcional del palacio nacional y sus dependencias fueron realizadas operaciones de pre</w:t>
      </w:r>
      <w:r>
        <w:rPr>
          <w:color w:val="4C4747"/>
          <w:lang w:val="es-ES"/>
        </w:rPr>
        <w:t xml:space="preserve">vención técnica para la mejora de la salubridad, reducción de riesgos estructurales en áreas críticas dentro del Palacio Nacional y en la Villa Presidencial de Juan </w:t>
      </w:r>
      <w:proofErr w:type="spellStart"/>
      <w:r>
        <w:rPr>
          <w:color w:val="4C4747"/>
          <w:lang w:val="es-ES"/>
        </w:rPr>
        <w:t>Dolio</w:t>
      </w:r>
      <w:proofErr w:type="spellEnd"/>
      <w:r>
        <w:rPr>
          <w:color w:val="4C4747"/>
          <w:lang w:val="es-ES"/>
        </w:rPr>
        <w:t xml:space="preserve"> a través de la reparación de techos de este último espacio y en el Salón Las Cariátid</w:t>
      </w:r>
      <w:r>
        <w:rPr>
          <w:color w:val="4C4747"/>
          <w:lang w:val="es-ES"/>
        </w:rPr>
        <w:t xml:space="preserve">es. </w:t>
      </w:r>
    </w:p>
    <w:p w:rsidR="00184CAB" w:rsidRDefault="002B1930">
      <w:pPr>
        <w:spacing w:line="360" w:lineRule="auto"/>
        <w:jc w:val="both"/>
      </w:pPr>
      <w:r>
        <w:rPr>
          <w:color w:val="4C4747"/>
        </w:rPr>
        <w:t xml:space="preserve">Además de la rehabilitación de la iluminación exterior en el Helipuerto y el Despacho Presidencial, se hizo la instalación de reflectores en entradas y salidas para aumentar la seguridad nocturna, así como también </w:t>
      </w:r>
      <w:r>
        <w:rPr>
          <w:color w:val="4C4747"/>
          <w:lang w:val="es-ES"/>
        </w:rPr>
        <w:t xml:space="preserve">la construcción de nuevo techo en el </w:t>
      </w:r>
      <w:r>
        <w:rPr>
          <w:color w:val="4C4747"/>
          <w:lang w:val="es-ES"/>
        </w:rPr>
        <w:t>Viceministerio de Gobierno y Sociedad de Casa de Gobierno, la Capilla de este, la Casa Blanca y el Palco Presidencial en el Estadio Quisqueya</w:t>
      </w:r>
      <w:r>
        <w:rPr>
          <w:color w:val="4C4747"/>
        </w:rPr>
        <w:t>.</w:t>
      </w:r>
    </w:p>
    <w:p w:rsidR="00184CAB" w:rsidRDefault="00184CAB">
      <w:pPr>
        <w:spacing w:line="360" w:lineRule="auto"/>
        <w:jc w:val="both"/>
        <w:rPr>
          <w:b/>
          <w:color w:val="4C4747"/>
        </w:rPr>
      </w:pPr>
    </w:p>
    <w:p w:rsidR="00184CAB" w:rsidRDefault="002B1930">
      <w:pPr>
        <w:spacing w:line="360" w:lineRule="auto"/>
        <w:jc w:val="both"/>
      </w:pPr>
      <w:r>
        <w:rPr>
          <w:b/>
          <w:color w:val="4C4747"/>
        </w:rPr>
        <w:lastRenderedPageBreak/>
        <w:t xml:space="preserve">Departamento de Diseño Arquitectónico: </w:t>
      </w:r>
      <w:r>
        <w:rPr>
          <w:color w:val="4C4747"/>
        </w:rPr>
        <w:t xml:space="preserve">El </w:t>
      </w:r>
      <w:r>
        <w:rPr>
          <w:bCs/>
          <w:color w:val="4C4747"/>
        </w:rPr>
        <w:t xml:space="preserve">Departamento de Diseño Arquitectónico </w:t>
      </w:r>
      <w:r>
        <w:rPr>
          <w:color w:val="4C4747"/>
        </w:rPr>
        <w:t xml:space="preserve">durante el periodo anual 2025 </w:t>
      </w:r>
      <w:r>
        <w:rPr>
          <w:color w:val="4C4747"/>
        </w:rPr>
        <w:t>llevo a cambio distintas acciones rediseños y levantamientos arquitectónicos, mejoras funcionales, acciones de planificación y documentación técnica y proyectos de remodelación, tales como:</w:t>
      </w:r>
    </w:p>
    <w:p w:rsidR="00184CAB" w:rsidRDefault="002B1930">
      <w:pPr>
        <w:pStyle w:val="Prrafodelista"/>
        <w:numPr>
          <w:ilvl w:val="0"/>
          <w:numId w:val="21"/>
        </w:numPr>
        <w:spacing w:line="360" w:lineRule="auto"/>
        <w:jc w:val="both"/>
        <w:rPr>
          <w:color w:val="4C4747"/>
          <w:lang w:val="es-ES"/>
        </w:rPr>
      </w:pPr>
      <w:r>
        <w:rPr>
          <w:color w:val="4C4747"/>
          <w:lang w:val="es-ES"/>
        </w:rPr>
        <w:t xml:space="preserve">Rediseño del </w:t>
      </w:r>
      <w:proofErr w:type="spellStart"/>
      <w:r>
        <w:rPr>
          <w:color w:val="4C4747"/>
          <w:lang w:val="es-ES"/>
        </w:rPr>
        <w:t>Dept</w:t>
      </w:r>
      <w:proofErr w:type="spellEnd"/>
      <w:r>
        <w:rPr>
          <w:color w:val="4C4747"/>
          <w:lang w:val="es-ES"/>
        </w:rPr>
        <w:t>. de Salud en el Palacio Nacional.</w:t>
      </w:r>
    </w:p>
    <w:p w:rsidR="00184CAB" w:rsidRDefault="002B1930">
      <w:pPr>
        <w:pStyle w:val="Prrafodelista"/>
        <w:numPr>
          <w:ilvl w:val="0"/>
          <w:numId w:val="21"/>
        </w:numPr>
        <w:spacing w:line="360" w:lineRule="auto"/>
        <w:jc w:val="both"/>
        <w:rPr>
          <w:color w:val="4C4747"/>
        </w:rPr>
      </w:pPr>
      <w:r>
        <w:rPr>
          <w:color w:val="4C4747"/>
        </w:rPr>
        <w:t>Remodelación d</w:t>
      </w:r>
      <w:r>
        <w:rPr>
          <w:color w:val="4C4747"/>
        </w:rPr>
        <w:t>e Barbería en el Palacio Nacional.</w:t>
      </w:r>
    </w:p>
    <w:p w:rsidR="00184CAB" w:rsidRDefault="002B1930">
      <w:pPr>
        <w:pStyle w:val="Prrafodelista"/>
        <w:numPr>
          <w:ilvl w:val="0"/>
          <w:numId w:val="21"/>
        </w:numPr>
        <w:spacing w:line="360" w:lineRule="auto"/>
        <w:jc w:val="both"/>
        <w:rPr>
          <w:color w:val="4C4747"/>
        </w:rPr>
      </w:pPr>
      <w:r>
        <w:rPr>
          <w:color w:val="4C4747"/>
        </w:rPr>
        <w:t>Rediseño y remozamiento de módulos de acceso en el Palacio Nacional.</w:t>
      </w:r>
    </w:p>
    <w:p w:rsidR="00184CAB" w:rsidRDefault="002B1930">
      <w:pPr>
        <w:pStyle w:val="Prrafodelista"/>
        <w:numPr>
          <w:ilvl w:val="0"/>
          <w:numId w:val="21"/>
        </w:numPr>
        <w:spacing w:line="360" w:lineRule="auto"/>
        <w:jc w:val="both"/>
        <w:rPr>
          <w:color w:val="4C4747"/>
          <w:lang w:val="es-ES"/>
        </w:rPr>
      </w:pPr>
      <w:r>
        <w:rPr>
          <w:color w:val="4C4747"/>
          <w:lang w:val="es-ES"/>
        </w:rPr>
        <w:t xml:space="preserve">Diagnóstico del Complejo Villa Presidencial de Juan </w:t>
      </w:r>
      <w:proofErr w:type="spellStart"/>
      <w:r>
        <w:rPr>
          <w:color w:val="4C4747"/>
          <w:lang w:val="es-ES"/>
        </w:rPr>
        <w:t>Dolio</w:t>
      </w:r>
      <w:proofErr w:type="spellEnd"/>
    </w:p>
    <w:p w:rsidR="00184CAB" w:rsidRDefault="002B1930">
      <w:pPr>
        <w:spacing w:line="360" w:lineRule="auto"/>
        <w:jc w:val="both"/>
      </w:pPr>
      <w:r>
        <w:rPr>
          <w:b/>
          <w:color w:val="4B4747"/>
        </w:rPr>
        <w:t xml:space="preserve">Prevención y Seguridad laboral: </w:t>
      </w:r>
      <w:r>
        <w:rPr>
          <w:color w:val="4B4747"/>
        </w:rPr>
        <w:t>Durante el año 2025, la Oficina de Prevención y Seguridad Labo</w:t>
      </w:r>
      <w:r>
        <w:rPr>
          <w:color w:val="4B4747"/>
        </w:rPr>
        <w:t xml:space="preserve">ral desarrolló acciones orientadas a la </w:t>
      </w:r>
      <w:r>
        <w:rPr>
          <w:rStyle w:val="Textoennegrita"/>
          <w:b w:val="0"/>
          <w:color w:val="4B4747"/>
        </w:rPr>
        <w:t>identificación, mitigación y control de riesgos laborales</w:t>
      </w:r>
      <w:r>
        <w:rPr>
          <w:b/>
          <w:color w:val="4B4747"/>
        </w:rPr>
        <w:t xml:space="preserve">, </w:t>
      </w:r>
      <w:r>
        <w:rPr>
          <w:color w:val="4B4747"/>
        </w:rPr>
        <w:t>contribuyendo a la protección de la salud, integridad física y condiciones seguras del personal que labora en las distintas edificaciones bajo responsabilida</w:t>
      </w:r>
      <w:r>
        <w:rPr>
          <w:color w:val="4B4747"/>
        </w:rPr>
        <w:t xml:space="preserve">d del Ministerio Administrativo de la Presidencia. </w:t>
      </w:r>
    </w:p>
    <w:p w:rsidR="00184CAB" w:rsidRDefault="002B1930">
      <w:pPr>
        <w:spacing w:line="360" w:lineRule="auto"/>
        <w:jc w:val="both"/>
        <w:rPr>
          <w:color w:val="4C4747"/>
        </w:rPr>
      </w:pPr>
      <w:r>
        <w:rPr>
          <w:color w:val="4C4747"/>
        </w:rPr>
        <w:t>Como parte de los resultados verificables de esta área cabe destacar la siguiente ejecución:</w:t>
      </w:r>
    </w:p>
    <w:tbl>
      <w:tblPr>
        <w:tblW w:w="7900" w:type="dxa"/>
        <w:tblCellMar>
          <w:left w:w="10" w:type="dxa"/>
          <w:right w:w="10" w:type="dxa"/>
        </w:tblCellMar>
        <w:tblLook w:val="0000" w:firstRow="0" w:lastRow="0" w:firstColumn="0" w:lastColumn="0" w:noHBand="0" w:noVBand="0"/>
      </w:tblPr>
      <w:tblGrid>
        <w:gridCol w:w="2967"/>
        <w:gridCol w:w="4933"/>
      </w:tblGrid>
      <w:tr w:rsidR="00184CAB">
        <w:tblPrEx>
          <w:tblCellMar>
            <w:top w:w="0" w:type="dxa"/>
            <w:bottom w:w="0" w:type="dxa"/>
          </w:tblCellMar>
        </w:tblPrEx>
        <w:tc>
          <w:tcPr>
            <w:tcW w:w="7900" w:type="dxa"/>
            <w:gridSpan w:val="2"/>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rPr>
                <w:rFonts w:eastAsia="Times New Roman"/>
                <w:b/>
                <w:bCs/>
                <w:color w:val="auto"/>
                <w:spacing w:val="0"/>
                <w:sz w:val="19"/>
                <w:szCs w:val="19"/>
                <w:lang w:val="es-DO" w:eastAsia="es-DO"/>
              </w:rPr>
            </w:pPr>
            <w:r>
              <w:rPr>
                <w:rFonts w:eastAsia="Times New Roman"/>
                <w:b/>
                <w:bCs/>
                <w:color w:val="auto"/>
                <w:spacing w:val="0"/>
                <w:sz w:val="19"/>
                <w:szCs w:val="19"/>
                <w:lang w:val="es-DO" w:eastAsia="es-DO"/>
              </w:rPr>
              <w:t>Tabla no. 17 sobre Resultados de simulacros de evacuación realizados durante el periodo anual 2025</w:t>
            </w:r>
          </w:p>
        </w:tc>
      </w:tr>
      <w:tr w:rsidR="00184CAB">
        <w:tblPrEx>
          <w:tblCellMar>
            <w:top w:w="0" w:type="dxa"/>
            <w:bottom w:w="0" w:type="dxa"/>
          </w:tblCellMar>
        </w:tblPrEx>
        <w:tc>
          <w:tcPr>
            <w:tcW w:w="2967"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rPr>
                <w:rFonts w:eastAsia="Times New Roman"/>
                <w:b/>
                <w:bCs/>
                <w:color w:val="auto"/>
                <w:spacing w:val="0"/>
                <w:sz w:val="19"/>
                <w:szCs w:val="19"/>
                <w:lang w:val="es-DO" w:eastAsia="es-DO"/>
              </w:rPr>
            </w:pPr>
            <w:r>
              <w:rPr>
                <w:rFonts w:eastAsia="Times New Roman"/>
                <w:b/>
                <w:bCs/>
                <w:color w:val="auto"/>
                <w:spacing w:val="0"/>
                <w:sz w:val="19"/>
                <w:szCs w:val="19"/>
                <w:lang w:val="es-DO" w:eastAsia="es-DO"/>
              </w:rPr>
              <w:t>Indicador</w:t>
            </w:r>
          </w:p>
        </w:tc>
        <w:tc>
          <w:tcPr>
            <w:tcW w:w="4933"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rPr>
                <w:rFonts w:eastAsia="Times New Roman"/>
                <w:b/>
                <w:bCs/>
                <w:color w:val="auto"/>
                <w:spacing w:val="0"/>
                <w:sz w:val="19"/>
                <w:szCs w:val="19"/>
                <w:lang w:val="es-DO" w:eastAsia="es-DO"/>
              </w:rPr>
            </w:pPr>
            <w:r>
              <w:rPr>
                <w:rFonts w:eastAsia="Times New Roman"/>
                <w:b/>
                <w:bCs/>
                <w:color w:val="auto"/>
                <w:spacing w:val="0"/>
                <w:sz w:val="19"/>
                <w:szCs w:val="19"/>
                <w:lang w:val="es-DO" w:eastAsia="es-DO"/>
              </w:rPr>
              <w:t>Resultado</w:t>
            </w:r>
          </w:p>
        </w:tc>
      </w:tr>
      <w:tr w:rsidR="00184CAB">
        <w:tblPrEx>
          <w:tblCellMar>
            <w:top w:w="0" w:type="dxa"/>
            <w:bottom w:w="0" w:type="dxa"/>
          </w:tblCellMar>
        </w:tblPrEx>
        <w:tc>
          <w:tcPr>
            <w:tcW w:w="296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bCs/>
                <w:color w:val="4B4747"/>
                <w:sz w:val="19"/>
                <w:szCs w:val="19"/>
              </w:rPr>
            </w:pPr>
            <w:r>
              <w:rPr>
                <w:bCs/>
                <w:color w:val="4B4747"/>
                <w:sz w:val="19"/>
                <w:szCs w:val="19"/>
              </w:rPr>
              <w:t>Simulacros realizados</w:t>
            </w:r>
          </w:p>
        </w:tc>
        <w:tc>
          <w:tcPr>
            <w:tcW w:w="493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2</w:t>
            </w:r>
          </w:p>
        </w:tc>
      </w:tr>
      <w:tr w:rsidR="00184CAB">
        <w:tblPrEx>
          <w:tblCellMar>
            <w:top w:w="0" w:type="dxa"/>
            <w:bottom w:w="0" w:type="dxa"/>
          </w:tblCellMar>
        </w:tblPrEx>
        <w:tc>
          <w:tcPr>
            <w:tcW w:w="296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bCs/>
                <w:color w:val="4B4747"/>
                <w:sz w:val="19"/>
                <w:szCs w:val="19"/>
              </w:rPr>
            </w:pPr>
            <w:r>
              <w:rPr>
                <w:bCs/>
                <w:color w:val="4B4747"/>
                <w:sz w:val="19"/>
                <w:szCs w:val="19"/>
              </w:rPr>
              <w:t>Personas evacuadas</w:t>
            </w:r>
          </w:p>
        </w:tc>
        <w:tc>
          <w:tcPr>
            <w:tcW w:w="493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489</w:t>
            </w:r>
          </w:p>
        </w:tc>
      </w:tr>
      <w:tr w:rsidR="00184CAB">
        <w:tblPrEx>
          <w:tblCellMar>
            <w:top w:w="0" w:type="dxa"/>
            <w:bottom w:w="0" w:type="dxa"/>
          </w:tblCellMar>
        </w:tblPrEx>
        <w:tc>
          <w:tcPr>
            <w:tcW w:w="296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bCs/>
                <w:color w:val="4B4747"/>
                <w:sz w:val="19"/>
                <w:szCs w:val="19"/>
              </w:rPr>
            </w:pPr>
            <w:r>
              <w:rPr>
                <w:bCs/>
                <w:color w:val="4B4747"/>
                <w:sz w:val="19"/>
                <w:szCs w:val="19"/>
              </w:rPr>
              <w:t>Tiempo máximo de evacuación</w:t>
            </w:r>
          </w:p>
        </w:tc>
        <w:tc>
          <w:tcPr>
            <w:tcW w:w="493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3 minutos 55 segundos</w:t>
            </w:r>
          </w:p>
        </w:tc>
      </w:tr>
      <w:tr w:rsidR="00184CAB">
        <w:tblPrEx>
          <w:tblCellMar>
            <w:top w:w="0" w:type="dxa"/>
            <w:bottom w:w="0" w:type="dxa"/>
          </w:tblCellMar>
        </w:tblPrEx>
        <w:tc>
          <w:tcPr>
            <w:tcW w:w="296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bCs/>
                <w:color w:val="4B4747"/>
                <w:sz w:val="19"/>
                <w:szCs w:val="19"/>
              </w:rPr>
            </w:pPr>
            <w:r>
              <w:rPr>
                <w:bCs/>
                <w:color w:val="4B4747"/>
                <w:sz w:val="19"/>
                <w:szCs w:val="19"/>
              </w:rPr>
              <w:t>Cobertura</w:t>
            </w:r>
          </w:p>
        </w:tc>
        <w:tc>
          <w:tcPr>
            <w:tcW w:w="493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Todas las áreas del Palacio Nacional, Casa Blanca y Casa de las Raíces</w:t>
            </w:r>
          </w:p>
        </w:tc>
      </w:tr>
    </w:tbl>
    <w:p w:rsidR="00184CAB" w:rsidRDefault="002B1930">
      <w:pPr>
        <w:spacing w:line="360" w:lineRule="auto"/>
        <w:jc w:val="both"/>
      </w:pPr>
      <w:r>
        <w:rPr>
          <w:i/>
          <w:iCs/>
          <w:color w:val="4B4747"/>
          <w:sz w:val="18"/>
          <w:szCs w:val="18"/>
        </w:rPr>
        <w:t>Fuente:</w:t>
      </w:r>
      <w:r>
        <w:rPr>
          <w:i/>
          <w:iCs/>
          <w:color w:val="4B4747"/>
          <w:sz w:val="18"/>
          <w:szCs w:val="18"/>
          <w:lang w:val="es-DO"/>
        </w:rPr>
        <w:t xml:space="preserve"> </w:t>
      </w:r>
      <w:r>
        <w:rPr>
          <w:i/>
          <w:iCs/>
          <w:color w:val="4B4747"/>
          <w:sz w:val="18"/>
          <w:szCs w:val="18"/>
        </w:rPr>
        <w:t>Informe correspondiente al periodo anual 2025</w:t>
      </w:r>
      <w:r>
        <w:rPr>
          <w:i/>
          <w:iCs/>
          <w:color w:val="4B4747"/>
          <w:sz w:val="18"/>
          <w:szCs w:val="18"/>
          <w:lang w:val="es-DO"/>
        </w:rPr>
        <w:t xml:space="preserve">, </w:t>
      </w:r>
      <w:r>
        <w:rPr>
          <w:i/>
          <w:iCs/>
          <w:color w:val="4B4747"/>
          <w:sz w:val="18"/>
          <w:szCs w:val="18"/>
          <w:lang w:val="es-DO"/>
        </w:rPr>
        <w:t>Dirección de Ingeniería</w:t>
      </w:r>
    </w:p>
    <w:p w:rsidR="00184CAB" w:rsidRDefault="00184CAB">
      <w:pPr>
        <w:spacing w:line="360" w:lineRule="auto"/>
        <w:jc w:val="both"/>
      </w:pPr>
    </w:p>
    <w:p w:rsidR="00184CAB" w:rsidRDefault="00184CAB">
      <w:pPr>
        <w:spacing w:line="360" w:lineRule="auto"/>
        <w:jc w:val="both"/>
      </w:pPr>
    </w:p>
    <w:p w:rsidR="00184CAB" w:rsidRDefault="002B1930">
      <w:pPr>
        <w:spacing w:line="360" w:lineRule="auto"/>
        <w:jc w:val="both"/>
        <w:rPr>
          <w:color w:val="4C4747"/>
          <w:lang w:val="es-ES"/>
        </w:rPr>
      </w:pPr>
      <w:r>
        <w:rPr>
          <w:color w:val="4C4747"/>
          <w:lang w:val="es-ES"/>
        </w:rPr>
        <w:lastRenderedPageBreak/>
        <w:t xml:space="preserve">Durante este periodo se llevaron a cabo inspecciones de seguridad y salud laboral tales como evaluaciones de riesgo eléctrico, supervisión de trabajos seguros, evaluación de riesgos estructurales contra incendios así como también </w:t>
      </w:r>
      <w:r>
        <w:rPr>
          <w:color w:val="4C4747"/>
          <w:lang w:val="es-ES"/>
        </w:rPr>
        <w:t xml:space="preserve">el mantenimiento preventivo y correctivo de los sistemas de detección, supresión, extinción de incendios, la ubicación de extintores portátiles y los equipos ubicados en Casa de Gobierno y edificaciones externas como Casa Blanca, Villa Juan </w:t>
      </w:r>
      <w:proofErr w:type="spellStart"/>
      <w:r>
        <w:rPr>
          <w:color w:val="4C4747"/>
          <w:lang w:val="es-ES"/>
        </w:rPr>
        <w:t>Dolio</w:t>
      </w:r>
      <w:proofErr w:type="spellEnd"/>
      <w:r>
        <w:rPr>
          <w:color w:val="4C4747"/>
          <w:lang w:val="es-ES"/>
        </w:rPr>
        <w:t>, Casa Pre</w:t>
      </w:r>
      <w:r>
        <w:rPr>
          <w:color w:val="4C4747"/>
          <w:lang w:val="es-ES"/>
        </w:rPr>
        <w:t>sidencial Santiago, Bloques A y D, edificios gubernamentales.</w:t>
      </w:r>
    </w:p>
    <w:p w:rsidR="00184CAB" w:rsidRDefault="002B1930">
      <w:pPr>
        <w:spacing w:line="360" w:lineRule="auto"/>
        <w:jc w:val="both"/>
        <w:rPr>
          <w:color w:val="4C4747"/>
        </w:rPr>
      </w:pPr>
      <w:r>
        <w:rPr>
          <w:color w:val="4C4747"/>
        </w:rPr>
        <w:t>Se ha dotado además a los colaboradores con los equipos de protección personal (EPP) y colectivos necesarios para prevenir y protegerlos frente a accidentes y enfermedades ocupacionales.</w:t>
      </w:r>
    </w:p>
    <w:tbl>
      <w:tblPr>
        <w:tblW w:w="7900" w:type="dxa"/>
        <w:tblLayout w:type="fixed"/>
        <w:tblCellMar>
          <w:left w:w="10" w:type="dxa"/>
          <w:right w:w="10" w:type="dxa"/>
        </w:tblCellMar>
        <w:tblLook w:val="0000" w:firstRow="0" w:lastRow="0" w:firstColumn="0" w:lastColumn="0" w:noHBand="0" w:noVBand="0"/>
      </w:tblPr>
      <w:tblGrid>
        <w:gridCol w:w="3246"/>
        <w:gridCol w:w="1894"/>
        <w:gridCol w:w="2760"/>
      </w:tblGrid>
      <w:tr w:rsidR="00184CAB">
        <w:tblPrEx>
          <w:tblCellMar>
            <w:top w:w="0" w:type="dxa"/>
            <w:bottom w:w="0" w:type="dxa"/>
          </w:tblCellMar>
        </w:tblPrEx>
        <w:trPr>
          <w:trHeight w:val="140"/>
          <w:tblHeader/>
        </w:trPr>
        <w:tc>
          <w:tcPr>
            <w:tcW w:w="7900" w:type="dxa"/>
            <w:gridSpan w:val="3"/>
            <w:tcBorders>
              <w:top w:val="single" w:sz="12" w:space="0" w:color="000000"/>
              <w:left w:val="single" w:sz="12" w:space="0" w:color="000000"/>
              <w:bottom w:val="single" w:sz="12" w:space="0" w:color="000000"/>
            </w:tcBorders>
            <w:shd w:val="clear" w:color="auto" w:fill="002060"/>
            <w:tcMar>
              <w:top w:w="0" w:type="dxa"/>
              <w:left w:w="108" w:type="dxa"/>
              <w:bottom w:w="0" w:type="dxa"/>
              <w:right w:w="108" w:type="dxa"/>
            </w:tcMar>
          </w:tcPr>
          <w:p w:rsidR="00184CAB" w:rsidRDefault="002B1930">
            <w:pPr>
              <w:spacing w:after="0" w:line="240" w:lineRule="auto"/>
              <w:ind w:left="6"/>
              <w:jc w:val="center"/>
            </w:pPr>
            <w:r>
              <w:rPr>
                <w:b/>
                <w:bCs/>
                <w:color w:val="FFFFFF"/>
                <w:sz w:val="19"/>
                <w:szCs w:val="19"/>
                <w:lang w:val="es-ES"/>
              </w:rPr>
              <w:t xml:space="preserve">Tabla </w:t>
            </w:r>
            <w:r>
              <w:rPr>
                <w:b/>
                <w:bCs/>
                <w:color w:val="FFFFFF"/>
                <w:sz w:val="19"/>
                <w:szCs w:val="19"/>
                <w:lang w:val="es-ES"/>
              </w:rPr>
              <w:t>no. 18 Sobre relación de equipos de protección personal entregados durante el periodo enero-agosto 2024-2025</w:t>
            </w:r>
          </w:p>
        </w:tc>
      </w:tr>
      <w:tr w:rsidR="00184CAB">
        <w:tblPrEx>
          <w:tblCellMar>
            <w:top w:w="0" w:type="dxa"/>
            <w:bottom w:w="0" w:type="dxa"/>
          </w:tblCellMar>
        </w:tblPrEx>
        <w:trPr>
          <w:trHeight w:val="507"/>
          <w:tblHeader/>
        </w:trPr>
        <w:tc>
          <w:tcPr>
            <w:tcW w:w="3246" w:type="dxa"/>
            <w:tcBorders>
              <w:top w:val="single" w:sz="12" w:space="0" w:color="000000"/>
              <w:left w:val="single" w:sz="12" w:space="0" w:color="000000"/>
              <w:bottom w:val="single" w:sz="8" w:space="0" w:color="000000"/>
              <w:right w:val="single" w:sz="12" w:space="0" w:color="000000"/>
            </w:tcBorders>
            <w:shd w:val="clear" w:color="auto" w:fill="002060"/>
            <w:tcMar>
              <w:top w:w="0" w:type="dxa"/>
              <w:left w:w="108" w:type="dxa"/>
              <w:bottom w:w="0" w:type="dxa"/>
              <w:right w:w="108" w:type="dxa"/>
            </w:tcMar>
            <w:vAlign w:val="center"/>
          </w:tcPr>
          <w:p w:rsidR="00184CAB" w:rsidRDefault="002B1930">
            <w:pPr>
              <w:jc w:val="center"/>
              <w:rPr>
                <w:b/>
                <w:color w:val="FFFFFF"/>
                <w:sz w:val="19"/>
                <w:szCs w:val="19"/>
              </w:rPr>
            </w:pPr>
            <w:r>
              <w:rPr>
                <w:b/>
                <w:color w:val="FFFFFF"/>
                <w:sz w:val="19"/>
                <w:szCs w:val="19"/>
              </w:rPr>
              <w:t>Tipo de EPP</w:t>
            </w:r>
          </w:p>
        </w:tc>
        <w:tc>
          <w:tcPr>
            <w:tcW w:w="1894" w:type="dxa"/>
            <w:tcBorders>
              <w:top w:val="single" w:sz="12" w:space="0" w:color="000000"/>
              <w:left w:val="single" w:sz="12" w:space="0" w:color="000000"/>
              <w:bottom w:val="single" w:sz="8" w:space="0" w:color="000000"/>
              <w:right w:val="single" w:sz="12" w:space="0" w:color="000000"/>
            </w:tcBorders>
            <w:shd w:val="clear" w:color="auto" w:fill="002060"/>
            <w:tcMar>
              <w:top w:w="0" w:type="dxa"/>
              <w:left w:w="108" w:type="dxa"/>
              <w:bottom w:w="0" w:type="dxa"/>
              <w:right w:w="108" w:type="dxa"/>
            </w:tcMar>
            <w:vAlign w:val="center"/>
          </w:tcPr>
          <w:p w:rsidR="00184CAB" w:rsidRDefault="002B1930">
            <w:pPr>
              <w:jc w:val="center"/>
              <w:rPr>
                <w:b/>
                <w:color w:val="FFFFFF"/>
                <w:sz w:val="19"/>
                <w:szCs w:val="19"/>
              </w:rPr>
            </w:pPr>
            <w:r>
              <w:rPr>
                <w:b/>
                <w:color w:val="FFFFFF"/>
                <w:sz w:val="19"/>
                <w:szCs w:val="19"/>
              </w:rPr>
              <w:t>Cantidad entregada</w:t>
            </w:r>
          </w:p>
        </w:tc>
        <w:tc>
          <w:tcPr>
            <w:tcW w:w="2760" w:type="dxa"/>
            <w:tcBorders>
              <w:top w:val="single" w:sz="12" w:space="0" w:color="000000"/>
              <w:left w:val="single" w:sz="12" w:space="0" w:color="000000"/>
              <w:bottom w:val="single" w:sz="8" w:space="0" w:color="000000"/>
              <w:right w:val="single" w:sz="12" w:space="0" w:color="000000"/>
            </w:tcBorders>
            <w:shd w:val="clear" w:color="auto" w:fill="002060"/>
            <w:tcMar>
              <w:top w:w="0" w:type="dxa"/>
              <w:left w:w="108" w:type="dxa"/>
              <w:bottom w:w="0" w:type="dxa"/>
              <w:right w:w="108" w:type="dxa"/>
            </w:tcMar>
            <w:vAlign w:val="center"/>
          </w:tcPr>
          <w:p w:rsidR="00184CAB" w:rsidRDefault="002B1930">
            <w:pPr>
              <w:jc w:val="center"/>
              <w:rPr>
                <w:b/>
                <w:color w:val="FFFFFF"/>
                <w:sz w:val="19"/>
                <w:szCs w:val="19"/>
              </w:rPr>
            </w:pPr>
            <w:r>
              <w:rPr>
                <w:b/>
                <w:color w:val="FFFFFF"/>
                <w:sz w:val="19"/>
                <w:szCs w:val="19"/>
              </w:rPr>
              <w:t>Porcentaje (%)</w:t>
            </w:r>
          </w:p>
        </w:tc>
      </w:tr>
      <w:tr w:rsidR="00184CAB">
        <w:tblPrEx>
          <w:tblCellMar>
            <w:top w:w="0" w:type="dxa"/>
            <w:bottom w:w="0" w:type="dxa"/>
          </w:tblCellMar>
        </w:tblPrEx>
        <w:trPr>
          <w:trHeight w:val="250"/>
        </w:trPr>
        <w:tc>
          <w:tcPr>
            <w:tcW w:w="324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bCs/>
                <w:color w:val="4B4747"/>
                <w:sz w:val="19"/>
                <w:szCs w:val="19"/>
              </w:rPr>
            </w:pPr>
            <w:r>
              <w:rPr>
                <w:bCs/>
                <w:color w:val="4B4747"/>
                <w:sz w:val="19"/>
                <w:szCs w:val="19"/>
              </w:rPr>
              <w:t>Calzado de seguridad</w:t>
            </w:r>
          </w:p>
        </w:tc>
        <w:tc>
          <w:tcPr>
            <w:tcW w:w="189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53</w:t>
            </w: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51.90 %</w:t>
            </w:r>
          </w:p>
        </w:tc>
      </w:tr>
      <w:tr w:rsidR="00184CAB">
        <w:tblPrEx>
          <w:tblCellMar>
            <w:top w:w="0" w:type="dxa"/>
            <w:bottom w:w="0" w:type="dxa"/>
          </w:tblCellMar>
        </w:tblPrEx>
        <w:trPr>
          <w:trHeight w:val="253"/>
        </w:trPr>
        <w:tc>
          <w:tcPr>
            <w:tcW w:w="324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bCs/>
                <w:color w:val="4B4747"/>
                <w:sz w:val="19"/>
                <w:szCs w:val="19"/>
              </w:rPr>
            </w:pPr>
            <w:r>
              <w:rPr>
                <w:bCs/>
                <w:color w:val="4B4747"/>
                <w:sz w:val="19"/>
                <w:szCs w:val="19"/>
              </w:rPr>
              <w:t>Cascos de seguridad</w:t>
            </w:r>
          </w:p>
        </w:tc>
        <w:tc>
          <w:tcPr>
            <w:tcW w:w="189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18</w:t>
            </w: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color w:val="4B4747"/>
                <w:sz w:val="19"/>
                <w:szCs w:val="19"/>
              </w:rPr>
            </w:pPr>
            <w:r>
              <w:rPr>
                <w:color w:val="4B4747"/>
                <w:sz w:val="19"/>
                <w:szCs w:val="19"/>
              </w:rPr>
              <w:t>17.64 %</w:t>
            </w:r>
          </w:p>
        </w:tc>
      </w:tr>
      <w:tr w:rsidR="00184CAB">
        <w:tblPrEx>
          <w:tblCellMar>
            <w:top w:w="0" w:type="dxa"/>
            <w:bottom w:w="0" w:type="dxa"/>
          </w:tblCellMar>
        </w:tblPrEx>
        <w:trPr>
          <w:trHeight w:val="250"/>
        </w:trPr>
        <w:tc>
          <w:tcPr>
            <w:tcW w:w="324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bCs/>
                <w:color w:val="4B4747"/>
                <w:sz w:val="19"/>
                <w:szCs w:val="19"/>
              </w:rPr>
            </w:pPr>
            <w:r>
              <w:rPr>
                <w:bCs/>
                <w:color w:val="4B4747"/>
                <w:sz w:val="19"/>
                <w:szCs w:val="19"/>
              </w:rPr>
              <w:t>Lentes de seguridad</w:t>
            </w:r>
          </w:p>
        </w:tc>
        <w:tc>
          <w:tcPr>
            <w:tcW w:w="189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19</w:t>
            </w: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18.62 %</w:t>
            </w:r>
          </w:p>
        </w:tc>
      </w:tr>
      <w:tr w:rsidR="00184CAB">
        <w:tblPrEx>
          <w:tblCellMar>
            <w:top w:w="0" w:type="dxa"/>
            <w:bottom w:w="0" w:type="dxa"/>
          </w:tblCellMar>
        </w:tblPrEx>
        <w:trPr>
          <w:trHeight w:val="253"/>
        </w:trPr>
        <w:tc>
          <w:tcPr>
            <w:tcW w:w="324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bCs/>
                <w:color w:val="4B4747"/>
                <w:sz w:val="19"/>
                <w:szCs w:val="19"/>
              </w:rPr>
            </w:pPr>
            <w:r>
              <w:rPr>
                <w:bCs/>
                <w:color w:val="4B4747"/>
                <w:sz w:val="19"/>
                <w:szCs w:val="19"/>
              </w:rPr>
              <w:t>Chalecos de seguridad</w:t>
            </w:r>
          </w:p>
        </w:tc>
        <w:tc>
          <w:tcPr>
            <w:tcW w:w="189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7</w:t>
            </w: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color w:val="4B4747"/>
                <w:sz w:val="19"/>
                <w:szCs w:val="19"/>
              </w:rPr>
            </w:pPr>
            <w:r>
              <w:rPr>
                <w:color w:val="4B4747"/>
                <w:sz w:val="19"/>
                <w:szCs w:val="19"/>
              </w:rPr>
              <w:t>6.86 %</w:t>
            </w:r>
          </w:p>
        </w:tc>
      </w:tr>
      <w:tr w:rsidR="00184CAB">
        <w:tblPrEx>
          <w:tblCellMar>
            <w:top w:w="0" w:type="dxa"/>
            <w:bottom w:w="0" w:type="dxa"/>
          </w:tblCellMar>
        </w:tblPrEx>
        <w:trPr>
          <w:trHeight w:val="270"/>
        </w:trPr>
        <w:tc>
          <w:tcPr>
            <w:tcW w:w="324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bCs/>
                <w:color w:val="4B4747"/>
                <w:sz w:val="19"/>
                <w:szCs w:val="19"/>
              </w:rPr>
            </w:pPr>
            <w:r>
              <w:rPr>
                <w:bCs/>
                <w:color w:val="4B4747"/>
                <w:sz w:val="19"/>
                <w:szCs w:val="19"/>
              </w:rPr>
              <w:t>Silbatos</w:t>
            </w:r>
          </w:p>
        </w:tc>
        <w:tc>
          <w:tcPr>
            <w:tcW w:w="189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3</w:t>
            </w: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2.94 %</w:t>
            </w:r>
          </w:p>
        </w:tc>
      </w:tr>
      <w:tr w:rsidR="00184CAB">
        <w:tblPrEx>
          <w:tblCellMar>
            <w:top w:w="0" w:type="dxa"/>
            <w:bottom w:w="0" w:type="dxa"/>
          </w:tblCellMar>
        </w:tblPrEx>
        <w:trPr>
          <w:trHeight w:val="252"/>
        </w:trPr>
        <w:tc>
          <w:tcPr>
            <w:tcW w:w="324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bCs/>
                <w:color w:val="4B4747"/>
                <w:sz w:val="19"/>
                <w:szCs w:val="19"/>
              </w:rPr>
            </w:pPr>
            <w:r>
              <w:rPr>
                <w:bCs/>
                <w:color w:val="4B4747"/>
                <w:sz w:val="19"/>
                <w:szCs w:val="19"/>
              </w:rPr>
              <w:t>Faja ergonómica/capucha</w:t>
            </w:r>
          </w:p>
        </w:tc>
        <w:tc>
          <w:tcPr>
            <w:tcW w:w="189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7"/>
              <w:jc w:val="center"/>
              <w:rPr>
                <w:color w:val="4B4747"/>
                <w:sz w:val="19"/>
                <w:szCs w:val="19"/>
              </w:rPr>
            </w:pPr>
            <w:r>
              <w:rPr>
                <w:color w:val="4B4747"/>
                <w:sz w:val="19"/>
                <w:szCs w:val="19"/>
              </w:rPr>
              <w:t>2</w:t>
            </w: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4"/>
              <w:jc w:val="center"/>
              <w:rPr>
                <w:color w:val="4B4747"/>
                <w:sz w:val="19"/>
                <w:szCs w:val="19"/>
              </w:rPr>
            </w:pPr>
            <w:r>
              <w:rPr>
                <w:color w:val="4B4747"/>
                <w:sz w:val="19"/>
                <w:szCs w:val="19"/>
              </w:rPr>
              <w:t>1.96 %</w:t>
            </w:r>
          </w:p>
        </w:tc>
      </w:tr>
      <w:tr w:rsidR="00184CAB">
        <w:tblPrEx>
          <w:tblCellMar>
            <w:top w:w="0" w:type="dxa"/>
            <w:bottom w:w="0" w:type="dxa"/>
          </w:tblCellMar>
        </w:tblPrEx>
        <w:trPr>
          <w:trHeight w:val="250"/>
        </w:trPr>
        <w:tc>
          <w:tcPr>
            <w:tcW w:w="324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5"/>
              <w:jc w:val="center"/>
              <w:rPr>
                <w:bCs/>
                <w:color w:val="4B4747"/>
                <w:sz w:val="19"/>
                <w:szCs w:val="19"/>
              </w:rPr>
            </w:pPr>
            <w:r>
              <w:rPr>
                <w:bCs/>
                <w:color w:val="4B4747"/>
                <w:sz w:val="19"/>
                <w:szCs w:val="19"/>
              </w:rPr>
              <w:t>Total</w:t>
            </w:r>
          </w:p>
        </w:tc>
        <w:tc>
          <w:tcPr>
            <w:tcW w:w="189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102</w:t>
            </w: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ind w:left="6"/>
              <w:jc w:val="center"/>
              <w:rPr>
                <w:color w:val="4B4747"/>
                <w:sz w:val="19"/>
                <w:szCs w:val="19"/>
              </w:rPr>
            </w:pPr>
            <w:r>
              <w:rPr>
                <w:color w:val="4B4747"/>
                <w:sz w:val="19"/>
                <w:szCs w:val="19"/>
              </w:rPr>
              <w:t>100 %</w:t>
            </w:r>
          </w:p>
        </w:tc>
      </w:tr>
    </w:tbl>
    <w:p w:rsidR="00184CAB" w:rsidRDefault="002B1930">
      <w:pPr>
        <w:spacing w:line="240" w:lineRule="auto"/>
        <w:jc w:val="both"/>
        <w:rPr>
          <w:i/>
          <w:color w:val="4B4747"/>
          <w:sz w:val="18"/>
          <w:szCs w:val="18"/>
        </w:rPr>
      </w:pPr>
      <w:r>
        <w:rPr>
          <w:i/>
          <w:color w:val="4B4747"/>
          <w:sz w:val="18"/>
          <w:szCs w:val="18"/>
        </w:rPr>
        <w:t>Fuente: Informe correspondiente al periodo anual 2025, Dirección de Ingeniería</w:t>
      </w:r>
    </w:p>
    <w:p w:rsidR="00184CAB" w:rsidRDefault="00184CAB">
      <w:pPr>
        <w:spacing w:line="240" w:lineRule="auto"/>
        <w:jc w:val="both"/>
        <w:rPr>
          <w:i/>
          <w:color w:val="4C4747"/>
        </w:rPr>
      </w:pPr>
    </w:p>
    <w:p w:rsidR="00184CAB" w:rsidRDefault="00184CAB">
      <w:pPr>
        <w:spacing w:line="240" w:lineRule="auto"/>
        <w:jc w:val="both"/>
        <w:rPr>
          <w:i/>
          <w:color w:val="4C4747"/>
        </w:rPr>
      </w:pPr>
    </w:p>
    <w:p w:rsidR="00184CAB" w:rsidRDefault="00184CAB">
      <w:pPr>
        <w:spacing w:line="240" w:lineRule="auto"/>
        <w:jc w:val="both"/>
        <w:rPr>
          <w:i/>
          <w:color w:val="4C4747"/>
        </w:rPr>
      </w:pPr>
    </w:p>
    <w:p w:rsidR="00184CAB" w:rsidRDefault="00184CAB">
      <w:pPr>
        <w:spacing w:line="240" w:lineRule="auto"/>
        <w:jc w:val="both"/>
        <w:rPr>
          <w:i/>
          <w:color w:val="4C4747"/>
        </w:rPr>
      </w:pPr>
    </w:p>
    <w:p w:rsidR="00184CAB" w:rsidRDefault="00184CAB">
      <w:pPr>
        <w:spacing w:line="240" w:lineRule="auto"/>
        <w:jc w:val="both"/>
        <w:rPr>
          <w:i/>
          <w:color w:val="4C4747"/>
        </w:rPr>
      </w:pPr>
    </w:p>
    <w:p w:rsidR="00184CAB" w:rsidRDefault="00184CAB">
      <w:pPr>
        <w:spacing w:line="240" w:lineRule="auto"/>
        <w:jc w:val="both"/>
        <w:rPr>
          <w:i/>
          <w:color w:val="4C4747"/>
        </w:rPr>
      </w:pPr>
    </w:p>
    <w:p w:rsidR="00184CAB" w:rsidRDefault="00184CAB">
      <w:pPr>
        <w:spacing w:line="240" w:lineRule="auto"/>
        <w:jc w:val="both"/>
        <w:rPr>
          <w:i/>
          <w:color w:val="4C4747"/>
        </w:rPr>
      </w:pPr>
    </w:p>
    <w:p w:rsidR="00184CAB" w:rsidRDefault="00184CAB">
      <w:pPr>
        <w:spacing w:line="240" w:lineRule="auto"/>
        <w:jc w:val="both"/>
        <w:rPr>
          <w:i/>
          <w:color w:val="4C4747"/>
        </w:rPr>
      </w:pPr>
    </w:p>
    <w:tbl>
      <w:tblPr>
        <w:tblW w:w="7896" w:type="dxa"/>
        <w:tblCellMar>
          <w:left w:w="10" w:type="dxa"/>
          <w:right w:w="10" w:type="dxa"/>
        </w:tblCellMar>
        <w:tblLook w:val="0000" w:firstRow="0" w:lastRow="0" w:firstColumn="0" w:lastColumn="0" w:noHBand="0" w:noVBand="0"/>
      </w:tblPr>
      <w:tblGrid>
        <w:gridCol w:w="7896"/>
      </w:tblGrid>
      <w:tr w:rsidR="00184CAB">
        <w:tblPrEx>
          <w:tblCellMar>
            <w:top w:w="0" w:type="dxa"/>
            <w:bottom w:w="0" w:type="dxa"/>
          </w:tblCellMar>
        </w:tblPrEx>
        <w:trPr>
          <w:trHeight w:val="631"/>
        </w:trPr>
        <w:tc>
          <w:tcPr>
            <w:tcW w:w="7896"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line="240" w:lineRule="auto"/>
              <w:jc w:val="center"/>
            </w:pPr>
            <w:r>
              <w:rPr>
                <w:b/>
                <w:bCs/>
                <w:color w:val="FFFFFF"/>
                <w:spacing w:val="0"/>
                <w:lang w:val="es-DO"/>
              </w:rPr>
              <w:lastRenderedPageBreak/>
              <w:t>Gráfico no. 1 sobre relación</w:t>
            </w:r>
            <w:r>
              <w:rPr>
                <w:b/>
                <w:bCs/>
                <w:color w:val="FFFFFF"/>
                <w:spacing w:val="0"/>
                <w:lang w:val="es-ES"/>
              </w:rPr>
              <w:t xml:space="preserve"> de equipos de protección personal </w:t>
            </w:r>
            <w:r>
              <w:rPr>
                <w:b/>
                <w:bCs/>
                <w:color w:val="FFFFFF"/>
                <w:spacing w:val="0"/>
                <w:lang w:val="es-ES"/>
              </w:rPr>
              <w:t>entregados durante el periodo enero-agosto 2024-2025</w:t>
            </w:r>
          </w:p>
        </w:tc>
      </w:tr>
      <w:tr w:rsidR="00184CAB">
        <w:tblPrEx>
          <w:tblCellMar>
            <w:top w:w="0" w:type="dxa"/>
            <w:bottom w:w="0" w:type="dxa"/>
          </w:tblCellMar>
        </w:tblPrEx>
        <w:trPr>
          <w:trHeight w:val="3371"/>
        </w:trPr>
        <w:tc>
          <w:tcPr>
            <w:tcW w:w="7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both"/>
            </w:pPr>
            <w:r>
              <w:rPr>
                <w:noProof/>
                <w:color w:val="auto"/>
                <w:spacing w:val="0"/>
              </w:rPr>
              <w:drawing>
                <wp:inline distT="0" distB="0" distL="0" distR="0">
                  <wp:extent cx="4865366" cy="1986277"/>
                  <wp:effectExtent l="0" t="0" r="0" b="0"/>
                  <wp:docPr id="41" name="Gráfico 4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4865366" cy="1986277"/>
                          </a:xfrm>
                          <a:prstGeom prst="rect">
                            <a:avLst/>
                          </a:prstGeom>
                          <a:noFill/>
                          <a:ln>
                            <a:noFill/>
                            <a:prstDash/>
                          </a:ln>
                        </pic:spPr>
                      </pic:pic>
                    </a:graphicData>
                  </a:graphic>
                </wp:inline>
              </w:drawing>
            </w:r>
          </w:p>
        </w:tc>
      </w:tr>
    </w:tbl>
    <w:p w:rsidR="00184CAB" w:rsidRDefault="002B1930">
      <w:pPr>
        <w:spacing w:line="360" w:lineRule="auto"/>
        <w:jc w:val="both"/>
        <w:rPr>
          <w:i/>
          <w:color w:val="4C4747"/>
          <w:sz w:val="18"/>
          <w:szCs w:val="18"/>
        </w:rPr>
      </w:pPr>
      <w:r>
        <w:rPr>
          <w:i/>
          <w:color w:val="4C4747"/>
          <w:sz w:val="18"/>
          <w:szCs w:val="18"/>
        </w:rPr>
        <w:t>Fuente: Informe correspondiente al periodo anual 2025, Dirección de Ingeniería.</w:t>
      </w:r>
    </w:p>
    <w:p w:rsidR="00184CAB" w:rsidRDefault="00184CAB">
      <w:pPr>
        <w:spacing w:line="360" w:lineRule="auto"/>
        <w:jc w:val="both"/>
        <w:rPr>
          <w:b/>
          <w:color w:val="4C4747"/>
        </w:rPr>
      </w:pPr>
    </w:p>
    <w:p w:rsidR="00184CAB" w:rsidRDefault="002B1930">
      <w:pPr>
        <w:spacing w:line="360" w:lineRule="auto"/>
        <w:jc w:val="both"/>
      </w:pPr>
      <w:r>
        <w:rPr>
          <w:b/>
          <w:color w:val="4C4747"/>
        </w:rPr>
        <w:t xml:space="preserve">Gestión Ambiental: </w:t>
      </w:r>
      <w:r>
        <w:rPr>
          <w:color w:val="4C4747"/>
        </w:rPr>
        <w:t xml:space="preserve">Como parte de su compromiso con la sostenibilidad, el MAPRE fortaleció su política ambiental a </w:t>
      </w:r>
      <w:r>
        <w:rPr>
          <w:color w:val="4C4747"/>
        </w:rPr>
        <w:t>través del Comité de Gestión Ambiental (CGA) iniciando un proceso de articulación técnica con el Instituto Nacional de Aguas Potables y Alcantarillados (INAPA),</w:t>
      </w:r>
      <w:r>
        <w:rPr>
          <w:color w:val="4C4747"/>
          <w:lang w:val="es-DO"/>
        </w:rPr>
        <w:t xml:space="preserve"> Esta colaboración se enmarca en el compromiso de mantener la certificación 3R: Mención Oro en s</w:t>
      </w:r>
      <w:r>
        <w:rPr>
          <w:color w:val="4C4747"/>
          <w:lang w:val="es-DO"/>
        </w:rPr>
        <w:t xml:space="preserve">ostenibilidad ambiental, así como en el programa institucional de ahorro de agua y mejora de las condiciones de salubridad en el Palacio Nacional. </w:t>
      </w:r>
    </w:p>
    <w:p w:rsidR="00184CAB" w:rsidRDefault="002B1930">
      <w:pPr>
        <w:spacing w:line="360" w:lineRule="auto"/>
        <w:jc w:val="both"/>
        <w:rPr>
          <w:color w:val="4C4747"/>
          <w:lang w:val="es-DO"/>
        </w:rPr>
      </w:pPr>
      <w:r>
        <w:rPr>
          <w:color w:val="4C4747"/>
          <w:lang w:val="es-DO"/>
        </w:rPr>
        <w:t>Se llevaron a cabo además las siguientes acciones para fortalecer la gestión ambiental institucional:</w:t>
      </w:r>
    </w:p>
    <w:p w:rsidR="00184CAB" w:rsidRDefault="002B1930">
      <w:pPr>
        <w:numPr>
          <w:ilvl w:val="0"/>
          <w:numId w:val="22"/>
        </w:numPr>
        <w:spacing w:line="360" w:lineRule="auto"/>
        <w:jc w:val="both"/>
      </w:pPr>
      <w:r>
        <w:rPr>
          <w:color w:val="4C4747"/>
          <w:lang w:val="es-DO"/>
        </w:rPr>
        <w:t>Recicl</w:t>
      </w:r>
      <w:r>
        <w:rPr>
          <w:color w:val="4C4747"/>
          <w:lang w:val="es-DO"/>
        </w:rPr>
        <w:t xml:space="preserve">aje de papel, cartón y plásticos: </w:t>
      </w:r>
      <w:r>
        <w:rPr>
          <w:color w:val="4C4747"/>
        </w:rPr>
        <w:t xml:space="preserve">Tomando como línea base el año 2021, con una producción de 72,275 kg de papel y cartón, la producción registrada en 2025 fue de 31,679.9 kg, lo que representa una </w:t>
      </w:r>
      <w:r>
        <w:rPr>
          <w:bCs/>
          <w:color w:val="4C4747"/>
        </w:rPr>
        <w:t>reducción del 56.17 %</w:t>
      </w:r>
      <w:r>
        <w:rPr>
          <w:color w:val="4C4747"/>
        </w:rPr>
        <w:t>.</w:t>
      </w:r>
    </w:p>
    <w:p w:rsidR="00184CAB" w:rsidRDefault="002B1930">
      <w:pPr>
        <w:numPr>
          <w:ilvl w:val="0"/>
          <w:numId w:val="22"/>
        </w:numPr>
        <w:spacing w:line="360" w:lineRule="auto"/>
        <w:jc w:val="both"/>
        <w:rPr>
          <w:color w:val="4C4747"/>
          <w:lang w:val="es-DO"/>
        </w:rPr>
      </w:pPr>
      <w:r>
        <w:rPr>
          <w:color w:val="4C4747"/>
          <w:lang w:val="es-DO"/>
        </w:rPr>
        <w:t>Jornadas ambientales: una jornada de</w:t>
      </w:r>
      <w:r>
        <w:rPr>
          <w:color w:val="4C4747"/>
          <w:lang w:val="es-DO"/>
        </w:rPr>
        <w:t xml:space="preserve"> limpieza de playa que contó con la participación de más de 30 colaboradores y una </w:t>
      </w:r>
      <w:r>
        <w:rPr>
          <w:color w:val="4C4747"/>
          <w:lang w:val="es-DO"/>
        </w:rPr>
        <w:lastRenderedPageBreak/>
        <w:t>jornada de siembra que contó con la participación de 40 colaboradores.</w:t>
      </w:r>
    </w:p>
    <w:p w:rsidR="00184CAB" w:rsidRDefault="002B1930">
      <w:pPr>
        <w:numPr>
          <w:ilvl w:val="0"/>
          <w:numId w:val="22"/>
        </w:numPr>
        <w:spacing w:line="360" w:lineRule="auto"/>
        <w:jc w:val="both"/>
        <w:rPr>
          <w:color w:val="4C4747"/>
          <w:lang w:val="es-DO"/>
        </w:rPr>
      </w:pPr>
      <w:r>
        <w:rPr>
          <w:color w:val="4C4747"/>
          <w:lang w:val="es-DO"/>
        </w:rPr>
        <w:t>Actualización de la Política de Gestión Ambiental y del Manual de funciones del Comité de Gestión Ambi</w:t>
      </w:r>
      <w:r>
        <w:rPr>
          <w:color w:val="4C4747"/>
          <w:lang w:val="es-DO"/>
        </w:rPr>
        <w:t>ental junto a la Dirección de Planificación y Desarrollo a los fines de asegurar su alineación con la Política Transversal de Sostenibilidad Ambiental y de que está se integrara a los instrumentos de planificación instrumental.</w:t>
      </w:r>
    </w:p>
    <w:p w:rsidR="00184CAB" w:rsidRDefault="00184CAB">
      <w:pPr>
        <w:spacing w:line="360" w:lineRule="auto"/>
        <w:jc w:val="both"/>
        <w:rPr>
          <w:color w:val="4C4747"/>
          <w:lang w:val="es-DO"/>
        </w:rPr>
      </w:pPr>
    </w:p>
    <w:p w:rsidR="00184CAB" w:rsidRDefault="002B1930">
      <w:pPr>
        <w:spacing w:line="360" w:lineRule="auto"/>
        <w:rPr>
          <w:b/>
          <w:color w:val="4C4747"/>
        </w:rPr>
      </w:pPr>
      <w:bookmarkStart w:id="106" w:name="_Hlk217647708"/>
      <w:r>
        <w:rPr>
          <w:b/>
          <w:color w:val="4C4747"/>
        </w:rPr>
        <w:t>Proyecciones para cierre de</w:t>
      </w:r>
      <w:r>
        <w:rPr>
          <w:b/>
          <w:color w:val="4C4747"/>
        </w:rPr>
        <w:t xml:space="preserve"> año:</w:t>
      </w:r>
    </w:p>
    <w:p w:rsidR="00184CAB" w:rsidRDefault="002B1930">
      <w:pPr>
        <w:spacing w:line="360" w:lineRule="auto"/>
        <w:jc w:val="both"/>
        <w:rPr>
          <w:color w:val="4C4747"/>
          <w:lang w:val="es-DO"/>
        </w:rPr>
      </w:pPr>
      <w:r>
        <w:rPr>
          <w:color w:val="4C4747"/>
          <w:lang w:val="es-DO"/>
        </w:rPr>
        <w:t xml:space="preserve">Con base al comportamiento operativo registrado y en comparación con los resultados alcanzados en el año 2024, la dirección proyecta para el mes de diciembre, cerrar el año con un descenso en la operatividad de sus funciones debido a las actividades </w:t>
      </w:r>
      <w:r>
        <w:rPr>
          <w:color w:val="4C4747"/>
          <w:lang w:val="es-DO"/>
        </w:rPr>
        <w:t>propias de cierre de fin de año en casa de gobierno y en las infraestructuras de uso presidencial.</w:t>
      </w:r>
    </w:p>
    <w:p w:rsidR="00184CAB" w:rsidRDefault="002B1930">
      <w:pPr>
        <w:pStyle w:val="Ttulo2"/>
        <w:numPr>
          <w:ilvl w:val="1"/>
          <w:numId w:val="23"/>
        </w:numPr>
        <w:spacing w:line="360" w:lineRule="auto"/>
        <w:rPr>
          <w:rFonts w:eastAsia="Calibri"/>
          <w:b/>
          <w:color w:val="4C4747"/>
          <w:szCs w:val="24"/>
        </w:rPr>
      </w:pPr>
      <w:bookmarkStart w:id="107" w:name="_Toc217907930"/>
      <w:bookmarkStart w:id="108" w:name="_Toc217914430"/>
      <w:bookmarkEnd w:id="106"/>
      <w:r>
        <w:rPr>
          <w:rFonts w:eastAsia="Calibri"/>
          <w:b/>
          <w:color w:val="4C4747"/>
          <w:szCs w:val="24"/>
        </w:rPr>
        <w:t>Desempeño de la Dirección Administrativa</w:t>
      </w:r>
      <w:bookmarkEnd w:id="105"/>
      <w:bookmarkEnd w:id="107"/>
      <w:bookmarkEnd w:id="108"/>
    </w:p>
    <w:p w:rsidR="00184CAB" w:rsidRDefault="002B1930">
      <w:pPr>
        <w:spacing w:line="360" w:lineRule="auto"/>
        <w:jc w:val="both"/>
      </w:pPr>
      <w:r>
        <w:rPr>
          <w:color w:val="4C4747"/>
        </w:rPr>
        <w:t>Con el objetivo de administrar eficientemente los recursos del MAPRE, la Dirección Administrativa realizó las siguie</w:t>
      </w:r>
      <w:r>
        <w:rPr>
          <w:color w:val="4C4747"/>
        </w:rPr>
        <w:t>ntes acciones:</w:t>
      </w:r>
    </w:p>
    <w:p w:rsidR="00184CAB" w:rsidRDefault="002B1930">
      <w:pPr>
        <w:pStyle w:val="Prrafodelista"/>
        <w:numPr>
          <w:ilvl w:val="0"/>
          <w:numId w:val="24"/>
        </w:numPr>
        <w:spacing w:line="360" w:lineRule="auto"/>
        <w:jc w:val="both"/>
      </w:pPr>
      <w:r>
        <w:rPr>
          <w:b/>
          <w:color w:val="4C4747"/>
        </w:rPr>
        <w:t>Optimización de Recursos.</w:t>
      </w:r>
      <w:r>
        <w:rPr>
          <w:color w:val="4C4747"/>
        </w:rPr>
        <w:t xml:space="preserve"> A través de la racionalización y control en la asignación de beneficios como combustibles, flotas y parqueos, se eficientizó el gasto operativo sin comprometer la calidad del servicio ni los beneficios otorgados a l</w:t>
      </w:r>
      <w:r>
        <w:rPr>
          <w:color w:val="4C4747"/>
        </w:rPr>
        <w:t>os colaboradores. Estas acciones han contribuido a generar ahorros significativos y a mejorar la eficiencia administrativa.</w:t>
      </w:r>
    </w:p>
    <w:p w:rsidR="00184CAB" w:rsidRDefault="002B1930">
      <w:pPr>
        <w:pStyle w:val="Prrafodelista"/>
        <w:numPr>
          <w:ilvl w:val="0"/>
          <w:numId w:val="24"/>
        </w:numPr>
        <w:spacing w:line="360" w:lineRule="auto"/>
        <w:jc w:val="both"/>
      </w:pPr>
      <w:r>
        <w:rPr>
          <w:b/>
          <w:color w:val="4C4747"/>
        </w:rPr>
        <w:t>Fortalecimiento del Control de Inventarios.</w:t>
      </w:r>
      <w:r>
        <w:rPr>
          <w:color w:val="4C4747"/>
        </w:rPr>
        <w:t xml:space="preserve"> El muestreo parcial de inventarios permitió no solo conocer la disponibilidad de recurso</w:t>
      </w:r>
      <w:r>
        <w:rPr>
          <w:color w:val="4C4747"/>
        </w:rPr>
        <w:t xml:space="preserve">s, sino también identificar </w:t>
      </w:r>
      <w:r>
        <w:rPr>
          <w:color w:val="4C4747"/>
        </w:rPr>
        <w:lastRenderedPageBreak/>
        <w:t>oportunidades para la mejora en los procesos de abastecimiento, reduciendo pérdidas innecesarias y promoviendo un manejo más estratégico de los insumos.</w:t>
      </w:r>
    </w:p>
    <w:p w:rsidR="00184CAB" w:rsidRDefault="002B1930">
      <w:pPr>
        <w:pStyle w:val="Prrafodelista"/>
        <w:numPr>
          <w:ilvl w:val="0"/>
          <w:numId w:val="24"/>
        </w:numPr>
        <w:spacing w:line="360" w:lineRule="auto"/>
        <w:jc w:val="both"/>
      </w:pPr>
      <w:r>
        <w:rPr>
          <w:b/>
          <w:color w:val="4C4747"/>
        </w:rPr>
        <w:t>Ahorro en el Consumo de Combustibles.</w:t>
      </w:r>
      <w:r>
        <w:rPr>
          <w:color w:val="4C4747"/>
        </w:rPr>
        <w:t xml:space="preserve"> Durante el período evaluado, el consu</w:t>
      </w:r>
      <w:r>
        <w:rPr>
          <w:color w:val="4C4747"/>
        </w:rPr>
        <w:t xml:space="preserve">mo de gasolina y diésel registró una </w:t>
      </w:r>
      <w:r>
        <w:rPr>
          <w:bCs/>
          <w:color w:val="4C4747"/>
        </w:rPr>
        <w:t>disminución del 3.63 %</w:t>
      </w:r>
      <w:r>
        <w:rPr>
          <w:color w:val="4C4747"/>
        </w:rPr>
        <w:t xml:space="preserve"> en comparación con el año anterior, como resultado de una gestión estratégica orientada a la </w:t>
      </w:r>
      <w:r>
        <w:rPr>
          <w:bCs/>
          <w:color w:val="4C4747"/>
        </w:rPr>
        <w:t>optimización del uso de los recursos</w:t>
      </w:r>
      <w:r>
        <w:rPr>
          <w:color w:val="4C4747"/>
        </w:rPr>
        <w:t xml:space="preserve">. </w:t>
      </w:r>
    </w:p>
    <w:p w:rsidR="00184CAB" w:rsidRDefault="002B1930">
      <w:pPr>
        <w:pStyle w:val="Prrafodelista"/>
        <w:spacing w:line="360" w:lineRule="auto"/>
        <w:ind w:left="644"/>
        <w:jc w:val="both"/>
      </w:pPr>
      <w:r>
        <w:rPr>
          <w:color w:val="4C4747"/>
        </w:rPr>
        <w:t xml:space="preserve">Asimismo, la disminución se tradujo en un </w:t>
      </w:r>
      <w:r>
        <w:rPr>
          <w:bCs/>
          <w:color w:val="4C4747"/>
        </w:rPr>
        <w:t>ahorro económico de RD</w:t>
      </w:r>
      <w:r>
        <w:rPr>
          <w:bCs/>
          <w:color w:val="4C4747"/>
        </w:rPr>
        <w:t>$13,899,713.37</w:t>
      </w:r>
      <w:r>
        <w:rPr>
          <w:color w:val="4C4747"/>
        </w:rPr>
        <w:t xml:space="preserve">, generando un impacto positivo en la </w:t>
      </w:r>
      <w:r>
        <w:rPr>
          <w:bCs/>
          <w:color w:val="4C4747"/>
        </w:rPr>
        <w:t>ejecución presupuestaria institucional</w:t>
      </w:r>
      <w:r>
        <w:rPr>
          <w:color w:val="4C4747"/>
        </w:rPr>
        <w:t xml:space="preserve"> y reafirmando la importancia de </w:t>
      </w:r>
      <w:r>
        <w:rPr>
          <w:bCs/>
          <w:color w:val="4C4747"/>
        </w:rPr>
        <w:t>mantener y fortalecer las políticas de ahorro, control y racionalización del gasto</w:t>
      </w:r>
      <w:r>
        <w:rPr>
          <w:color w:val="4C4747"/>
        </w:rPr>
        <w:t xml:space="preserve">, en consonancia con una gestión pública eficiente </w:t>
      </w:r>
      <w:r>
        <w:rPr>
          <w:color w:val="4C4747"/>
        </w:rPr>
        <w:t>y sostenible.</w:t>
      </w:r>
    </w:p>
    <w:p w:rsidR="00184CAB" w:rsidRDefault="00184CAB">
      <w:pPr>
        <w:pStyle w:val="Prrafodelista"/>
        <w:spacing w:line="360" w:lineRule="auto"/>
        <w:ind w:left="644"/>
        <w:jc w:val="both"/>
      </w:pPr>
    </w:p>
    <w:p w:rsidR="00184CAB" w:rsidRDefault="00184CAB">
      <w:pPr>
        <w:pStyle w:val="Prrafodelista"/>
        <w:spacing w:line="360" w:lineRule="auto"/>
        <w:ind w:left="644"/>
        <w:jc w:val="both"/>
      </w:pPr>
    </w:p>
    <w:tbl>
      <w:tblPr>
        <w:tblW w:w="7938" w:type="dxa"/>
        <w:tblInd w:w="-5" w:type="dxa"/>
        <w:tblLayout w:type="fixed"/>
        <w:tblCellMar>
          <w:left w:w="10" w:type="dxa"/>
          <w:right w:w="10" w:type="dxa"/>
        </w:tblCellMar>
        <w:tblLook w:val="0000" w:firstRow="0" w:lastRow="0" w:firstColumn="0" w:lastColumn="0" w:noHBand="0" w:noVBand="0"/>
      </w:tblPr>
      <w:tblGrid>
        <w:gridCol w:w="851"/>
        <w:gridCol w:w="567"/>
        <w:gridCol w:w="992"/>
        <w:gridCol w:w="851"/>
        <w:gridCol w:w="992"/>
        <w:gridCol w:w="850"/>
        <w:gridCol w:w="993"/>
        <w:gridCol w:w="850"/>
        <w:gridCol w:w="992"/>
      </w:tblGrid>
      <w:tr w:rsidR="00184CAB">
        <w:tblPrEx>
          <w:tblCellMar>
            <w:top w:w="0" w:type="dxa"/>
            <w:bottom w:w="0" w:type="dxa"/>
          </w:tblCellMar>
        </w:tblPrEx>
        <w:trPr>
          <w:trHeight w:val="391"/>
          <w:tblHeader/>
        </w:trPr>
        <w:tc>
          <w:tcPr>
            <w:tcW w:w="7938" w:type="dxa"/>
            <w:gridSpan w:val="9"/>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center"/>
              <w:rPr>
                <w:rFonts w:eastAsia="Times New Roman"/>
                <w:b/>
                <w:bCs/>
                <w:color w:val="FFFFFF"/>
                <w:spacing w:val="0"/>
                <w:sz w:val="19"/>
                <w:szCs w:val="19"/>
                <w:lang w:val="es-DO" w:eastAsia="es-DO"/>
              </w:rPr>
            </w:pPr>
            <w:r>
              <w:rPr>
                <w:rFonts w:eastAsia="Times New Roman"/>
                <w:b/>
                <w:bCs/>
                <w:color w:val="FFFFFF"/>
                <w:spacing w:val="0"/>
                <w:sz w:val="19"/>
                <w:szCs w:val="19"/>
                <w:lang w:val="es-DO" w:eastAsia="es-DO"/>
              </w:rPr>
              <w:lastRenderedPageBreak/>
              <w:t>Tabla no. 19 Comparativa de consumo de combustible</w:t>
            </w:r>
            <w:r>
              <w:rPr>
                <w:rFonts w:eastAsia="Times New Roman"/>
                <w:b/>
                <w:bCs/>
                <w:color w:val="FFFFFF"/>
                <w:spacing w:val="0"/>
                <w:sz w:val="19"/>
                <w:szCs w:val="19"/>
                <w:lang w:val="es-DO" w:eastAsia="es-DO"/>
              </w:rPr>
              <w:br/>
            </w:r>
            <w:r>
              <w:rPr>
                <w:rFonts w:eastAsia="Times New Roman"/>
                <w:b/>
                <w:bCs/>
                <w:color w:val="FFFFFF"/>
                <w:spacing w:val="0"/>
                <w:sz w:val="19"/>
                <w:szCs w:val="19"/>
                <w:lang w:val="es-DO" w:eastAsia="es-DO"/>
              </w:rPr>
              <w:t>del periodo enero-septiembre 2024-2025</w:t>
            </w:r>
          </w:p>
        </w:tc>
      </w:tr>
      <w:tr w:rsidR="00184CAB">
        <w:tblPrEx>
          <w:tblCellMar>
            <w:top w:w="0" w:type="dxa"/>
            <w:bottom w:w="0" w:type="dxa"/>
          </w:tblCellMar>
        </w:tblPrEx>
        <w:trPr>
          <w:trHeight w:val="909"/>
          <w:tblHeader/>
        </w:trPr>
        <w:tc>
          <w:tcPr>
            <w:tcW w:w="851"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center"/>
              <w:rPr>
                <w:rFonts w:eastAsia="Times New Roman"/>
                <w:b/>
                <w:bCs/>
                <w:color w:val="FFFFFF"/>
                <w:spacing w:val="0"/>
                <w:sz w:val="19"/>
                <w:szCs w:val="19"/>
                <w:lang w:val="es-DO" w:eastAsia="es-DO"/>
              </w:rPr>
            </w:pPr>
            <w:r>
              <w:rPr>
                <w:rFonts w:eastAsia="Times New Roman"/>
                <w:b/>
                <w:bCs/>
                <w:color w:val="FFFFFF"/>
                <w:spacing w:val="0"/>
                <w:sz w:val="19"/>
                <w:szCs w:val="19"/>
                <w:lang w:val="es-DO" w:eastAsia="es-DO"/>
              </w:rPr>
              <w:t>Meses</w:t>
            </w:r>
          </w:p>
        </w:tc>
        <w:tc>
          <w:tcPr>
            <w:tcW w:w="567"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center"/>
              <w:rPr>
                <w:rFonts w:eastAsia="Times New Roman"/>
                <w:b/>
                <w:bCs/>
                <w:color w:val="FFFFFF"/>
                <w:spacing w:val="0"/>
                <w:sz w:val="19"/>
                <w:szCs w:val="19"/>
                <w:lang w:val="es-DO" w:eastAsia="es-DO"/>
              </w:rPr>
            </w:pPr>
            <w:r>
              <w:rPr>
                <w:rFonts w:eastAsia="Times New Roman"/>
                <w:b/>
                <w:bCs/>
                <w:color w:val="FFFFFF"/>
                <w:spacing w:val="0"/>
                <w:sz w:val="19"/>
                <w:szCs w:val="19"/>
                <w:lang w:val="es-DO" w:eastAsia="es-DO"/>
              </w:rPr>
              <w:t>Unidad de medida</w:t>
            </w:r>
          </w:p>
        </w:tc>
        <w:tc>
          <w:tcPr>
            <w:tcW w:w="992"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center"/>
              <w:rPr>
                <w:rFonts w:eastAsia="Times New Roman"/>
                <w:b/>
                <w:bCs/>
                <w:color w:val="FFFFFF"/>
                <w:spacing w:val="0"/>
                <w:sz w:val="19"/>
                <w:szCs w:val="19"/>
                <w:lang w:val="es-DO" w:eastAsia="es-DO"/>
              </w:rPr>
            </w:pPr>
            <w:r>
              <w:rPr>
                <w:rFonts w:eastAsia="Times New Roman"/>
                <w:b/>
                <w:bCs/>
                <w:color w:val="FFFFFF"/>
                <w:spacing w:val="0"/>
                <w:sz w:val="19"/>
                <w:szCs w:val="19"/>
                <w:lang w:val="es-DO" w:eastAsia="es-DO"/>
              </w:rPr>
              <w:t>Gasolina 2024</w:t>
            </w:r>
          </w:p>
        </w:tc>
        <w:tc>
          <w:tcPr>
            <w:tcW w:w="851"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center"/>
              <w:rPr>
                <w:rFonts w:eastAsia="Times New Roman"/>
                <w:b/>
                <w:bCs/>
                <w:color w:val="FFFFFF"/>
                <w:spacing w:val="0"/>
                <w:sz w:val="19"/>
                <w:szCs w:val="19"/>
                <w:lang w:val="es-DO" w:eastAsia="es-DO"/>
              </w:rPr>
            </w:pPr>
            <w:r>
              <w:rPr>
                <w:rFonts w:eastAsia="Times New Roman"/>
                <w:b/>
                <w:bCs/>
                <w:color w:val="FFFFFF"/>
                <w:spacing w:val="0"/>
                <w:sz w:val="19"/>
                <w:szCs w:val="19"/>
                <w:lang w:val="es-DO" w:eastAsia="es-DO"/>
              </w:rPr>
              <w:t>Diésel 2024</w:t>
            </w:r>
          </w:p>
        </w:tc>
        <w:tc>
          <w:tcPr>
            <w:tcW w:w="992"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center"/>
              <w:rPr>
                <w:rFonts w:eastAsia="Times New Roman"/>
                <w:b/>
                <w:bCs/>
                <w:color w:val="FFFFFF"/>
                <w:spacing w:val="0"/>
                <w:sz w:val="19"/>
                <w:szCs w:val="19"/>
                <w:lang w:val="es-DO" w:eastAsia="es-DO"/>
              </w:rPr>
            </w:pPr>
            <w:r>
              <w:rPr>
                <w:rFonts w:eastAsia="Times New Roman"/>
                <w:b/>
                <w:bCs/>
                <w:color w:val="FFFFFF"/>
                <w:spacing w:val="0"/>
                <w:sz w:val="19"/>
                <w:szCs w:val="19"/>
                <w:lang w:val="es-DO" w:eastAsia="es-DO"/>
              </w:rPr>
              <w:t>Gasolina 2025</w:t>
            </w:r>
          </w:p>
        </w:tc>
        <w:tc>
          <w:tcPr>
            <w:tcW w:w="850"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center"/>
              <w:rPr>
                <w:rFonts w:eastAsia="Times New Roman"/>
                <w:b/>
                <w:bCs/>
                <w:color w:val="FFFFFF"/>
                <w:spacing w:val="0"/>
                <w:sz w:val="19"/>
                <w:szCs w:val="19"/>
                <w:lang w:val="es-DO" w:eastAsia="es-DO"/>
              </w:rPr>
            </w:pPr>
            <w:r>
              <w:rPr>
                <w:rFonts w:eastAsia="Times New Roman"/>
                <w:b/>
                <w:bCs/>
                <w:color w:val="FFFFFF"/>
                <w:spacing w:val="0"/>
                <w:sz w:val="19"/>
                <w:szCs w:val="19"/>
                <w:lang w:val="es-DO" w:eastAsia="es-DO"/>
              </w:rPr>
              <w:t>Diésel 2025</w:t>
            </w:r>
          </w:p>
        </w:tc>
        <w:tc>
          <w:tcPr>
            <w:tcW w:w="993"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center"/>
              <w:rPr>
                <w:rFonts w:eastAsia="Times New Roman"/>
                <w:b/>
                <w:bCs/>
                <w:color w:val="FFFFFF"/>
                <w:spacing w:val="0"/>
                <w:sz w:val="19"/>
                <w:szCs w:val="19"/>
                <w:lang w:val="es-DO" w:eastAsia="es-DO"/>
              </w:rPr>
            </w:pPr>
            <w:r>
              <w:rPr>
                <w:rFonts w:eastAsia="Times New Roman"/>
                <w:b/>
                <w:bCs/>
                <w:color w:val="FFFFFF"/>
                <w:spacing w:val="0"/>
                <w:sz w:val="19"/>
                <w:szCs w:val="19"/>
                <w:lang w:val="es-DO" w:eastAsia="es-DO"/>
              </w:rPr>
              <w:t>Reducción por mes porcentaje</w:t>
            </w:r>
          </w:p>
        </w:tc>
        <w:tc>
          <w:tcPr>
            <w:tcW w:w="850"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center"/>
              <w:rPr>
                <w:rFonts w:eastAsia="Times New Roman"/>
                <w:b/>
                <w:bCs/>
                <w:color w:val="FFFFFF"/>
                <w:spacing w:val="0"/>
                <w:sz w:val="19"/>
                <w:szCs w:val="19"/>
                <w:lang w:val="es-DO" w:eastAsia="es-DO"/>
              </w:rPr>
            </w:pPr>
            <w:r>
              <w:rPr>
                <w:rFonts w:eastAsia="Times New Roman"/>
                <w:b/>
                <w:bCs/>
                <w:color w:val="FFFFFF"/>
                <w:spacing w:val="0"/>
                <w:sz w:val="19"/>
                <w:szCs w:val="19"/>
                <w:lang w:val="es-DO" w:eastAsia="es-DO"/>
              </w:rPr>
              <w:t>Diferencia Gasolina (</w:t>
            </w:r>
            <w:proofErr w:type="spellStart"/>
            <w:r>
              <w:rPr>
                <w:rFonts w:eastAsia="Times New Roman"/>
                <w:b/>
                <w:bCs/>
                <w:color w:val="FFFFFF"/>
                <w:spacing w:val="0"/>
                <w:sz w:val="19"/>
                <w:szCs w:val="19"/>
                <w:lang w:val="es-DO" w:eastAsia="es-DO"/>
              </w:rPr>
              <w:t>gls</w:t>
            </w:r>
            <w:proofErr w:type="spellEnd"/>
            <w:r>
              <w:rPr>
                <w:rFonts w:eastAsia="Times New Roman"/>
                <w:b/>
                <w:bCs/>
                <w:color w:val="FFFFFF"/>
                <w:spacing w:val="0"/>
                <w:sz w:val="19"/>
                <w:szCs w:val="19"/>
                <w:lang w:val="es-DO" w:eastAsia="es-DO"/>
              </w:rPr>
              <w:t>)</w:t>
            </w:r>
          </w:p>
        </w:tc>
        <w:tc>
          <w:tcPr>
            <w:tcW w:w="992"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center"/>
              <w:rPr>
                <w:rFonts w:eastAsia="Times New Roman"/>
                <w:b/>
                <w:bCs/>
                <w:color w:val="FFFFFF"/>
                <w:spacing w:val="0"/>
                <w:sz w:val="19"/>
                <w:szCs w:val="19"/>
                <w:lang w:val="es-DO" w:eastAsia="es-DO"/>
              </w:rPr>
            </w:pPr>
            <w:r>
              <w:rPr>
                <w:rFonts w:eastAsia="Times New Roman"/>
                <w:b/>
                <w:bCs/>
                <w:color w:val="FFFFFF"/>
                <w:spacing w:val="0"/>
                <w:sz w:val="19"/>
                <w:szCs w:val="19"/>
                <w:lang w:val="es-DO" w:eastAsia="es-DO"/>
              </w:rPr>
              <w:t xml:space="preserve">Diferencia Diésel </w:t>
            </w:r>
            <w:r>
              <w:rPr>
                <w:rFonts w:eastAsia="Times New Roman"/>
                <w:b/>
                <w:bCs/>
                <w:color w:val="FFFFFF"/>
                <w:spacing w:val="0"/>
                <w:sz w:val="19"/>
                <w:szCs w:val="19"/>
                <w:lang w:val="es-DO" w:eastAsia="es-DO"/>
              </w:rPr>
              <w:t>(</w:t>
            </w:r>
            <w:proofErr w:type="spellStart"/>
            <w:r>
              <w:rPr>
                <w:rFonts w:eastAsia="Times New Roman"/>
                <w:b/>
                <w:bCs/>
                <w:color w:val="FFFFFF"/>
                <w:spacing w:val="0"/>
                <w:sz w:val="19"/>
                <w:szCs w:val="19"/>
                <w:lang w:val="es-DO" w:eastAsia="es-DO"/>
              </w:rPr>
              <w:t>gls</w:t>
            </w:r>
            <w:proofErr w:type="spellEnd"/>
            <w:r>
              <w:rPr>
                <w:rFonts w:eastAsia="Times New Roman"/>
                <w:b/>
                <w:bCs/>
                <w:color w:val="FFFFFF"/>
                <w:spacing w:val="0"/>
                <w:sz w:val="19"/>
                <w:szCs w:val="19"/>
                <w:lang w:val="es-DO" w:eastAsia="es-DO"/>
              </w:rPr>
              <w:t>)</w:t>
            </w:r>
          </w:p>
        </w:tc>
      </w:tr>
      <w:tr w:rsidR="00184CAB">
        <w:tblPrEx>
          <w:tblCellMar>
            <w:top w:w="0" w:type="dxa"/>
            <w:bottom w:w="0" w:type="dxa"/>
          </w:tblCellMar>
        </w:tblPrEx>
        <w:trPr>
          <w:trHeight w:val="303"/>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Enero</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Galones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16,835.30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5,299.90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15,919.80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4,123.80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-9.45%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-915.5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-1,176.10</w:t>
            </w:r>
          </w:p>
        </w:tc>
      </w:tr>
      <w:tr w:rsidR="00184CAB">
        <w:tblPrEx>
          <w:tblCellMar>
            <w:top w:w="0" w:type="dxa"/>
            <w:bottom w:w="0" w:type="dxa"/>
          </w:tblCellMar>
        </w:tblPrEx>
        <w:trPr>
          <w:trHeight w:val="303"/>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Febrero</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Galones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16,056.10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4,530.90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14,266.90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3,928.40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-11.62%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-1,789.20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-602.5</w:t>
            </w:r>
          </w:p>
        </w:tc>
      </w:tr>
      <w:tr w:rsidR="00184CAB">
        <w:tblPrEx>
          <w:tblCellMar>
            <w:top w:w="0" w:type="dxa"/>
            <w:bottom w:w="0" w:type="dxa"/>
          </w:tblCellMar>
        </w:tblPrEx>
        <w:trPr>
          <w:trHeight w:val="303"/>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Marzo</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Galones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16,378.00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5,116.10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15,710.90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4,448.60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-6.21%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-667.1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-667.5</w:t>
            </w:r>
          </w:p>
        </w:tc>
      </w:tr>
      <w:tr w:rsidR="00184CAB">
        <w:tblPrEx>
          <w:tblCellMar>
            <w:top w:w="0" w:type="dxa"/>
            <w:bottom w:w="0" w:type="dxa"/>
          </w:tblCellMar>
        </w:tblPrEx>
        <w:trPr>
          <w:trHeight w:val="303"/>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Abril</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Galones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17,066.30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5,469.90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15,764.10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4,207.90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-11.38%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-1,302.20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-1,262.00</w:t>
            </w:r>
          </w:p>
        </w:tc>
      </w:tr>
      <w:tr w:rsidR="00184CAB">
        <w:tblPrEx>
          <w:tblCellMar>
            <w:top w:w="0" w:type="dxa"/>
            <w:bottom w:w="0" w:type="dxa"/>
          </w:tblCellMar>
        </w:tblPrEx>
        <w:trPr>
          <w:trHeight w:val="303"/>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Mayo</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Galones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18,424.80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5,469.20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16,750.20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5,077.80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-8.65%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-1,674.60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-391.4</w:t>
            </w:r>
          </w:p>
        </w:tc>
      </w:tr>
      <w:tr w:rsidR="00184CAB">
        <w:tblPrEx>
          <w:tblCellMar>
            <w:top w:w="0" w:type="dxa"/>
            <w:bottom w:w="0" w:type="dxa"/>
          </w:tblCellMar>
        </w:tblPrEx>
        <w:trPr>
          <w:trHeight w:val="136"/>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Junio</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Galones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15,849.40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4,593.40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15,835.20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4,856.60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-14.2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263.2</w:t>
            </w:r>
          </w:p>
        </w:tc>
      </w:tr>
      <w:tr w:rsidR="00184CAB">
        <w:tblPrEx>
          <w:tblCellMar>
            <w:top w:w="0" w:type="dxa"/>
            <w:bottom w:w="0" w:type="dxa"/>
          </w:tblCellMar>
        </w:tblPrEx>
        <w:trPr>
          <w:trHeight w:val="303"/>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Julio</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Galones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17,802.30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5,298.60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16,936.90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5,142.50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-4.42%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-865.4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-156.1</w:t>
            </w:r>
          </w:p>
        </w:tc>
      </w:tr>
      <w:tr w:rsidR="00184CAB">
        <w:tblPrEx>
          <w:tblCellMar>
            <w:top w:w="0" w:type="dxa"/>
            <w:bottom w:w="0" w:type="dxa"/>
          </w:tblCellMar>
        </w:tblPrEx>
        <w:trPr>
          <w:trHeight w:val="303"/>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Agosto</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Galones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17,239.70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5,472.70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15,995.90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5,132.60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-6.97%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-1,243.80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-340.1</w:t>
            </w:r>
          </w:p>
        </w:tc>
      </w:tr>
      <w:tr w:rsidR="00184CAB">
        <w:tblPrEx>
          <w:tblCellMar>
            <w:top w:w="0" w:type="dxa"/>
            <w:bottom w:w="0" w:type="dxa"/>
          </w:tblCellMar>
        </w:tblPrEx>
        <w:trPr>
          <w:trHeight w:val="193"/>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Septiembre</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Galones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14,401.00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4,117.00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16,672.80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5,059.40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17.36%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2,271.80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942.4</w:t>
            </w:r>
          </w:p>
        </w:tc>
      </w:tr>
      <w:tr w:rsidR="00184CAB">
        <w:tblPrEx>
          <w:tblCellMar>
            <w:top w:w="0" w:type="dxa"/>
            <w:bottom w:w="0" w:type="dxa"/>
          </w:tblCellMar>
        </w:tblPrEx>
        <w:trPr>
          <w:trHeight w:val="303"/>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Octubre</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Galones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15,685.40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4,465.60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16,595.00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5,323.60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8.77%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909.6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after="0" w:line="36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858</w:t>
            </w:r>
          </w:p>
        </w:tc>
      </w:tr>
      <w:tr w:rsidR="00184CAB">
        <w:tblPrEx>
          <w:tblCellMar>
            <w:top w:w="0" w:type="dxa"/>
            <w:bottom w:w="0" w:type="dxa"/>
          </w:tblCellMar>
        </w:tblPrEx>
        <w:trPr>
          <w:trHeight w:val="303"/>
          <w:tblHeader/>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right"/>
              <w:rPr>
                <w:rFonts w:eastAsia="Times New Roman"/>
                <w:b/>
                <w:bCs/>
                <w:color w:val="FFFFFF"/>
                <w:spacing w:val="0"/>
                <w:sz w:val="19"/>
                <w:szCs w:val="19"/>
                <w:lang w:val="es-DO" w:eastAsia="es-DO"/>
              </w:rPr>
            </w:pPr>
            <w:r>
              <w:rPr>
                <w:rFonts w:eastAsia="Times New Roman"/>
                <w:b/>
                <w:bCs/>
                <w:color w:val="FFFFFF"/>
                <w:spacing w:val="0"/>
                <w:sz w:val="19"/>
                <w:szCs w:val="19"/>
                <w:lang w:val="es-DO" w:eastAsia="es-DO"/>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center"/>
              <w:rPr>
                <w:rFonts w:eastAsia="Times New Roman"/>
                <w:b/>
                <w:bCs/>
                <w:color w:val="FFFFFF"/>
                <w:spacing w:val="0"/>
                <w:sz w:val="19"/>
                <w:szCs w:val="19"/>
                <w:lang w:val="es-DO" w:eastAsia="es-DO"/>
              </w:rPr>
            </w:pPr>
            <w:r>
              <w:rPr>
                <w:rFonts w:eastAsia="Times New Roman"/>
                <w:b/>
                <w:bCs/>
                <w:color w:val="FFFFFF"/>
                <w:spacing w:val="0"/>
                <w:sz w:val="19"/>
                <w:szCs w:val="19"/>
                <w:lang w:val="es-DO" w:eastAsia="es-DO"/>
              </w:rPr>
              <w:t>165,738.30</w:t>
            </w:r>
          </w:p>
        </w:tc>
        <w:tc>
          <w:tcPr>
            <w:tcW w:w="851"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center"/>
              <w:rPr>
                <w:rFonts w:eastAsia="Times New Roman"/>
                <w:b/>
                <w:bCs/>
                <w:color w:val="FFFFFF"/>
                <w:spacing w:val="0"/>
                <w:sz w:val="19"/>
                <w:szCs w:val="19"/>
                <w:lang w:val="es-DO" w:eastAsia="es-DO"/>
              </w:rPr>
            </w:pPr>
            <w:r>
              <w:rPr>
                <w:rFonts w:eastAsia="Times New Roman"/>
                <w:b/>
                <w:bCs/>
                <w:color w:val="FFFFFF"/>
                <w:spacing w:val="0"/>
                <w:sz w:val="19"/>
                <w:szCs w:val="19"/>
                <w:lang w:val="es-DO" w:eastAsia="es-DO"/>
              </w:rPr>
              <w:t>49,833.30</w:t>
            </w:r>
          </w:p>
        </w:tc>
        <w:tc>
          <w:tcPr>
            <w:tcW w:w="992"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center"/>
              <w:rPr>
                <w:rFonts w:eastAsia="Times New Roman"/>
                <w:b/>
                <w:bCs/>
                <w:color w:val="FFFFFF"/>
                <w:spacing w:val="0"/>
                <w:sz w:val="19"/>
                <w:szCs w:val="19"/>
                <w:lang w:val="es-DO" w:eastAsia="es-DO"/>
              </w:rPr>
            </w:pPr>
            <w:r>
              <w:rPr>
                <w:rFonts w:eastAsia="Times New Roman"/>
                <w:b/>
                <w:bCs/>
                <w:color w:val="FFFFFF"/>
                <w:spacing w:val="0"/>
                <w:sz w:val="19"/>
                <w:szCs w:val="19"/>
                <w:lang w:val="es-DO" w:eastAsia="es-DO"/>
              </w:rPr>
              <w:t>160,447.70</w:t>
            </w:r>
          </w:p>
        </w:tc>
        <w:tc>
          <w:tcPr>
            <w:tcW w:w="850"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center"/>
              <w:rPr>
                <w:rFonts w:eastAsia="Times New Roman"/>
                <w:b/>
                <w:bCs/>
                <w:color w:val="FFFFFF"/>
                <w:spacing w:val="0"/>
                <w:sz w:val="19"/>
                <w:szCs w:val="19"/>
                <w:lang w:val="es-DO" w:eastAsia="es-DO"/>
              </w:rPr>
            </w:pPr>
            <w:r>
              <w:rPr>
                <w:rFonts w:eastAsia="Times New Roman"/>
                <w:b/>
                <w:bCs/>
                <w:color w:val="FFFFFF"/>
                <w:spacing w:val="0"/>
                <w:sz w:val="19"/>
                <w:szCs w:val="19"/>
                <w:lang w:val="es-DO" w:eastAsia="es-DO"/>
              </w:rPr>
              <w:t>47,301.20</w:t>
            </w:r>
          </w:p>
        </w:tc>
        <w:tc>
          <w:tcPr>
            <w:tcW w:w="993"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center"/>
              <w:rPr>
                <w:rFonts w:eastAsia="Times New Roman"/>
                <w:b/>
                <w:bCs/>
                <w:color w:val="FFFFFF"/>
                <w:spacing w:val="0"/>
                <w:sz w:val="19"/>
                <w:szCs w:val="19"/>
                <w:lang w:val="es-DO" w:eastAsia="es-DO"/>
              </w:rPr>
            </w:pPr>
            <w:r>
              <w:rPr>
                <w:rFonts w:eastAsia="Times New Roman"/>
                <w:b/>
                <w:bCs/>
                <w:color w:val="FFFFFF"/>
                <w:spacing w:val="0"/>
                <w:sz w:val="19"/>
                <w:szCs w:val="19"/>
                <w:lang w:val="es-DO" w:eastAsia="es-DO"/>
              </w:rPr>
              <w:t>-31.35%</w:t>
            </w:r>
          </w:p>
        </w:tc>
        <w:tc>
          <w:tcPr>
            <w:tcW w:w="850"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center"/>
              <w:rPr>
                <w:rFonts w:eastAsia="Times New Roman"/>
                <w:b/>
                <w:bCs/>
                <w:color w:val="FFFFFF"/>
                <w:spacing w:val="0"/>
                <w:sz w:val="19"/>
                <w:szCs w:val="19"/>
                <w:lang w:val="es-DO" w:eastAsia="es-DO"/>
              </w:rPr>
            </w:pPr>
            <w:r>
              <w:rPr>
                <w:rFonts w:eastAsia="Times New Roman"/>
                <w:b/>
                <w:bCs/>
                <w:color w:val="FFFFFF"/>
                <w:spacing w:val="0"/>
                <w:sz w:val="19"/>
                <w:szCs w:val="19"/>
                <w:lang w:val="es-DO" w:eastAsia="es-DO"/>
              </w:rPr>
              <w:t>-5,290.60</w:t>
            </w:r>
          </w:p>
        </w:tc>
        <w:tc>
          <w:tcPr>
            <w:tcW w:w="992"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center"/>
              <w:rPr>
                <w:rFonts w:eastAsia="Times New Roman"/>
                <w:b/>
                <w:bCs/>
                <w:color w:val="FFFFFF"/>
                <w:spacing w:val="0"/>
                <w:sz w:val="19"/>
                <w:szCs w:val="19"/>
                <w:lang w:val="es-DO" w:eastAsia="es-DO"/>
              </w:rPr>
            </w:pPr>
            <w:r>
              <w:rPr>
                <w:rFonts w:eastAsia="Times New Roman"/>
                <w:b/>
                <w:bCs/>
                <w:color w:val="FFFFFF"/>
                <w:spacing w:val="0"/>
                <w:sz w:val="19"/>
                <w:szCs w:val="19"/>
                <w:lang w:val="es-DO" w:eastAsia="es-DO"/>
              </w:rPr>
              <w:t>-2,532.10</w:t>
            </w:r>
          </w:p>
        </w:tc>
      </w:tr>
      <w:tr w:rsidR="00184CAB">
        <w:tblPrEx>
          <w:tblCellMar>
            <w:top w:w="0" w:type="dxa"/>
            <w:bottom w:w="0" w:type="dxa"/>
          </w:tblCellMar>
        </w:tblPrEx>
        <w:trPr>
          <w:trHeight w:val="303"/>
          <w:tblHeader/>
        </w:trPr>
        <w:tc>
          <w:tcPr>
            <w:tcW w:w="5103" w:type="dxa"/>
            <w:gridSpan w:val="6"/>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center"/>
              <w:rPr>
                <w:rFonts w:eastAsia="Times New Roman"/>
                <w:b/>
                <w:bCs/>
                <w:color w:val="FFFFFF"/>
                <w:spacing w:val="0"/>
                <w:sz w:val="19"/>
                <w:szCs w:val="19"/>
                <w:lang w:val="es-DO" w:eastAsia="es-DO"/>
              </w:rPr>
            </w:pPr>
            <w:r>
              <w:rPr>
                <w:rFonts w:eastAsia="Times New Roman"/>
                <w:b/>
                <w:bCs/>
                <w:color w:val="FFFFFF"/>
                <w:spacing w:val="0"/>
                <w:sz w:val="19"/>
                <w:szCs w:val="19"/>
                <w:lang w:val="es-DO" w:eastAsia="es-DO"/>
              </w:rPr>
              <w:t>Ahorro Porcentual de consumo de combustible (2024 vs. 2025)</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after="0" w:line="360" w:lineRule="auto"/>
              <w:jc w:val="center"/>
              <w:rPr>
                <w:rFonts w:eastAsia="Times New Roman"/>
                <w:b/>
                <w:bCs/>
                <w:i/>
                <w:iCs/>
                <w:color w:val="FFFFFF"/>
                <w:spacing w:val="0"/>
                <w:sz w:val="19"/>
                <w:szCs w:val="19"/>
                <w:lang w:val="es-DO" w:eastAsia="es-DO"/>
              </w:rPr>
            </w:pPr>
            <w:r>
              <w:rPr>
                <w:rFonts w:eastAsia="Times New Roman"/>
                <w:b/>
                <w:bCs/>
                <w:i/>
                <w:iCs/>
                <w:color w:val="FFFFFF"/>
                <w:spacing w:val="0"/>
                <w:sz w:val="19"/>
                <w:szCs w:val="19"/>
                <w:lang w:val="es-DO" w:eastAsia="es-DO"/>
              </w:rPr>
              <w:t>-3.63%</w:t>
            </w:r>
          </w:p>
        </w:tc>
      </w:tr>
    </w:tbl>
    <w:p w:rsidR="00184CAB" w:rsidRDefault="002B1930">
      <w:pPr>
        <w:spacing w:line="360" w:lineRule="auto"/>
        <w:jc w:val="both"/>
        <w:rPr>
          <w:i/>
          <w:color w:val="4C4747"/>
          <w:sz w:val="18"/>
          <w:szCs w:val="18"/>
        </w:rPr>
      </w:pPr>
      <w:r>
        <w:rPr>
          <w:i/>
          <w:color w:val="4C4747"/>
          <w:sz w:val="18"/>
          <w:szCs w:val="18"/>
        </w:rPr>
        <w:t xml:space="preserve">Fuente: Comparativo de Consumos de Combustibles periodo mensual/anual 2024-2025, Informe anual de la </w:t>
      </w:r>
      <w:r>
        <w:rPr>
          <w:i/>
          <w:color w:val="4C4747"/>
          <w:sz w:val="18"/>
          <w:szCs w:val="18"/>
        </w:rPr>
        <w:t>Dirección Administrativa</w:t>
      </w:r>
    </w:p>
    <w:p w:rsidR="00184CAB" w:rsidRDefault="00184CAB">
      <w:pPr>
        <w:spacing w:line="360" w:lineRule="auto"/>
        <w:rPr>
          <w:b/>
          <w:color w:val="4C4747"/>
        </w:rPr>
      </w:pPr>
    </w:p>
    <w:p w:rsidR="00184CAB" w:rsidRDefault="00184CAB">
      <w:pPr>
        <w:spacing w:line="360" w:lineRule="auto"/>
        <w:rPr>
          <w:b/>
          <w:color w:val="4C4747"/>
        </w:rPr>
      </w:pPr>
    </w:p>
    <w:p w:rsidR="00184CAB" w:rsidRDefault="00184CAB">
      <w:pPr>
        <w:spacing w:line="360" w:lineRule="auto"/>
        <w:rPr>
          <w:b/>
          <w:color w:val="4C4747"/>
        </w:rPr>
      </w:pPr>
    </w:p>
    <w:p w:rsidR="00184CAB" w:rsidRDefault="002B1930">
      <w:pPr>
        <w:spacing w:line="360" w:lineRule="auto"/>
        <w:rPr>
          <w:b/>
          <w:color w:val="4C4747"/>
        </w:rPr>
      </w:pPr>
      <w:r>
        <w:rPr>
          <w:b/>
          <w:color w:val="4C4747"/>
        </w:rPr>
        <w:lastRenderedPageBreak/>
        <w:t>Proyecciones para cierre de año:</w:t>
      </w:r>
    </w:p>
    <w:p w:rsidR="00184CAB" w:rsidRDefault="002B1930">
      <w:pPr>
        <w:spacing w:line="360" w:lineRule="auto"/>
        <w:jc w:val="both"/>
        <w:rPr>
          <w:color w:val="4B4747"/>
        </w:rPr>
      </w:pPr>
      <w:r>
        <w:rPr>
          <w:color w:val="4B4747"/>
        </w:rPr>
        <w:t>En comparación con 2024 —año en que se ejecutaron 148 acciones administrativas formales asociadas a compras menores, suministros, logística institucional y distribución interna— el 2025 mostró un</w:t>
      </w:r>
      <w:r>
        <w:rPr>
          <w:color w:val="4B4747"/>
        </w:rPr>
        <w:t xml:space="preserve"> incremento sostenido en la demanda operativa.</w:t>
      </w:r>
    </w:p>
    <w:p w:rsidR="00184CAB" w:rsidRDefault="002B1930">
      <w:pPr>
        <w:spacing w:line="360" w:lineRule="auto"/>
        <w:jc w:val="both"/>
        <w:rPr>
          <w:color w:val="4B4747"/>
        </w:rPr>
      </w:pPr>
      <w:bookmarkStart w:id="109" w:name="_Hlk217662722"/>
      <w:r>
        <w:rPr>
          <w:color w:val="4B4747"/>
        </w:rPr>
        <w:t>En base al comportamiento operativo de la Dirección Administrativa, se proyecta el cierre del año con un descenso de la operatividad, debido a que no se contemplan procesos de compras ni registro de entradas d</w:t>
      </w:r>
      <w:r>
        <w:rPr>
          <w:color w:val="4B4747"/>
        </w:rPr>
        <w:t xml:space="preserve">e a almacén.  </w:t>
      </w:r>
    </w:p>
    <w:bookmarkEnd w:id="109"/>
    <w:p w:rsidR="00184CAB" w:rsidRDefault="00184CAB">
      <w:pPr>
        <w:spacing w:line="360" w:lineRule="auto"/>
        <w:jc w:val="both"/>
        <w:rPr>
          <w:b/>
          <w:color w:val="00B0F0"/>
          <w:lang w:val="es-DO"/>
        </w:rPr>
      </w:pPr>
    </w:p>
    <w:p w:rsidR="00184CAB" w:rsidRDefault="002B1930">
      <w:pPr>
        <w:pStyle w:val="Prrafodelista"/>
        <w:numPr>
          <w:ilvl w:val="1"/>
          <w:numId w:val="23"/>
        </w:numPr>
        <w:spacing w:line="360" w:lineRule="auto"/>
        <w:ind w:left="709"/>
        <w:jc w:val="both"/>
        <w:rPr>
          <w:b/>
          <w:color w:val="4C4747"/>
          <w:lang w:val="es-DO"/>
        </w:rPr>
      </w:pPr>
      <w:r>
        <w:rPr>
          <w:b/>
          <w:color w:val="4C4747"/>
          <w:lang w:val="es-DO"/>
        </w:rPr>
        <w:t>Desempeño de la Dirección Financiera</w:t>
      </w:r>
    </w:p>
    <w:p w:rsidR="00184CAB" w:rsidRDefault="002B1930">
      <w:pPr>
        <w:spacing w:line="360" w:lineRule="auto"/>
        <w:jc w:val="both"/>
        <w:rPr>
          <w:color w:val="4C4747"/>
          <w:lang w:val="es-DO"/>
        </w:rPr>
      </w:pPr>
      <w:r>
        <w:rPr>
          <w:color w:val="4C4747"/>
          <w:lang w:val="es-DO"/>
        </w:rPr>
        <w:t xml:space="preserve">La Dirección Financiera garantizó la disponibilidad y remisión mensual de la información correspondiente a los beneficiarios de los programas de asistencia social, conforme a los lineamientos </w:t>
      </w:r>
      <w:r>
        <w:rPr>
          <w:color w:val="4C4747"/>
          <w:lang w:val="es-DO"/>
        </w:rPr>
        <w:t xml:space="preserve">establecidos. </w:t>
      </w:r>
    </w:p>
    <w:p w:rsidR="00184CAB" w:rsidRDefault="002B1930">
      <w:pPr>
        <w:spacing w:line="360" w:lineRule="auto"/>
        <w:jc w:val="both"/>
        <w:rPr>
          <w:color w:val="4C4747"/>
          <w:lang w:val="es-DO"/>
        </w:rPr>
      </w:pPr>
      <w:r>
        <w:rPr>
          <w:color w:val="4C4747"/>
          <w:lang w:val="es-DO"/>
        </w:rPr>
        <w:t>Dichos subsidios estuvieron orientados a la mejora de las condiciones de salud, calidad de vida y acceso a la formación académica en el territorio nacional. Este proceso fue monitoreado mediante reportes específicos sobre los beneficiarios a</w:t>
      </w:r>
      <w:r>
        <w:rPr>
          <w:color w:val="4C4747"/>
          <w:lang w:val="es-DO"/>
        </w:rPr>
        <w:t>tendidos y el cumplimiento oportuno de los requerimientos solicitados.</w:t>
      </w:r>
    </w:p>
    <w:tbl>
      <w:tblPr>
        <w:tblW w:w="7910" w:type="dxa"/>
        <w:tblInd w:w="-10" w:type="dxa"/>
        <w:tblCellMar>
          <w:left w:w="10" w:type="dxa"/>
          <w:right w:w="10" w:type="dxa"/>
        </w:tblCellMar>
        <w:tblLook w:val="0000" w:firstRow="0" w:lastRow="0" w:firstColumn="0" w:lastColumn="0" w:noHBand="0" w:noVBand="0"/>
      </w:tblPr>
      <w:tblGrid>
        <w:gridCol w:w="1906"/>
        <w:gridCol w:w="2487"/>
        <w:gridCol w:w="2277"/>
        <w:gridCol w:w="1240"/>
      </w:tblGrid>
      <w:tr w:rsidR="00184CAB">
        <w:tblPrEx>
          <w:tblCellMar>
            <w:top w:w="0" w:type="dxa"/>
            <w:bottom w:w="0" w:type="dxa"/>
          </w:tblCellMar>
        </w:tblPrEx>
        <w:tc>
          <w:tcPr>
            <w:tcW w:w="7910" w:type="dxa"/>
            <w:gridSpan w:val="4"/>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bCs/>
                <w:color w:val="FFFFFF"/>
                <w:sz w:val="19"/>
                <w:szCs w:val="19"/>
                <w:lang w:val="es-DO"/>
              </w:rPr>
            </w:pPr>
            <w:r>
              <w:rPr>
                <w:b/>
                <w:bCs/>
                <w:color w:val="FFFFFF"/>
                <w:sz w:val="19"/>
                <w:szCs w:val="19"/>
                <w:lang w:val="es-DO"/>
              </w:rPr>
              <w:t>Ejecución Presupuestaria al cierre del mes de noviembre 2025</w:t>
            </w:r>
          </w:p>
        </w:tc>
      </w:tr>
      <w:tr w:rsidR="00184CAB">
        <w:tblPrEx>
          <w:tblCellMar>
            <w:top w:w="0" w:type="dxa"/>
            <w:bottom w:w="0" w:type="dxa"/>
          </w:tblCellMar>
        </w:tblPrEx>
        <w:tc>
          <w:tcPr>
            <w:tcW w:w="1906"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rPr>
                <w:b/>
                <w:bCs/>
                <w:color w:val="FFFFFF"/>
                <w:sz w:val="19"/>
                <w:szCs w:val="19"/>
                <w:lang w:val="es-DO"/>
              </w:rPr>
            </w:pPr>
            <w:r>
              <w:rPr>
                <w:b/>
                <w:bCs/>
                <w:color w:val="FFFFFF"/>
                <w:sz w:val="19"/>
                <w:szCs w:val="19"/>
                <w:lang w:val="es-DO"/>
              </w:rPr>
              <w:t>Concepto del Gasto</w:t>
            </w:r>
          </w:p>
        </w:tc>
        <w:tc>
          <w:tcPr>
            <w:tcW w:w="2487"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rPr>
                <w:b/>
                <w:color w:val="FFFFFF"/>
                <w:sz w:val="19"/>
                <w:szCs w:val="19"/>
                <w:lang w:val="es-DO"/>
              </w:rPr>
            </w:pPr>
            <w:r>
              <w:rPr>
                <w:b/>
                <w:color w:val="FFFFFF"/>
                <w:sz w:val="19"/>
                <w:szCs w:val="19"/>
                <w:lang w:val="es-DO"/>
              </w:rPr>
              <w:t>Presupuesto aprobado</w:t>
            </w:r>
          </w:p>
        </w:tc>
        <w:tc>
          <w:tcPr>
            <w:tcW w:w="2277"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rPr>
                <w:b/>
                <w:color w:val="FFFFFF"/>
                <w:sz w:val="19"/>
                <w:szCs w:val="19"/>
                <w:lang w:val="es-DO"/>
              </w:rPr>
            </w:pPr>
            <w:r>
              <w:rPr>
                <w:b/>
                <w:color w:val="FFFFFF"/>
                <w:sz w:val="19"/>
                <w:szCs w:val="19"/>
                <w:lang w:val="es-DO"/>
              </w:rPr>
              <w:t>Presupuesto ejecutado</w:t>
            </w:r>
          </w:p>
        </w:tc>
        <w:tc>
          <w:tcPr>
            <w:tcW w:w="124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rPr>
                <w:b/>
                <w:color w:val="FFFFFF"/>
                <w:sz w:val="19"/>
                <w:szCs w:val="19"/>
                <w:lang w:val="es-DO"/>
              </w:rPr>
            </w:pPr>
            <w:r>
              <w:rPr>
                <w:b/>
                <w:color w:val="FFFFFF"/>
                <w:sz w:val="19"/>
                <w:szCs w:val="19"/>
                <w:lang w:val="es-DO"/>
              </w:rPr>
              <w:t>% de ejecución</w:t>
            </w:r>
          </w:p>
        </w:tc>
      </w:tr>
      <w:tr w:rsidR="00184CAB">
        <w:tblPrEx>
          <w:tblCellMar>
            <w:top w:w="0" w:type="dxa"/>
            <w:bottom w:w="0" w:type="dxa"/>
          </w:tblCellMar>
        </w:tblPrEx>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bCs/>
                <w:color w:val="4B4747"/>
                <w:sz w:val="19"/>
                <w:szCs w:val="19"/>
                <w:lang w:val="es-DO"/>
              </w:rPr>
            </w:pPr>
            <w:r>
              <w:rPr>
                <w:bCs/>
                <w:color w:val="4B4747"/>
                <w:sz w:val="19"/>
                <w:szCs w:val="19"/>
                <w:lang w:val="es-DO"/>
              </w:rPr>
              <w:t>2.1. Remuneraciones y contribuciones</w:t>
            </w:r>
          </w:p>
        </w:tc>
        <w:tc>
          <w:tcPr>
            <w:tcW w:w="2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lang w:val="es-DO"/>
              </w:rPr>
            </w:pPr>
            <w:r>
              <w:rPr>
                <w:color w:val="4B4747"/>
                <w:sz w:val="19"/>
                <w:szCs w:val="19"/>
                <w:lang w:val="es-DO"/>
              </w:rPr>
              <w:t>RD$895,065,549.00</w:t>
            </w:r>
          </w:p>
        </w:tc>
        <w:tc>
          <w:tcPr>
            <w:tcW w:w="2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lang w:val="es-DO"/>
              </w:rPr>
            </w:pPr>
            <w:r>
              <w:rPr>
                <w:color w:val="4B4747"/>
                <w:sz w:val="19"/>
                <w:szCs w:val="19"/>
                <w:lang w:val="es-DO"/>
              </w:rPr>
              <w:t>RD$719,921,970.05</w:t>
            </w: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80.42 %</w:t>
            </w:r>
          </w:p>
        </w:tc>
      </w:tr>
      <w:tr w:rsidR="00184CAB">
        <w:tblPrEx>
          <w:tblCellMar>
            <w:top w:w="0" w:type="dxa"/>
            <w:bottom w:w="0" w:type="dxa"/>
          </w:tblCellMar>
        </w:tblPrEx>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bCs/>
                <w:color w:val="4B4747"/>
                <w:sz w:val="19"/>
                <w:szCs w:val="19"/>
                <w:lang w:val="es-DO"/>
              </w:rPr>
            </w:pPr>
            <w:r>
              <w:rPr>
                <w:bCs/>
                <w:color w:val="4B4747"/>
                <w:sz w:val="19"/>
                <w:szCs w:val="19"/>
                <w:lang w:val="es-DO"/>
              </w:rPr>
              <w:t>2.2. Contratación de Servicios</w:t>
            </w:r>
          </w:p>
        </w:tc>
        <w:tc>
          <w:tcPr>
            <w:tcW w:w="2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lang w:val="es-DO"/>
              </w:rPr>
            </w:pPr>
            <w:r>
              <w:rPr>
                <w:color w:val="4B4747"/>
                <w:sz w:val="19"/>
                <w:szCs w:val="19"/>
                <w:lang w:val="es-DO"/>
              </w:rPr>
              <w:t>RD$989,781,350.00</w:t>
            </w:r>
          </w:p>
        </w:tc>
        <w:tc>
          <w:tcPr>
            <w:tcW w:w="2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lang w:val="es-DO"/>
              </w:rPr>
            </w:pPr>
            <w:r>
              <w:rPr>
                <w:color w:val="4B4747"/>
                <w:sz w:val="19"/>
                <w:szCs w:val="19"/>
                <w:lang w:val="es-DO"/>
              </w:rPr>
              <w:t>RD$844,136,326.09</w:t>
            </w: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85.28 %</w:t>
            </w:r>
          </w:p>
        </w:tc>
      </w:tr>
      <w:tr w:rsidR="00184CAB">
        <w:tblPrEx>
          <w:tblCellMar>
            <w:top w:w="0" w:type="dxa"/>
            <w:bottom w:w="0" w:type="dxa"/>
          </w:tblCellMar>
        </w:tblPrEx>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bCs/>
                <w:color w:val="4B4747"/>
                <w:sz w:val="19"/>
                <w:szCs w:val="19"/>
                <w:lang w:val="es-DO"/>
              </w:rPr>
            </w:pPr>
            <w:r>
              <w:rPr>
                <w:bCs/>
                <w:color w:val="4B4747"/>
                <w:sz w:val="19"/>
                <w:szCs w:val="19"/>
                <w:lang w:val="es-DO"/>
              </w:rPr>
              <w:t>2.3. Materiales y suministros</w:t>
            </w:r>
          </w:p>
        </w:tc>
        <w:tc>
          <w:tcPr>
            <w:tcW w:w="2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lang w:val="es-DO"/>
              </w:rPr>
            </w:pPr>
            <w:r>
              <w:rPr>
                <w:color w:val="4B4747"/>
                <w:sz w:val="19"/>
                <w:szCs w:val="19"/>
                <w:lang w:val="es-DO"/>
              </w:rPr>
              <w:t>RD$ 144,723,000.00</w:t>
            </w:r>
          </w:p>
        </w:tc>
        <w:tc>
          <w:tcPr>
            <w:tcW w:w="2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lang w:val="es-DO"/>
              </w:rPr>
            </w:pPr>
            <w:r>
              <w:rPr>
                <w:color w:val="4B4747"/>
                <w:sz w:val="19"/>
                <w:szCs w:val="19"/>
                <w:lang w:val="es-DO"/>
              </w:rPr>
              <w:t>RD$100,029,978.54</w:t>
            </w: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69.11 %</w:t>
            </w:r>
          </w:p>
        </w:tc>
      </w:tr>
      <w:tr w:rsidR="00184CAB">
        <w:tblPrEx>
          <w:tblCellMar>
            <w:top w:w="0" w:type="dxa"/>
            <w:bottom w:w="0" w:type="dxa"/>
          </w:tblCellMar>
        </w:tblPrEx>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bCs/>
                <w:color w:val="4B4747"/>
                <w:sz w:val="19"/>
                <w:szCs w:val="19"/>
                <w:lang w:val="es-DO"/>
              </w:rPr>
            </w:pPr>
            <w:r>
              <w:rPr>
                <w:bCs/>
                <w:color w:val="4B4747"/>
                <w:sz w:val="19"/>
                <w:szCs w:val="19"/>
                <w:lang w:val="es-DO"/>
              </w:rPr>
              <w:t>2.4 Transferencias Corrientes</w:t>
            </w:r>
          </w:p>
        </w:tc>
        <w:tc>
          <w:tcPr>
            <w:tcW w:w="2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lang w:val="es-DO"/>
              </w:rPr>
            </w:pPr>
            <w:r>
              <w:rPr>
                <w:color w:val="4B4747"/>
                <w:sz w:val="19"/>
                <w:szCs w:val="19"/>
                <w:lang w:val="es-DO"/>
              </w:rPr>
              <w:t>RD$0.00</w:t>
            </w:r>
          </w:p>
        </w:tc>
        <w:tc>
          <w:tcPr>
            <w:tcW w:w="2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lang w:val="es-DO"/>
              </w:rPr>
            </w:pPr>
            <w:r>
              <w:rPr>
                <w:color w:val="4B4747"/>
                <w:sz w:val="19"/>
                <w:szCs w:val="19"/>
                <w:lang w:val="es-DO"/>
              </w:rPr>
              <w:t>RD$0.00</w:t>
            </w: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 xml:space="preserve">No aplica (0 </w:t>
            </w:r>
            <w:r>
              <w:rPr>
                <w:color w:val="4B4747"/>
                <w:sz w:val="19"/>
                <w:szCs w:val="19"/>
              </w:rPr>
              <w:t>%)</w:t>
            </w:r>
          </w:p>
        </w:tc>
      </w:tr>
      <w:tr w:rsidR="00184CAB">
        <w:tblPrEx>
          <w:tblCellMar>
            <w:top w:w="0" w:type="dxa"/>
            <w:bottom w:w="0" w:type="dxa"/>
          </w:tblCellMar>
        </w:tblPrEx>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bCs/>
                <w:color w:val="4B4747"/>
                <w:sz w:val="19"/>
                <w:szCs w:val="19"/>
                <w:lang w:val="es-DO"/>
              </w:rPr>
            </w:pPr>
            <w:r>
              <w:rPr>
                <w:bCs/>
                <w:color w:val="4B4747"/>
                <w:sz w:val="19"/>
                <w:szCs w:val="19"/>
                <w:lang w:val="es-DO"/>
              </w:rPr>
              <w:lastRenderedPageBreak/>
              <w:t>2.5 Transferencias de Capital</w:t>
            </w:r>
          </w:p>
        </w:tc>
        <w:tc>
          <w:tcPr>
            <w:tcW w:w="2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RD$0.00</w:t>
            </w:r>
          </w:p>
        </w:tc>
        <w:tc>
          <w:tcPr>
            <w:tcW w:w="2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RD$0.00</w:t>
            </w: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No aplica (0 %)</w:t>
            </w:r>
          </w:p>
        </w:tc>
      </w:tr>
      <w:tr w:rsidR="00184CAB">
        <w:tblPrEx>
          <w:tblCellMar>
            <w:top w:w="0" w:type="dxa"/>
            <w:bottom w:w="0" w:type="dxa"/>
          </w:tblCellMar>
        </w:tblPrEx>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bCs/>
                <w:color w:val="4B4747"/>
                <w:sz w:val="19"/>
                <w:szCs w:val="19"/>
                <w:lang w:val="es-DO"/>
              </w:rPr>
            </w:pPr>
            <w:r>
              <w:rPr>
                <w:bCs/>
                <w:color w:val="4B4747"/>
                <w:sz w:val="19"/>
                <w:szCs w:val="19"/>
                <w:lang w:val="es-DO"/>
              </w:rPr>
              <w:t>2.6 Bienes Muebles, Inmuebles e Intangibles</w:t>
            </w:r>
          </w:p>
        </w:tc>
        <w:tc>
          <w:tcPr>
            <w:tcW w:w="2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lang w:val="es-DO"/>
              </w:rPr>
            </w:pPr>
            <w:r>
              <w:rPr>
                <w:color w:val="4B4747"/>
                <w:sz w:val="19"/>
                <w:szCs w:val="19"/>
                <w:lang w:val="es-DO"/>
              </w:rPr>
              <w:t>RD$52,065,000.00</w:t>
            </w:r>
          </w:p>
        </w:tc>
        <w:tc>
          <w:tcPr>
            <w:tcW w:w="2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RD$0.00</w:t>
            </w: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No aplica (0 %)</w:t>
            </w:r>
          </w:p>
        </w:tc>
      </w:tr>
      <w:tr w:rsidR="00184CAB">
        <w:tblPrEx>
          <w:tblCellMar>
            <w:top w:w="0" w:type="dxa"/>
            <w:bottom w:w="0" w:type="dxa"/>
          </w:tblCellMar>
        </w:tblPrEx>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bCs/>
                <w:color w:val="4B4747"/>
                <w:sz w:val="19"/>
                <w:szCs w:val="19"/>
                <w:lang w:val="es-DO"/>
              </w:rPr>
            </w:pPr>
            <w:r>
              <w:rPr>
                <w:bCs/>
                <w:color w:val="4B4747"/>
                <w:sz w:val="19"/>
                <w:szCs w:val="19"/>
                <w:lang w:val="es-DO"/>
              </w:rPr>
              <w:t>2.7 Obras</w:t>
            </w:r>
          </w:p>
        </w:tc>
        <w:tc>
          <w:tcPr>
            <w:tcW w:w="2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lang w:val="es-DO"/>
              </w:rPr>
            </w:pPr>
            <w:r>
              <w:rPr>
                <w:color w:val="4B4747"/>
                <w:sz w:val="19"/>
                <w:szCs w:val="19"/>
                <w:lang w:val="es-DO"/>
              </w:rPr>
              <w:t>RD$22,500,000.00</w:t>
            </w:r>
          </w:p>
        </w:tc>
        <w:tc>
          <w:tcPr>
            <w:tcW w:w="2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RD$0.00</w:t>
            </w: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No aplica (0 %)</w:t>
            </w:r>
          </w:p>
        </w:tc>
      </w:tr>
      <w:tr w:rsidR="00184CAB">
        <w:tblPrEx>
          <w:tblCellMar>
            <w:top w:w="0" w:type="dxa"/>
            <w:bottom w:w="0" w:type="dxa"/>
          </w:tblCellMar>
        </w:tblPrEx>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bCs/>
                <w:color w:val="4B4747"/>
                <w:sz w:val="19"/>
                <w:szCs w:val="19"/>
                <w:lang w:val="es-DO"/>
              </w:rPr>
            </w:pPr>
            <w:r>
              <w:rPr>
                <w:bCs/>
                <w:color w:val="4B4747"/>
                <w:sz w:val="19"/>
                <w:szCs w:val="19"/>
                <w:lang w:val="es-DO"/>
              </w:rPr>
              <w:t>2.8 Adquisición de activos financieros con fines de</w:t>
            </w:r>
            <w:r>
              <w:rPr>
                <w:bCs/>
                <w:color w:val="4B4747"/>
                <w:sz w:val="19"/>
                <w:szCs w:val="19"/>
                <w:lang w:val="es-DO"/>
              </w:rPr>
              <w:t xml:space="preserve"> política</w:t>
            </w:r>
          </w:p>
        </w:tc>
        <w:tc>
          <w:tcPr>
            <w:tcW w:w="2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RD$0.00</w:t>
            </w:r>
          </w:p>
        </w:tc>
        <w:tc>
          <w:tcPr>
            <w:tcW w:w="2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RD$0.00</w:t>
            </w: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No aplica (0 %)</w:t>
            </w:r>
          </w:p>
        </w:tc>
      </w:tr>
      <w:tr w:rsidR="00184CAB">
        <w:tblPrEx>
          <w:tblCellMar>
            <w:top w:w="0" w:type="dxa"/>
            <w:bottom w:w="0" w:type="dxa"/>
          </w:tblCellMar>
        </w:tblPrEx>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bCs/>
                <w:color w:val="4B4747"/>
                <w:sz w:val="19"/>
                <w:szCs w:val="19"/>
                <w:lang w:val="es-DO"/>
              </w:rPr>
            </w:pPr>
            <w:r>
              <w:rPr>
                <w:bCs/>
                <w:color w:val="4B4747"/>
                <w:sz w:val="19"/>
                <w:szCs w:val="19"/>
                <w:lang w:val="es-DO"/>
              </w:rPr>
              <w:t>2.9 gastos financieros</w:t>
            </w:r>
          </w:p>
        </w:tc>
        <w:tc>
          <w:tcPr>
            <w:tcW w:w="2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RD$0.00</w:t>
            </w:r>
          </w:p>
        </w:tc>
        <w:tc>
          <w:tcPr>
            <w:tcW w:w="2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RD$0.00</w:t>
            </w: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No aplica (0 %)</w:t>
            </w:r>
          </w:p>
        </w:tc>
      </w:tr>
      <w:tr w:rsidR="00184CAB">
        <w:tblPrEx>
          <w:tblCellMar>
            <w:top w:w="0" w:type="dxa"/>
            <w:bottom w:w="0" w:type="dxa"/>
          </w:tblCellMar>
        </w:tblPrEx>
        <w:tc>
          <w:tcPr>
            <w:tcW w:w="1906"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rPr>
                <w:b/>
                <w:bCs/>
                <w:color w:val="FFFFFF"/>
                <w:sz w:val="19"/>
                <w:szCs w:val="19"/>
                <w:lang w:val="es-DO"/>
              </w:rPr>
            </w:pPr>
            <w:proofErr w:type="gramStart"/>
            <w:r>
              <w:rPr>
                <w:b/>
                <w:bCs/>
                <w:color w:val="FFFFFF"/>
                <w:sz w:val="19"/>
                <w:szCs w:val="19"/>
                <w:lang w:val="es-DO"/>
              </w:rPr>
              <w:t>Total</w:t>
            </w:r>
            <w:proofErr w:type="gramEnd"/>
            <w:r>
              <w:rPr>
                <w:b/>
                <w:bCs/>
                <w:color w:val="FFFFFF"/>
                <w:sz w:val="19"/>
                <w:szCs w:val="19"/>
                <w:lang w:val="es-DO"/>
              </w:rPr>
              <w:t xml:space="preserve"> de gastos </w:t>
            </w:r>
          </w:p>
        </w:tc>
        <w:tc>
          <w:tcPr>
            <w:tcW w:w="2487"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pPr>
            <w:r>
              <w:rPr>
                <w:b/>
                <w:color w:val="FFFFFF"/>
                <w:sz w:val="19"/>
                <w:szCs w:val="19"/>
              </w:rPr>
              <w:t>RD$</w:t>
            </w:r>
            <w:r>
              <w:rPr>
                <w:b/>
                <w:color w:val="FFFFFF"/>
                <w:sz w:val="19"/>
                <w:szCs w:val="19"/>
                <w:lang w:val="es-DO"/>
              </w:rPr>
              <w:t>2,104,134,999.00</w:t>
            </w:r>
          </w:p>
        </w:tc>
        <w:tc>
          <w:tcPr>
            <w:tcW w:w="2277"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pPr>
            <w:r>
              <w:rPr>
                <w:b/>
                <w:color w:val="FFFFFF"/>
                <w:sz w:val="19"/>
                <w:szCs w:val="19"/>
              </w:rPr>
              <w:t>1,664,088,274.68</w:t>
            </w:r>
          </w:p>
        </w:tc>
        <w:tc>
          <w:tcPr>
            <w:tcW w:w="124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184CAB">
            <w:pPr>
              <w:spacing w:after="0" w:line="240" w:lineRule="auto"/>
              <w:rPr>
                <w:b/>
                <w:color w:val="FFFFFF"/>
                <w:sz w:val="19"/>
                <w:szCs w:val="19"/>
                <w:lang w:val="es-DO"/>
              </w:rPr>
            </w:pPr>
          </w:p>
        </w:tc>
      </w:tr>
    </w:tbl>
    <w:p w:rsidR="00184CAB" w:rsidRDefault="002B1930">
      <w:pPr>
        <w:spacing w:line="360" w:lineRule="auto"/>
        <w:jc w:val="both"/>
      </w:pPr>
      <w:r>
        <w:rPr>
          <w:i/>
          <w:color w:val="4C4747"/>
          <w:sz w:val="18"/>
          <w:szCs w:val="18"/>
          <w:lang w:val="es-DO"/>
        </w:rPr>
        <w:t>Fuente: Informe anual 2025, Dirección Financiera, Ministerio Administrativo de la Presidencia</w:t>
      </w:r>
    </w:p>
    <w:p w:rsidR="00184CAB" w:rsidRDefault="002B1930">
      <w:pPr>
        <w:spacing w:line="360" w:lineRule="auto"/>
        <w:jc w:val="both"/>
      </w:pPr>
      <w:r>
        <w:rPr>
          <w:color w:val="4C4747"/>
          <w:lang w:val="es-DO"/>
        </w:rPr>
        <w:t xml:space="preserve">Al mes </w:t>
      </w:r>
      <w:r>
        <w:rPr>
          <w:color w:val="4C4747"/>
          <w:lang w:val="es-DO"/>
        </w:rPr>
        <w:t xml:space="preserve">de octubre de 2025, se registró un </w:t>
      </w:r>
      <w:r>
        <w:rPr>
          <w:bCs/>
          <w:color w:val="4C4747"/>
          <w:lang w:val="es-DO"/>
        </w:rPr>
        <w:t>monto total ejecutado de RD$859,888,901.02</w:t>
      </w:r>
      <w:r>
        <w:rPr>
          <w:color w:val="4C4747"/>
          <w:lang w:val="es-DO"/>
        </w:rPr>
        <w:t>, conforme al consolidado de la División de Presupuesto y Contabilidad.</w:t>
      </w:r>
    </w:p>
    <w:p w:rsidR="00184CAB" w:rsidRDefault="002B1930">
      <w:pPr>
        <w:spacing w:line="360" w:lineRule="auto"/>
        <w:jc w:val="both"/>
        <w:rPr>
          <w:color w:val="4C4747"/>
          <w:lang w:val="es-DO"/>
        </w:rPr>
      </w:pPr>
      <w:r>
        <w:rPr>
          <w:color w:val="4C4747"/>
          <w:lang w:val="es-DO"/>
        </w:rPr>
        <w:t>De acuerdo con las partidas analizadas y las evidencias sustentadas por la División de Presupuesto y Contab</w:t>
      </w:r>
      <w:r>
        <w:rPr>
          <w:color w:val="4C4747"/>
          <w:lang w:val="es-DO"/>
        </w:rPr>
        <w:t>ilidad, los importes erogados para los productos contemplados en la planificación anual 2025 fueron aprobados y ejecutados satisfactoriamente, conforme al siguiente detalle:</w:t>
      </w:r>
    </w:p>
    <w:tbl>
      <w:tblPr>
        <w:tblW w:w="7900" w:type="dxa"/>
        <w:tblCellMar>
          <w:left w:w="10" w:type="dxa"/>
          <w:right w:w="10" w:type="dxa"/>
        </w:tblCellMar>
        <w:tblLook w:val="0000" w:firstRow="0" w:lastRow="0" w:firstColumn="0" w:lastColumn="0" w:noHBand="0" w:noVBand="0"/>
      </w:tblPr>
      <w:tblGrid>
        <w:gridCol w:w="5235"/>
        <w:gridCol w:w="2665"/>
      </w:tblGrid>
      <w:tr w:rsidR="00184CAB">
        <w:tblPrEx>
          <w:tblCellMar>
            <w:top w:w="0" w:type="dxa"/>
            <w:bottom w:w="0" w:type="dxa"/>
          </w:tblCellMar>
        </w:tblPrEx>
        <w:trPr>
          <w:tblHeader/>
        </w:trPr>
        <w:tc>
          <w:tcPr>
            <w:tcW w:w="7900" w:type="dxa"/>
            <w:gridSpan w:val="2"/>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bCs/>
                <w:color w:val="FFFFFF"/>
                <w:sz w:val="19"/>
                <w:szCs w:val="19"/>
                <w:lang w:val="es-DO"/>
              </w:rPr>
            </w:pPr>
            <w:r>
              <w:rPr>
                <w:b/>
                <w:bCs/>
                <w:color w:val="FFFFFF"/>
                <w:sz w:val="19"/>
                <w:szCs w:val="19"/>
                <w:lang w:val="es-DO"/>
              </w:rPr>
              <w:t>Tabla no. 20 sobre relación de Aportes Humanitarios por Libramiento realizados dur</w:t>
            </w:r>
            <w:r>
              <w:rPr>
                <w:b/>
                <w:bCs/>
                <w:color w:val="FFFFFF"/>
                <w:sz w:val="19"/>
                <w:szCs w:val="19"/>
                <w:lang w:val="es-DO"/>
              </w:rPr>
              <w:t>ante el periodo anual 2025</w:t>
            </w:r>
          </w:p>
        </w:tc>
      </w:tr>
      <w:tr w:rsidR="00184CAB">
        <w:tblPrEx>
          <w:tblCellMar>
            <w:top w:w="0" w:type="dxa"/>
            <w:bottom w:w="0" w:type="dxa"/>
          </w:tblCellMar>
        </w:tblPrEx>
        <w:trPr>
          <w:tblHeader/>
        </w:trPr>
        <w:tc>
          <w:tcPr>
            <w:tcW w:w="5235"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rPr>
                <w:b/>
                <w:bCs/>
                <w:color w:val="FFFFFF"/>
                <w:sz w:val="19"/>
                <w:szCs w:val="19"/>
                <w:lang w:val="es-DO"/>
              </w:rPr>
            </w:pPr>
            <w:r>
              <w:rPr>
                <w:b/>
                <w:bCs/>
                <w:color w:val="FFFFFF"/>
                <w:sz w:val="19"/>
                <w:szCs w:val="19"/>
                <w:lang w:val="es-DO"/>
              </w:rPr>
              <w:t>Concepto</w:t>
            </w:r>
          </w:p>
        </w:tc>
        <w:tc>
          <w:tcPr>
            <w:tcW w:w="2665"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rPr>
                <w:b/>
                <w:bCs/>
                <w:color w:val="FFFFFF"/>
                <w:sz w:val="19"/>
                <w:szCs w:val="19"/>
                <w:lang w:val="es-DO"/>
              </w:rPr>
            </w:pPr>
            <w:r>
              <w:rPr>
                <w:b/>
                <w:bCs/>
                <w:color w:val="FFFFFF"/>
                <w:sz w:val="19"/>
                <w:szCs w:val="19"/>
                <w:lang w:val="es-DO"/>
              </w:rPr>
              <w:t>Monto</w:t>
            </w:r>
          </w:p>
        </w:tc>
      </w:tr>
      <w:tr w:rsidR="00184CAB">
        <w:tblPrEx>
          <w:tblCellMar>
            <w:top w:w="0" w:type="dxa"/>
            <w:bottom w:w="0" w:type="dxa"/>
          </w:tblCellMar>
        </w:tblPrEx>
        <w:tc>
          <w:tcPr>
            <w:tcW w:w="523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bCs/>
                <w:color w:val="4C4747"/>
                <w:sz w:val="19"/>
                <w:szCs w:val="19"/>
                <w:lang w:val="es-DO"/>
              </w:rPr>
            </w:pPr>
            <w:r>
              <w:rPr>
                <w:bCs/>
                <w:color w:val="4C4747"/>
                <w:sz w:val="19"/>
                <w:szCs w:val="19"/>
                <w:lang w:val="es-DO"/>
              </w:rPr>
              <w:t>Ayudas y donaciones programadas a hogares y personas</w:t>
            </w:r>
          </w:p>
        </w:tc>
        <w:tc>
          <w:tcPr>
            <w:tcW w:w="2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pPr>
            <w:r>
              <w:rPr>
                <w:color w:val="4C4747"/>
                <w:sz w:val="19"/>
                <w:szCs w:val="19"/>
              </w:rPr>
              <w:t>RD$3,642,235.55</w:t>
            </w:r>
          </w:p>
        </w:tc>
      </w:tr>
      <w:tr w:rsidR="00184CAB">
        <w:tblPrEx>
          <w:tblCellMar>
            <w:top w:w="0" w:type="dxa"/>
            <w:bottom w:w="0" w:type="dxa"/>
          </w:tblCellMar>
        </w:tblPrEx>
        <w:tc>
          <w:tcPr>
            <w:tcW w:w="523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bCs/>
                <w:color w:val="4C4747"/>
                <w:sz w:val="19"/>
                <w:szCs w:val="19"/>
                <w:lang w:val="es-DO"/>
              </w:rPr>
            </w:pPr>
            <w:r>
              <w:rPr>
                <w:bCs/>
                <w:color w:val="4C4747"/>
                <w:sz w:val="19"/>
                <w:szCs w:val="19"/>
                <w:lang w:val="es-DO"/>
              </w:rPr>
              <w:t>Ayudas y donaciones ocasionales a hogares y personas</w:t>
            </w:r>
          </w:p>
        </w:tc>
        <w:tc>
          <w:tcPr>
            <w:tcW w:w="2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pPr>
            <w:r>
              <w:rPr>
                <w:bCs/>
                <w:color w:val="4C4747"/>
                <w:sz w:val="19"/>
                <w:szCs w:val="19"/>
                <w:lang w:val="es-DO"/>
              </w:rPr>
              <w:t>RD$220,809,906.14</w:t>
            </w:r>
          </w:p>
        </w:tc>
      </w:tr>
      <w:tr w:rsidR="00184CAB">
        <w:tblPrEx>
          <w:tblCellMar>
            <w:top w:w="0" w:type="dxa"/>
            <w:bottom w:w="0" w:type="dxa"/>
          </w:tblCellMar>
        </w:tblPrEx>
        <w:tc>
          <w:tcPr>
            <w:tcW w:w="523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bCs/>
                <w:color w:val="4C4747"/>
                <w:sz w:val="19"/>
                <w:szCs w:val="19"/>
                <w:lang w:val="es-DO"/>
              </w:rPr>
            </w:pPr>
            <w:r>
              <w:rPr>
                <w:bCs/>
                <w:color w:val="4C4747"/>
                <w:sz w:val="19"/>
                <w:szCs w:val="19"/>
                <w:lang w:val="es-DO"/>
              </w:rPr>
              <w:t>Becas nacionales</w:t>
            </w:r>
          </w:p>
        </w:tc>
        <w:tc>
          <w:tcPr>
            <w:tcW w:w="2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pPr>
            <w:r>
              <w:rPr>
                <w:bCs/>
                <w:color w:val="4C4747"/>
                <w:sz w:val="19"/>
                <w:szCs w:val="19"/>
                <w:lang w:val="es-DO"/>
              </w:rPr>
              <w:t>RD$23,985,918.28</w:t>
            </w:r>
          </w:p>
        </w:tc>
      </w:tr>
      <w:tr w:rsidR="00184CAB">
        <w:tblPrEx>
          <w:tblCellMar>
            <w:top w:w="0" w:type="dxa"/>
            <w:bottom w:w="0" w:type="dxa"/>
          </w:tblCellMar>
        </w:tblPrEx>
        <w:tc>
          <w:tcPr>
            <w:tcW w:w="523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bCs/>
                <w:color w:val="4C4747"/>
                <w:sz w:val="19"/>
                <w:szCs w:val="19"/>
                <w:lang w:val="es-DO"/>
              </w:rPr>
            </w:pPr>
            <w:r>
              <w:rPr>
                <w:bCs/>
                <w:color w:val="4C4747"/>
                <w:sz w:val="19"/>
                <w:szCs w:val="19"/>
                <w:lang w:val="es-DO"/>
              </w:rPr>
              <w:t>Becas extranjeras</w:t>
            </w:r>
          </w:p>
        </w:tc>
        <w:tc>
          <w:tcPr>
            <w:tcW w:w="266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pPr>
            <w:r>
              <w:rPr>
                <w:bCs/>
                <w:color w:val="4C4747"/>
                <w:sz w:val="19"/>
                <w:szCs w:val="19"/>
                <w:lang w:val="es-DO"/>
              </w:rPr>
              <w:t>RD$14,432,405.26</w:t>
            </w:r>
          </w:p>
        </w:tc>
      </w:tr>
      <w:tr w:rsidR="00184CAB">
        <w:tblPrEx>
          <w:tblCellMar>
            <w:top w:w="0" w:type="dxa"/>
            <w:bottom w:w="0" w:type="dxa"/>
          </w:tblCellMar>
        </w:tblPrEx>
        <w:tc>
          <w:tcPr>
            <w:tcW w:w="5235"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both"/>
              <w:rPr>
                <w:b/>
                <w:bCs/>
                <w:color w:val="FFFFFF"/>
                <w:sz w:val="19"/>
                <w:szCs w:val="19"/>
                <w:lang w:val="es-DO"/>
              </w:rPr>
            </w:pPr>
            <w:proofErr w:type="gramStart"/>
            <w:r>
              <w:rPr>
                <w:b/>
                <w:bCs/>
                <w:color w:val="FFFFFF"/>
                <w:sz w:val="19"/>
                <w:szCs w:val="19"/>
                <w:lang w:val="es-DO"/>
              </w:rPr>
              <w:t>Total</w:t>
            </w:r>
            <w:proofErr w:type="gramEnd"/>
            <w:r>
              <w:rPr>
                <w:b/>
                <w:bCs/>
                <w:color w:val="FFFFFF"/>
                <w:sz w:val="19"/>
                <w:szCs w:val="19"/>
                <w:lang w:val="es-DO"/>
              </w:rPr>
              <w:t xml:space="preserve"> ejecutado </w:t>
            </w:r>
          </w:p>
        </w:tc>
        <w:tc>
          <w:tcPr>
            <w:tcW w:w="2665"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both"/>
            </w:pPr>
            <w:r>
              <w:rPr>
                <w:b/>
                <w:bCs/>
                <w:color w:val="FFFFFF"/>
                <w:sz w:val="19"/>
                <w:szCs w:val="19"/>
                <w:lang w:val="es-DO"/>
              </w:rPr>
              <w:t>RD$262,870,465.23</w:t>
            </w:r>
          </w:p>
        </w:tc>
      </w:tr>
    </w:tbl>
    <w:p w:rsidR="00184CAB" w:rsidRDefault="002B1930">
      <w:pPr>
        <w:spacing w:line="240" w:lineRule="auto"/>
        <w:jc w:val="both"/>
        <w:rPr>
          <w:i/>
          <w:color w:val="4C4747"/>
          <w:sz w:val="18"/>
          <w:szCs w:val="18"/>
          <w:lang w:val="es-DO"/>
        </w:rPr>
      </w:pPr>
      <w:r>
        <w:rPr>
          <w:i/>
          <w:color w:val="4C4747"/>
          <w:sz w:val="18"/>
          <w:szCs w:val="18"/>
          <w:lang w:val="es-DO"/>
        </w:rPr>
        <w:t>Fuente: Informe anual 2025, Dirección Financiera, Ministerio Administrativo de la Presidencia.</w:t>
      </w:r>
    </w:p>
    <w:p w:rsidR="00184CAB" w:rsidRDefault="00184CAB">
      <w:pPr>
        <w:spacing w:line="240" w:lineRule="auto"/>
        <w:jc w:val="both"/>
        <w:rPr>
          <w:i/>
          <w:color w:val="4C4747"/>
          <w:sz w:val="18"/>
          <w:szCs w:val="18"/>
          <w:lang w:val="es-DO"/>
        </w:rPr>
      </w:pPr>
    </w:p>
    <w:tbl>
      <w:tblPr>
        <w:tblW w:w="7900" w:type="dxa"/>
        <w:tblCellMar>
          <w:left w:w="10" w:type="dxa"/>
          <w:right w:w="10" w:type="dxa"/>
        </w:tblCellMar>
        <w:tblLook w:val="0000" w:firstRow="0" w:lastRow="0" w:firstColumn="0" w:lastColumn="0" w:noHBand="0" w:noVBand="0"/>
      </w:tblPr>
      <w:tblGrid>
        <w:gridCol w:w="5093"/>
        <w:gridCol w:w="2807"/>
      </w:tblGrid>
      <w:tr w:rsidR="00184CAB">
        <w:tblPrEx>
          <w:tblCellMar>
            <w:top w:w="0" w:type="dxa"/>
            <w:bottom w:w="0" w:type="dxa"/>
          </w:tblCellMar>
        </w:tblPrEx>
        <w:trPr>
          <w:tblHeader/>
        </w:trPr>
        <w:tc>
          <w:tcPr>
            <w:tcW w:w="7900" w:type="dxa"/>
            <w:gridSpan w:val="2"/>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pPr>
            <w:r>
              <w:rPr>
                <w:b/>
                <w:bCs/>
                <w:color w:val="FFFFFF"/>
                <w:sz w:val="19"/>
                <w:szCs w:val="19"/>
                <w:lang w:val="es-DO"/>
              </w:rPr>
              <w:t xml:space="preserve">Tabla no. 21 sobre relación de </w:t>
            </w:r>
            <w:r>
              <w:rPr>
                <w:b/>
                <w:bCs/>
                <w:color w:val="FFFFFF"/>
                <w:sz w:val="19"/>
                <w:szCs w:val="19"/>
              </w:rPr>
              <w:t xml:space="preserve">Aportes Humanitarios por Cheques </w:t>
            </w:r>
            <w:r>
              <w:rPr>
                <w:b/>
                <w:bCs/>
                <w:color w:val="FFFFFF"/>
                <w:sz w:val="19"/>
                <w:szCs w:val="19"/>
                <w:lang w:val="es-DO"/>
              </w:rPr>
              <w:t>realizados durante el periodo anual 2025</w:t>
            </w:r>
          </w:p>
        </w:tc>
      </w:tr>
      <w:tr w:rsidR="00184CAB">
        <w:tblPrEx>
          <w:tblCellMar>
            <w:top w:w="0" w:type="dxa"/>
            <w:bottom w:w="0" w:type="dxa"/>
          </w:tblCellMar>
        </w:tblPrEx>
        <w:trPr>
          <w:tblHeader/>
        </w:trPr>
        <w:tc>
          <w:tcPr>
            <w:tcW w:w="5093"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rPr>
                <w:b/>
                <w:bCs/>
                <w:color w:val="FFFFFF"/>
                <w:sz w:val="19"/>
                <w:szCs w:val="19"/>
                <w:lang w:val="es-DO"/>
              </w:rPr>
            </w:pPr>
            <w:r>
              <w:rPr>
                <w:b/>
                <w:bCs/>
                <w:color w:val="FFFFFF"/>
                <w:sz w:val="19"/>
                <w:szCs w:val="19"/>
                <w:lang w:val="es-DO"/>
              </w:rPr>
              <w:t>Concepto</w:t>
            </w:r>
          </w:p>
        </w:tc>
        <w:tc>
          <w:tcPr>
            <w:tcW w:w="2807"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rPr>
                <w:b/>
                <w:bCs/>
                <w:color w:val="FFFFFF"/>
                <w:sz w:val="19"/>
                <w:szCs w:val="19"/>
                <w:lang w:val="es-DO"/>
              </w:rPr>
            </w:pPr>
            <w:r>
              <w:rPr>
                <w:b/>
                <w:bCs/>
                <w:color w:val="FFFFFF"/>
                <w:sz w:val="19"/>
                <w:szCs w:val="19"/>
                <w:lang w:val="es-DO"/>
              </w:rPr>
              <w:t>Monto</w:t>
            </w:r>
          </w:p>
        </w:tc>
      </w:tr>
      <w:tr w:rsidR="00184CAB">
        <w:tblPrEx>
          <w:tblCellMar>
            <w:top w:w="0" w:type="dxa"/>
            <w:bottom w:w="0" w:type="dxa"/>
          </w:tblCellMar>
        </w:tblPrEx>
        <w:tc>
          <w:tcPr>
            <w:tcW w:w="50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bCs/>
                <w:color w:val="4B4747"/>
                <w:sz w:val="19"/>
                <w:szCs w:val="19"/>
                <w:lang w:val="es-DO"/>
              </w:rPr>
            </w:pPr>
            <w:r>
              <w:rPr>
                <w:bCs/>
                <w:color w:val="4B4747"/>
                <w:sz w:val="19"/>
                <w:szCs w:val="19"/>
                <w:lang w:val="es-DO"/>
              </w:rPr>
              <w:t>Ayudas y donaciones programadas a hogares y personas</w:t>
            </w:r>
          </w:p>
        </w:tc>
        <w:tc>
          <w:tcPr>
            <w:tcW w:w="280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pPr>
            <w:r>
              <w:rPr>
                <w:color w:val="4B4747"/>
                <w:sz w:val="19"/>
                <w:szCs w:val="19"/>
              </w:rPr>
              <w:t>RD$350,000.00</w:t>
            </w:r>
          </w:p>
        </w:tc>
      </w:tr>
      <w:tr w:rsidR="00184CAB">
        <w:tblPrEx>
          <w:tblCellMar>
            <w:top w:w="0" w:type="dxa"/>
            <w:bottom w:w="0" w:type="dxa"/>
          </w:tblCellMar>
        </w:tblPrEx>
        <w:tc>
          <w:tcPr>
            <w:tcW w:w="50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bCs/>
                <w:color w:val="4B4747"/>
                <w:sz w:val="19"/>
                <w:szCs w:val="19"/>
                <w:lang w:val="es-DO"/>
              </w:rPr>
            </w:pPr>
            <w:r>
              <w:rPr>
                <w:bCs/>
                <w:color w:val="4B4747"/>
                <w:sz w:val="19"/>
                <w:szCs w:val="19"/>
                <w:lang w:val="es-DO"/>
              </w:rPr>
              <w:lastRenderedPageBreak/>
              <w:t>Ayudas y donaciones ocasionales a hogares y personas</w:t>
            </w:r>
          </w:p>
        </w:tc>
        <w:tc>
          <w:tcPr>
            <w:tcW w:w="280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pPr>
            <w:r>
              <w:rPr>
                <w:color w:val="4B4747"/>
                <w:sz w:val="19"/>
                <w:szCs w:val="19"/>
              </w:rPr>
              <w:t>RD$3,344,001.36</w:t>
            </w:r>
          </w:p>
        </w:tc>
      </w:tr>
      <w:tr w:rsidR="00184CAB">
        <w:tblPrEx>
          <w:tblCellMar>
            <w:top w:w="0" w:type="dxa"/>
            <w:bottom w:w="0" w:type="dxa"/>
          </w:tblCellMar>
        </w:tblPrEx>
        <w:tc>
          <w:tcPr>
            <w:tcW w:w="50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bCs/>
                <w:color w:val="4B4747"/>
                <w:sz w:val="19"/>
                <w:szCs w:val="19"/>
                <w:lang w:val="es-DO"/>
              </w:rPr>
            </w:pPr>
            <w:r>
              <w:rPr>
                <w:bCs/>
                <w:color w:val="4B4747"/>
                <w:sz w:val="19"/>
                <w:szCs w:val="19"/>
                <w:lang w:val="es-DO"/>
              </w:rPr>
              <w:t>Becas nacionales</w:t>
            </w:r>
          </w:p>
        </w:tc>
        <w:tc>
          <w:tcPr>
            <w:tcW w:w="280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pPr>
            <w:r>
              <w:rPr>
                <w:color w:val="4B4747"/>
                <w:sz w:val="19"/>
                <w:szCs w:val="19"/>
              </w:rPr>
              <w:t>RD$14,960.00</w:t>
            </w:r>
          </w:p>
        </w:tc>
      </w:tr>
      <w:tr w:rsidR="00184CAB">
        <w:tblPrEx>
          <w:tblCellMar>
            <w:top w:w="0" w:type="dxa"/>
            <w:bottom w:w="0" w:type="dxa"/>
          </w:tblCellMar>
        </w:tblPrEx>
        <w:tc>
          <w:tcPr>
            <w:tcW w:w="50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bCs/>
                <w:color w:val="4B4747"/>
                <w:sz w:val="19"/>
                <w:szCs w:val="19"/>
                <w:lang w:val="es-DO"/>
              </w:rPr>
            </w:pPr>
            <w:r>
              <w:rPr>
                <w:bCs/>
                <w:color w:val="4B4747"/>
                <w:sz w:val="19"/>
                <w:szCs w:val="19"/>
                <w:lang w:val="es-DO"/>
              </w:rPr>
              <w:t>Becas extranjeras</w:t>
            </w:r>
          </w:p>
        </w:tc>
        <w:tc>
          <w:tcPr>
            <w:tcW w:w="280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pPr>
            <w:r>
              <w:rPr>
                <w:color w:val="4B4747"/>
                <w:sz w:val="19"/>
                <w:szCs w:val="19"/>
              </w:rPr>
              <w:t>RD$0.00</w:t>
            </w:r>
          </w:p>
        </w:tc>
      </w:tr>
      <w:tr w:rsidR="00184CAB">
        <w:tblPrEx>
          <w:tblCellMar>
            <w:top w:w="0" w:type="dxa"/>
            <w:bottom w:w="0" w:type="dxa"/>
          </w:tblCellMar>
        </w:tblPrEx>
        <w:tc>
          <w:tcPr>
            <w:tcW w:w="5093"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rPr>
                <w:b/>
                <w:bCs/>
                <w:color w:val="FFFFFF"/>
                <w:sz w:val="19"/>
                <w:szCs w:val="19"/>
              </w:rPr>
            </w:pPr>
            <w:proofErr w:type="gramStart"/>
            <w:r>
              <w:rPr>
                <w:b/>
                <w:bCs/>
                <w:color w:val="FFFFFF"/>
                <w:sz w:val="19"/>
                <w:szCs w:val="19"/>
              </w:rPr>
              <w:t>Total</w:t>
            </w:r>
            <w:proofErr w:type="gramEnd"/>
            <w:r>
              <w:rPr>
                <w:b/>
                <w:bCs/>
                <w:color w:val="FFFFFF"/>
                <w:sz w:val="19"/>
                <w:szCs w:val="19"/>
              </w:rPr>
              <w:t xml:space="preserve"> ejecutado </w:t>
            </w:r>
          </w:p>
        </w:tc>
        <w:tc>
          <w:tcPr>
            <w:tcW w:w="2807"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rPr>
                <w:b/>
                <w:color w:val="FFFFFF"/>
                <w:sz w:val="19"/>
                <w:szCs w:val="19"/>
              </w:rPr>
            </w:pPr>
            <w:r>
              <w:rPr>
                <w:b/>
                <w:color w:val="FFFFFF"/>
                <w:sz w:val="19"/>
                <w:szCs w:val="19"/>
              </w:rPr>
              <w:t>RD$3,708,961.36</w:t>
            </w:r>
          </w:p>
        </w:tc>
      </w:tr>
    </w:tbl>
    <w:p w:rsidR="00184CAB" w:rsidRDefault="002B1930">
      <w:pPr>
        <w:spacing w:line="240" w:lineRule="auto"/>
        <w:jc w:val="both"/>
        <w:rPr>
          <w:i/>
          <w:color w:val="4C4747"/>
          <w:sz w:val="18"/>
          <w:lang w:val="es-DO"/>
        </w:rPr>
      </w:pPr>
      <w:r>
        <w:rPr>
          <w:i/>
          <w:color w:val="4C4747"/>
          <w:sz w:val="18"/>
          <w:lang w:val="es-DO"/>
        </w:rPr>
        <w:t xml:space="preserve">Fuente: Informe anual </w:t>
      </w:r>
      <w:r>
        <w:rPr>
          <w:i/>
          <w:color w:val="4C4747"/>
          <w:sz w:val="18"/>
          <w:lang w:val="es-DO"/>
        </w:rPr>
        <w:t>2025, Dirección Financiera, Ministerio Administrativo de la Presidencia.</w:t>
      </w:r>
    </w:p>
    <w:tbl>
      <w:tblPr>
        <w:tblW w:w="7900" w:type="dxa"/>
        <w:tblCellMar>
          <w:left w:w="10" w:type="dxa"/>
          <w:right w:w="10" w:type="dxa"/>
        </w:tblCellMar>
        <w:tblLook w:val="0000" w:firstRow="0" w:lastRow="0" w:firstColumn="0" w:lastColumn="0" w:noHBand="0" w:noVBand="0"/>
      </w:tblPr>
      <w:tblGrid>
        <w:gridCol w:w="5093"/>
        <w:gridCol w:w="2807"/>
      </w:tblGrid>
      <w:tr w:rsidR="00184CAB">
        <w:tblPrEx>
          <w:tblCellMar>
            <w:top w:w="0" w:type="dxa"/>
            <w:bottom w:w="0" w:type="dxa"/>
          </w:tblCellMar>
        </w:tblPrEx>
        <w:trPr>
          <w:tblHeader/>
        </w:trPr>
        <w:tc>
          <w:tcPr>
            <w:tcW w:w="7900" w:type="dxa"/>
            <w:gridSpan w:val="2"/>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pPr>
            <w:r>
              <w:rPr>
                <w:b/>
                <w:bCs/>
                <w:color w:val="FFFFFF"/>
                <w:sz w:val="19"/>
                <w:szCs w:val="19"/>
                <w:lang w:val="es-DO"/>
              </w:rPr>
              <w:t xml:space="preserve">Tabla no. 22 sobre relación de </w:t>
            </w:r>
            <w:r>
              <w:rPr>
                <w:b/>
                <w:bCs/>
                <w:color w:val="FFFFFF"/>
                <w:sz w:val="19"/>
                <w:szCs w:val="19"/>
              </w:rPr>
              <w:t xml:space="preserve">Aportes Humanitarios por Transferencias </w:t>
            </w:r>
            <w:r>
              <w:rPr>
                <w:b/>
                <w:bCs/>
                <w:color w:val="FFFFFF"/>
                <w:sz w:val="19"/>
                <w:szCs w:val="19"/>
                <w:lang w:val="es-DO"/>
              </w:rPr>
              <w:t>realizados durante el periodo anual 2025</w:t>
            </w:r>
          </w:p>
        </w:tc>
      </w:tr>
      <w:tr w:rsidR="00184CAB">
        <w:tblPrEx>
          <w:tblCellMar>
            <w:top w:w="0" w:type="dxa"/>
            <w:bottom w:w="0" w:type="dxa"/>
          </w:tblCellMar>
        </w:tblPrEx>
        <w:trPr>
          <w:tblHeader/>
        </w:trPr>
        <w:tc>
          <w:tcPr>
            <w:tcW w:w="5093"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rPr>
                <w:b/>
                <w:bCs/>
                <w:color w:val="FFFFFF"/>
                <w:sz w:val="19"/>
                <w:szCs w:val="19"/>
                <w:lang w:val="es-DO"/>
              </w:rPr>
            </w:pPr>
            <w:r>
              <w:rPr>
                <w:b/>
                <w:bCs/>
                <w:color w:val="FFFFFF"/>
                <w:sz w:val="19"/>
                <w:szCs w:val="19"/>
                <w:lang w:val="es-DO"/>
              </w:rPr>
              <w:t>Concepto</w:t>
            </w:r>
          </w:p>
        </w:tc>
        <w:tc>
          <w:tcPr>
            <w:tcW w:w="2807"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rPr>
                <w:b/>
                <w:bCs/>
                <w:color w:val="FFFFFF"/>
                <w:sz w:val="19"/>
                <w:szCs w:val="19"/>
                <w:lang w:val="es-DO"/>
              </w:rPr>
            </w:pPr>
            <w:r>
              <w:rPr>
                <w:b/>
                <w:bCs/>
                <w:color w:val="FFFFFF"/>
                <w:sz w:val="19"/>
                <w:szCs w:val="19"/>
                <w:lang w:val="es-DO"/>
              </w:rPr>
              <w:t>Monto</w:t>
            </w:r>
          </w:p>
        </w:tc>
      </w:tr>
      <w:tr w:rsidR="00184CAB">
        <w:tblPrEx>
          <w:tblCellMar>
            <w:top w:w="0" w:type="dxa"/>
            <w:bottom w:w="0" w:type="dxa"/>
          </w:tblCellMar>
        </w:tblPrEx>
        <w:tc>
          <w:tcPr>
            <w:tcW w:w="50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bCs/>
                <w:color w:val="4B4747"/>
                <w:sz w:val="19"/>
                <w:szCs w:val="19"/>
                <w:lang w:val="es-DO"/>
              </w:rPr>
            </w:pPr>
            <w:r>
              <w:rPr>
                <w:bCs/>
                <w:color w:val="4B4747"/>
                <w:sz w:val="19"/>
                <w:szCs w:val="19"/>
                <w:lang w:val="es-DO"/>
              </w:rPr>
              <w:t>Ayudas y donaciones programadas a hogares y personas</w:t>
            </w:r>
          </w:p>
        </w:tc>
        <w:tc>
          <w:tcPr>
            <w:tcW w:w="280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RD$4,592,521.61</w:t>
            </w:r>
          </w:p>
        </w:tc>
      </w:tr>
      <w:tr w:rsidR="00184CAB">
        <w:tblPrEx>
          <w:tblCellMar>
            <w:top w:w="0" w:type="dxa"/>
            <w:bottom w:w="0" w:type="dxa"/>
          </w:tblCellMar>
        </w:tblPrEx>
        <w:tc>
          <w:tcPr>
            <w:tcW w:w="50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bCs/>
                <w:color w:val="4B4747"/>
                <w:sz w:val="19"/>
                <w:szCs w:val="19"/>
                <w:lang w:val="es-DO"/>
              </w:rPr>
            </w:pPr>
            <w:r>
              <w:rPr>
                <w:bCs/>
                <w:color w:val="4B4747"/>
                <w:sz w:val="19"/>
                <w:szCs w:val="19"/>
                <w:lang w:val="es-DO"/>
              </w:rPr>
              <w:t>Ayudas y donaciones ocasionales a hogares y personas</w:t>
            </w:r>
          </w:p>
        </w:tc>
        <w:tc>
          <w:tcPr>
            <w:tcW w:w="280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RD$449,003,836.78</w:t>
            </w:r>
          </w:p>
        </w:tc>
      </w:tr>
      <w:tr w:rsidR="00184CAB">
        <w:tblPrEx>
          <w:tblCellMar>
            <w:top w:w="0" w:type="dxa"/>
            <w:bottom w:w="0" w:type="dxa"/>
          </w:tblCellMar>
        </w:tblPrEx>
        <w:tc>
          <w:tcPr>
            <w:tcW w:w="50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bCs/>
                <w:color w:val="4B4747"/>
                <w:sz w:val="19"/>
                <w:szCs w:val="19"/>
                <w:lang w:val="es-DO"/>
              </w:rPr>
            </w:pPr>
            <w:r>
              <w:rPr>
                <w:bCs/>
                <w:color w:val="4B4747"/>
                <w:sz w:val="19"/>
                <w:szCs w:val="19"/>
                <w:lang w:val="es-DO"/>
              </w:rPr>
              <w:t>Becas nacionales</w:t>
            </w:r>
          </w:p>
        </w:tc>
        <w:tc>
          <w:tcPr>
            <w:tcW w:w="280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RD$20,943,727.10</w:t>
            </w:r>
          </w:p>
        </w:tc>
      </w:tr>
      <w:tr w:rsidR="00184CAB">
        <w:tblPrEx>
          <w:tblCellMar>
            <w:top w:w="0" w:type="dxa"/>
            <w:bottom w:w="0" w:type="dxa"/>
          </w:tblCellMar>
        </w:tblPrEx>
        <w:tc>
          <w:tcPr>
            <w:tcW w:w="50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bCs/>
                <w:color w:val="4B4747"/>
                <w:sz w:val="19"/>
                <w:szCs w:val="19"/>
                <w:lang w:val="es-DO"/>
              </w:rPr>
            </w:pPr>
            <w:r>
              <w:rPr>
                <w:bCs/>
                <w:color w:val="4B4747"/>
                <w:sz w:val="19"/>
                <w:szCs w:val="19"/>
                <w:lang w:val="es-DO"/>
              </w:rPr>
              <w:t>Becas extranjeras</w:t>
            </w:r>
          </w:p>
        </w:tc>
        <w:tc>
          <w:tcPr>
            <w:tcW w:w="280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color w:val="4B4747"/>
                <w:sz w:val="19"/>
                <w:szCs w:val="19"/>
              </w:rPr>
            </w:pPr>
            <w:r>
              <w:rPr>
                <w:color w:val="4B4747"/>
                <w:sz w:val="19"/>
                <w:szCs w:val="19"/>
              </w:rPr>
              <w:t>RD$118,769,388.94</w:t>
            </w:r>
          </w:p>
        </w:tc>
      </w:tr>
      <w:tr w:rsidR="00184CAB">
        <w:tblPrEx>
          <w:tblCellMar>
            <w:top w:w="0" w:type="dxa"/>
            <w:bottom w:w="0" w:type="dxa"/>
          </w:tblCellMar>
        </w:tblPrEx>
        <w:tc>
          <w:tcPr>
            <w:tcW w:w="5093"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rPr>
                <w:b/>
                <w:bCs/>
                <w:color w:val="FFFFFF"/>
                <w:sz w:val="19"/>
                <w:szCs w:val="19"/>
              </w:rPr>
            </w:pPr>
            <w:proofErr w:type="gramStart"/>
            <w:r>
              <w:rPr>
                <w:b/>
                <w:bCs/>
                <w:color w:val="FFFFFF"/>
                <w:sz w:val="19"/>
                <w:szCs w:val="19"/>
              </w:rPr>
              <w:t>Total</w:t>
            </w:r>
            <w:proofErr w:type="gramEnd"/>
            <w:r>
              <w:rPr>
                <w:b/>
                <w:bCs/>
                <w:color w:val="FFFFFF"/>
                <w:sz w:val="19"/>
                <w:szCs w:val="19"/>
              </w:rPr>
              <w:t xml:space="preserve"> ejecutado </w:t>
            </w:r>
          </w:p>
        </w:tc>
        <w:tc>
          <w:tcPr>
            <w:tcW w:w="2807"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rPr>
                <w:b/>
                <w:color w:val="FFFFFF"/>
                <w:sz w:val="19"/>
                <w:szCs w:val="19"/>
              </w:rPr>
            </w:pPr>
            <w:r>
              <w:rPr>
                <w:b/>
                <w:color w:val="FFFFFF"/>
                <w:sz w:val="19"/>
                <w:szCs w:val="19"/>
              </w:rPr>
              <w:t>RD$593,309,474.43</w:t>
            </w:r>
          </w:p>
        </w:tc>
      </w:tr>
    </w:tbl>
    <w:p w:rsidR="00184CAB" w:rsidRDefault="002B1930">
      <w:pPr>
        <w:spacing w:line="240" w:lineRule="auto"/>
        <w:jc w:val="both"/>
        <w:rPr>
          <w:i/>
          <w:color w:val="4C4747"/>
          <w:sz w:val="18"/>
          <w:lang w:val="es-DO"/>
        </w:rPr>
      </w:pPr>
      <w:r>
        <w:rPr>
          <w:i/>
          <w:color w:val="4C4747"/>
          <w:sz w:val="18"/>
          <w:lang w:val="es-DO"/>
        </w:rPr>
        <w:t xml:space="preserve">Fuente: Informe anual 2025, Dirección Financiera, </w:t>
      </w:r>
      <w:r>
        <w:rPr>
          <w:i/>
          <w:color w:val="4C4747"/>
          <w:sz w:val="18"/>
          <w:lang w:val="es-DO"/>
        </w:rPr>
        <w:t>Ministerio Administrativo de la Presidencia.</w:t>
      </w:r>
    </w:p>
    <w:p w:rsidR="00184CAB" w:rsidRDefault="002B1930">
      <w:pPr>
        <w:spacing w:line="360" w:lineRule="auto"/>
        <w:jc w:val="both"/>
        <w:rPr>
          <w:color w:val="4C4747"/>
        </w:rPr>
      </w:pPr>
      <w:r>
        <w:rPr>
          <w:color w:val="4C4747"/>
        </w:rPr>
        <w:t xml:space="preserve">En </w:t>
      </w:r>
      <w:bookmarkStart w:id="110" w:name="_Hlk217897406"/>
      <w:r>
        <w:rPr>
          <w:color w:val="4C4747"/>
        </w:rPr>
        <w:t>el Indicador de Gestión Presupuestaria (IGP)</w:t>
      </w:r>
      <w:bookmarkEnd w:id="110"/>
      <w:r>
        <w:rPr>
          <w:color w:val="4C4747"/>
        </w:rPr>
        <w:t xml:space="preserve">, el MAPRE mantuvo reporte de este subindicador, logrando un 93% hasta el mes de noviembre. </w:t>
      </w:r>
    </w:p>
    <w:p w:rsidR="00184CAB" w:rsidRDefault="002B1930">
      <w:pPr>
        <w:spacing w:line="360" w:lineRule="auto"/>
        <w:rPr>
          <w:b/>
          <w:color w:val="4C4747"/>
        </w:rPr>
      </w:pPr>
      <w:r>
        <w:rPr>
          <w:b/>
          <w:color w:val="4C4747"/>
        </w:rPr>
        <w:t>Proyecciones para cierre de año:</w:t>
      </w:r>
    </w:p>
    <w:p w:rsidR="00184CAB" w:rsidRDefault="002B1930">
      <w:pPr>
        <w:spacing w:line="360" w:lineRule="auto"/>
        <w:jc w:val="both"/>
        <w:rPr>
          <w:color w:val="4C4747"/>
        </w:rPr>
      </w:pPr>
      <w:r>
        <w:rPr>
          <w:color w:val="4C4747"/>
        </w:rPr>
        <w:t xml:space="preserve">Se proyecta para el cierre de </w:t>
      </w:r>
      <w:r>
        <w:rPr>
          <w:color w:val="4C4747"/>
        </w:rPr>
        <w:t>diciembre, el Indicador de Gestión Presupuestaria (IGP) se mantenga con un porcentaje de 93%.</w:t>
      </w:r>
    </w:p>
    <w:p w:rsidR="00184CAB" w:rsidRDefault="002B1930">
      <w:pPr>
        <w:spacing w:line="360" w:lineRule="auto"/>
        <w:jc w:val="both"/>
      </w:pPr>
      <w:r>
        <w:rPr>
          <w:color w:val="4C4747"/>
        </w:rPr>
        <w:t xml:space="preserve">La Dirección Financiera espera cerrar el año con </w:t>
      </w:r>
      <w:r>
        <w:rPr>
          <w:bCs/>
          <w:color w:val="4C4747"/>
        </w:rPr>
        <w:t>4 puntos porcentuales por encima del cierre del 2024</w:t>
      </w:r>
      <w:r>
        <w:rPr>
          <w:color w:val="4C4747"/>
        </w:rPr>
        <w:t>, evidenciando una mayor eficiencia en la programación del ga</w:t>
      </w:r>
      <w:r>
        <w:rPr>
          <w:color w:val="4C4747"/>
        </w:rPr>
        <w:t>sto, una mejora en el ritmo de ejecución y una consolidación de los mecanismos de control y seguimiento presupuestario.</w:t>
      </w:r>
    </w:p>
    <w:p w:rsidR="00184CAB" w:rsidRDefault="00184CAB">
      <w:pPr>
        <w:spacing w:line="360" w:lineRule="auto"/>
        <w:jc w:val="both"/>
      </w:pPr>
    </w:p>
    <w:p w:rsidR="00184CAB" w:rsidRDefault="00184CAB">
      <w:pPr>
        <w:spacing w:line="360" w:lineRule="auto"/>
        <w:jc w:val="both"/>
      </w:pPr>
    </w:p>
    <w:p w:rsidR="00184CAB" w:rsidRDefault="00184CAB">
      <w:pPr>
        <w:spacing w:line="360" w:lineRule="auto"/>
        <w:jc w:val="both"/>
      </w:pPr>
    </w:p>
    <w:p w:rsidR="00184CAB" w:rsidRDefault="002B1930">
      <w:pPr>
        <w:pStyle w:val="Ttulo2"/>
        <w:numPr>
          <w:ilvl w:val="1"/>
          <w:numId w:val="23"/>
        </w:numPr>
        <w:spacing w:line="360" w:lineRule="auto"/>
        <w:rPr>
          <w:rFonts w:eastAsia="Calibri"/>
          <w:b/>
          <w:color w:val="4C4747"/>
          <w:szCs w:val="24"/>
        </w:rPr>
      </w:pPr>
      <w:bookmarkStart w:id="111" w:name="_Toc217043959"/>
      <w:bookmarkStart w:id="112" w:name="_Toc217907931"/>
      <w:bookmarkStart w:id="113" w:name="_Toc217914431"/>
      <w:r>
        <w:rPr>
          <w:rFonts w:eastAsia="Calibri"/>
          <w:b/>
          <w:color w:val="4C4747"/>
          <w:szCs w:val="24"/>
        </w:rPr>
        <w:lastRenderedPageBreak/>
        <w:t>Desempeño de la Dirección de Recursos Humanos</w:t>
      </w:r>
      <w:bookmarkEnd w:id="111"/>
      <w:bookmarkEnd w:id="112"/>
      <w:bookmarkEnd w:id="113"/>
    </w:p>
    <w:p w:rsidR="00184CAB" w:rsidRDefault="00184CAB">
      <w:pPr>
        <w:spacing w:line="360" w:lineRule="auto"/>
        <w:rPr>
          <w:color w:val="4C4747"/>
        </w:rPr>
      </w:pPr>
    </w:p>
    <w:p w:rsidR="00184CAB" w:rsidRDefault="002B1930">
      <w:pPr>
        <w:spacing w:line="360" w:lineRule="auto"/>
        <w:jc w:val="both"/>
      </w:pPr>
      <w:r>
        <w:rPr>
          <w:b/>
          <w:color w:val="4C4747"/>
          <w:lang w:val="es-ES"/>
        </w:rPr>
        <w:t>Plan Anual de Capacitación.</w:t>
      </w:r>
      <w:r>
        <w:rPr>
          <w:color w:val="4C4747"/>
          <w:lang w:val="es-ES"/>
        </w:rPr>
        <w:t xml:space="preserve"> En la gestión del periodo 2025 han sido beneficiados con a</w:t>
      </w:r>
      <w:r>
        <w:rPr>
          <w:color w:val="4C4747"/>
          <w:lang w:val="es-ES"/>
        </w:rPr>
        <w:t>ctividades formativas y capacitaciones 316 colaboradores(as). Las capacitaciones realizadas se realizaron en el marco de las necesidades de los colaboradores internos. En el siguiente gráfico se observan las formaciones y el resultado de su ejecución:</w:t>
      </w:r>
    </w:p>
    <w:tbl>
      <w:tblPr>
        <w:tblW w:w="8112" w:type="dxa"/>
        <w:tblInd w:w="-3" w:type="dxa"/>
        <w:tblCellMar>
          <w:left w:w="10" w:type="dxa"/>
          <w:right w:w="10" w:type="dxa"/>
        </w:tblCellMar>
        <w:tblLook w:val="0000" w:firstRow="0" w:lastRow="0" w:firstColumn="0" w:lastColumn="0" w:noHBand="0" w:noVBand="0"/>
      </w:tblPr>
      <w:tblGrid>
        <w:gridCol w:w="4671"/>
        <w:gridCol w:w="3441"/>
      </w:tblGrid>
      <w:tr w:rsidR="00184CAB">
        <w:tblPrEx>
          <w:tblCellMar>
            <w:top w:w="0" w:type="dxa"/>
            <w:bottom w:w="0" w:type="dxa"/>
          </w:tblCellMar>
        </w:tblPrEx>
        <w:trPr>
          <w:trHeight w:val="485"/>
          <w:tblHeader/>
        </w:trPr>
        <w:tc>
          <w:tcPr>
            <w:tcW w:w="8112" w:type="dxa"/>
            <w:gridSpan w:val="2"/>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Tabl</w:t>
            </w:r>
            <w:r>
              <w:rPr>
                <w:b/>
                <w:color w:val="FFFFFF"/>
                <w:sz w:val="19"/>
                <w:szCs w:val="19"/>
              </w:rPr>
              <w:t>a no. 23 de Relación de Servidores Públicos Beneficiados por capacitación durante el periodo anual del 2025</w:t>
            </w:r>
          </w:p>
        </w:tc>
      </w:tr>
      <w:tr w:rsidR="00184CAB">
        <w:tblPrEx>
          <w:tblCellMar>
            <w:top w:w="0" w:type="dxa"/>
            <w:bottom w:w="0" w:type="dxa"/>
          </w:tblCellMar>
        </w:tblPrEx>
        <w:trPr>
          <w:trHeight w:val="485"/>
          <w:tblHeader/>
        </w:trPr>
        <w:tc>
          <w:tcPr>
            <w:tcW w:w="4671" w:type="dxa"/>
            <w:tcBorders>
              <w:top w:val="single" w:sz="8" w:space="0" w:color="000000"/>
              <w:left w:val="single" w:sz="8" w:space="0" w:color="000000"/>
              <w:bottom w:val="single" w:sz="8" w:space="0" w:color="000000"/>
              <w:right w:val="single" w:sz="8" w:space="0" w:color="000000"/>
            </w:tcBorders>
            <w:shd w:val="clear" w:color="auto" w:fill="002060"/>
            <w:noWrap/>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Actividad Formativa</w:t>
            </w:r>
          </w:p>
        </w:tc>
        <w:tc>
          <w:tcPr>
            <w:tcW w:w="3441" w:type="dxa"/>
            <w:tcBorders>
              <w:top w:val="single" w:sz="8" w:space="0" w:color="000000"/>
              <w:right w:val="single" w:sz="8" w:space="0" w:color="000000"/>
            </w:tcBorders>
            <w:shd w:val="clear" w:color="auto" w:fill="002060"/>
            <w:noWrap/>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Cantidad de beneficiados por capacitación</w:t>
            </w:r>
          </w:p>
        </w:tc>
      </w:tr>
      <w:tr w:rsidR="00184CAB">
        <w:tblPrEx>
          <w:tblCellMar>
            <w:top w:w="0" w:type="dxa"/>
            <w:bottom w:w="0" w:type="dxa"/>
          </w:tblCellMar>
        </w:tblPrEx>
        <w:trPr>
          <w:trHeight w:val="432"/>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Curso de Protocolo, Organización de Eventos y Etiqueta</w:t>
            </w:r>
          </w:p>
        </w:tc>
        <w:tc>
          <w:tcPr>
            <w:tcW w:w="3441" w:type="dxa"/>
            <w:tcBorders>
              <w:top w:val="single" w:sz="8" w:space="0" w:color="000000"/>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2</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 xml:space="preserve">Diplomado en Derecho </w:t>
            </w:r>
            <w:r>
              <w:rPr>
                <w:color w:val="4C4747"/>
                <w:sz w:val="19"/>
                <w:szCs w:val="19"/>
              </w:rPr>
              <w:t>Administrativo</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2</w:t>
            </w:r>
          </w:p>
        </w:tc>
      </w:tr>
      <w:tr w:rsidR="00184CAB">
        <w:tblPrEx>
          <w:tblCellMar>
            <w:top w:w="0" w:type="dxa"/>
            <w:bottom w:w="0" w:type="dxa"/>
          </w:tblCellMar>
        </w:tblPrEx>
        <w:trPr>
          <w:trHeight w:val="727"/>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Curso Fundamentos del Sistema de Presupuesto Público</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5</w:t>
            </w:r>
          </w:p>
        </w:tc>
      </w:tr>
      <w:tr w:rsidR="00184CAB">
        <w:tblPrEx>
          <w:tblCellMar>
            <w:top w:w="0" w:type="dxa"/>
            <w:bottom w:w="0" w:type="dxa"/>
          </w:tblCellMar>
        </w:tblPrEx>
        <w:trPr>
          <w:trHeight w:val="242"/>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Curso de Medicina Táctica</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7</w:t>
            </w:r>
          </w:p>
        </w:tc>
      </w:tr>
      <w:tr w:rsidR="00184CAB">
        <w:tblPrEx>
          <w:tblCellMar>
            <w:top w:w="0" w:type="dxa"/>
            <w:bottom w:w="0" w:type="dxa"/>
          </w:tblCellMar>
        </w:tblPrEx>
        <w:trPr>
          <w:trHeight w:val="242"/>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Taller: Básico del SIGEF</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4</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Diplomado en Contabilidad Gubernamental</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w:t>
            </w:r>
          </w:p>
        </w:tc>
      </w:tr>
      <w:tr w:rsidR="00184CAB">
        <w:tblPrEx>
          <w:tblCellMar>
            <w:top w:w="0" w:type="dxa"/>
            <w:bottom w:w="0" w:type="dxa"/>
          </w:tblCellMar>
        </w:tblPrEx>
        <w:trPr>
          <w:trHeight w:val="727"/>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Curso Fundamentos del Sistema Nacional de Compras y Contrataciones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2</w:t>
            </w:r>
          </w:p>
        </w:tc>
      </w:tr>
      <w:tr w:rsidR="00184CAB">
        <w:tblPrEx>
          <w:tblCellMar>
            <w:top w:w="0" w:type="dxa"/>
            <w:bottom w:w="0" w:type="dxa"/>
          </w:tblCellMar>
        </w:tblPrEx>
        <w:trPr>
          <w:trHeight w:val="242"/>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 xml:space="preserve">Curso Excel </w:t>
            </w:r>
            <w:r>
              <w:rPr>
                <w:color w:val="4C4747"/>
                <w:sz w:val="19"/>
                <w:szCs w:val="19"/>
              </w:rPr>
              <w:t>Básico</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22</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Fundamentos del Sistema de Jubilaciones y Pensiones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25</w:t>
            </w:r>
          </w:p>
        </w:tc>
      </w:tr>
      <w:tr w:rsidR="00184CAB">
        <w:tblPrEx>
          <w:tblCellMar>
            <w:top w:w="0" w:type="dxa"/>
            <w:bottom w:w="0" w:type="dxa"/>
          </w:tblCellMar>
        </w:tblPrEx>
        <w:trPr>
          <w:trHeight w:val="299"/>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Fundamentos del Sistema de Tesorería</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w:t>
            </w:r>
          </w:p>
        </w:tc>
      </w:tr>
      <w:tr w:rsidR="00184CAB">
        <w:tblPrEx>
          <w:tblCellMar>
            <w:top w:w="0" w:type="dxa"/>
            <w:bottom w:w="0" w:type="dxa"/>
          </w:tblCellMar>
        </w:tblPrEx>
        <w:trPr>
          <w:trHeight w:val="727"/>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Curso Fundamentos del Sistema Nacional de Compras y Contrataciones Públicas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w:t>
            </w:r>
          </w:p>
        </w:tc>
      </w:tr>
      <w:tr w:rsidR="00184CAB">
        <w:tblPrEx>
          <w:tblCellMar>
            <w:top w:w="0" w:type="dxa"/>
            <w:bottom w:w="0" w:type="dxa"/>
          </w:tblCellMar>
        </w:tblPrEx>
        <w:trPr>
          <w:trHeight w:val="970"/>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 xml:space="preserve">Curso - Taller: Sistema electrónico de compras y contrataciones </w:t>
            </w:r>
            <w:r>
              <w:rPr>
                <w:color w:val="4C4747"/>
                <w:sz w:val="19"/>
                <w:szCs w:val="19"/>
              </w:rPr>
              <w:t>públicas (SECCP)</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3</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Inducción a la Administración Pública</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25</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Bases de Contratación y Rol de los Peritos Técnicos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3</w:t>
            </w:r>
          </w:p>
        </w:tc>
      </w:tr>
      <w:tr w:rsidR="00184CAB">
        <w:tblPrEx>
          <w:tblCellMar>
            <w:top w:w="0" w:type="dxa"/>
            <w:bottom w:w="0" w:type="dxa"/>
          </w:tblCellMar>
        </w:tblPrEx>
        <w:trPr>
          <w:trHeight w:val="727"/>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lastRenderedPageBreak/>
              <w:t>Curso Especializado Gestión de Almacén y Control de Inventarios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7</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Curso Especializado Ortografía y Redacción de Informes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lang w:val="es-ES"/>
              </w:rPr>
            </w:pPr>
            <w:r>
              <w:rPr>
                <w:color w:val="4C4747"/>
                <w:sz w:val="19"/>
                <w:szCs w:val="19"/>
                <w:lang w:val="es-ES"/>
              </w:rPr>
              <w:t>Diplomado Lean</w:t>
            </w:r>
            <w:r>
              <w:rPr>
                <w:color w:val="4C4747"/>
                <w:sz w:val="19"/>
                <w:szCs w:val="19"/>
                <w:lang w:val="es-ES"/>
              </w:rPr>
              <w:t xml:space="preserve"> </w:t>
            </w:r>
            <w:proofErr w:type="spellStart"/>
            <w:r>
              <w:rPr>
                <w:color w:val="4C4747"/>
                <w:sz w:val="19"/>
                <w:szCs w:val="19"/>
                <w:lang w:val="es-ES"/>
              </w:rPr>
              <w:t>Six</w:t>
            </w:r>
            <w:proofErr w:type="spellEnd"/>
            <w:r>
              <w:rPr>
                <w:color w:val="4C4747"/>
                <w:sz w:val="19"/>
                <w:szCs w:val="19"/>
                <w:lang w:val="es-ES"/>
              </w:rPr>
              <w:t>-Sigma y Mejora de Procesos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w:t>
            </w:r>
          </w:p>
        </w:tc>
      </w:tr>
      <w:tr w:rsidR="00184CAB">
        <w:tblPrEx>
          <w:tblCellMar>
            <w:top w:w="0" w:type="dxa"/>
            <w:bottom w:w="0" w:type="dxa"/>
          </w:tblCellMar>
        </w:tblPrEx>
        <w:trPr>
          <w:trHeight w:val="727"/>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lang w:val="es-ES"/>
              </w:rPr>
            </w:pPr>
            <w:r>
              <w:rPr>
                <w:color w:val="4C4747"/>
                <w:sz w:val="19"/>
                <w:szCs w:val="19"/>
                <w:lang w:val="es-ES"/>
              </w:rPr>
              <w:t xml:space="preserve">Curso Especializado Inteligencia de Negocios con Excel y </w:t>
            </w:r>
            <w:proofErr w:type="spellStart"/>
            <w:r>
              <w:rPr>
                <w:color w:val="4C4747"/>
                <w:sz w:val="19"/>
                <w:szCs w:val="19"/>
                <w:lang w:val="es-ES"/>
              </w:rPr>
              <w:t>PowerBI</w:t>
            </w:r>
            <w:proofErr w:type="spellEnd"/>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4</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Curso Especializado Social Media Management</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Curso Especializado Oratoria Integral</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2</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lang w:val="fr-FR"/>
              </w:rPr>
            </w:pPr>
            <w:r>
              <w:rPr>
                <w:color w:val="4C4747"/>
                <w:sz w:val="19"/>
                <w:szCs w:val="19"/>
                <w:lang w:val="fr-FR"/>
              </w:rPr>
              <w:t>AZ-104T</w:t>
            </w:r>
            <w:proofErr w:type="gramStart"/>
            <w:r>
              <w:rPr>
                <w:color w:val="4C4747"/>
                <w:sz w:val="19"/>
                <w:szCs w:val="19"/>
                <w:lang w:val="fr-FR"/>
              </w:rPr>
              <w:t>00:</w:t>
            </w:r>
            <w:proofErr w:type="gramEnd"/>
            <w:r>
              <w:rPr>
                <w:color w:val="4C4747"/>
                <w:sz w:val="19"/>
                <w:szCs w:val="19"/>
                <w:lang w:val="fr-FR"/>
              </w:rPr>
              <w:t xml:space="preserve"> Microsoft Azure </w:t>
            </w:r>
            <w:proofErr w:type="spellStart"/>
            <w:r>
              <w:rPr>
                <w:color w:val="4C4747"/>
                <w:sz w:val="19"/>
                <w:szCs w:val="19"/>
                <w:lang w:val="fr-FR"/>
              </w:rPr>
              <w:t>Administrator</w:t>
            </w:r>
            <w:proofErr w:type="spellEnd"/>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3</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Pr="00BC623B" w:rsidRDefault="002B1930">
            <w:pPr>
              <w:spacing w:after="0" w:line="240" w:lineRule="auto"/>
              <w:rPr>
                <w:lang w:val="en-US"/>
              </w:rPr>
            </w:pPr>
            <w:proofErr w:type="spellStart"/>
            <w:r>
              <w:rPr>
                <w:color w:val="4C4747"/>
                <w:sz w:val="19"/>
                <w:szCs w:val="19"/>
                <w:lang w:val="en-US"/>
              </w:rPr>
              <w:t>Curso</w:t>
            </w:r>
            <w:proofErr w:type="spellEnd"/>
            <w:r>
              <w:rPr>
                <w:color w:val="4C4747"/>
                <w:sz w:val="19"/>
                <w:szCs w:val="19"/>
                <w:lang w:val="en-US"/>
              </w:rPr>
              <w:t xml:space="preserve"> Designing </w:t>
            </w:r>
            <w:r>
              <w:rPr>
                <w:color w:val="4C4747"/>
                <w:sz w:val="19"/>
                <w:szCs w:val="19"/>
                <w:lang w:val="en-US"/>
              </w:rPr>
              <w:t>Microsoft Azure Infrastructure Solutions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w:t>
            </w:r>
          </w:p>
        </w:tc>
      </w:tr>
      <w:tr w:rsidR="00184CAB">
        <w:tblPrEx>
          <w:tblCellMar>
            <w:top w:w="0" w:type="dxa"/>
            <w:bottom w:w="0" w:type="dxa"/>
          </w:tblCellMar>
        </w:tblPrEx>
        <w:trPr>
          <w:trHeight w:val="242"/>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lang w:val="es-ES"/>
              </w:rPr>
            </w:pPr>
            <w:r>
              <w:rPr>
                <w:color w:val="4C4747"/>
                <w:sz w:val="19"/>
                <w:szCs w:val="19"/>
                <w:lang w:val="es-ES"/>
              </w:rPr>
              <w:t xml:space="preserve">Curso ITIL 4 </w:t>
            </w:r>
            <w:proofErr w:type="spellStart"/>
            <w:r>
              <w:rPr>
                <w:color w:val="4C4747"/>
                <w:sz w:val="19"/>
                <w:szCs w:val="19"/>
                <w:lang w:val="es-ES"/>
              </w:rPr>
              <w:t>Foundations</w:t>
            </w:r>
            <w:proofErr w:type="spellEnd"/>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2</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NFPA 10. Norma para Extintores Portátiles Contra Incendio</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2</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Charla de Seguro de Riesgos Laborales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11</w:t>
            </w:r>
          </w:p>
        </w:tc>
      </w:tr>
      <w:tr w:rsidR="00184CAB">
        <w:tblPrEx>
          <w:tblCellMar>
            <w:top w:w="0" w:type="dxa"/>
            <w:bottom w:w="0" w:type="dxa"/>
          </w:tblCellMar>
        </w:tblPrEx>
        <w:trPr>
          <w:trHeight w:val="343"/>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Curso de Combate Cuerpo a Cuerpo</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9</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 xml:space="preserve">Curso de Evaluación para Personas con </w:t>
            </w:r>
            <w:r>
              <w:rPr>
                <w:color w:val="4C4747"/>
                <w:sz w:val="19"/>
                <w:szCs w:val="19"/>
              </w:rPr>
              <w:t>Discapacidad</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19</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Diplomado en Presupuesto de Edificaciones y Licitaciones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11</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Diplomado en supervisión y fiscalización de Obras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4</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Taller Procesos de Compras y Contrataciones Públicas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9</w:t>
            </w:r>
          </w:p>
        </w:tc>
      </w:tr>
      <w:tr w:rsidR="00184CAB">
        <w:tblPrEx>
          <w:tblCellMar>
            <w:top w:w="0" w:type="dxa"/>
            <w:bottom w:w="0" w:type="dxa"/>
          </w:tblCellMar>
        </w:tblPrEx>
        <w:trPr>
          <w:trHeight w:val="727"/>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 xml:space="preserve">Curso Taller Elaboración de Pliego de Condiciones y Rol de Peritos </w:t>
            </w:r>
            <w:r>
              <w:rPr>
                <w:color w:val="4C4747"/>
                <w:sz w:val="19"/>
                <w:szCs w:val="19"/>
              </w:rPr>
              <w:t>Técnicos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11</w:t>
            </w:r>
          </w:p>
        </w:tc>
      </w:tr>
      <w:tr w:rsidR="00184CAB">
        <w:tblPrEx>
          <w:tblCellMar>
            <w:top w:w="0" w:type="dxa"/>
            <w:bottom w:w="0" w:type="dxa"/>
          </w:tblCellMar>
        </w:tblPrEx>
        <w:trPr>
          <w:trHeight w:val="242"/>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Curso de Evaluación de Daños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15</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Técnicas de Movilización en Situaciones de Emergencia</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21</w:t>
            </w:r>
          </w:p>
        </w:tc>
      </w:tr>
      <w:tr w:rsidR="00184CAB">
        <w:tblPrEx>
          <w:tblCellMar>
            <w:top w:w="0" w:type="dxa"/>
            <w:bottom w:w="0" w:type="dxa"/>
          </w:tblCellMar>
        </w:tblPrEx>
        <w:trPr>
          <w:trHeight w:val="242"/>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Curso Comunicación Efectiva</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25</w:t>
            </w:r>
          </w:p>
        </w:tc>
      </w:tr>
      <w:tr w:rsidR="00184CAB">
        <w:tblPrEx>
          <w:tblCellMar>
            <w:top w:w="0" w:type="dxa"/>
            <w:bottom w:w="0" w:type="dxa"/>
          </w:tblCellMar>
        </w:tblPrEx>
        <w:trPr>
          <w:trHeight w:val="242"/>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Diplomado en Auditoría Interna</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8</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Diplomado en Liderazgo Política y Gestión Pública</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13</w:t>
            </w:r>
          </w:p>
        </w:tc>
      </w:tr>
      <w:tr w:rsidR="00184CAB">
        <w:tblPrEx>
          <w:tblCellMar>
            <w:top w:w="0" w:type="dxa"/>
            <w:bottom w:w="0" w:type="dxa"/>
          </w:tblCellMar>
        </w:tblPrEx>
        <w:trPr>
          <w:trHeight w:val="242"/>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Curso de Etiqueta y Protocolo</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11</w:t>
            </w:r>
          </w:p>
        </w:tc>
      </w:tr>
      <w:tr w:rsidR="00184CAB">
        <w:tblPrEx>
          <w:tblCellMar>
            <w:top w:w="0" w:type="dxa"/>
            <w:bottom w:w="0" w:type="dxa"/>
          </w:tblCellMar>
        </w:tblPrEx>
        <w:trPr>
          <w:trHeight w:val="242"/>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Curso de Supervisión Efectiva</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13</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lastRenderedPageBreak/>
              <w:t>Curso Manejo y Uso de Productos Químicos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24</w:t>
            </w:r>
          </w:p>
        </w:tc>
      </w:tr>
      <w:tr w:rsidR="00184CAB">
        <w:tblPrEx>
          <w:tblCellMar>
            <w:top w:w="0" w:type="dxa"/>
            <w:bottom w:w="0" w:type="dxa"/>
          </w:tblCellMar>
        </w:tblPrEx>
        <w:trPr>
          <w:trHeight w:val="341"/>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Curso Relaciones Interpersonales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15</w:t>
            </w:r>
          </w:p>
        </w:tc>
      </w:tr>
      <w:tr w:rsidR="00184CAB">
        <w:tblPrEx>
          <w:tblCellMar>
            <w:top w:w="0" w:type="dxa"/>
            <w:bottom w:w="0" w:type="dxa"/>
          </w:tblCellMar>
        </w:tblPrEx>
        <w:trPr>
          <w:trHeight w:val="249"/>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Diplomado en Transformación Digital</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9</w:t>
            </w:r>
          </w:p>
        </w:tc>
      </w:tr>
      <w:tr w:rsidR="00184CAB">
        <w:tblPrEx>
          <w:tblCellMar>
            <w:top w:w="0" w:type="dxa"/>
            <w:bottom w:w="0" w:type="dxa"/>
          </w:tblCellMar>
        </w:tblPrEx>
        <w:trPr>
          <w:trHeight w:val="242"/>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Curso Taller Microsoft Project</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9</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lang w:val="en-US"/>
              </w:rPr>
            </w:pPr>
            <w:proofErr w:type="spellStart"/>
            <w:r>
              <w:rPr>
                <w:color w:val="4C4747"/>
                <w:sz w:val="19"/>
                <w:szCs w:val="19"/>
                <w:lang w:val="en-US"/>
              </w:rPr>
              <w:t>Curso</w:t>
            </w:r>
            <w:proofErr w:type="spellEnd"/>
            <w:r>
              <w:rPr>
                <w:color w:val="4C4747"/>
                <w:sz w:val="19"/>
                <w:szCs w:val="19"/>
                <w:lang w:val="en-US"/>
              </w:rPr>
              <w:t xml:space="preserve"> After Effects </w:t>
            </w:r>
            <w:proofErr w:type="spellStart"/>
            <w:r>
              <w:rPr>
                <w:color w:val="4C4747"/>
                <w:sz w:val="19"/>
                <w:szCs w:val="19"/>
                <w:lang w:val="en-US"/>
              </w:rPr>
              <w:t>Animación</w:t>
            </w:r>
            <w:proofErr w:type="spellEnd"/>
            <w:r>
              <w:rPr>
                <w:color w:val="4C4747"/>
                <w:sz w:val="19"/>
                <w:szCs w:val="19"/>
                <w:lang w:val="en-US"/>
              </w:rPr>
              <w:t xml:space="preserve"> y Motion Graphics After Effects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w:t>
            </w:r>
          </w:p>
        </w:tc>
      </w:tr>
      <w:tr w:rsidR="00184CAB">
        <w:tblPrEx>
          <w:tblCellMar>
            <w:top w:w="0" w:type="dxa"/>
            <w:bottom w:w="0" w:type="dxa"/>
          </w:tblCellMar>
        </w:tblPrEx>
        <w:trPr>
          <w:trHeight w:val="242"/>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Curso de Python</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3</w:t>
            </w:r>
          </w:p>
        </w:tc>
      </w:tr>
      <w:tr w:rsidR="00184CAB">
        <w:tblPrEx>
          <w:tblCellMar>
            <w:top w:w="0" w:type="dxa"/>
            <w:bottom w:w="0" w:type="dxa"/>
          </w:tblCellMar>
        </w:tblPrEx>
        <w:trPr>
          <w:trHeight w:val="242"/>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Taller en Manejo Defensivo</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16</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Charla Principio Básico de Género</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33</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Curso de Procedimiento de Evaluación</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13</w:t>
            </w:r>
          </w:p>
        </w:tc>
      </w:tr>
      <w:tr w:rsidR="00184CAB">
        <w:tblPrEx>
          <w:tblCellMar>
            <w:top w:w="0" w:type="dxa"/>
            <w:bottom w:w="0" w:type="dxa"/>
          </w:tblCellMar>
        </w:tblPrEx>
        <w:trPr>
          <w:trHeight w:val="349"/>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Curso de Inteligencia Emocional</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18</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Certificación en Auditor Líder ISO 9001</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w:t>
            </w:r>
          </w:p>
        </w:tc>
      </w:tr>
      <w:tr w:rsidR="00184CAB">
        <w:tblPrEx>
          <w:tblCellMar>
            <w:top w:w="0" w:type="dxa"/>
            <w:bottom w:w="0" w:type="dxa"/>
          </w:tblCellMar>
        </w:tblPrEx>
        <w:trPr>
          <w:trHeight w:val="727"/>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 xml:space="preserve">Taller Identificación, Administración y </w:t>
            </w:r>
            <w:r>
              <w:rPr>
                <w:color w:val="4C4747"/>
                <w:sz w:val="19"/>
                <w:szCs w:val="19"/>
              </w:rPr>
              <w:t>Mitigación de Riesgos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42</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Diplomado en Salud Ocupacional</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XXXVI Conferencia Interamericana de Contabilidad</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w:t>
            </w:r>
          </w:p>
        </w:tc>
      </w:tr>
      <w:tr w:rsidR="00184CAB">
        <w:tblPrEx>
          <w:tblCellMar>
            <w:top w:w="0" w:type="dxa"/>
            <w:bottom w:w="0" w:type="dxa"/>
          </w:tblCellMar>
        </w:tblPrEx>
        <w:trPr>
          <w:trHeight w:val="485"/>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VIII Encuentro Nacional de Archivo</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7</w:t>
            </w:r>
          </w:p>
        </w:tc>
      </w:tr>
      <w:tr w:rsidR="00184CAB">
        <w:tblPrEx>
          <w:tblCellMar>
            <w:top w:w="0" w:type="dxa"/>
            <w:bottom w:w="0" w:type="dxa"/>
          </w:tblCellMar>
        </w:tblPrEx>
        <w:trPr>
          <w:trHeight w:val="242"/>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Curso Derechos Humanos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80</w:t>
            </w:r>
          </w:p>
        </w:tc>
      </w:tr>
      <w:tr w:rsidR="00184CAB">
        <w:tblPrEx>
          <w:tblCellMar>
            <w:top w:w="0" w:type="dxa"/>
            <w:bottom w:w="0" w:type="dxa"/>
          </w:tblCellMar>
        </w:tblPrEx>
        <w:trPr>
          <w:trHeight w:val="727"/>
        </w:trPr>
        <w:tc>
          <w:tcPr>
            <w:tcW w:w="4671"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Trato digno hacia las personas con discapacidad con un enfoque de derechos</w:t>
            </w:r>
          </w:p>
        </w:tc>
        <w:tc>
          <w:tcPr>
            <w:tcW w:w="3441" w:type="dxa"/>
            <w:tcBorders>
              <w:bottom w:val="single" w:sz="8"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87</w:t>
            </w:r>
          </w:p>
        </w:tc>
      </w:tr>
      <w:tr w:rsidR="00184CAB">
        <w:tblPrEx>
          <w:tblCellMar>
            <w:top w:w="0" w:type="dxa"/>
            <w:bottom w:w="0" w:type="dxa"/>
          </w:tblCellMar>
        </w:tblPrEx>
        <w:trPr>
          <w:trHeight w:val="242"/>
        </w:trPr>
        <w:tc>
          <w:tcPr>
            <w:tcW w:w="4671" w:type="dxa"/>
            <w:tcBorders>
              <w:left w:val="single" w:sz="8"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Accesibilidad universal</w:t>
            </w:r>
          </w:p>
        </w:tc>
        <w:tc>
          <w:tcPr>
            <w:tcW w:w="3441" w:type="dxa"/>
            <w:tcBorders>
              <w:bottom w:val="single" w:sz="4" w:space="0" w:color="000000"/>
              <w:right w:val="single" w:sz="8"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87</w:t>
            </w:r>
          </w:p>
        </w:tc>
      </w:tr>
      <w:tr w:rsidR="00184CAB">
        <w:tblPrEx>
          <w:tblCellMar>
            <w:top w:w="0" w:type="dxa"/>
            <w:bottom w:w="0" w:type="dxa"/>
          </w:tblCellMar>
        </w:tblPrEx>
        <w:trPr>
          <w:trHeight w:val="499"/>
        </w:trPr>
        <w:tc>
          <w:tcPr>
            <w:tcW w:w="46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84CAB" w:rsidRDefault="002B1930">
            <w:pPr>
              <w:spacing w:after="0" w:line="240" w:lineRule="auto"/>
              <w:rPr>
                <w:color w:val="4C4747"/>
                <w:sz w:val="19"/>
                <w:szCs w:val="19"/>
              </w:rPr>
            </w:pPr>
            <w:r>
              <w:rPr>
                <w:color w:val="4C4747"/>
                <w:sz w:val="19"/>
                <w:szCs w:val="19"/>
              </w:rPr>
              <w:t>Discapacidad y Empleo desde un enfoque de Derechos</w:t>
            </w:r>
          </w:p>
        </w:tc>
        <w:tc>
          <w:tcPr>
            <w:tcW w:w="344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87</w:t>
            </w:r>
          </w:p>
        </w:tc>
      </w:tr>
    </w:tbl>
    <w:p w:rsidR="00184CAB" w:rsidRDefault="002B1930">
      <w:pPr>
        <w:spacing w:line="240" w:lineRule="auto"/>
        <w:jc w:val="both"/>
        <w:rPr>
          <w:i/>
          <w:color w:val="4C4747"/>
          <w:sz w:val="18"/>
          <w:szCs w:val="18"/>
        </w:rPr>
      </w:pPr>
      <w:r>
        <w:rPr>
          <w:i/>
          <w:color w:val="4C4747"/>
          <w:sz w:val="18"/>
          <w:szCs w:val="18"/>
        </w:rPr>
        <w:t>Fuente: División de Desarrollo Humano y Carrera, Informe Anual correspondiente al año 2025, Dirección de Recursos Humanos.</w:t>
      </w:r>
    </w:p>
    <w:p w:rsidR="00184CAB" w:rsidRDefault="002B1930">
      <w:pPr>
        <w:spacing w:line="360" w:lineRule="auto"/>
        <w:jc w:val="both"/>
        <w:rPr>
          <w:color w:val="4C4747"/>
          <w:lang w:val="es-ES"/>
        </w:rPr>
      </w:pPr>
      <w:r>
        <w:rPr>
          <w:color w:val="4C4747"/>
          <w:lang w:val="es-ES"/>
        </w:rPr>
        <w:t xml:space="preserve">La relación de impacto por género de las </w:t>
      </w:r>
      <w:r>
        <w:rPr>
          <w:color w:val="4C4747"/>
          <w:lang w:val="es-ES"/>
        </w:rPr>
        <w:t>capacitaciones ejecutadas en el año 2025, refleja la tendencia de crecimiento en la formación de las personas de género femenino; de las cuales representan valor significativo en la gestión social y ambiental, igualdad de género y en el cumplimiento de nue</w:t>
      </w:r>
      <w:r>
        <w:rPr>
          <w:color w:val="4C4747"/>
          <w:lang w:val="es-ES"/>
        </w:rPr>
        <w:t>stros objetivos institucionales y los objetivos de desarrollo sostenible (ODS)</w:t>
      </w:r>
    </w:p>
    <w:tbl>
      <w:tblPr>
        <w:tblW w:w="7822" w:type="dxa"/>
        <w:tblCellMar>
          <w:left w:w="10" w:type="dxa"/>
          <w:right w:w="10" w:type="dxa"/>
        </w:tblCellMar>
        <w:tblLook w:val="0000" w:firstRow="0" w:lastRow="0" w:firstColumn="0" w:lastColumn="0" w:noHBand="0" w:noVBand="0"/>
      </w:tblPr>
      <w:tblGrid>
        <w:gridCol w:w="7822"/>
      </w:tblGrid>
      <w:tr w:rsidR="00184CAB">
        <w:tblPrEx>
          <w:tblCellMar>
            <w:top w:w="0" w:type="dxa"/>
            <w:bottom w:w="0" w:type="dxa"/>
          </w:tblCellMar>
        </w:tblPrEx>
        <w:trPr>
          <w:trHeight w:val="740"/>
        </w:trPr>
        <w:tc>
          <w:tcPr>
            <w:tcW w:w="7822"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line="240" w:lineRule="auto"/>
              <w:jc w:val="center"/>
            </w:pPr>
            <w:r>
              <w:rPr>
                <w:b/>
                <w:bCs/>
                <w:color w:val="FFFFFF"/>
                <w:spacing w:val="0"/>
                <w:lang w:val="es-DO"/>
              </w:rPr>
              <w:lastRenderedPageBreak/>
              <w:t>Gráfico no. 2 Comparativo de Población segmentada por género de los Servidores Públicos Beneficiados por las actividades formativas desarrolladas durante el período anual 2025</w:t>
            </w:r>
          </w:p>
        </w:tc>
      </w:tr>
      <w:tr w:rsidR="00184CAB">
        <w:tblPrEx>
          <w:tblCellMar>
            <w:top w:w="0" w:type="dxa"/>
            <w:bottom w:w="0" w:type="dxa"/>
          </w:tblCellMar>
        </w:tblPrEx>
        <w:trPr>
          <w:trHeight w:val="3952"/>
        </w:trPr>
        <w:tc>
          <w:tcPr>
            <w:tcW w:w="7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both"/>
            </w:pPr>
            <w:r>
              <w:rPr>
                <w:noProof/>
              </w:rPr>
              <mc:AlternateContent>
                <mc:Choice Requires="wps">
                  <w:drawing>
                    <wp:anchor distT="0" distB="0" distL="114300" distR="114300" simplePos="0" relativeHeight="251691008" behindDoc="0" locked="0" layoutInCell="1" allowOverlap="1">
                      <wp:simplePos x="0" y="0"/>
                      <wp:positionH relativeFrom="page">
                        <wp:posOffset>3333399</wp:posOffset>
                      </wp:positionH>
                      <wp:positionV relativeFrom="paragraph">
                        <wp:posOffset>1188518</wp:posOffset>
                      </wp:positionV>
                      <wp:extent cx="448312" cy="259717"/>
                      <wp:effectExtent l="0" t="0" r="0" b="6983"/>
                      <wp:wrapNone/>
                      <wp:docPr id="42" name="Rectángulo 1"/>
                      <wp:cNvGraphicFramePr/>
                      <a:graphic xmlns:a="http://schemas.openxmlformats.org/drawingml/2006/main">
                        <a:graphicData uri="http://schemas.microsoft.com/office/word/2010/wordprocessingShape">
                          <wps:wsp>
                            <wps:cNvSpPr/>
                            <wps:spPr>
                              <a:xfrm>
                                <a:off x="0" y="0"/>
                                <a:ext cx="448312" cy="259717"/>
                              </a:xfrm>
                              <a:prstGeom prst="rect">
                                <a:avLst/>
                              </a:prstGeom>
                              <a:noFill/>
                              <a:ln cap="flat">
                                <a:noFill/>
                                <a:prstDash val="solid"/>
                              </a:ln>
                            </wps:spPr>
                            <wps:txbx>
                              <w:txbxContent>
                                <w:p w:rsidR="00184CAB" w:rsidRDefault="002B1930">
                                  <w:pPr>
                                    <w:pStyle w:val="NormalWeb"/>
                                    <w:spacing w:before="0" w:after="0"/>
                                  </w:pPr>
                                  <w:r>
                                    <w:rPr>
                                      <w:color w:val="FFFFFF"/>
                                      <w:sz w:val="18"/>
                                      <w:szCs w:val="18"/>
                                    </w:rPr>
                                    <w:t>48%</w:t>
                                  </w:r>
                                </w:p>
                              </w:txbxContent>
                            </wps:txbx>
                            <wps:bodyPr vert="horz" wrap="square" lIns="91440" tIns="45720" rIns="91440" bIns="45720" anchor="t" anchorCtr="0" compatLnSpc="0">
                              <a:noAutofit/>
                            </wps:bodyPr>
                          </wps:wsp>
                        </a:graphicData>
                      </a:graphic>
                    </wp:anchor>
                  </w:drawing>
                </mc:Choice>
                <mc:Fallback>
                  <w:pict>
                    <v:rect id="Rectángulo 1" o:spid="_x0000_s1038" style="position:absolute;left:0;text-align:left;margin-left:262.45pt;margin-top:93.6pt;width:35.3pt;height:20.45pt;z-index:25169100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dHE5QEAAKgDAAAOAAAAZHJzL2Uyb0RvYy54bWysU9uO0zAQfUfiHyy/0zQlS7tR0xWiWoS0&#10;gtUWPmDq2I0l37DdJuVv+BZ+jLGT7VbwhnhxPJ7xmTnHJ+u7QSty4j5IaxpazuaUcMNsK82hod++&#10;3r9ZURIimBaUNbyhZx7o3eb1q3Xvar6wnVUt9wRBTKh719AuRlcXRWAd1xBm1nGDSWG9hoihPxSt&#10;hx7RtSoW8/m7ore+dd4yHgKebsck3WR8ITiLX4QIPBLVUJwt5tXndZ/WYrOG+uDBdZJNY8A/TKFB&#10;Gmx6gdpCBHL08i8oLZm3wYo4Y1YXVgjJeOaAbMr5H2x2HTieuaA4wV1kCv8Pln0+PXoi24ZWC0oM&#10;aHyjJ1Tt109zOCpLyqRQ70KNhTv36Kco4DbRHYTX6YtEyJBVPV9U5UMkDA+ravW2RHCGqcXN7bJc&#10;Jszi5bLzIX7kVpO0aajH9llLOD2EOJY+l6Rext5LpfAcamUIA3SNUDBeucqlK1sIHTkBvn2wSrZT&#10;X2WwfeI0ski7OOyHrMLqme/etmdUBq2NI3XW/6CkR5sg0vcjeE6J+mTwHW7Lqkq+ykF1s1xg4K8z&#10;++sMGIZQDY2UjNsPcfQimsFBfDA7x5J+I833x2iFzAqkGceJptHRDlnDybrJb9dxrnr5wTa/AQAA&#10;//8DAFBLAwQUAAYACAAAACEA+yvKBuIAAAALAQAADwAAAGRycy9kb3ducmV2LnhtbEyPUUvDMBSF&#10;3wX/Q7iCL7KlC1a72nTIQBwyGHZzz1lzbYvNTddkbf33xid9vJyPc76brSbTsgF711iSsJhHwJBK&#10;qxuqJBz2L7MEmPOKtGotoYRvdLDKr68ylWo70jsOha9YKCGXKgm1913KuStrNMrNbYcUsk/bG+XD&#10;2Vdc92oM5ablIooeuFENhYVadbiusfwqLkbCWO6G4377ynd3x42l8+a8Lj7epLy9mZ6fgHmc/B8M&#10;v/pBHfLgdLIX0o61EmJxvwxoCJJHASwQ8TKOgZ0kCJEsgOcZ//9D/gMAAP//AwBQSwECLQAUAAYA&#10;CAAAACEAtoM4kv4AAADhAQAAEwAAAAAAAAAAAAAAAAAAAAAAW0NvbnRlbnRfVHlwZXNdLnhtbFBL&#10;AQItABQABgAIAAAAIQA4/SH/1gAAAJQBAAALAAAAAAAAAAAAAAAAAC8BAABfcmVscy8ucmVsc1BL&#10;AQItABQABgAIAAAAIQAcVdHE5QEAAKgDAAAOAAAAAAAAAAAAAAAAAC4CAABkcnMvZTJvRG9jLnht&#10;bFBLAQItABQABgAIAAAAIQD7K8oG4gAAAAsBAAAPAAAAAAAAAAAAAAAAAD8EAABkcnMvZG93bnJl&#10;di54bWxQSwUGAAAAAAQABADzAAAATgUAAAAA&#10;" filled="f" stroked="f">
                      <v:textbox>
                        <w:txbxContent>
                          <w:p w:rsidR="00184CAB" w:rsidRDefault="002B1930">
                            <w:pPr>
                              <w:pStyle w:val="NormalWeb"/>
                              <w:spacing w:before="0" w:after="0"/>
                            </w:pPr>
                            <w:r>
                              <w:rPr>
                                <w:color w:val="FFFFFF"/>
                                <w:sz w:val="18"/>
                                <w:szCs w:val="18"/>
                              </w:rPr>
                              <w:t>48%</w:t>
                            </w:r>
                          </w:p>
                        </w:txbxContent>
                      </v:textbox>
                      <w10:wrap anchorx="page"/>
                    </v:rect>
                  </w:pict>
                </mc:Fallback>
              </mc:AlternateContent>
            </w:r>
            <w:r>
              <w:rPr>
                <w:noProof/>
                <w:color w:val="auto"/>
                <w:spacing w:val="0"/>
              </w:rPr>
              <w:drawing>
                <wp:inline distT="0" distB="0" distL="0" distR="0">
                  <wp:extent cx="4699001" cy="2141223"/>
                  <wp:effectExtent l="0" t="0" r="0" b="0"/>
                  <wp:docPr id="43"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r>
    </w:tbl>
    <w:p w:rsidR="00184CAB" w:rsidRDefault="002B1930">
      <w:pPr>
        <w:spacing w:after="200" w:line="240" w:lineRule="auto"/>
        <w:jc w:val="both"/>
      </w:pPr>
      <w:r>
        <w:rPr>
          <w:i/>
          <w:color w:val="4C4747"/>
          <w:sz w:val="18"/>
          <w:szCs w:val="18"/>
        </w:rPr>
        <w:t>Fuente: División de Desarrollo Humano y Carrera, Informe Anual correspondiente al año 2025, Dirección de Recursos Humanos.</w:t>
      </w:r>
    </w:p>
    <w:p w:rsidR="00184CAB" w:rsidRDefault="002B1930">
      <w:pPr>
        <w:spacing w:after="200" w:line="360" w:lineRule="auto"/>
        <w:jc w:val="both"/>
        <w:rPr>
          <w:color w:val="4C4747"/>
          <w:lang w:val="es-DO"/>
        </w:rPr>
      </w:pPr>
      <w:r>
        <w:rPr>
          <w:color w:val="4C4747"/>
          <w:lang w:val="es-DO"/>
        </w:rPr>
        <w:t xml:space="preserve">En términos presupuestario, podemos destacar a la fecha un ahorro de RD$436,527.40 al gestionar mejores ofertas o </w:t>
      </w:r>
      <w:r>
        <w:rPr>
          <w:color w:val="4C4747"/>
          <w:lang w:val="es-DO"/>
        </w:rPr>
        <w:t>descuentos en las formaciones brindadas. Se proyecta que los ahorros serán utilizados para desarrollar competencias en otras acciones formativas para el personal.</w:t>
      </w:r>
    </w:p>
    <w:tbl>
      <w:tblPr>
        <w:tblW w:w="7935" w:type="dxa"/>
        <w:tblCellMar>
          <w:left w:w="10" w:type="dxa"/>
          <w:right w:w="10" w:type="dxa"/>
        </w:tblCellMar>
        <w:tblLook w:val="0000" w:firstRow="0" w:lastRow="0" w:firstColumn="0" w:lastColumn="0" w:noHBand="0" w:noVBand="0"/>
      </w:tblPr>
      <w:tblGrid>
        <w:gridCol w:w="7935"/>
      </w:tblGrid>
      <w:tr w:rsidR="00184CAB">
        <w:tblPrEx>
          <w:tblCellMar>
            <w:top w:w="0" w:type="dxa"/>
            <w:bottom w:w="0" w:type="dxa"/>
          </w:tblCellMar>
        </w:tblPrEx>
        <w:trPr>
          <w:trHeight w:val="348"/>
        </w:trPr>
        <w:tc>
          <w:tcPr>
            <w:tcW w:w="793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pPr>
            <w:r>
              <w:rPr>
                <w:b/>
                <w:bCs/>
                <w:color w:val="FFFFFF"/>
                <w:spacing w:val="0"/>
                <w:lang w:val="es-DO"/>
              </w:rPr>
              <w:t xml:space="preserve">Gráfico </w:t>
            </w:r>
            <w:r>
              <w:rPr>
                <w:b/>
                <w:color w:val="FFFFFF"/>
                <w:spacing w:val="0"/>
                <w:lang w:val="es-DO"/>
              </w:rPr>
              <w:t xml:space="preserve">no. 3 </w:t>
            </w:r>
            <w:r>
              <w:rPr>
                <w:b/>
                <w:bCs/>
                <w:color w:val="FFFFFF"/>
                <w:spacing w:val="0"/>
                <w:lang w:val="es-DO"/>
              </w:rPr>
              <w:t>Comparativo de ejecución presupuestaria en actividades formativas desarrolladas</w:t>
            </w:r>
            <w:r>
              <w:rPr>
                <w:b/>
                <w:bCs/>
                <w:color w:val="FFFFFF"/>
                <w:spacing w:val="0"/>
                <w:lang w:val="es-DO"/>
              </w:rPr>
              <w:t xml:space="preserve"> durante el período anual 2025</w:t>
            </w:r>
          </w:p>
        </w:tc>
      </w:tr>
      <w:tr w:rsidR="00184CAB">
        <w:tblPrEx>
          <w:tblCellMar>
            <w:top w:w="0" w:type="dxa"/>
            <w:bottom w:w="0" w:type="dxa"/>
          </w:tblCellMar>
        </w:tblPrEx>
        <w:trPr>
          <w:trHeight w:val="1864"/>
        </w:trPr>
        <w:tc>
          <w:tcPr>
            <w:tcW w:w="7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both"/>
            </w:pPr>
            <w:r>
              <w:rPr>
                <w:noProof/>
                <w:color w:val="auto"/>
                <w:spacing w:val="0"/>
                <w:lang w:val="es-DO"/>
              </w:rPr>
              <mc:AlternateContent>
                <mc:Choice Requires="wpg">
                  <w:drawing>
                    <wp:inline distT="0" distB="0" distL="0" distR="0">
                      <wp:extent cx="4825013" cy="1075855"/>
                      <wp:effectExtent l="0" t="0" r="0" b="0"/>
                      <wp:docPr id="44" name="Diagrama 58"/>
                      <wp:cNvGraphicFramePr/>
                      <a:graphic xmlns:a="http://schemas.openxmlformats.org/drawingml/2006/main">
                        <a:graphicData uri="http://schemas.microsoft.com/office/word/2010/wordprocessingGroup">
                          <wpg:wgp>
                            <wpg:cNvGrpSpPr/>
                            <wpg:grpSpPr>
                              <a:xfrm>
                                <a:off x="0" y="0"/>
                                <a:ext cx="4825013" cy="1075855"/>
                                <a:chOff x="0" y="0"/>
                                <a:chExt cx="4825013" cy="1075855"/>
                              </a:xfrm>
                            </wpg:grpSpPr>
                            <wps:wsp>
                              <wps:cNvPr id="45" name="Forma libre: forma 43"/>
                              <wps:cNvSpPr/>
                              <wps:spPr>
                                <a:xfrm>
                                  <a:off x="0" y="0"/>
                                  <a:ext cx="1075855" cy="1075855"/>
                                </a:xfrm>
                                <a:custGeom>
                                  <a:avLst/>
                                  <a:gdLst>
                                    <a:gd name="f0" fmla="val 10800000"/>
                                    <a:gd name="f1" fmla="val 5400000"/>
                                    <a:gd name="f2" fmla="val 180"/>
                                    <a:gd name="f3" fmla="val w"/>
                                    <a:gd name="f4" fmla="val h"/>
                                    <a:gd name="f5" fmla="val 0"/>
                                    <a:gd name="f6" fmla="val 1075860"/>
                                    <a:gd name="f7" fmla="val 537930"/>
                                    <a:gd name="f8" fmla="val 240839"/>
                                    <a:gd name="f9" fmla="val 835021"/>
                                    <a:gd name="f10" fmla="+- 0 0 -90"/>
                                    <a:gd name="f11" fmla="*/ f3 1 1075860"/>
                                    <a:gd name="f12" fmla="*/ f4 1 1075860"/>
                                    <a:gd name="f13" fmla="+- f6 0 f5"/>
                                    <a:gd name="f14" fmla="*/ f10 f0 1"/>
                                    <a:gd name="f15" fmla="*/ f13 1 1075860"/>
                                    <a:gd name="f16" fmla="*/ 0 f13 1"/>
                                    <a:gd name="f17" fmla="*/ 537930 f13 1"/>
                                    <a:gd name="f18" fmla="*/ 1075860 f13 1"/>
                                    <a:gd name="f19" fmla="*/ f14 1 f2"/>
                                    <a:gd name="f20" fmla="*/ f16 1 1075860"/>
                                    <a:gd name="f21" fmla="*/ f17 1 1075860"/>
                                    <a:gd name="f22" fmla="*/ f18 1 1075860"/>
                                    <a:gd name="f23" fmla="*/ f5 1 f15"/>
                                    <a:gd name="f24" fmla="*/ f6 1 f15"/>
                                    <a:gd name="f25" fmla="+- f19 0 f1"/>
                                    <a:gd name="f26" fmla="*/ f20 1 f15"/>
                                    <a:gd name="f27" fmla="*/ f21 1 f15"/>
                                    <a:gd name="f28" fmla="*/ f22 1 f15"/>
                                    <a:gd name="f29" fmla="*/ f23 f11 1"/>
                                    <a:gd name="f30" fmla="*/ f24 f11 1"/>
                                    <a:gd name="f31" fmla="*/ f24 f12 1"/>
                                    <a:gd name="f32" fmla="*/ f23 f12 1"/>
                                    <a:gd name="f33" fmla="*/ f26 f11 1"/>
                                    <a:gd name="f34" fmla="*/ f27 f12 1"/>
                                    <a:gd name="f35" fmla="*/ f27 f11 1"/>
                                    <a:gd name="f36" fmla="*/ f26 f12 1"/>
                                    <a:gd name="f37" fmla="*/ f28 f11 1"/>
                                    <a:gd name="f38" fmla="*/ f28 f12 1"/>
                                  </a:gdLst>
                                  <a:ahLst/>
                                  <a:cxnLst>
                                    <a:cxn ang="3cd4">
                                      <a:pos x="hc" y="t"/>
                                    </a:cxn>
                                    <a:cxn ang="0">
                                      <a:pos x="r" y="vc"/>
                                    </a:cxn>
                                    <a:cxn ang="cd4">
                                      <a:pos x="hc" y="b"/>
                                    </a:cxn>
                                    <a:cxn ang="cd2">
                                      <a:pos x="l" y="vc"/>
                                    </a:cxn>
                                    <a:cxn ang="f25">
                                      <a:pos x="f33" y="f34"/>
                                    </a:cxn>
                                    <a:cxn ang="f25">
                                      <a:pos x="f35" y="f36"/>
                                    </a:cxn>
                                    <a:cxn ang="f25">
                                      <a:pos x="f37" y="f34"/>
                                    </a:cxn>
                                    <a:cxn ang="f25">
                                      <a:pos x="f35" y="f38"/>
                                    </a:cxn>
                                    <a:cxn ang="f25">
                                      <a:pos x="f33" y="f34"/>
                                    </a:cxn>
                                  </a:cxnLst>
                                  <a:rect l="f29" t="f32" r="f30" b="f31"/>
                                  <a:pathLst>
                                    <a:path w="1075860" h="1075860">
                                      <a:moveTo>
                                        <a:pt x="f5" y="f7"/>
                                      </a:moveTo>
                                      <a:cubicBezTo>
                                        <a:pt x="f5" y="f8"/>
                                        <a:pt x="f8" y="f5"/>
                                        <a:pt x="f7" y="f5"/>
                                      </a:cubicBezTo>
                                      <a:cubicBezTo>
                                        <a:pt x="f9" y="f5"/>
                                        <a:pt x="f6" y="f8"/>
                                        <a:pt x="f6" y="f7"/>
                                      </a:cubicBezTo>
                                      <a:cubicBezTo>
                                        <a:pt x="f6" y="f9"/>
                                        <a:pt x="f9" y="f6"/>
                                        <a:pt x="f7" y="f6"/>
                                      </a:cubicBezTo>
                                      <a:cubicBezTo>
                                        <a:pt x="f8" y="f6"/>
                                        <a:pt x="f5" y="f9"/>
                                        <a:pt x="f5" y="f7"/>
                                      </a:cubicBezTo>
                                      <a:close/>
                                    </a:path>
                                  </a:pathLst>
                                </a:custGeom>
                                <a:gradFill>
                                  <a:gsLst>
                                    <a:gs pos="0">
                                      <a:srgbClr val="5A79BC"/>
                                    </a:gs>
                                    <a:gs pos="100000">
                                      <a:srgbClr val="3765B7"/>
                                    </a:gs>
                                  </a:gsLst>
                                  <a:lin ang="5400000"/>
                                </a:gradFill>
                                <a:ln cap="flat">
                                  <a:noFill/>
                                  <a:prstDash val="solid"/>
                                </a:ln>
                              </wps:spPr>
                              <wps:txbx>
                                <w:txbxContent>
                                  <w:p w:rsidR="00184CAB" w:rsidRDefault="002B1930">
                                    <w:pPr>
                                      <w:spacing w:after="80" w:line="216" w:lineRule="auto"/>
                                      <w:jc w:val="center"/>
                                      <w:textAlignment w:val="auto"/>
                                    </w:pPr>
                                    <w:r>
                                      <w:rPr>
                                        <w:rFonts w:eastAsia="Times New Roman"/>
                                        <w:b/>
                                        <w:bCs/>
                                        <w:color w:val="FFFFFF"/>
                                        <w:spacing w:val="0"/>
                                        <w:kern w:val="3"/>
                                        <w:sz w:val="18"/>
                                        <w:szCs w:val="18"/>
                                        <w:lang w:val="es-ES"/>
                                      </w:rPr>
                                      <w:t>Presupuestado $3,052,765.00</w:t>
                                    </w:r>
                                  </w:p>
                                </w:txbxContent>
                              </wps:txbx>
                              <wps:bodyPr vert="horz" wrap="square" lIns="168990" tIns="168990" rIns="168990" bIns="168990" anchor="ctr" anchorCtr="1" compatLnSpc="0">
                                <a:noAutofit/>
                              </wps:bodyPr>
                            </wps:wsp>
                            <wps:wsp>
                              <wps:cNvPr id="46" name="Forma libre: forma 44"/>
                              <wps:cNvSpPr/>
                              <wps:spPr>
                                <a:xfrm>
                                  <a:off x="1191252" y="225929"/>
                                  <a:ext cx="623995" cy="623995"/>
                                </a:xfrm>
                                <a:custGeom>
                                  <a:avLst/>
                                  <a:gdLst>
                                    <a:gd name="f0" fmla="val 10800000"/>
                                    <a:gd name="f1" fmla="val 5400000"/>
                                    <a:gd name="f2" fmla="val 180"/>
                                    <a:gd name="f3" fmla="val w"/>
                                    <a:gd name="f4" fmla="val h"/>
                                    <a:gd name="f5" fmla="val 0"/>
                                    <a:gd name="f6" fmla="val 623999"/>
                                    <a:gd name="f7" fmla="val 82711"/>
                                    <a:gd name="f8" fmla="val 238617"/>
                                    <a:gd name="f9" fmla="val 541288"/>
                                    <a:gd name="f10" fmla="val 385382"/>
                                    <a:gd name="f11" fmla="+- 0 0 -90"/>
                                    <a:gd name="f12" fmla="*/ f3 1 623999"/>
                                    <a:gd name="f13" fmla="*/ f4 1 623999"/>
                                    <a:gd name="f14" fmla="+- f6 0 f5"/>
                                    <a:gd name="f15" fmla="*/ f11 f0 1"/>
                                    <a:gd name="f16" fmla="*/ f14 1 623999"/>
                                    <a:gd name="f17" fmla="*/ 82711 f14 1"/>
                                    <a:gd name="f18" fmla="*/ 238617 f14 1"/>
                                    <a:gd name="f19" fmla="*/ 541288 f14 1"/>
                                    <a:gd name="f20" fmla="*/ 385382 f14 1"/>
                                    <a:gd name="f21" fmla="*/ f15 1 f2"/>
                                    <a:gd name="f22" fmla="*/ f17 1 623999"/>
                                    <a:gd name="f23" fmla="*/ f18 1 623999"/>
                                    <a:gd name="f24" fmla="*/ f19 1 623999"/>
                                    <a:gd name="f25" fmla="*/ f20 1 623999"/>
                                    <a:gd name="f26" fmla="*/ f5 1 f16"/>
                                    <a:gd name="f27" fmla="*/ f6 1 f16"/>
                                    <a:gd name="f28" fmla="+- f21 0 f1"/>
                                    <a:gd name="f29" fmla="*/ f22 1 f16"/>
                                    <a:gd name="f30" fmla="*/ f23 1 f16"/>
                                    <a:gd name="f31" fmla="*/ f24 1 f16"/>
                                    <a:gd name="f32" fmla="*/ f25 1 f16"/>
                                    <a:gd name="f33" fmla="*/ f26 f12 1"/>
                                    <a:gd name="f34" fmla="*/ f27 f12 1"/>
                                    <a:gd name="f35" fmla="*/ f27 f13 1"/>
                                    <a:gd name="f36" fmla="*/ f26 f13 1"/>
                                    <a:gd name="f37" fmla="*/ f29 f12 1"/>
                                    <a:gd name="f38" fmla="*/ f30 f13 1"/>
                                    <a:gd name="f39" fmla="*/ f31 f12 1"/>
                                    <a:gd name="f40" fmla="*/ f32 f13 1"/>
                                  </a:gdLst>
                                  <a:ahLst/>
                                  <a:cxnLst>
                                    <a:cxn ang="3cd4">
                                      <a:pos x="hc" y="t"/>
                                    </a:cxn>
                                    <a:cxn ang="0">
                                      <a:pos x="r" y="vc"/>
                                    </a:cxn>
                                    <a:cxn ang="cd4">
                                      <a:pos x="hc" y="b"/>
                                    </a:cxn>
                                    <a:cxn ang="cd2">
                                      <a:pos x="l" y="vc"/>
                                    </a:cxn>
                                    <a:cxn ang="f28">
                                      <a:pos x="f37" y="f38"/>
                                    </a:cxn>
                                    <a:cxn ang="f28">
                                      <a:pos x="f39" y="f38"/>
                                    </a:cxn>
                                    <a:cxn ang="f28">
                                      <a:pos x="f39" y="f40"/>
                                    </a:cxn>
                                    <a:cxn ang="f28">
                                      <a:pos x="f37" y="f40"/>
                                    </a:cxn>
                                    <a:cxn ang="f28">
                                      <a:pos x="f37" y="f38"/>
                                    </a:cxn>
                                  </a:cxnLst>
                                  <a:rect l="f33" t="f36" r="f34" b="f35"/>
                                  <a:pathLst>
                                    <a:path w="623999" h="623999">
                                      <a:moveTo>
                                        <a:pt x="f7" y="f8"/>
                                      </a:moveTo>
                                      <a:lnTo>
                                        <a:pt x="f9" y="f8"/>
                                      </a:lnTo>
                                      <a:lnTo>
                                        <a:pt x="f9" y="f10"/>
                                      </a:lnTo>
                                      <a:lnTo>
                                        <a:pt x="f7" y="f10"/>
                                      </a:lnTo>
                                      <a:lnTo>
                                        <a:pt x="f7" y="f8"/>
                                      </a:lnTo>
                                      <a:close/>
                                    </a:path>
                                  </a:pathLst>
                                </a:custGeom>
                                <a:gradFill>
                                  <a:gsLst>
                                    <a:gs pos="0">
                                      <a:srgbClr val="5D7EC4"/>
                                    </a:gs>
                                    <a:gs pos="100000">
                                      <a:srgbClr val="3A6BC1"/>
                                    </a:gs>
                                  </a:gsLst>
                                  <a:lin ang="5400000"/>
                                </a:gradFill>
                                <a:ln cap="flat">
                                  <a:noFill/>
                                  <a:prstDash val="solid"/>
                                </a:ln>
                              </wps:spPr>
                              <wps:txbx>
                                <w:txbxContent>
                                  <w:p w:rsidR="00184CAB" w:rsidRDefault="00184CAB">
                                    <w:pPr>
                                      <w:spacing w:after="60" w:line="216" w:lineRule="auto"/>
                                      <w:jc w:val="center"/>
                                      <w:textAlignment w:val="auto"/>
                                      <w:rPr>
                                        <w:color w:val="000000"/>
                                        <w:spacing w:val="0"/>
                                        <w:sz w:val="36"/>
                                        <w:szCs w:val="36"/>
                                      </w:rPr>
                                    </w:pPr>
                                  </w:p>
                                </w:txbxContent>
                              </wps:txbx>
                              <wps:bodyPr vert="horz" wrap="square" lIns="82707" tIns="238612" rIns="82707" bIns="238612" anchor="ctr" anchorCtr="1" compatLnSpc="0">
                                <a:noAutofit/>
                              </wps:bodyPr>
                            </wps:wsp>
                            <wps:wsp>
                              <wps:cNvPr id="47" name="Forma libre: forma 45"/>
                              <wps:cNvSpPr/>
                              <wps:spPr>
                                <a:xfrm>
                                  <a:off x="1874574" y="0"/>
                                  <a:ext cx="1075855" cy="1075855"/>
                                </a:xfrm>
                                <a:custGeom>
                                  <a:avLst/>
                                  <a:gdLst>
                                    <a:gd name="f0" fmla="val 10800000"/>
                                    <a:gd name="f1" fmla="val 5400000"/>
                                    <a:gd name="f2" fmla="val 180"/>
                                    <a:gd name="f3" fmla="val w"/>
                                    <a:gd name="f4" fmla="val h"/>
                                    <a:gd name="f5" fmla="val 0"/>
                                    <a:gd name="f6" fmla="val 1075860"/>
                                    <a:gd name="f7" fmla="val 537930"/>
                                    <a:gd name="f8" fmla="val 240839"/>
                                    <a:gd name="f9" fmla="val 835021"/>
                                    <a:gd name="f10" fmla="+- 0 0 -90"/>
                                    <a:gd name="f11" fmla="*/ f3 1 1075860"/>
                                    <a:gd name="f12" fmla="*/ f4 1 1075860"/>
                                    <a:gd name="f13" fmla="+- f6 0 f5"/>
                                    <a:gd name="f14" fmla="*/ f10 f0 1"/>
                                    <a:gd name="f15" fmla="*/ f13 1 1075860"/>
                                    <a:gd name="f16" fmla="*/ 0 f13 1"/>
                                    <a:gd name="f17" fmla="*/ 537930 f13 1"/>
                                    <a:gd name="f18" fmla="*/ 1075860 f13 1"/>
                                    <a:gd name="f19" fmla="*/ f14 1 f2"/>
                                    <a:gd name="f20" fmla="*/ f16 1 1075860"/>
                                    <a:gd name="f21" fmla="*/ f17 1 1075860"/>
                                    <a:gd name="f22" fmla="*/ f18 1 1075860"/>
                                    <a:gd name="f23" fmla="*/ f5 1 f15"/>
                                    <a:gd name="f24" fmla="*/ f6 1 f15"/>
                                    <a:gd name="f25" fmla="+- f19 0 f1"/>
                                    <a:gd name="f26" fmla="*/ f20 1 f15"/>
                                    <a:gd name="f27" fmla="*/ f21 1 f15"/>
                                    <a:gd name="f28" fmla="*/ f22 1 f15"/>
                                    <a:gd name="f29" fmla="*/ f23 f11 1"/>
                                    <a:gd name="f30" fmla="*/ f24 f11 1"/>
                                    <a:gd name="f31" fmla="*/ f24 f12 1"/>
                                    <a:gd name="f32" fmla="*/ f23 f12 1"/>
                                    <a:gd name="f33" fmla="*/ f26 f11 1"/>
                                    <a:gd name="f34" fmla="*/ f27 f12 1"/>
                                    <a:gd name="f35" fmla="*/ f27 f11 1"/>
                                    <a:gd name="f36" fmla="*/ f26 f12 1"/>
                                    <a:gd name="f37" fmla="*/ f28 f11 1"/>
                                    <a:gd name="f38" fmla="*/ f28 f12 1"/>
                                  </a:gdLst>
                                  <a:ahLst/>
                                  <a:cxnLst>
                                    <a:cxn ang="3cd4">
                                      <a:pos x="hc" y="t"/>
                                    </a:cxn>
                                    <a:cxn ang="0">
                                      <a:pos x="r" y="vc"/>
                                    </a:cxn>
                                    <a:cxn ang="cd4">
                                      <a:pos x="hc" y="b"/>
                                    </a:cxn>
                                    <a:cxn ang="cd2">
                                      <a:pos x="l" y="vc"/>
                                    </a:cxn>
                                    <a:cxn ang="f25">
                                      <a:pos x="f33" y="f34"/>
                                    </a:cxn>
                                    <a:cxn ang="f25">
                                      <a:pos x="f35" y="f36"/>
                                    </a:cxn>
                                    <a:cxn ang="f25">
                                      <a:pos x="f37" y="f34"/>
                                    </a:cxn>
                                    <a:cxn ang="f25">
                                      <a:pos x="f35" y="f38"/>
                                    </a:cxn>
                                    <a:cxn ang="f25">
                                      <a:pos x="f33" y="f34"/>
                                    </a:cxn>
                                  </a:cxnLst>
                                  <a:rect l="f29" t="f32" r="f30" b="f31"/>
                                  <a:pathLst>
                                    <a:path w="1075860" h="1075860">
                                      <a:moveTo>
                                        <a:pt x="f5" y="f7"/>
                                      </a:moveTo>
                                      <a:cubicBezTo>
                                        <a:pt x="f5" y="f8"/>
                                        <a:pt x="f8" y="f5"/>
                                        <a:pt x="f7" y="f5"/>
                                      </a:cubicBezTo>
                                      <a:cubicBezTo>
                                        <a:pt x="f9" y="f5"/>
                                        <a:pt x="f6" y="f8"/>
                                        <a:pt x="f6" y="f7"/>
                                      </a:cubicBezTo>
                                      <a:cubicBezTo>
                                        <a:pt x="f6" y="f9"/>
                                        <a:pt x="f9" y="f6"/>
                                        <a:pt x="f7" y="f6"/>
                                      </a:cubicBezTo>
                                      <a:cubicBezTo>
                                        <a:pt x="f8" y="f6"/>
                                        <a:pt x="f5" y="f9"/>
                                        <a:pt x="f5" y="f7"/>
                                      </a:cubicBezTo>
                                      <a:close/>
                                    </a:path>
                                  </a:pathLst>
                                </a:custGeom>
                                <a:gradFill>
                                  <a:gsLst>
                                    <a:gs pos="0">
                                      <a:srgbClr val="7D95CE"/>
                                    </a:gs>
                                    <a:gs pos="100000">
                                      <a:srgbClr val="6585CC"/>
                                    </a:gs>
                                  </a:gsLst>
                                  <a:lin ang="5400000"/>
                                </a:gradFill>
                                <a:ln cap="flat">
                                  <a:noFill/>
                                  <a:prstDash val="solid"/>
                                </a:ln>
                              </wps:spPr>
                              <wps:txbx>
                                <w:txbxContent>
                                  <w:p w:rsidR="00184CAB" w:rsidRDefault="002B1930">
                                    <w:pPr>
                                      <w:spacing w:after="80" w:line="216" w:lineRule="auto"/>
                                      <w:jc w:val="center"/>
                                      <w:textAlignment w:val="auto"/>
                                    </w:pPr>
                                    <w:r>
                                      <w:rPr>
                                        <w:rFonts w:eastAsia="Times New Roman"/>
                                        <w:b/>
                                        <w:bCs/>
                                        <w:color w:val="FFFFFF"/>
                                        <w:spacing w:val="0"/>
                                        <w:kern w:val="3"/>
                                        <w:sz w:val="18"/>
                                        <w:szCs w:val="18"/>
                                        <w:lang w:val="es-ES"/>
                                      </w:rPr>
                                      <w:t>Ejecutado $2,616,237.60</w:t>
                                    </w:r>
                                  </w:p>
                                </w:txbxContent>
                              </wps:txbx>
                              <wps:bodyPr vert="horz" wrap="square" lIns="168990" tIns="168990" rIns="168990" bIns="168990" anchor="ctr" anchorCtr="1" compatLnSpc="0">
                                <a:noAutofit/>
                              </wps:bodyPr>
                            </wps:wsp>
                            <wps:wsp>
                              <wps:cNvPr id="48" name="Forma libre: forma 46"/>
                              <wps:cNvSpPr/>
                              <wps:spPr>
                                <a:xfrm>
                                  <a:off x="3037801" y="225929"/>
                                  <a:ext cx="623995" cy="623995"/>
                                </a:xfrm>
                                <a:custGeom>
                                  <a:avLst/>
                                  <a:gdLst>
                                    <a:gd name="f0" fmla="val 10800000"/>
                                    <a:gd name="f1" fmla="val 5400000"/>
                                    <a:gd name="f2" fmla="val 180"/>
                                    <a:gd name="f3" fmla="val w"/>
                                    <a:gd name="f4" fmla="val h"/>
                                    <a:gd name="f5" fmla="val 0"/>
                                    <a:gd name="f6" fmla="val 623999"/>
                                    <a:gd name="f7" fmla="val 82711"/>
                                    <a:gd name="f8" fmla="val 128544"/>
                                    <a:gd name="f9" fmla="val 541288"/>
                                    <a:gd name="f10" fmla="val 275308"/>
                                    <a:gd name="f11" fmla="val 348691"/>
                                    <a:gd name="f12" fmla="val 495455"/>
                                    <a:gd name="f13" fmla="+- 0 0 -90"/>
                                    <a:gd name="f14" fmla="*/ f3 1 623999"/>
                                    <a:gd name="f15" fmla="*/ f4 1 623999"/>
                                    <a:gd name="f16" fmla="+- f6 0 f5"/>
                                    <a:gd name="f17" fmla="*/ f13 f0 1"/>
                                    <a:gd name="f18" fmla="*/ f16 1 623999"/>
                                    <a:gd name="f19" fmla="*/ 82711 f16 1"/>
                                    <a:gd name="f20" fmla="*/ 128544 f16 1"/>
                                    <a:gd name="f21" fmla="*/ 541288 f16 1"/>
                                    <a:gd name="f22" fmla="*/ 275308 f16 1"/>
                                    <a:gd name="f23" fmla="*/ 348691 f16 1"/>
                                    <a:gd name="f24" fmla="*/ 495455 f16 1"/>
                                    <a:gd name="f25" fmla="*/ f17 1 f2"/>
                                    <a:gd name="f26" fmla="*/ f19 1 623999"/>
                                    <a:gd name="f27" fmla="*/ f20 1 623999"/>
                                    <a:gd name="f28" fmla="*/ f21 1 623999"/>
                                    <a:gd name="f29" fmla="*/ f22 1 623999"/>
                                    <a:gd name="f30" fmla="*/ f23 1 623999"/>
                                    <a:gd name="f31" fmla="*/ f24 1 623999"/>
                                    <a:gd name="f32" fmla="*/ f5 1 f18"/>
                                    <a:gd name="f33" fmla="*/ f6 1 f18"/>
                                    <a:gd name="f34" fmla="+- f25 0 f1"/>
                                    <a:gd name="f35" fmla="*/ f26 1 f18"/>
                                    <a:gd name="f36" fmla="*/ f27 1 f18"/>
                                    <a:gd name="f37" fmla="*/ f28 1 f18"/>
                                    <a:gd name="f38" fmla="*/ f29 1 f18"/>
                                    <a:gd name="f39" fmla="*/ f30 1 f18"/>
                                    <a:gd name="f40" fmla="*/ f31 1 f18"/>
                                    <a:gd name="f41" fmla="*/ f32 f14 1"/>
                                    <a:gd name="f42" fmla="*/ f33 f14 1"/>
                                    <a:gd name="f43" fmla="*/ f33 f15 1"/>
                                    <a:gd name="f44" fmla="*/ f32 f15 1"/>
                                    <a:gd name="f45" fmla="*/ f35 f14 1"/>
                                    <a:gd name="f46" fmla="*/ f36 f15 1"/>
                                    <a:gd name="f47" fmla="*/ f37 f14 1"/>
                                    <a:gd name="f48" fmla="*/ f38 f15 1"/>
                                    <a:gd name="f49" fmla="*/ f39 f15 1"/>
                                    <a:gd name="f50" fmla="*/ f40 f15 1"/>
                                  </a:gdLst>
                                  <a:ahLst/>
                                  <a:cxnLst>
                                    <a:cxn ang="3cd4">
                                      <a:pos x="hc" y="t"/>
                                    </a:cxn>
                                    <a:cxn ang="0">
                                      <a:pos x="r" y="vc"/>
                                    </a:cxn>
                                    <a:cxn ang="cd4">
                                      <a:pos x="hc" y="b"/>
                                    </a:cxn>
                                    <a:cxn ang="cd2">
                                      <a:pos x="l" y="vc"/>
                                    </a:cxn>
                                    <a:cxn ang="f34">
                                      <a:pos x="f45" y="f46"/>
                                    </a:cxn>
                                    <a:cxn ang="f34">
                                      <a:pos x="f47" y="f46"/>
                                    </a:cxn>
                                    <a:cxn ang="f34">
                                      <a:pos x="f47" y="f48"/>
                                    </a:cxn>
                                    <a:cxn ang="f34">
                                      <a:pos x="f45" y="f48"/>
                                    </a:cxn>
                                    <a:cxn ang="f34">
                                      <a:pos x="f45" y="f46"/>
                                    </a:cxn>
                                    <a:cxn ang="f34">
                                      <a:pos x="f45" y="f49"/>
                                    </a:cxn>
                                    <a:cxn ang="f34">
                                      <a:pos x="f47" y="f49"/>
                                    </a:cxn>
                                    <a:cxn ang="f34">
                                      <a:pos x="f47" y="f50"/>
                                    </a:cxn>
                                    <a:cxn ang="f34">
                                      <a:pos x="f45" y="f50"/>
                                    </a:cxn>
                                    <a:cxn ang="f34">
                                      <a:pos x="f45" y="f49"/>
                                    </a:cxn>
                                  </a:cxnLst>
                                  <a:rect l="f41" t="f44" r="f42" b="f43"/>
                                  <a:pathLst>
                                    <a:path w="623999" h="623999">
                                      <a:moveTo>
                                        <a:pt x="f7" y="f8"/>
                                      </a:moveTo>
                                      <a:lnTo>
                                        <a:pt x="f9" y="f8"/>
                                      </a:lnTo>
                                      <a:lnTo>
                                        <a:pt x="f9" y="f10"/>
                                      </a:lnTo>
                                      <a:lnTo>
                                        <a:pt x="f7" y="f10"/>
                                      </a:lnTo>
                                      <a:lnTo>
                                        <a:pt x="f7" y="f8"/>
                                      </a:lnTo>
                                      <a:close/>
                                      <a:moveTo>
                                        <a:pt x="f7" y="f11"/>
                                      </a:moveTo>
                                      <a:lnTo>
                                        <a:pt x="f9" y="f11"/>
                                      </a:lnTo>
                                      <a:lnTo>
                                        <a:pt x="f9" y="f12"/>
                                      </a:lnTo>
                                      <a:lnTo>
                                        <a:pt x="f7" y="f12"/>
                                      </a:lnTo>
                                      <a:lnTo>
                                        <a:pt x="f7" y="f11"/>
                                      </a:lnTo>
                                      <a:close/>
                                    </a:path>
                                  </a:pathLst>
                                </a:custGeom>
                                <a:gradFill>
                                  <a:gsLst>
                                    <a:gs pos="0">
                                      <a:srgbClr val="AAB7DD"/>
                                    </a:gs>
                                    <a:gs pos="100000">
                                      <a:srgbClr val="9BACDB"/>
                                    </a:gs>
                                  </a:gsLst>
                                  <a:lin ang="5400000"/>
                                </a:gradFill>
                                <a:ln cap="flat">
                                  <a:noFill/>
                                  <a:prstDash val="solid"/>
                                </a:ln>
                              </wps:spPr>
                              <wps:txbx>
                                <w:txbxContent>
                                  <w:p w:rsidR="00184CAB" w:rsidRDefault="00184CAB">
                                    <w:pPr>
                                      <w:spacing w:after="60" w:line="216" w:lineRule="auto"/>
                                      <w:jc w:val="center"/>
                                      <w:textAlignment w:val="auto"/>
                                      <w:rPr>
                                        <w:color w:val="000000"/>
                                        <w:spacing w:val="0"/>
                                        <w:sz w:val="36"/>
                                        <w:szCs w:val="36"/>
                                      </w:rPr>
                                    </w:pPr>
                                  </w:p>
                                </w:txbxContent>
                              </wps:txbx>
                              <wps:bodyPr vert="horz" wrap="square" lIns="82707" tIns="128546" rIns="82707" bIns="128546" anchor="ctr" anchorCtr="1" compatLnSpc="0">
                                <a:noAutofit/>
                              </wps:bodyPr>
                            </wps:wsp>
                            <wps:wsp>
                              <wps:cNvPr id="49" name="Forma libre: forma 47"/>
                              <wps:cNvSpPr/>
                              <wps:spPr>
                                <a:xfrm>
                                  <a:off x="3749158" y="0"/>
                                  <a:ext cx="1075855" cy="1075855"/>
                                </a:xfrm>
                                <a:custGeom>
                                  <a:avLst/>
                                  <a:gdLst>
                                    <a:gd name="f0" fmla="val 10800000"/>
                                    <a:gd name="f1" fmla="val 5400000"/>
                                    <a:gd name="f2" fmla="val 180"/>
                                    <a:gd name="f3" fmla="val w"/>
                                    <a:gd name="f4" fmla="val h"/>
                                    <a:gd name="f5" fmla="val 0"/>
                                    <a:gd name="f6" fmla="val 1075860"/>
                                    <a:gd name="f7" fmla="val 537930"/>
                                    <a:gd name="f8" fmla="val 240839"/>
                                    <a:gd name="f9" fmla="val 835021"/>
                                    <a:gd name="f10" fmla="+- 0 0 -90"/>
                                    <a:gd name="f11" fmla="*/ f3 1 1075860"/>
                                    <a:gd name="f12" fmla="*/ f4 1 1075860"/>
                                    <a:gd name="f13" fmla="+- f6 0 f5"/>
                                    <a:gd name="f14" fmla="*/ f10 f0 1"/>
                                    <a:gd name="f15" fmla="*/ f13 1 1075860"/>
                                    <a:gd name="f16" fmla="*/ 0 f13 1"/>
                                    <a:gd name="f17" fmla="*/ 537930 f13 1"/>
                                    <a:gd name="f18" fmla="*/ 1075860 f13 1"/>
                                    <a:gd name="f19" fmla="*/ f14 1 f2"/>
                                    <a:gd name="f20" fmla="*/ f16 1 1075860"/>
                                    <a:gd name="f21" fmla="*/ f17 1 1075860"/>
                                    <a:gd name="f22" fmla="*/ f18 1 1075860"/>
                                    <a:gd name="f23" fmla="*/ f5 1 f15"/>
                                    <a:gd name="f24" fmla="*/ f6 1 f15"/>
                                    <a:gd name="f25" fmla="+- f19 0 f1"/>
                                    <a:gd name="f26" fmla="*/ f20 1 f15"/>
                                    <a:gd name="f27" fmla="*/ f21 1 f15"/>
                                    <a:gd name="f28" fmla="*/ f22 1 f15"/>
                                    <a:gd name="f29" fmla="*/ f23 f11 1"/>
                                    <a:gd name="f30" fmla="*/ f24 f11 1"/>
                                    <a:gd name="f31" fmla="*/ f24 f12 1"/>
                                    <a:gd name="f32" fmla="*/ f23 f12 1"/>
                                    <a:gd name="f33" fmla="*/ f26 f11 1"/>
                                    <a:gd name="f34" fmla="*/ f27 f12 1"/>
                                    <a:gd name="f35" fmla="*/ f27 f11 1"/>
                                    <a:gd name="f36" fmla="*/ f26 f12 1"/>
                                    <a:gd name="f37" fmla="*/ f28 f11 1"/>
                                    <a:gd name="f38" fmla="*/ f28 f12 1"/>
                                  </a:gdLst>
                                  <a:ahLst/>
                                  <a:cxnLst>
                                    <a:cxn ang="3cd4">
                                      <a:pos x="hc" y="t"/>
                                    </a:cxn>
                                    <a:cxn ang="0">
                                      <a:pos x="r" y="vc"/>
                                    </a:cxn>
                                    <a:cxn ang="cd4">
                                      <a:pos x="hc" y="b"/>
                                    </a:cxn>
                                    <a:cxn ang="cd2">
                                      <a:pos x="l" y="vc"/>
                                    </a:cxn>
                                    <a:cxn ang="f25">
                                      <a:pos x="f33" y="f34"/>
                                    </a:cxn>
                                    <a:cxn ang="f25">
                                      <a:pos x="f35" y="f36"/>
                                    </a:cxn>
                                    <a:cxn ang="f25">
                                      <a:pos x="f37" y="f34"/>
                                    </a:cxn>
                                    <a:cxn ang="f25">
                                      <a:pos x="f35" y="f38"/>
                                    </a:cxn>
                                    <a:cxn ang="f25">
                                      <a:pos x="f33" y="f34"/>
                                    </a:cxn>
                                  </a:cxnLst>
                                  <a:rect l="f29" t="f32" r="f30" b="f31"/>
                                  <a:pathLst>
                                    <a:path w="1075860" h="1075860">
                                      <a:moveTo>
                                        <a:pt x="f5" y="f7"/>
                                      </a:moveTo>
                                      <a:cubicBezTo>
                                        <a:pt x="f5" y="f8"/>
                                        <a:pt x="f8" y="f5"/>
                                        <a:pt x="f7" y="f5"/>
                                      </a:cubicBezTo>
                                      <a:cubicBezTo>
                                        <a:pt x="f9" y="f5"/>
                                        <a:pt x="f6" y="f8"/>
                                        <a:pt x="f6" y="f7"/>
                                      </a:cubicBezTo>
                                      <a:cubicBezTo>
                                        <a:pt x="f6" y="f9"/>
                                        <a:pt x="f9" y="f6"/>
                                        <a:pt x="f7" y="f6"/>
                                      </a:cubicBezTo>
                                      <a:cubicBezTo>
                                        <a:pt x="f8" y="f6"/>
                                        <a:pt x="f5" y="f9"/>
                                        <a:pt x="f5" y="f7"/>
                                      </a:cubicBezTo>
                                      <a:close/>
                                    </a:path>
                                  </a:pathLst>
                                </a:custGeom>
                                <a:gradFill>
                                  <a:gsLst>
                                    <a:gs pos="0">
                                      <a:srgbClr val="AAB7DD"/>
                                    </a:gs>
                                    <a:gs pos="100000">
                                      <a:srgbClr val="9BACDB"/>
                                    </a:gs>
                                  </a:gsLst>
                                  <a:lin ang="5400000"/>
                                </a:gradFill>
                                <a:ln cap="flat">
                                  <a:noFill/>
                                  <a:prstDash val="solid"/>
                                </a:ln>
                              </wps:spPr>
                              <wps:txbx>
                                <w:txbxContent>
                                  <w:p w:rsidR="00184CAB" w:rsidRDefault="002B1930">
                                    <w:pPr>
                                      <w:spacing w:after="80" w:line="216" w:lineRule="auto"/>
                                      <w:jc w:val="center"/>
                                      <w:textAlignment w:val="auto"/>
                                    </w:pPr>
                                    <w:r>
                                      <w:rPr>
                                        <w:rFonts w:eastAsia="Times New Roman"/>
                                        <w:b/>
                                        <w:bCs/>
                                        <w:color w:val="FFFFFF"/>
                                        <w:spacing w:val="0"/>
                                        <w:kern w:val="3"/>
                                        <w:sz w:val="18"/>
                                        <w:szCs w:val="18"/>
                                        <w:lang w:val="es-ES"/>
                                      </w:rPr>
                                      <w:t>Ahorro $436,527.40</w:t>
                                    </w:r>
                                  </w:p>
                                </w:txbxContent>
                              </wps:txbx>
                              <wps:bodyPr vert="horz" wrap="square" lIns="168990" tIns="168990" rIns="168990" bIns="168990" anchor="ctr" anchorCtr="1" compatLnSpc="0">
                                <a:noAutofit/>
                              </wps:bodyPr>
                            </wps:wsp>
                          </wpg:wgp>
                        </a:graphicData>
                      </a:graphic>
                    </wp:inline>
                  </w:drawing>
                </mc:Choice>
                <mc:Fallback>
                  <w:pict>
                    <v:group id="Diagrama 58" o:spid="_x0000_s1039" style="width:379.9pt;height:84.7pt;mso-position-horizontal-relative:char;mso-position-vertical-relative:line" coordsize="48250,10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tPwoAAJ5CAAAOAAAAZHJzL2Uyb0RvYy54bWzsXNuO2zgSfV9g/0Hw4y4SWzdbbqQz6EsS&#10;LDDYHSCzH6CWJduAbHkl9SXz9XOqSFEqiXK7e5CZTeIE6LakYrF4qkjVYdH97qenXe48pGW1LfaX&#10;E/ftbOKk+6RYbffry8l/f/34Jpo4VR3vV3Fe7NPLyZe0mvz0/u9/e/d4uEi9YlPkq7R0oGRfXTwe&#10;Liebuj5cTKdVskl3cfW2OKR7PMyKchfXuCzX01UZP0L7Lp96s9l8+liUq0NZJGlV4e6tejh5z/qz&#10;LE3q/2RZldZOfjmBbTX/LPnnHf2cvn8XX6zL+LDZJtqM+BVW7OLtHp0aVbdxHTv35XagardNyqIq&#10;svptUuymRZZtk5THgNG4s95oPpXF/YHHsr54XB8MTIC2h9Or1Sb/fvildLary0kQTJx9vIOPbrcx&#10;ENnFThgRPo+H9QXEPpWHz4dfSn1jra5oyE9ZuaPfGIzzxMh+McimT7WT4GYQeeHM9SdOgmfubBFG&#10;YaiwTzZw0KBdsvnwTMtp0/GU7DPmPB4QR1ULVfXHoPq8iQ8pe6AiDBqowgaqjxSYTr69K9MLh6PU&#10;CXwFGjcwiFUXFcA7Fa4GoT5cZtDxRXJf1Z/SgpGPH36uahXJK3ziOFxpZ2aI+myXI6gf4txxZ9GM&#10;/ins10bI7QqFgVXG68q40UAHvNt29NjvAdHVPt30nwLQ9ulA87z7lLGZD2QWXZnQXyz9gQiWorYT&#10;L5hF/rJvx7IrEvnhzHP7Iq4B9J9vnBn+v1kOenINnv+YOpnvuAAeMT+02jWgkmBwRNCgi16zObrN&#10;9ATqONFgTMpciMycofkGahY6ZpuBHZJQ5kJ2AIaBHTIK9RFBAz4ENRgjksYHbCBhknn9fj3jBBaa&#10;jwMHB2qvs+TiiKTwhRsdkTTOIJ0hWegOvOEJb5CFNiHjDXKru2ScB4PtOiLz4FSrqq4rMg8hZ5Xq&#10;+iHzvBEp4QPPhybo69uFGdaB1gtGpIQDWAq9DnQJ8LlHm5QA3puP9CiQ9xaQsuky0JMTWco2Rok9&#10;9WjTJbGPRuyS2JOU1oV1fd2s3PGmWcyTp71ezfHJiSmj8pNVwHnGoajopblJJg7eqDXBCSWQo8Xf&#10;iM+6siWLPiQjsnbNd6PSXld3flx35oVd6cyHH2F25gcj6gcN4CxuMD+1ATzyuh4457FgOTDJOgbV&#10;ULutRPpJiWfmYT4h9cx8RDmSz4xmDtLPzNfz4BDX5HXyHX10HnWShBeGs2k/0/Nd8ZD+WrBkTRGA&#10;1wAPdKGBaZ8n93fb5Dr9zSbNg0RnSgXikrDSS5i+qQHkmzQqoU1e6RYY5FAN5g/dlB3qm43NUpu8&#10;0rp1C/3Clh1yTJjBaLtNoDxvtx6+VKNhlR32sJaWJnlRpWoekhN5QhrHMoJtxob8evVxm+fkx3Wl&#10;Xb+uHExryp3pdlWu727y0kHadjkJrxbL6xvt4nWlmilpVyVrgyb+Yh5eNwhTE5hgusq3ekHp5Hr0&#10;vGNWvneSGIwsy+OaDdoXZDGnmYeyqm/jaqOMq4p8u9K25ViAkJE36S59qp/unphhMJZ0565YfUEq&#10;DdqISbEpyt8mziMo2OWk+t99XKYTJ//XHji482iJ3MqpxVUpru7EVbxPoO5yktRY7NTFTY1rvIJA&#10;t+CMn/efD0mD8L64uq+LbEupM9us7NIXYBHEff4MOoHgVszLRid4iSQ7wD+epxOuu3S9EMsMJp3n&#10;hUusPOyxhojNPX+5RBgTD9OfVcg2LO6H5RWMhkarzanNi53YU+QtkNkznq2EeamThOdHc5cnHb3R&#10;GwpmsikSCQPXi/Ry2Iq0rIJk/Cj0o0HS27KKI8wDrlckh7Iayu7t4yIu3spRkj0iZ3KpI7wD8dTq&#10;QqZo5R0I8o7QkR4N5BgBI448CeJ93F0DPOQU7iOCBn4IKvTtgoJUKBeMCIqU1mUCMPCWJzzhEvGw&#10;Q+wJVzDvGBE0viDfgiyMahQOYcIwolE4RREZ/RpsQ9PrOgTUk3jFUMh4g+IE7IMIY99llAa1MaDJ&#10;x0BVj1ZQDFs6ROrU1cU0cWgWJVydHkdGSOloR2osyRfwv4BWWHizL4BnImOTEsh7S+BgIx8GegoL&#10;f4SpY6+jM0afMLXoCgSl8z1IabsoO/i+KUokKQqwp8TVH+cDvQYA+FUNgLl6BffZW+b1etAmvbiB&#10;HAOlooZZGopCc4ApCiKTKQqinSlKwwqGFEWvKcRQ9EdKQlsCIolEg2P7PN8LaqLxa+Sap81vmfPj&#10;falAax43v2WnJ4r1+/yqqfzt4sNNw3tPTOWv5tc3vJpyDv9/kMorXF+Qy+NFPkP4qlSe39ZYmVUq&#10;rx+pTL559I1m8hjieCbPM+n0TD5aBOECsxCLit5gbpL4c3mAaLNJr827lFLnkY12OEa94TkFP5cH&#10;zuUBLnUiU20Cg3Pqc3mgC8e5PEB1UwqMc3ngXB54Lrs/pcRhz73P5QFOwM0WPl7oxKSazeveNrvY&#10;0Nfpvm4hd+s1oZD7+ppD8U3yhtAmr7Ru0GuyRqrBDgvdlB3qmyN2f8XywOJ2Gd580IzoNE4xxxGc&#10;m25FgamFrkT8JeUBtbX6Ak7xw9QHEIHjrILj8mRW4c/8RTRD0oPoPdcHqHja0oLBMR5BLOw7qIJX&#10;PF8fwNZ/iIN2vRKC2Zo7tT7gLUJ/ptfMlge19QGuIQTRfDnYgm0PHJFMsAyD5iBeR4/ZDj1SZxCb&#10;obRHa8cH52I6245Hdv0N1kfqDAZsztVxKsV2vknshrq0XT1imUEd2po6A8T7zhFVAeU/2o+2CHap&#10;hKkz2AS7m9LKlSMajSNgos/+HBHsekM5dURQuIOLEpbDVcYXjPOROoNwyLE6g3AKn02yO8VSIbAL&#10;WooEI4Jdr2TeeATKUoGqFAymmKwUUHBlqEP1pjNOteiY51pIaK2F+MITqADYVQlXgIXYpaQf6OSa&#10;zSzpBHKrTao7LaiaYJXq1QnUYbMBEIHAnqsJlkJe0J0OOBoEq2xS3bmgpOCjPvR0iLmt5HCPNimB&#10;vR+O9Ciw96kqZNMlsPfpsJnNeoG9T0e/bLok9lTvsUiFokYTUL1HS1EK913XaDCzqMSgD79lAfxI&#10;WXhgsvne+Tc6YCYawFmva8CxrdgbKTQn7AY9NCa9uMHJY2h6YO5xiknNoF/aAIE2Upjqw6pNenGD&#10;QJikxtI/O0eLCBWmaGpTYYqWCypMqXP2CIYfsTA1XmZTLApQPldnM4JN5az5rWkv1iKaKkgYTyq0&#10;nSjWVLGazr5mpe3q6npxe6vNP40VL6+vbm6vO00A5F97aE7h/wJWLCptnK/iPWaptDWPvtFKG8Jz&#10;nBPzDszpnHgRLF1814ni/VxpO5kQnytt5y/i4Nso3YSb6fZIXJwrbaJojbM9HaZyrrSdK23Nd3zO&#10;lTZOPOWhtS7lOunLRHYyca606U0aWTcbqViJ2phsIQtfmivIEpmmnYbXCm3faqXt++AU5ivq3843&#10;cfhr/vgjCOrwo/qDDfRXFrrX/M2d9s9KvP8dAAD//wMAUEsDBBQABgAIAAAAIQCpovrg3QAAAAUB&#10;AAAPAAAAZHJzL2Rvd25yZXYueG1sTI9BS8NAEIXvgv9hGcGb3URtbWM2pRT1VARbQXqbJtMkNDsb&#10;stsk/feOXvQy8HiPN99Ll6NtVE+drx0biCcRKOLcFTWXBj53r3dzUD4gF9g4JgMX8rDMrq9STAo3&#10;8Af121AqKWGfoIEqhDbR2ucVWfQT1xKLd3SdxSCyK3XR4SDlttH3UTTTFmuWDxW2tK4oP23P1sDb&#10;gMPqIX7pN6fj+rLfTd+/NjEZc3szrp5BBRrDXxh+8AUdMmE6uDMXXjUGZEj4veI9TRcy4yCh2eIR&#10;dJbq//TZNwAAAP//AwBQSwECLQAUAAYACAAAACEAtoM4kv4AAADhAQAAEwAAAAAAAAAAAAAAAAAA&#10;AAAAW0NvbnRlbnRfVHlwZXNdLnhtbFBLAQItABQABgAIAAAAIQA4/SH/1gAAAJQBAAALAAAAAAAA&#10;AAAAAAAAAC8BAABfcmVscy8ucmVsc1BLAQItABQABgAIAAAAIQA+pdQtPwoAAJ5CAAAOAAAAAAAA&#10;AAAAAAAAAC4CAABkcnMvZTJvRG9jLnhtbFBLAQItABQABgAIAAAAIQCpovrg3QAAAAUBAAAPAAAA&#10;AAAAAAAAAAAAAJkMAABkcnMvZG93bnJldi54bWxQSwUGAAAAAAQABADzAAAAow0AAAAA&#10;">
                      <v:shape id="Forma libre: forma 43" o:spid="_x0000_s1040" style="position:absolute;width:10758;height:10758;visibility:visible;mso-wrap-style:square;v-text-anchor:middle-center" coordsize="1075860,10758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hWsxAAAANsAAAAPAAAAZHJzL2Rvd25yZXYueG1sRI9Ba8JA&#10;FITvgv9heUJvurFolegqIlSkIFQb8frIviah2bdLdo3RX98tCD0OM/MNs1x3phYtNb6yrGA8SkAQ&#10;51ZXXCjIvt6HcxA+IGusLZOCO3lYr/q9Jaba3vhI7SkUIkLYp6igDMGlUvq8JIN+ZB1x9L5tYzBE&#10;2RRSN3iLcFPL1yR5kwYrjgslOtqWlP+crkZBuGTJ/bz/nBza7OPhxruZOx5mSr0Mus0CRKAu/Ief&#10;7b1WMJnC35f4A+TqFwAA//8DAFBLAQItABQABgAIAAAAIQDb4fbL7gAAAIUBAAATAAAAAAAAAAAA&#10;AAAAAAAAAABbQ29udGVudF9UeXBlc10ueG1sUEsBAi0AFAAGAAgAAAAhAFr0LFu/AAAAFQEAAAsA&#10;AAAAAAAAAAAAAAAAHwEAAF9yZWxzLy5yZWxzUEsBAi0AFAAGAAgAAAAhAIgaFazEAAAA2wAAAA8A&#10;AAAAAAAAAAAAAAAABwIAAGRycy9kb3ducmV2LnhtbFBLBQYAAAAAAwADALcAAAD4AgAAAAA=&#10;" adj="-11796480,,5400" path="m,537930c,240839,240839,,537930,v297091,,537930,240839,537930,537930c1075860,835021,835021,1075860,537930,1075860,240839,1075860,,835021,,537930xe" fillcolor="#5a79bc" stroked="f">
                        <v:fill color2="#3765b7" focus="100%" type="gradient">
                          <o:fill v:ext="view" type="gradientUnscaled"/>
                        </v:fill>
                        <v:stroke joinstyle="miter"/>
                        <v:formulas/>
                        <v:path arrowok="t" o:connecttype="custom" o:connectlocs="537928,0;1075855,537928;537928,1075855;0,537928;0,537928;537928,0;1075855,537928;537928,1075855;0,537928" o:connectangles="270,0,90,180,0,0,0,0,0" textboxrect="0,0,1075860,1075860"/>
                        <v:textbox inset="4.69417mm,4.69417mm,4.69417mm,4.69417mm">
                          <w:txbxContent>
                            <w:p w:rsidR="00184CAB" w:rsidRDefault="002B1930">
                              <w:pPr>
                                <w:spacing w:after="80" w:line="216" w:lineRule="auto"/>
                                <w:jc w:val="center"/>
                                <w:textAlignment w:val="auto"/>
                              </w:pPr>
                              <w:r>
                                <w:rPr>
                                  <w:rFonts w:eastAsia="Times New Roman"/>
                                  <w:b/>
                                  <w:bCs/>
                                  <w:color w:val="FFFFFF"/>
                                  <w:spacing w:val="0"/>
                                  <w:kern w:val="3"/>
                                  <w:sz w:val="18"/>
                                  <w:szCs w:val="18"/>
                                  <w:lang w:val="es-ES"/>
                                </w:rPr>
                                <w:t>Presupuestado $3,052,765.00</w:t>
                              </w:r>
                            </w:p>
                          </w:txbxContent>
                        </v:textbox>
                      </v:shape>
                      <v:shape id="Forma libre: forma 44" o:spid="_x0000_s1041" style="position:absolute;left:11912;top:2259;width:6240;height:6240;visibility:visible;mso-wrap-style:square;v-text-anchor:middle-center" coordsize="623999,6239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K7owwAAANsAAAAPAAAAZHJzL2Rvd25yZXYueG1sRI9Ba8JA&#10;FITvgv9heUJvuklaQomuIoLSg5Satvdn9jUbuvs2ZLca/323UPA4zMw3zGozOisuNITOs4J8kYEg&#10;brzuuFXw8b6fP4MIEVmj9UwKbhRgs55OVlhpf+UTXerYigThUKECE2NfSRkaQw7DwvfEyfvyg8OY&#10;5NBKPeA1wZ2VRZaV0mHHacFgTztDzXf94xRsvfV5Vhhd7OzjkQ/nz7fyNVfqYTZulyAijfEe/m+/&#10;aAVPJfx9ST9Arn8BAAD//wMAUEsBAi0AFAAGAAgAAAAhANvh9svuAAAAhQEAABMAAAAAAAAAAAAA&#10;AAAAAAAAAFtDb250ZW50X1R5cGVzXS54bWxQSwECLQAUAAYACAAAACEAWvQsW78AAAAVAQAACwAA&#10;AAAAAAAAAAAAAAAfAQAAX3JlbHMvLnJlbHNQSwECLQAUAAYACAAAACEA/Miu6MMAAADbAAAADwAA&#10;AAAAAAAAAAAAAAAHAgAAZHJzL2Rvd25yZXYueG1sUEsFBgAAAAADAAMAtwAAAPcCAAAAAA==&#10;" adj="-11796480,,5400" path="m82711,238617r458577,l541288,385382r-458577,l82711,238617xe" fillcolor="#5d7ec4" stroked="f">
                        <v:fill color2="#3a6bc1" focus="100%" type="gradient">
                          <o:fill v:ext="view" type="gradientUnscaled"/>
                        </v:fill>
                        <v:stroke joinstyle="miter"/>
                        <v:formulas/>
                        <v:path arrowok="t" o:connecttype="custom" o:connectlocs="311998,0;623995,311998;311998,623995;0,311998;82710,238615;541285,238615;541285,385380;82710,385380;82710,238615" o:connectangles="270,0,90,180,0,0,0,0,0" textboxrect="0,0,623999,623999"/>
                        <v:textbox inset="2.29742mm,6.62811mm,2.29742mm,6.62811mm">
                          <w:txbxContent>
                            <w:p w:rsidR="00184CAB" w:rsidRDefault="00184CAB">
                              <w:pPr>
                                <w:spacing w:after="60" w:line="216" w:lineRule="auto"/>
                                <w:jc w:val="center"/>
                                <w:textAlignment w:val="auto"/>
                                <w:rPr>
                                  <w:color w:val="000000"/>
                                  <w:spacing w:val="0"/>
                                  <w:sz w:val="36"/>
                                  <w:szCs w:val="36"/>
                                </w:rPr>
                              </w:pPr>
                            </w:p>
                          </w:txbxContent>
                        </v:textbox>
                      </v:shape>
                      <v:shape id="Forma libre: forma 45" o:spid="_x0000_s1042" style="position:absolute;left:18745;width:10759;height:10758;visibility:visible;mso-wrap-style:square;v-text-anchor:middle-center" coordsize="1075860,10758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KZjxAAAANsAAAAPAAAAZHJzL2Rvd25yZXYueG1sRI9Bi8Iw&#10;FITvgv8hPGFvmrrrqlSjrLIFPXhQe9Dbo3m2xealNFmt/94sCB6HmfmGmS9bU4kbNa60rGA4iEAQ&#10;Z1aXnCtIj0l/CsJ5ZI2VZVLwIAfLRbczx1jbO+/pdvC5CBB2MSoovK9jKV1WkEE3sDVx8C62MeiD&#10;bHKpG7wHuKnkZxSNpcGSw0KBNa0Lyq6HP6PgtPr6XlGy3v1u00cytOmWzqNaqY9e+zMD4an17/Cr&#10;vdEKRhP4/xJ+gFw8AQAA//8DAFBLAQItABQABgAIAAAAIQDb4fbL7gAAAIUBAAATAAAAAAAAAAAA&#10;AAAAAAAAAABbQ29udGVudF9UeXBlc10ueG1sUEsBAi0AFAAGAAgAAAAhAFr0LFu/AAAAFQEAAAsA&#10;AAAAAAAAAAAAAAAAHwEAAF9yZWxzLy5yZWxzUEsBAi0AFAAGAAgAAAAhAG3spmPEAAAA2wAAAA8A&#10;AAAAAAAAAAAAAAAABwIAAGRycy9kb3ducmV2LnhtbFBLBQYAAAAAAwADALcAAAD4AgAAAAA=&#10;" adj="-11796480,,5400" path="m,537930c,240839,240839,,537930,v297091,,537930,240839,537930,537930c1075860,835021,835021,1075860,537930,1075860,240839,1075860,,835021,,537930xe" fillcolor="#7d95ce" stroked="f">
                        <v:fill color2="#6585cc" focus="100%" type="gradient">
                          <o:fill v:ext="view" type="gradientUnscaled"/>
                        </v:fill>
                        <v:stroke joinstyle="miter"/>
                        <v:formulas/>
                        <v:path arrowok="t" o:connecttype="custom" o:connectlocs="537928,0;1075855,537928;537928,1075855;0,537928;0,537928;537928,0;1075855,537928;537928,1075855;0,537928" o:connectangles="270,0,90,180,0,0,0,0,0" textboxrect="0,0,1075860,1075860"/>
                        <v:textbox inset="4.69417mm,4.69417mm,4.69417mm,4.69417mm">
                          <w:txbxContent>
                            <w:p w:rsidR="00184CAB" w:rsidRDefault="002B1930">
                              <w:pPr>
                                <w:spacing w:after="80" w:line="216" w:lineRule="auto"/>
                                <w:jc w:val="center"/>
                                <w:textAlignment w:val="auto"/>
                              </w:pPr>
                              <w:r>
                                <w:rPr>
                                  <w:rFonts w:eastAsia="Times New Roman"/>
                                  <w:b/>
                                  <w:bCs/>
                                  <w:color w:val="FFFFFF"/>
                                  <w:spacing w:val="0"/>
                                  <w:kern w:val="3"/>
                                  <w:sz w:val="18"/>
                                  <w:szCs w:val="18"/>
                                  <w:lang w:val="es-ES"/>
                                </w:rPr>
                                <w:t>Ejecutado $2,616,237.60</w:t>
                              </w:r>
                            </w:p>
                          </w:txbxContent>
                        </v:textbox>
                      </v:shape>
                      <v:shape id="Forma libre: forma 46" o:spid="_x0000_s1043" style="position:absolute;left:30378;top:2259;width:6239;height:6240;visibility:visible;mso-wrap-style:square;v-text-anchor:middle-center" coordsize="623999,6239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coXvgAAANsAAAAPAAAAZHJzL2Rvd25yZXYueG1sRE9Ni8Iw&#10;EL0v+B/CCN7WVFHRalpEFPZqXdjr0IxtsZmUJLXtv98cFvb4eN+nfDSteJPzjWUFq2UCgri0uuFK&#10;wffj9rkH4QOyxtYyKZjIQ57NPk6Yajvwnd5FqEQMYZ+igjqELpXSlzUZ9EvbEUfuaZ3BEKGrpHY4&#10;xHDTynWS7KTBhmNDjR1daipfRW8UuHJbuXFrp+LuDj/tepj6/tootZiP5yOIQGP4F/+5v7SCTRwb&#10;v8QfILNfAAAA//8DAFBLAQItABQABgAIAAAAIQDb4fbL7gAAAIUBAAATAAAAAAAAAAAAAAAAAAAA&#10;AABbQ29udGVudF9UeXBlc10ueG1sUEsBAi0AFAAGAAgAAAAhAFr0LFu/AAAAFQEAAAsAAAAAAAAA&#10;AAAAAAAAHwEAAF9yZWxzLy5yZWxzUEsBAi0AFAAGAAgAAAAhAAVpyhe+AAAA2wAAAA8AAAAAAAAA&#10;AAAAAAAABwIAAGRycy9kb3ducmV2LnhtbFBLBQYAAAAAAwADALcAAADyAgAAAAA=&#10;" adj="-11796480,,5400" path="m82711,128544r458577,l541288,275308r-458577,l82711,128544xm82711,348691r458577,l541288,495455r-458577,l82711,348691xe" fillcolor="#aab7dd" stroked="f">
                        <v:fill color2="#9bacdb" focus="100%" type="gradient">
                          <o:fill v:ext="view" type="gradientUnscaled"/>
                        </v:fill>
                        <v:stroke joinstyle="miter"/>
                        <v:formulas/>
                        <v:path arrowok="t" o:connecttype="custom" o:connectlocs="311998,0;623995,311998;311998,623995;0,311998;82710,128543;541285,128543;541285,275306;82710,275306;82710,128543;82710,348689;541285,348689;541285,495452;82710,495452;82710,348689" o:connectangles="270,0,90,180,0,0,0,0,0,0,0,0,0,0" textboxrect="0,0,623999,623999"/>
                        <v:textbox inset="2.29742mm,3.57072mm,2.29742mm,3.57072mm">
                          <w:txbxContent>
                            <w:p w:rsidR="00184CAB" w:rsidRDefault="00184CAB">
                              <w:pPr>
                                <w:spacing w:after="60" w:line="216" w:lineRule="auto"/>
                                <w:jc w:val="center"/>
                                <w:textAlignment w:val="auto"/>
                                <w:rPr>
                                  <w:color w:val="000000"/>
                                  <w:spacing w:val="0"/>
                                  <w:sz w:val="36"/>
                                  <w:szCs w:val="36"/>
                                </w:rPr>
                              </w:pPr>
                            </w:p>
                          </w:txbxContent>
                        </v:textbox>
                      </v:shape>
                      <v:shape id="Forma libre: forma 47" o:spid="_x0000_s1044" style="position:absolute;left:37491;width:10759;height:10758;visibility:visible;mso-wrap-style:square;v-text-anchor:middle-center" coordsize="1075860,10758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ZGlxAAAANsAAAAPAAAAZHJzL2Rvd25yZXYueG1sRI9Bi8Iw&#10;FITvgv8hPMGLrOmK6No1yiIUPSiyrnh+Nm/bYvNSm6j13xtB8DjMzDfMdN6YUlypdoVlBZ/9CARx&#10;anXBmYL9X/LxBcJ5ZI2lZVJwJwfzWbs1xVjbG//SdeczESDsYlSQe1/FUro0J4Oubyvi4P3b2qAP&#10;ss6krvEW4KaUgygaSYMFh4UcK1rklJ52F6NgsNyeElmN18fzpEx7Yz4k+41Rqttpfr5BeGr8O/xq&#10;r7SC4QSeX8IPkLMHAAAA//8DAFBLAQItABQABgAIAAAAIQDb4fbL7gAAAIUBAAATAAAAAAAAAAAA&#10;AAAAAAAAAABbQ29udGVudF9UeXBlc10ueG1sUEsBAi0AFAAGAAgAAAAhAFr0LFu/AAAAFQEAAAsA&#10;AAAAAAAAAAAAAAAAHwEAAF9yZWxzLy5yZWxzUEsBAi0AFAAGAAgAAAAhADE5kaXEAAAA2wAAAA8A&#10;AAAAAAAAAAAAAAAABwIAAGRycy9kb3ducmV2LnhtbFBLBQYAAAAAAwADALcAAAD4AgAAAAA=&#10;" adj="-11796480,,5400" path="m,537930c,240839,240839,,537930,v297091,,537930,240839,537930,537930c1075860,835021,835021,1075860,537930,1075860,240839,1075860,,835021,,537930xe" fillcolor="#aab7dd" stroked="f">
                        <v:fill color2="#9bacdb" focus="100%" type="gradient">
                          <o:fill v:ext="view" type="gradientUnscaled"/>
                        </v:fill>
                        <v:stroke joinstyle="miter"/>
                        <v:formulas/>
                        <v:path arrowok="t" o:connecttype="custom" o:connectlocs="537928,0;1075855,537928;537928,1075855;0,537928;0,537928;537928,0;1075855,537928;537928,1075855;0,537928" o:connectangles="270,0,90,180,0,0,0,0,0" textboxrect="0,0,1075860,1075860"/>
                        <v:textbox inset="4.69417mm,4.69417mm,4.69417mm,4.69417mm">
                          <w:txbxContent>
                            <w:p w:rsidR="00184CAB" w:rsidRDefault="002B1930">
                              <w:pPr>
                                <w:spacing w:after="80" w:line="216" w:lineRule="auto"/>
                                <w:jc w:val="center"/>
                                <w:textAlignment w:val="auto"/>
                              </w:pPr>
                              <w:r>
                                <w:rPr>
                                  <w:rFonts w:eastAsia="Times New Roman"/>
                                  <w:b/>
                                  <w:bCs/>
                                  <w:color w:val="FFFFFF"/>
                                  <w:spacing w:val="0"/>
                                  <w:kern w:val="3"/>
                                  <w:sz w:val="18"/>
                                  <w:szCs w:val="18"/>
                                  <w:lang w:val="es-ES"/>
                                </w:rPr>
                                <w:t>Ahorro $436,527.40</w:t>
                              </w:r>
                            </w:p>
                          </w:txbxContent>
                        </v:textbox>
                      </v:shape>
                      <w10:anchorlock/>
                    </v:group>
                  </w:pict>
                </mc:Fallback>
              </mc:AlternateContent>
            </w:r>
          </w:p>
        </w:tc>
      </w:tr>
    </w:tbl>
    <w:p w:rsidR="00184CAB" w:rsidRDefault="002B1930">
      <w:pPr>
        <w:spacing w:after="0" w:line="240" w:lineRule="auto"/>
        <w:jc w:val="both"/>
      </w:pPr>
      <w:r>
        <w:rPr>
          <w:i/>
          <w:color w:val="4C4747"/>
          <w:sz w:val="18"/>
          <w:szCs w:val="18"/>
          <w:lang w:val="es-DO"/>
        </w:rPr>
        <w:t xml:space="preserve">Fuente: División de Desarrollo Humano y Carrera, </w:t>
      </w:r>
      <w:r>
        <w:rPr>
          <w:i/>
          <w:color w:val="4C4747"/>
          <w:sz w:val="18"/>
          <w:szCs w:val="18"/>
        </w:rPr>
        <w:t>Informe correspondiente al periodo anual 2025, Dirección de Recursos Humanos.</w:t>
      </w:r>
    </w:p>
    <w:p w:rsidR="00184CAB" w:rsidRDefault="00184CAB">
      <w:pPr>
        <w:spacing w:line="360" w:lineRule="auto"/>
        <w:jc w:val="both"/>
        <w:rPr>
          <w:b/>
          <w:color w:val="4C4747"/>
        </w:rPr>
      </w:pPr>
    </w:p>
    <w:p w:rsidR="00184CAB" w:rsidRDefault="00184CAB">
      <w:pPr>
        <w:rPr>
          <w:b/>
          <w:color w:val="4C4747"/>
        </w:rPr>
      </w:pPr>
      <w:bookmarkStart w:id="114" w:name="_Toc217043961"/>
    </w:p>
    <w:p w:rsidR="00184CAB" w:rsidRDefault="00184CAB">
      <w:pPr>
        <w:rPr>
          <w:b/>
          <w:color w:val="4C4747"/>
        </w:rPr>
      </w:pPr>
    </w:p>
    <w:p w:rsidR="00184CAB" w:rsidRDefault="00184CAB">
      <w:pPr>
        <w:rPr>
          <w:b/>
          <w:color w:val="4C4747"/>
        </w:rPr>
      </w:pPr>
    </w:p>
    <w:p w:rsidR="00184CAB" w:rsidRDefault="002B1930">
      <w:r>
        <w:rPr>
          <w:b/>
          <w:color w:val="4C4747"/>
        </w:rPr>
        <w:lastRenderedPageBreak/>
        <w:t>Beneficios y Relaciones Laborales:</w:t>
      </w:r>
      <w:bookmarkEnd w:id="114"/>
      <w:r>
        <w:rPr>
          <w:b/>
          <w:color w:val="4C4747"/>
        </w:rPr>
        <w:t xml:space="preserve"> </w:t>
      </w:r>
    </w:p>
    <w:p w:rsidR="00184CAB" w:rsidRDefault="002B1930">
      <w:pPr>
        <w:spacing w:line="360" w:lineRule="auto"/>
        <w:jc w:val="both"/>
        <w:rPr>
          <w:color w:val="4C4747"/>
        </w:rPr>
      </w:pPr>
      <w:r>
        <w:rPr>
          <w:color w:val="4C4747"/>
        </w:rPr>
        <w:t>Como parte del compromiso con el bienestar de nuestros empleados se desarrollaron con efectividad las siguientes acciones:</w:t>
      </w:r>
    </w:p>
    <w:p w:rsidR="00184CAB" w:rsidRDefault="002B1930">
      <w:pPr>
        <w:spacing w:line="360" w:lineRule="auto"/>
        <w:jc w:val="both"/>
      </w:pPr>
      <w:r>
        <w:rPr>
          <w:b/>
          <w:color w:val="4C4747"/>
        </w:rPr>
        <w:t xml:space="preserve">Programa Préstamo “Empleado Feliz”: </w:t>
      </w:r>
      <w:r>
        <w:rPr>
          <w:color w:val="4C4747"/>
          <w:lang w:val="es-DO"/>
        </w:rPr>
        <w:t xml:space="preserve">En el programa de préstamos </w:t>
      </w:r>
      <w:r>
        <w:rPr>
          <w:bCs/>
          <w:color w:val="4C4747"/>
          <w:lang w:val="es-DO"/>
        </w:rPr>
        <w:t>“Empleado Feliz”</w:t>
      </w:r>
      <w:r>
        <w:rPr>
          <w:color w:val="4C4747"/>
          <w:lang w:val="es-DO"/>
        </w:rPr>
        <w:t>, correspondiente</w:t>
      </w:r>
      <w:r>
        <w:rPr>
          <w:color w:val="4C4747"/>
          <w:lang w:val="es-DO"/>
        </w:rPr>
        <w:t xml:space="preserve"> al año 2025, fueron aprobadas </w:t>
      </w:r>
      <w:r>
        <w:rPr>
          <w:bCs/>
          <w:color w:val="4C4747"/>
          <w:lang w:val="es-DO"/>
        </w:rPr>
        <w:t>noventa y nueve (99)</w:t>
      </w:r>
      <w:r>
        <w:rPr>
          <w:color w:val="4C4747"/>
          <w:lang w:val="es-DO"/>
        </w:rPr>
        <w:t xml:space="preserve"> solicitudes por un monto total de </w:t>
      </w:r>
      <w:r>
        <w:rPr>
          <w:bCs/>
          <w:color w:val="4C4747"/>
          <w:lang w:val="es-DO"/>
        </w:rPr>
        <w:t>RD$7,082,750.00</w:t>
      </w:r>
      <w:r>
        <w:rPr>
          <w:color w:val="4C4747"/>
          <w:lang w:val="es-DO"/>
        </w:rPr>
        <w:t xml:space="preserve">. Estos resultados reflejan la efectividad y la positiva acogida del programa, evidenciando nuestro apoyo a las necesidades de los colaboradores. </w:t>
      </w:r>
    </w:p>
    <w:tbl>
      <w:tblPr>
        <w:tblW w:w="7910" w:type="dxa"/>
        <w:tblCellMar>
          <w:left w:w="10" w:type="dxa"/>
          <w:right w:w="10" w:type="dxa"/>
        </w:tblCellMar>
        <w:tblLook w:val="0000" w:firstRow="0" w:lastRow="0" w:firstColumn="0" w:lastColumn="0" w:noHBand="0" w:noVBand="0"/>
      </w:tblPr>
      <w:tblGrid>
        <w:gridCol w:w="7910"/>
      </w:tblGrid>
      <w:tr w:rsidR="00184CAB">
        <w:tblPrEx>
          <w:tblCellMar>
            <w:top w:w="0" w:type="dxa"/>
            <w:bottom w:w="0" w:type="dxa"/>
          </w:tblCellMar>
        </w:tblPrEx>
        <w:tc>
          <w:tcPr>
            <w:tcW w:w="7910"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line="360" w:lineRule="auto"/>
              <w:jc w:val="center"/>
            </w:pPr>
            <w:r>
              <w:rPr>
                <w:b/>
                <w:color w:val="FFFFFF"/>
              </w:rPr>
              <w:t>Evidencia fotográfica de la convocatoria</w:t>
            </w:r>
          </w:p>
        </w:tc>
      </w:tr>
      <w:tr w:rsidR="00184CAB">
        <w:tblPrEx>
          <w:tblCellMar>
            <w:top w:w="0" w:type="dxa"/>
            <w:bottom w:w="0" w:type="dxa"/>
          </w:tblCellMar>
        </w:tblPrEx>
        <w:tc>
          <w:tcPr>
            <w:tcW w:w="7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360" w:lineRule="auto"/>
              <w:jc w:val="both"/>
            </w:pPr>
            <w:r>
              <w:rPr>
                <w:noProof/>
                <w:color w:val="4C4747"/>
                <w:spacing w:val="0"/>
                <w:lang w:val="es-SV"/>
              </w:rPr>
              <w:drawing>
                <wp:inline distT="0" distB="0" distL="0" distR="0">
                  <wp:extent cx="4828690" cy="2534122"/>
                  <wp:effectExtent l="0" t="0" r="0" b="0"/>
                  <wp:docPr id="50" name="Imagen 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rcRect/>
                          <a:stretch>
                            <a:fillRect/>
                          </a:stretch>
                        </pic:blipFill>
                        <pic:spPr>
                          <a:xfrm>
                            <a:off x="0" y="0"/>
                            <a:ext cx="4828690" cy="2534122"/>
                          </a:xfrm>
                          <a:prstGeom prst="rect">
                            <a:avLst/>
                          </a:prstGeom>
                          <a:noFill/>
                          <a:ln>
                            <a:noFill/>
                            <a:prstDash/>
                          </a:ln>
                        </pic:spPr>
                      </pic:pic>
                    </a:graphicData>
                  </a:graphic>
                </wp:inline>
              </w:drawing>
            </w:r>
          </w:p>
        </w:tc>
      </w:tr>
    </w:tbl>
    <w:p w:rsidR="00184CAB" w:rsidRDefault="002B1930">
      <w:pPr>
        <w:spacing w:line="240" w:lineRule="auto"/>
        <w:jc w:val="both"/>
      </w:pPr>
      <w:r>
        <w:rPr>
          <w:i/>
          <w:color w:val="4C4747"/>
          <w:sz w:val="18"/>
          <w:szCs w:val="18"/>
        </w:rPr>
        <w:t>Fuente: Informe correspondiente al periodo anual 2025, División de Beneficios y Relaciones Laborales, Dirección de Recursos Humanos.</w:t>
      </w:r>
    </w:p>
    <w:p w:rsidR="00184CAB" w:rsidRDefault="00184CAB">
      <w:pPr>
        <w:spacing w:line="360" w:lineRule="auto"/>
        <w:jc w:val="both"/>
        <w:rPr>
          <w:color w:val="4C4747"/>
        </w:rPr>
      </w:pPr>
    </w:p>
    <w:p w:rsidR="00184CAB" w:rsidRDefault="00184CAB">
      <w:pPr>
        <w:spacing w:line="360" w:lineRule="auto"/>
        <w:jc w:val="both"/>
        <w:rPr>
          <w:color w:val="4C4747"/>
        </w:rPr>
      </w:pPr>
    </w:p>
    <w:p w:rsidR="00184CAB" w:rsidRDefault="00184CAB">
      <w:pPr>
        <w:spacing w:line="360" w:lineRule="auto"/>
        <w:jc w:val="both"/>
        <w:rPr>
          <w:color w:val="4C4747"/>
        </w:rPr>
      </w:pPr>
    </w:p>
    <w:p w:rsidR="00184CAB" w:rsidRDefault="00184CAB">
      <w:pPr>
        <w:spacing w:line="360" w:lineRule="auto"/>
        <w:jc w:val="both"/>
        <w:rPr>
          <w:color w:val="4C4747"/>
        </w:rPr>
      </w:pPr>
    </w:p>
    <w:p w:rsidR="00184CAB" w:rsidRDefault="00184CAB">
      <w:pPr>
        <w:spacing w:line="360" w:lineRule="auto"/>
        <w:jc w:val="both"/>
        <w:rPr>
          <w:color w:val="4C4747"/>
        </w:rPr>
      </w:pPr>
    </w:p>
    <w:p w:rsidR="00184CAB" w:rsidRDefault="002B1930">
      <w:pPr>
        <w:spacing w:line="360" w:lineRule="auto"/>
        <w:jc w:val="both"/>
      </w:pPr>
      <w:r>
        <w:rPr>
          <w:color w:val="4C4747"/>
        </w:rPr>
        <w:lastRenderedPageBreak/>
        <w:t>Durante este año 2025, se llevaron a cabo las siguientes conmemoraciones:</w:t>
      </w:r>
      <w:r>
        <w:rPr>
          <w:b/>
          <w:color w:val="4C4747"/>
        </w:rPr>
        <w:t xml:space="preserve"> </w:t>
      </w:r>
    </w:p>
    <w:tbl>
      <w:tblPr>
        <w:tblW w:w="7974" w:type="dxa"/>
        <w:jc w:val="center"/>
        <w:tblLayout w:type="fixed"/>
        <w:tblCellMar>
          <w:left w:w="10" w:type="dxa"/>
          <w:right w:w="10" w:type="dxa"/>
        </w:tblCellMar>
        <w:tblLook w:val="0000" w:firstRow="0" w:lastRow="0" w:firstColumn="0" w:lastColumn="0" w:noHBand="0" w:noVBand="0"/>
      </w:tblPr>
      <w:tblGrid>
        <w:gridCol w:w="1701"/>
        <w:gridCol w:w="6273"/>
      </w:tblGrid>
      <w:tr w:rsidR="00184CAB">
        <w:tblPrEx>
          <w:tblCellMar>
            <w:top w:w="0" w:type="dxa"/>
            <w:bottom w:w="0" w:type="dxa"/>
          </w:tblCellMar>
        </w:tblPrEx>
        <w:trPr>
          <w:trHeight w:val="221"/>
          <w:tblHeader/>
          <w:jc w:val="center"/>
        </w:trPr>
        <w:tc>
          <w:tcPr>
            <w:tcW w:w="7974" w:type="dxa"/>
            <w:gridSpan w:val="2"/>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rPr>
                <w:b/>
                <w:color w:val="FFFFFF"/>
              </w:rPr>
            </w:pPr>
            <w:r>
              <w:rPr>
                <w:b/>
                <w:color w:val="FFFFFF"/>
              </w:rPr>
              <w:t>Tabla no. 27 de relación de actividades conmemorativas celebradas durante el periodo anual del 2025</w:t>
            </w:r>
          </w:p>
        </w:tc>
      </w:tr>
      <w:tr w:rsidR="00184CAB">
        <w:tblPrEx>
          <w:tblCellMar>
            <w:top w:w="0" w:type="dxa"/>
            <w:bottom w:w="0" w:type="dxa"/>
          </w:tblCellMar>
        </w:tblPrEx>
        <w:trPr>
          <w:trHeight w:val="221"/>
          <w:tblHeade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rPr>
                <w:b/>
                <w:color w:val="FFFFFF"/>
              </w:rPr>
            </w:pPr>
            <w:r>
              <w:rPr>
                <w:b/>
                <w:color w:val="FFFFFF"/>
              </w:rPr>
              <w:t>Actividad</w:t>
            </w:r>
          </w:p>
        </w:tc>
        <w:tc>
          <w:tcPr>
            <w:tcW w:w="6273"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rPr>
                <w:b/>
                <w:color w:val="FFFFFF"/>
              </w:rPr>
            </w:pPr>
            <w:r>
              <w:rPr>
                <w:b/>
                <w:color w:val="FFFFFF"/>
              </w:rPr>
              <w:t>Objetivo</w:t>
            </w:r>
          </w:p>
        </w:tc>
      </w:tr>
      <w:tr w:rsidR="00184CAB">
        <w:tblPrEx>
          <w:tblCellMar>
            <w:top w:w="0" w:type="dxa"/>
            <w:bottom w:w="0" w:type="dxa"/>
          </w:tblCellMar>
        </w:tblPrEx>
        <w:trPr>
          <w:trHeight w:val="1390"/>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color w:val="4C4747"/>
              </w:rPr>
            </w:pPr>
            <w:r>
              <w:rPr>
                <w:color w:val="4C4747"/>
              </w:rPr>
              <w:t>Día nacional del Servidor Público</w:t>
            </w:r>
          </w:p>
        </w:tc>
        <w:tc>
          <w:tcPr>
            <w:tcW w:w="6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both"/>
              <w:rPr>
                <w:color w:val="4C4747"/>
              </w:rPr>
            </w:pPr>
            <w:r>
              <w:rPr>
                <w:color w:val="4C4747"/>
              </w:rPr>
              <w:t xml:space="preserve">El 25 de enero conmemoramos el Día del Servidor Público. Agradecemos su dedicación, vocación y </w:t>
            </w:r>
            <w:r>
              <w:rPr>
                <w:color w:val="4C4747"/>
              </w:rPr>
              <w:t>servicio, que contribuyen al crecimiento de nuestra sociedad.</w:t>
            </w:r>
          </w:p>
        </w:tc>
      </w:tr>
      <w:tr w:rsidR="00184CAB">
        <w:tblPrEx>
          <w:tblCellMar>
            <w:top w:w="0" w:type="dxa"/>
            <w:bottom w:w="0" w:type="dxa"/>
          </w:tblCellMar>
        </w:tblPrEx>
        <w:trPr>
          <w:trHeight w:val="212"/>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color w:val="4C4747"/>
              </w:rPr>
            </w:pPr>
            <w:r>
              <w:rPr>
                <w:color w:val="4C4747"/>
              </w:rPr>
              <w:t>Día Internacional de la Mujer</w:t>
            </w:r>
          </w:p>
        </w:tc>
        <w:tc>
          <w:tcPr>
            <w:tcW w:w="6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both"/>
              <w:rPr>
                <w:color w:val="4C4747"/>
              </w:rPr>
            </w:pPr>
            <w:r>
              <w:rPr>
                <w:color w:val="4C4747"/>
              </w:rPr>
              <w:t xml:space="preserve">Con motivo de la conmemoración del Día Internacional de la Mujer, se difundió un mensaje institucional para felicitar y reconocer a todas nuestras colaboradoras </w:t>
            </w:r>
            <w:r>
              <w:rPr>
                <w:color w:val="4C4747"/>
              </w:rPr>
              <w:t>por su valiosa labor y compromiso</w:t>
            </w:r>
          </w:p>
        </w:tc>
      </w:tr>
      <w:tr w:rsidR="00184CAB">
        <w:tblPrEx>
          <w:tblCellMar>
            <w:top w:w="0" w:type="dxa"/>
            <w:bottom w:w="0" w:type="dxa"/>
          </w:tblCellMar>
        </w:tblPrEx>
        <w:trPr>
          <w:trHeight w:val="1910"/>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color w:val="4C4747"/>
              </w:rPr>
            </w:pPr>
            <w:r>
              <w:rPr>
                <w:color w:val="4C4747"/>
              </w:rPr>
              <w:t>Día de las Madres</w:t>
            </w:r>
          </w:p>
        </w:tc>
        <w:tc>
          <w:tcPr>
            <w:tcW w:w="6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both"/>
              <w:rPr>
                <w:color w:val="4C4747"/>
                <w:lang w:val="es-ES"/>
              </w:rPr>
            </w:pPr>
            <w:r>
              <w:rPr>
                <w:color w:val="4C4747"/>
                <w:lang w:val="es-ES"/>
              </w:rPr>
              <w:t>En conmemoración al Día de las Madres se realizó una charla, se realizó actividad interna con una emotiva charla dirigida a todas nuestras colaboradoras, con el objetivo de reconocer y enaltecer su dedic</w:t>
            </w:r>
            <w:r>
              <w:rPr>
                <w:color w:val="4C4747"/>
                <w:lang w:val="es-ES"/>
              </w:rPr>
              <w:t>ación, esfuerzo y el valioso rol que desempeñan tanto en el ámbito familiar como en el profesional. Como muestra de aprecio, también se les hizo entrega de un delicado souvenir, símbolo de la elegancia y fortaleza que las caracteriza.</w:t>
            </w:r>
          </w:p>
        </w:tc>
      </w:tr>
      <w:tr w:rsidR="00184CAB">
        <w:tblPrEx>
          <w:tblCellMar>
            <w:top w:w="0" w:type="dxa"/>
            <w:bottom w:w="0" w:type="dxa"/>
          </w:tblCellMar>
        </w:tblPrEx>
        <w:trPr>
          <w:trHeight w:val="221"/>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184CAB">
            <w:pPr>
              <w:spacing w:after="0" w:line="240" w:lineRule="auto"/>
              <w:rPr>
                <w:color w:val="4C4747"/>
              </w:rPr>
            </w:pPr>
          </w:p>
          <w:p w:rsidR="00184CAB" w:rsidRDefault="002B1930">
            <w:pPr>
              <w:spacing w:after="0" w:line="240" w:lineRule="auto"/>
              <w:rPr>
                <w:color w:val="4C4747"/>
              </w:rPr>
            </w:pPr>
            <w:r>
              <w:rPr>
                <w:color w:val="4C4747"/>
              </w:rPr>
              <w:t>Día de los Padres</w:t>
            </w:r>
          </w:p>
        </w:tc>
        <w:tc>
          <w:tcPr>
            <w:tcW w:w="6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both"/>
              <w:rPr>
                <w:color w:val="4C4747"/>
                <w:lang w:val="es-ES"/>
              </w:rPr>
            </w:pPr>
            <w:r>
              <w:rPr>
                <w:color w:val="4C4747"/>
                <w:lang w:val="es-ES"/>
              </w:rPr>
              <w:t>En conmemoración al Día del Padre se realizó un llevó a cabo la charla “Más allá del Rol: El padre y la salud mental”, impartida por la Licda. Gabriela Tavares, con el propósito de promover la reflexión sobre la importancia del bienestar emocional y la sal</w:t>
            </w:r>
            <w:r>
              <w:rPr>
                <w:color w:val="4C4747"/>
                <w:lang w:val="es-ES"/>
              </w:rPr>
              <w:t>ud mental en la paternidad.</w:t>
            </w:r>
          </w:p>
        </w:tc>
      </w:tr>
      <w:tr w:rsidR="00184CAB">
        <w:tblPrEx>
          <w:tblCellMar>
            <w:top w:w="0" w:type="dxa"/>
            <w:bottom w:w="0" w:type="dxa"/>
          </w:tblCellMar>
        </w:tblPrEx>
        <w:trPr>
          <w:trHeight w:val="221"/>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color w:val="4C4747"/>
              </w:rPr>
            </w:pPr>
            <w:r>
              <w:rPr>
                <w:color w:val="4C4747"/>
              </w:rPr>
              <w:t>Día Nacional de la Familia</w:t>
            </w:r>
          </w:p>
        </w:tc>
        <w:tc>
          <w:tcPr>
            <w:tcW w:w="6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both"/>
              <w:rPr>
                <w:color w:val="4C4747"/>
              </w:rPr>
            </w:pPr>
            <w:r>
              <w:rPr>
                <w:color w:val="4C4747"/>
              </w:rPr>
              <w:t>En conmemoración del Día Nacional de la Familia, se llevó a cabo una charla orientada a fortalecer la economía familiar y destacar la responsabilidad que cada integrante asume para el bienestar común.</w:t>
            </w:r>
            <w:r>
              <w:rPr>
                <w:color w:val="4C4747"/>
              </w:rPr>
              <w:t xml:space="preserve"> Esta actividad, auspiciada por COOPAN, tuvo como propósito brindar herramientas prácticas para una administración más eficiente de las finanzas del hogar y promover la importancia del trabajo colaborativo dentro del núcleo familiar</w:t>
            </w:r>
          </w:p>
        </w:tc>
      </w:tr>
    </w:tbl>
    <w:p w:rsidR="00184CAB" w:rsidRDefault="002B1930">
      <w:pPr>
        <w:spacing w:line="240" w:lineRule="auto"/>
        <w:jc w:val="both"/>
        <w:rPr>
          <w:i/>
          <w:color w:val="4B4747"/>
          <w:sz w:val="18"/>
          <w:szCs w:val="18"/>
        </w:rPr>
      </w:pPr>
      <w:r>
        <w:rPr>
          <w:i/>
          <w:color w:val="4B4747"/>
          <w:sz w:val="18"/>
          <w:szCs w:val="18"/>
        </w:rPr>
        <w:t>Fuente: Informe corres</w:t>
      </w:r>
      <w:r>
        <w:rPr>
          <w:i/>
          <w:color w:val="4B4747"/>
          <w:sz w:val="18"/>
          <w:szCs w:val="18"/>
        </w:rPr>
        <w:t>pondiente al periodo anual 2025, División de Beneficios y Relaciones Laborales, Dirección de Recursos Humanos.</w:t>
      </w:r>
    </w:p>
    <w:p w:rsidR="00184CAB" w:rsidRDefault="00184CAB">
      <w:pPr>
        <w:spacing w:line="360" w:lineRule="auto"/>
        <w:jc w:val="both"/>
        <w:rPr>
          <w:b/>
          <w:color w:val="4C4747"/>
        </w:rPr>
      </w:pPr>
    </w:p>
    <w:p w:rsidR="00184CAB" w:rsidRDefault="002B1930">
      <w:pPr>
        <w:spacing w:line="360" w:lineRule="auto"/>
        <w:jc w:val="both"/>
      </w:pPr>
      <w:r>
        <w:rPr>
          <w:b/>
          <w:color w:val="4C4747"/>
        </w:rPr>
        <w:lastRenderedPageBreak/>
        <w:t xml:space="preserve">Jornadas preventivas. </w:t>
      </w:r>
      <w:r>
        <w:rPr>
          <w:color w:val="4C4747"/>
        </w:rPr>
        <w:t xml:space="preserve">Con la finalidad de garantizar que todos los colaboradores cuenten con condiciones de salud aptos para sus respectivas </w:t>
      </w:r>
      <w:r>
        <w:rPr>
          <w:color w:val="4C4747"/>
        </w:rPr>
        <w:t xml:space="preserve">labores, durante el año 2025, se realizaron las siguientes jornadas: </w:t>
      </w:r>
    </w:p>
    <w:tbl>
      <w:tblPr>
        <w:tblW w:w="7938" w:type="dxa"/>
        <w:tblCellMar>
          <w:left w:w="10" w:type="dxa"/>
          <w:right w:w="10" w:type="dxa"/>
        </w:tblCellMar>
        <w:tblLook w:val="0000" w:firstRow="0" w:lastRow="0" w:firstColumn="0" w:lastColumn="0" w:noHBand="0" w:noVBand="0"/>
      </w:tblPr>
      <w:tblGrid>
        <w:gridCol w:w="2835"/>
        <w:gridCol w:w="5103"/>
      </w:tblGrid>
      <w:tr w:rsidR="00184CAB">
        <w:tblPrEx>
          <w:tblCellMar>
            <w:top w:w="0" w:type="dxa"/>
            <w:bottom w:w="0" w:type="dxa"/>
          </w:tblCellMar>
        </w:tblPrEx>
        <w:trPr>
          <w:trHeight w:val="359"/>
          <w:tblHeader/>
        </w:trPr>
        <w:tc>
          <w:tcPr>
            <w:tcW w:w="7938" w:type="dxa"/>
            <w:gridSpan w:val="2"/>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rPr>
            </w:pPr>
            <w:r>
              <w:rPr>
                <w:b/>
                <w:color w:val="FFFFFF"/>
              </w:rPr>
              <w:t>Tabla no. 28 de Relación de Jornadas preventivas realizadas durante el periodo anual 2025</w:t>
            </w:r>
          </w:p>
        </w:tc>
      </w:tr>
      <w:tr w:rsidR="00184CAB">
        <w:tblPrEx>
          <w:tblCellMar>
            <w:top w:w="0" w:type="dxa"/>
            <w:bottom w:w="0" w:type="dxa"/>
          </w:tblCellMar>
        </w:tblPrEx>
        <w:trPr>
          <w:trHeight w:val="359"/>
          <w:tblHeader/>
        </w:trPr>
        <w:tc>
          <w:tcPr>
            <w:tcW w:w="283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rPr>
            </w:pPr>
            <w:r>
              <w:rPr>
                <w:b/>
                <w:color w:val="FFFFFF"/>
              </w:rPr>
              <w:t>Jornadas</w:t>
            </w:r>
          </w:p>
        </w:tc>
        <w:tc>
          <w:tcPr>
            <w:tcW w:w="5103"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rPr>
            </w:pPr>
            <w:r>
              <w:rPr>
                <w:b/>
                <w:color w:val="FFFFFF"/>
              </w:rPr>
              <w:t>Objetivo</w:t>
            </w:r>
          </w:p>
        </w:tc>
      </w:tr>
      <w:tr w:rsidR="00184CAB">
        <w:tblPrEx>
          <w:tblCellMar>
            <w:top w:w="0" w:type="dxa"/>
            <w:bottom w:w="0" w:type="dxa"/>
          </w:tblCellMar>
        </w:tblPrEx>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color w:val="262626"/>
              </w:rPr>
            </w:pPr>
            <w:r>
              <w:rPr>
                <w:color w:val="262626"/>
              </w:rPr>
              <w:t>Jornada de Donación de Sangre</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both"/>
            </w:pPr>
            <w:r>
              <w:rPr>
                <w:color w:val="262626"/>
                <w:lang w:val="es-ES"/>
              </w:rPr>
              <w:t xml:space="preserve">En coordinación con otras instituciones del </w:t>
            </w:r>
            <w:r>
              <w:rPr>
                <w:color w:val="262626"/>
                <w:lang w:val="es-ES"/>
              </w:rPr>
              <w:t>Palacio Nacional, llevamos a cabo una jornada de donación de sangre, en la cual contamos con la colaboración de 34 participantes.</w:t>
            </w:r>
          </w:p>
        </w:tc>
      </w:tr>
      <w:tr w:rsidR="00184CAB">
        <w:tblPrEx>
          <w:tblCellMar>
            <w:top w:w="0" w:type="dxa"/>
            <w:bottom w:w="0" w:type="dxa"/>
          </w:tblCellMar>
        </w:tblPrEx>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pPr>
            <w:r>
              <w:rPr>
                <w:color w:val="262626"/>
                <w:lang w:val="es-DO"/>
              </w:rPr>
              <w:t>Jornada Oftalmológica</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both"/>
            </w:pPr>
            <w:r>
              <w:rPr>
                <w:color w:val="262626"/>
                <w:lang w:val="es-ES"/>
              </w:rPr>
              <w:t>Con el apoyo de la Cooperativa de Servicios Múltiples de Empleados del Palacio Nacional (COOPAN) fueron</w:t>
            </w:r>
            <w:r>
              <w:rPr>
                <w:color w:val="262626"/>
                <w:lang w:val="es-ES"/>
              </w:rPr>
              <w:t xml:space="preserve"> evaluados 67 colaboradores y colaboradoras</w:t>
            </w:r>
            <w:r>
              <w:rPr>
                <w:color w:val="262626"/>
                <w:lang w:val="es-DO"/>
              </w:rPr>
              <w:t xml:space="preserve">. </w:t>
            </w:r>
            <w:r>
              <w:rPr>
                <w:color w:val="262626"/>
                <w:lang w:val="es-ES"/>
              </w:rPr>
              <w:t>Aquellos que requirieron lentes, pudieron adquirirlos con atractivas ofertas y cómodas facilidades de pago.</w:t>
            </w:r>
          </w:p>
        </w:tc>
      </w:tr>
      <w:tr w:rsidR="00184CAB">
        <w:tblPrEx>
          <w:tblCellMar>
            <w:top w:w="0" w:type="dxa"/>
            <w:bottom w:w="0" w:type="dxa"/>
          </w:tblCellMar>
        </w:tblPrEx>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color w:val="262626"/>
                <w:lang w:val="es-DO"/>
              </w:rPr>
            </w:pPr>
            <w:r>
              <w:rPr>
                <w:color w:val="262626"/>
                <w:lang w:val="es-DO"/>
              </w:rPr>
              <w:t xml:space="preserve">Jornada de </w:t>
            </w:r>
            <w:proofErr w:type="spellStart"/>
            <w:r>
              <w:rPr>
                <w:color w:val="262626"/>
                <w:lang w:val="es-DO"/>
              </w:rPr>
              <w:t>Sonomamografía</w:t>
            </w:r>
            <w:proofErr w:type="spellEnd"/>
          </w:p>
          <w:p w:rsidR="00184CAB" w:rsidRDefault="00184CAB">
            <w:pPr>
              <w:spacing w:after="0" w:line="240" w:lineRule="auto"/>
              <w:rPr>
                <w:color w:val="262626"/>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both"/>
            </w:pPr>
            <w:r>
              <w:rPr>
                <w:color w:val="262626"/>
                <w:lang w:val="es-ES"/>
              </w:rPr>
              <w:t>Se impartió charla orientada a promover la detección temprana y las medidas</w:t>
            </w:r>
            <w:r>
              <w:rPr>
                <w:color w:val="262626"/>
                <w:lang w:val="es-ES"/>
              </w:rPr>
              <w:t xml:space="preserve"> de prevención de esta enfermedad y, asimismo, se realizó una jornada de </w:t>
            </w:r>
            <w:proofErr w:type="spellStart"/>
            <w:r>
              <w:rPr>
                <w:color w:val="262626"/>
                <w:lang w:val="es-ES"/>
              </w:rPr>
              <w:t>sonomamografía</w:t>
            </w:r>
            <w:proofErr w:type="spellEnd"/>
            <w:r>
              <w:rPr>
                <w:color w:val="262626"/>
                <w:lang w:val="es-ES"/>
              </w:rPr>
              <w:t>, con el apoyo de AFP Reservas, en la cual participaron 76 colaboradoras.</w:t>
            </w:r>
          </w:p>
        </w:tc>
      </w:tr>
      <w:tr w:rsidR="00184CAB">
        <w:tblPrEx>
          <w:tblCellMar>
            <w:top w:w="0" w:type="dxa"/>
            <w:bottom w:w="0" w:type="dxa"/>
          </w:tblCellMar>
        </w:tblPrEx>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color w:val="262626"/>
                <w:lang w:val="es-DO"/>
              </w:rPr>
            </w:pPr>
            <w:r>
              <w:rPr>
                <w:color w:val="262626"/>
                <w:lang w:val="es-DO"/>
              </w:rPr>
              <w:t>Charla Prevención de Hipertensión Arterial</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both"/>
            </w:pPr>
            <w:r>
              <w:rPr>
                <w:color w:val="4C4747"/>
                <w:lang w:val="es-DO"/>
              </w:rPr>
              <w:t>Se impartió una charla sobre cuidado y prevención d</w:t>
            </w:r>
            <w:r>
              <w:rPr>
                <w:color w:val="4C4747"/>
                <w:lang w:val="es-DO"/>
              </w:rPr>
              <w:t>e la hipertensión arterial, en la cual participaron 42 colaboradores de esta Casa de Gobierno.</w:t>
            </w:r>
          </w:p>
        </w:tc>
      </w:tr>
      <w:tr w:rsidR="00184CAB">
        <w:tblPrEx>
          <w:tblCellMar>
            <w:top w:w="0" w:type="dxa"/>
            <w:bottom w:w="0" w:type="dxa"/>
          </w:tblCellMar>
        </w:tblPrEx>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color w:val="262626"/>
                <w:lang w:val="es-DO"/>
              </w:rPr>
            </w:pPr>
            <w:r>
              <w:rPr>
                <w:color w:val="262626"/>
                <w:lang w:val="es-DO"/>
              </w:rPr>
              <w:t>Jornada de vacunación contra la influenza, DT y Hepatitis B</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both"/>
              <w:rPr>
                <w:color w:val="4C4747"/>
                <w:lang w:val="es-DO"/>
              </w:rPr>
            </w:pPr>
            <w:r>
              <w:rPr>
                <w:color w:val="4C4747"/>
                <w:lang w:val="es-DO"/>
              </w:rPr>
              <w:t>Se realizó una jornada de vacunación contra la Influenza donde un total de 140 servidores fueron deb</w:t>
            </w:r>
            <w:r>
              <w:rPr>
                <w:color w:val="4C4747"/>
                <w:lang w:val="es-DO"/>
              </w:rPr>
              <w:t>idamente vacunados.</w:t>
            </w:r>
          </w:p>
        </w:tc>
      </w:tr>
      <w:tr w:rsidR="00184CAB">
        <w:tblPrEx>
          <w:tblCellMar>
            <w:top w:w="0" w:type="dxa"/>
            <w:bottom w:w="0" w:type="dxa"/>
          </w:tblCellMar>
        </w:tblPrEx>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color w:val="262626"/>
                <w:lang w:val="es-DO"/>
              </w:rPr>
            </w:pPr>
            <w:r>
              <w:rPr>
                <w:color w:val="262626"/>
                <w:lang w:val="es-DO"/>
              </w:rPr>
              <w:t>Jornadas de Evaluación COVID-19</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both"/>
              <w:rPr>
                <w:color w:val="4C4747"/>
                <w:lang w:val="es-DO"/>
              </w:rPr>
            </w:pPr>
            <w:r>
              <w:rPr>
                <w:color w:val="4C4747"/>
                <w:lang w:val="es-DO"/>
              </w:rPr>
              <w:t>Fue logrado el desarrollo de esta jornada obteniendo como resultado la participación de 29 colaboradores de esta casa de gobierno.</w:t>
            </w:r>
          </w:p>
        </w:tc>
      </w:tr>
      <w:tr w:rsidR="00184CAB">
        <w:tblPrEx>
          <w:tblCellMar>
            <w:top w:w="0" w:type="dxa"/>
            <w:bottom w:w="0" w:type="dxa"/>
          </w:tblCellMar>
        </w:tblPrEx>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color w:val="262626"/>
                <w:lang w:val="es-DO"/>
              </w:rPr>
            </w:pPr>
            <w:r>
              <w:rPr>
                <w:color w:val="262626"/>
                <w:lang w:val="es-DO"/>
              </w:rPr>
              <w:t>Jornada de administración de Vitamina C</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both"/>
              <w:rPr>
                <w:color w:val="4C4747"/>
                <w:lang w:val="es-DO"/>
              </w:rPr>
            </w:pPr>
            <w:r>
              <w:rPr>
                <w:color w:val="4C4747"/>
                <w:lang w:val="es-DO"/>
              </w:rPr>
              <w:t xml:space="preserve">Fue logrado el desarrollo de </w:t>
            </w:r>
            <w:r>
              <w:rPr>
                <w:color w:val="4C4747"/>
                <w:lang w:val="es-DO"/>
              </w:rPr>
              <w:t>esta jornada obteniendo como resultado la participación de 116 colaboradores de esta Casa de Gobierno.</w:t>
            </w:r>
          </w:p>
        </w:tc>
      </w:tr>
    </w:tbl>
    <w:p w:rsidR="00184CAB" w:rsidRDefault="002B1930">
      <w:pPr>
        <w:spacing w:line="240" w:lineRule="auto"/>
        <w:jc w:val="both"/>
      </w:pPr>
      <w:r>
        <w:rPr>
          <w:i/>
          <w:color w:val="4C4747"/>
          <w:sz w:val="18"/>
          <w:szCs w:val="18"/>
        </w:rPr>
        <w:t xml:space="preserve">Fuente: Informe correspondiente al periodo anual 2025, División de Beneficios y Relaciones Laborales y </w:t>
      </w:r>
      <w:r>
        <w:rPr>
          <w:i/>
          <w:color w:val="4C4747"/>
          <w:sz w:val="18"/>
          <w:szCs w:val="18"/>
          <w:lang w:val="es-DO"/>
        </w:rPr>
        <w:t>Depto. de salud y seguridad en el trabajo</w:t>
      </w:r>
      <w:r>
        <w:rPr>
          <w:i/>
          <w:color w:val="4C4747"/>
          <w:sz w:val="18"/>
          <w:szCs w:val="18"/>
        </w:rPr>
        <w:t xml:space="preserve">, </w:t>
      </w:r>
      <w:r>
        <w:rPr>
          <w:i/>
          <w:color w:val="4C4747"/>
          <w:sz w:val="18"/>
          <w:szCs w:val="18"/>
        </w:rPr>
        <w:t>Dirección de Recursos Humanos.</w:t>
      </w:r>
    </w:p>
    <w:p w:rsidR="00184CAB" w:rsidRDefault="002B1930">
      <w:pPr>
        <w:spacing w:line="360" w:lineRule="auto"/>
        <w:jc w:val="both"/>
      </w:pPr>
      <w:r>
        <w:rPr>
          <w:color w:val="4C4747"/>
        </w:rPr>
        <w:lastRenderedPageBreak/>
        <w:t xml:space="preserve">En cumplimiento con la guía </w:t>
      </w:r>
      <w:r>
        <w:rPr>
          <w:color w:val="4C4747"/>
          <w:lang w:val="es-DO"/>
        </w:rPr>
        <w:t>sobre Remuneraciones, incentivos, compensaciones y Beneficios de los Servidores Públicos, este Ministerio obtuvo una puntuación de 86.13%.</w:t>
      </w:r>
    </w:p>
    <w:p w:rsidR="00184CAB" w:rsidRDefault="002B1930">
      <w:pPr>
        <w:spacing w:line="360" w:lineRule="auto"/>
        <w:jc w:val="both"/>
      </w:pPr>
      <w:r>
        <w:rPr>
          <w:b/>
          <w:color w:val="4C4747"/>
        </w:rPr>
        <w:t>Pago de indemnización y vacaciones no disfrutadas.</w:t>
      </w:r>
      <w:r>
        <w:rPr>
          <w:color w:val="4C4747"/>
        </w:rPr>
        <w:t xml:space="preserve"> Con el </w:t>
      </w:r>
      <w:r>
        <w:rPr>
          <w:color w:val="4C4747"/>
        </w:rPr>
        <w:t xml:space="preserve">propósito de asegurar los derechos de los ex servidores/as, y conforme a las disposiciones del Art. 63 de la Ley 41-08 de Función Pública, se han garantizado los pagos por concepto de Beneficios Laborales. </w:t>
      </w:r>
      <w:r>
        <w:rPr>
          <w:color w:val="4C4747"/>
          <w:lang w:val="es-DO"/>
        </w:rPr>
        <w:t>En el año 2025 se han efectuado pagos de manera sa</w:t>
      </w:r>
      <w:r>
        <w:rPr>
          <w:color w:val="4C4747"/>
          <w:lang w:val="es-DO"/>
        </w:rPr>
        <w:t>tisfactoria, por los siguientes rubros:</w:t>
      </w:r>
    </w:p>
    <w:p w:rsidR="00184CAB" w:rsidRDefault="002B1930">
      <w:pPr>
        <w:pStyle w:val="Prrafodelista"/>
        <w:numPr>
          <w:ilvl w:val="0"/>
          <w:numId w:val="25"/>
        </w:numPr>
        <w:spacing w:after="200" w:line="360" w:lineRule="auto"/>
        <w:jc w:val="both"/>
      </w:pPr>
      <w:r>
        <w:rPr>
          <w:color w:val="4B4747"/>
          <w:lang w:val="es-ES"/>
        </w:rPr>
        <w:t>Diecisiete</w:t>
      </w:r>
      <w:r>
        <w:rPr>
          <w:color w:val="4B4747"/>
          <w:lang w:val="es-DO"/>
        </w:rPr>
        <w:t xml:space="preserve"> (17) pagos correspondientes a indemnización económica por un valor de </w:t>
      </w:r>
      <w:r>
        <w:rPr>
          <w:color w:val="4B4747"/>
          <w:lang w:val="es-ES"/>
        </w:rPr>
        <w:t>RD$1,613,624.40</w:t>
      </w:r>
      <w:r>
        <w:rPr>
          <w:bCs/>
          <w:color w:val="4B4747"/>
          <w:lang w:val="es-DO"/>
        </w:rPr>
        <w:t>.</w:t>
      </w:r>
    </w:p>
    <w:p w:rsidR="00184CAB" w:rsidRDefault="002B1930">
      <w:pPr>
        <w:pStyle w:val="Prrafodelista"/>
        <w:numPr>
          <w:ilvl w:val="0"/>
          <w:numId w:val="25"/>
        </w:numPr>
        <w:spacing w:after="200" w:line="360" w:lineRule="auto"/>
        <w:jc w:val="both"/>
        <w:rPr>
          <w:color w:val="4C4747"/>
          <w:lang w:val="es-DO"/>
        </w:rPr>
      </w:pPr>
      <w:r>
        <w:rPr>
          <w:color w:val="4C4747"/>
          <w:lang w:val="es-DO"/>
        </w:rPr>
        <w:t>Ciento veintisiete (127) pagos correspondientes a vacaciones no disfrutadas por un valor de RD$8,470,432.14.</w:t>
      </w:r>
    </w:p>
    <w:tbl>
      <w:tblPr>
        <w:tblW w:w="7876" w:type="dxa"/>
        <w:tblCellMar>
          <w:left w:w="10" w:type="dxa"/>
          <w:right w:w="10" w:type="dxa"/>
        </w:tblCellMar>
        <w:tblLook w:val="0000" w:firstRow="0" w:lastRow="0" w:firstColumn="0" w:lastColumn="0" w:noHBand="0" w:noVBand="0"/>
      </w:tblPr>
      <w:tblGrid>
        <w:gridCol w:w="7910"/>
      </w:tblGrid>
      <w:tr w:rsidR="00184CAB">
        <w:tblPrEx>
          <w:tblCellMar>
            <w:top w:w="0" w:type="dxa"/>
            <w:bottom w:w="0" w:type="dxa"/>
          </w:tblCellMar>
        </w:tblPrEx>
        <w:trPr>
          <w:trHeight w:val="596"/>
        </w:trPr>
        <w:tc>
          <w:tcPr>
            <w:tcW w:w="7910"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both"/>
            </w:pPr>
            <w:r>
              <w:rPr>
                <w:b/>
                <w:color w:val="FFFFFF"/>
                <w:spacing w:val="0"/>
                <w:lang w:val="es-DO"/>
              </w:rPr>
              <w:t>Gráfico n</w:t>
            </w:r>
            <w:r>
              <w:rPr>
                <w:b/>
                <w:color w:val="FFFFFF"/>
                <w:spacing w:val="0"/>
                <w:lang w:val="es-DO"/>
              </w:rPr>
              <w:t xml:space="preserve">o. 5 </w:t>
            </w:r>
            <w:r>
              <w:rPr>
                <w:b/>
                <w:bCs/>
                <w:color w:val="FFFFFF"/>
                <w:spacing w:val="0"/>
                <w:lang w:val="es-DO"/>
              </w:rPr>
              <w:t>sobre comparativo de pagos correspondientes a vacaciones no disfrutadas e indemnización económica durante el periodo enero-octubre del 2025</w:t>
            </w:r>
          </w:p>
        </w:tc>
      </w:tr>
      <w:tr w:rsidR="00184CAB">
        <w:tblPrEx>
          <w:tblCellMar>
            <w:top w:w="0" w:type="dxa"/>
            <w:bottom w:w="0" w:type="dxa"/>
          </w:tblCellMar>
        </w:tblPrEx>
        <w:trPr>
          <w:trHeight w:val="3188"/>
        </w:trPr>
        <w:tc>
          <w:tcPr>
            <w:tcW w:w="7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both"/>
            </w:pPr>
            <w:r>
              <w:rPr>
                <w:rFonts w:ascii="Calibri" w:hAnsi="Calibri"/>
                <w:noProof/>
                <w:color w:val="auto"/>
                <w:spacing w:val="0"/>
                <w:sz w:val="22"/>
                <w:szCs w:val="22"/>
              </w:rPr>
              <w:drawing>
                <wp:inline distT="0" distB="0" distL="0" distR="0">
                  <wp:extent cx="4928872" cy="1998348"/>
                  <wp:effectExtent l="0" t="0" r="0" b="0"/>
                  <wp:docPr id="51" name="Gráfico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c>
      </w:tr>
    </w:tbl>
    <w:p w:rsidR="00184CAB" w:rsidRDefault="002B1930">
      <w:pPr>
        <w:spacing w:line="240" w:lineRule="auto"/>
        <w:jc w:val="both"/>
      </w:pPr>
      <w:r>
        <w:rPr>
          <w:i/>
          <w:color w:val="4B4747"/>
          <w:sz w:val="18"/>
          <w:szCs w:val="18"/>
        </w:rPr>
        <w:t xml:space="preserve">Fuente: Informe correspondiente al periodo anual 2025, División de </w:t>
      </w:r>
      <w:r>
        <w:rPr>
          <w:i/>
          <w:color w:val="4B4747"/>
          <w:sz w:val="18"/>
          <w:szCs w:val="18"/>
          <w:lang w:val="es-DO"/>
        </w:rPr>
        <w:t>Registro, Control y Nómina</w:t>
      </w:r>
      <w:r>
        <w:rPr>
          <w:i/>
          <w:color w:val="4B4747"/>
          <w:sz w:val="18"/>
          <w:szCs w:val="18"/>
        </w:rPr>
        <w:t>, Dirección de</w:t>
      </w:r>
      <w:r>
        <w:rPr>
          <w:i/>
          <w:color w:val="4B4747"/>
          <w:sz w:val="18"/>
          <w:szCs w:val="18"/>
        </w:rPr>
        <w:t xml:space="preserve"> Recursos Humanos.</w:t>
      </w:r>
    </w:p>
    <w:p w:rsidR="00184CAB" w:rsidRDefault="00184CAB">
      <w:pPr>
        <w:spacing w:line="240" w:lineRule="auto"/>
        <w:jc w:val="both"/>
      </w:pPr>
    </w:p>
    <w:p w:rsidR="00184CAB" w:rsidRDefault="00184CAB">
      <w:pPr>
        <w:spacing w:line="240" w:lineRule="auto"/>
        <w:jc w:val="both"/>
      </w:pPr>
    </w:p>
    <w:p w:rsidR="00184CAB" w:rsidRDefault="00184CAB">
      <w:pPr>
        <w:spacing w:line="240" w:lineRule="auto"/>
        <w:jc w:val="both"/>
      </w:pPr>
    </w:p>
    <w:p w:rsidR="00184CAB" w:rsidRDefault="002B1930">
      <w:pPr>
        <w:pStyle w:val="Prrafodelista"/>
        <w:numPr>
          <w:ilvl w:val="0"/>
          <w:numId w:val="26"/>
        </w:numPr>
        <w:tabs>
          <w:tab w:val="left" w:pos="1710"/>
        </w:tabs>
        <w:spacing w:after="200" w:line="360" w:lineRule="auto"/>
        <w:jc w:val="both"/>
      </w:pPr>
      <w:r>
        <w:rPr>
          <w:b/>
          <w:color w:val="4C4747"/>
          <w:lang w:val="es-ES"/>
        </w:rPr>
        <w:lastRenderedPageBreak/>
        <w:t>Servicios de consultas médicas.</w:t>
      </w:r>
      <w:r>
        <w:rPr>
          <w:color w:val="4C4747"/>
          <w:lang w:val="es-ES"/>
        </w:rPr>
        <w:t xml:space="preserve"> Durante el año 2025, se registraron un total de 852 consultas médicas.</w:t>
      </w:r>
    </w:p>
    <w:p w:rsidR="00184CAB" w:rsidRDefault="00184CAB">
      <w:pPr>
        <w:tabs>
          <w:tab w:val="left" w:pos="1710"/>
        </w:tabs>
        <w:spacing w:after="200" w:line="360" w:lineRule="auto"/>
        <w:jc w:val="both"/>
        <w:rPr>
          <w:color w:val="4C4747"/>
          <w:lang w:val="es-ES"/>
        </w:rPr>
      </w:pPr>
    </w:p>
    <w:tbl>
      <w:tblPr>
        <w:tblW w:w="7896" w:type="dxa"/>
        <w:tblCellMar>
          <w:left w:w="10" w:type="dxa"/>
          <w:right w:w="10" w:type="dxa"/>
        </w:tblCellMar>
        <w:tblLook w:val="0000" w:firstRow="0" w:lastRow="0" w:firstColumn="0" w:lastColumn="0" w:noHBand="0" w:noVBand="0"/>
      </w:tblPr>
      <w:tblGrid>
        <w:gridCol w:w="7896"/>
      </w:tblGrid>
      <w:tr w:rsidR="00184CAB">
        <w:tblPrEx>
          <w:tblCellMar>
            <w:top w:w="0" w:type="dxa"/>
            <w:bottom w:w="0" w:type="dxa"/>
          </w:tblCellMar>
        </w:tblPrEx>
        <w:trPr>
          <w:trHeight w:val="635"/>
        </w:trPr>
        <w:tc>
          <w:tcPr>
            <w:tcW w:w="7896"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pPr>
            <w:r>
              <w:rPr>
                <w:b/>
                <w:color w:val="FFFFFF"/>
                <w:spacing w:val="0"/>
                <w:lang w:val="es-DO"/>
              </w:rPr>
              <w:t xml:space="preserve">Gráfico no. 6 </w:t>
            </w:r>
            <w:r>
              <w:rPr>
                <w:b/>
                <w:bCs/>
                <w:color w:val="FFFFFF"/>
                <w:spacing w:val="0"/>
                <w:lang w:val="es-DO"/>
              </w:rPr>
              <w:t>sobre comparativo de servicios de consultas médicas durante el periodo anual 2025</w:t>
            </w:r>
          </w:p>
        </w:tc>
      </w:tr>
      <w:tr w:rsidR="00184CAB">
        <w:tblPrEx>
          <w:tblCellMar>
            <w:top w:w="0" w:type="dxa"/>
            <w:bottom w:w="0" w:type="dxa"/>
          </w:tblCellMar>
        </w:tblPrEx>
        <w:trPr>
          <w:trHeight w:val="3395"/>
        </w:trPr>
        <w:tc>
          <w:tcPr>
            <w:tcW w:w="7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both"/>
            </w:pPr>
            <w:r>
              <w:rPr>
                <w:noProof/>
                <w:color w:val="auto"/>
                <w:spacing w:val="0"/>
              </w:rPr>
              <w:drawing>
                <wp:inline distT="0" distB="0" distL="0" distR="0">
                  <wp:extent cx="4832988" cy="2132966"/>
                  <wp:effectExtent l="0" t="0" r="0" b="0"/>
                  <wp:docPr id="52" name="Gráfico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c>
      </w:tr>
    </w:tbl>
    <w:p w:rsidR="00184CAB" w:rsidRDefault="002B1930">
      <w:pPr>
        <w:spacing w:line="240" w:lineRule="auto"/>
      </w:pPr>
      <w:r>
        <w:rPr>
          <w:i/>
          <w:color w:val="4C4747"/>
          <w:sz w:val="18"/>
          <w:szCs w:val="18"/>
        </w:rPr>
        <w:t xml:space="preserve">Fuente: Informe </w:t>
      </w:r>
      <w:r>
        <w:rPr>
          <w:i/>
          <w:color w:val="4C4747"/>
          <w:sz w:val="18"/>
          <w:szCs w:val="18"/>
        </w:rPr>
        <w:t xml:space="preserve">correspondiente al periodo anual 2025, </w:t>
      </w:r>
      <w:bookmarkStart w:id="115" w:name="_Hlk152168221"/>
      <w:r>
        <w:rPr>
          <w:i/>
          <w:color w:val="4C4747"/>
          <w:sz w:val="18"/>
          <w:szCs w:val="18"/>
          <w:lang w:val="es-DO"/>
        </w:rPr>
        <w:t>Depto. de salud y seguridad en el trabajo</w:t>
      </w:r>
      <w:bookmarkEnd w:id="115"/>
      <w:r>
        <w:rPr>
          <w:i/>
          <w:color w:val="4C4747"/>
          <w:sz w:val="18"/>
          <w:szCs w:val="18"/>
        </w:rPr>
        <w:t>, Dirección de Recursos Humanos</w:t>
      </w:r>
      <w:r>
        <w:rPr>
          <w:b/>
          <w:i/>
          <w:color w:val="4C4747"/>
          <w:sz w:val="18"/>
          <w:szCs w:val="18"/>
        </w:rPr>
        <w:t>.</w:t>
      </w:r>
    </w:p>
    <w:p w:rsidR="00184CAB" w:rsidRDefault="002B1930">
      <w:pPr>
        <w:tabs>
          <w:tab w:val="left" w:pos="1710"/>
        </w:tabs>
        <w:spacing w:line="360" w:lineRule="auto"/>
        <w:jc w:val="both"/>
      </w:pPr>
      <w:r>
        <w:rPr>
          <w:b/>
          <w:color w:val="4C4747"/>
        </w:rPr>
        <w:t xml:space="preserve">Subsidio de Recetas Médicas. </w:t>
      </w:r>
      <w:r>
        <w:rPr>
          <w:color w:val="4C4747"/>
          <w:lang w:val="es-DO"/>
        </w:rPr>
        <w:t xml:space="preserve">En este servicio se registró un total de 1,390 solicitudes, siendo el mes de abril el de mayor incidencia en </w:t>
      </w:r>
      <w:r>
        <w:rPr>
          <w:color w:val="4C4747"/>
          <w:lang w:val="es-DO"/>
        </w:rPr>
        <w:t>solicitudes.</w:t>
      </w:r>
    </w:p>
    <w:tbl>
      <w:tblPr>
        <w:tblW w:w="7807" w:type="dxa"/>
        <w:tblCellMar>
          <w:left w:w="10" w:type="dxa"/>
          <w:right w:w="10" w:type="dxa"/>
        </w:tblCellMar>
        <w:tblLook w:val="0000" w:firstRow="0" w:lastRow="0" w:firstColumn="0" w:lastColumn="0" w:noHBand="0" w:noVBand="0"/>
      </w:tblPr>
      <w:tblGrid>
        <w:gridCol w:w="7807"/>
      </w:tblGrid>
      <w:tr w:rsidR="00184CAB">
        <w:tblPrEx>
          <w:tblCellMar>
            <w:top w:w="0" w:type="dxa"/>
            <w:bottom w:w="0" w:type="dxa"/>
          </w:tblCellMar>
        </w:tblPrEx>
        <w:trPr>
          <w:trHeight w:val="603"/>
        </w:trPr>
        <w:tc>
          <w:tcPr>
            <w:tcW w:w="7807"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pPr>
            <w:r>
              <w:rPr>
                <w:b/>
                <w:color w:val="FFFFFF"/>
                <w:spacing w:val="0"/>
                <w:lang w:val="es-DO"/>
              </w:rPr>
              <w:t xml:space="preserve">Gráfico no. 7 </w:t>
            </w:r>
            <w:r>
              <w:rPr>
                <w:b/>
                <w:bCs/>
                <w:color w:val="FFFFFF"/>
                <w:spacing w:val="0"/>
                <w:lang w:val="es-DO"/>
              </w:rPr>
              <w:t>sobre comparativo de solicitudes de subsidio de recetas médicas durante el periodo anual 2025</w:t>
            </w:r>
          </w:p>
        </w:tc>
      </w:tr>
      <w:tr w:rsidR="00184CAB">
        <w:tblPrEx>
          <w:tblCellMar>
            <w:top w:w="0" w:type="dxa"/>
            <w:bottom w:w="0" w:type="dxa"/>
          </w:tblCellMar>
        </w:tblPrEx>
        <w:trPr>
          <w:trHeight w:val="3221"/>
        </w:trPr>
        <w:tc>
          <w:tcPr>
            <w:tcW w:w="7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both"/>
            </w:pPr>
            <w:r>
              <w:rPr>
                <w:noProof/>
                <w:color w:val="auto"/>
                <w:spacing w:val="0"/>
              </w:rPr>
              <w:drawing>
                <wp:inline distT="0" distB="0" distL="0" distR="0">
                  <wp:extent cx="4806315" cy="2144396"/>
                  <wp:effectExtent l="0" t="0" r="0" b="0"/>
                  <wp:docPr id="53" name="Gráfico 4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c>
      </w:tr>
    </w:tbl>
    <w:p w:rsidR="00184CAB" w:rsidRDefault="002B1930">
      <w:pPr>
        <w:spacing w:line="240" w:lineRule="auto"/>
      </w:pPr>
      <w:r>
        <w:rPr>
          <w:i/>
          <w:color w:val="4C4747"/>
          <w:sz w:val="18"/>
          <w:szCs w:val="18"/>
        </w:rPr>
        <w:t xml:space="preserve">Fuente: Informe correspondiente al periodo anual 2025, </w:t>
      </w:r>
      <w:r>
        <w:rPr>
          <w:i/>
          <w:color w:val="4C4747"/>
          <w:sz w:val="18"/>
          <w:szCs w:val="18"/>
          <w:lang w:val="es-DO"/>
        </w:rPr>
        <w:t>Depto. de salud y seguridad en el trabajo</w:t>
      </w:r>
      <w:r>
        <w:rPr>
          <w:i/>
          <w:color w:val="4C4747"/>
          <w:sz w:val="18"/>
          <w:szCs w:val="18"/>
        </w:rPr>
        <w:t>, Dirección de Recursos Humanos</w:t>
      </w:r>
      <w:r>
        <w:rPr>
          <w:i/>
          <w:color w:val="4C4747"/>
        </w:rPr>
        <w:t>.</w:t>
      </w:r>
    </w:p>
    <w:p w:rsidR="00184CAB" w:rsidRDefault="002B1930">
      <w:pPr>
        <w:spacing w:line="240" w:lineRule="auto"/>
      </w:pPr>
      <w:r>
        <w:rPr>
          <w:b/>
          <w:color w:val="4C4747"/>
        </w:rPr>
        <w:lastRenderedPageBreak/>
        <w:t>Ev</w:t>
      </w:r>
      <w:r>
        <w:rPr>
          <w:b/>
          <w:color w:val="4C4747"/>
        </w:rPr>
        <w:t xml:space="preserve">aluaciones Preempleo. </w:t>
      </w:r>
      <w:r>
        <w:rPr>
          <w:color w:val="4C4747"/>
        </w:rPr>
        <w:t>Durante el año 2025, fueron evaluados 255 candidatos a plazas de empleo en la institución. A continuación, mostramos un gráfico comparativo de las solicitudes de evaluación realizadas en el periodo actual:</w:t>
      </w:r>
    </w:p>
    <w:tbl>
      <w:tblPr>
        <w:tblW w:w="7814" w:type="dxa"/>
        <w:tblCellMar>
          <w:left w:w="10" w:type="dxa"/>
          <w:right w:w="10" w:type="dxa"/>
        </w:tblCellMar>
        <w:tblLook w:val="0000" w:firstRow="0" w:lastRow="0" w:firstColumn="0" w:lastColumn="0" w:noHBand="0" w:noVBand="0"/>
      </w:tblPr>
      <w:tblGrid>
        <w:gridCol w:w="7814"/>
      </w:tblGrid>
      <w:tr w:rsidR="00184CAB">
        <w:tblPrEx>
          <w:tblCellMar>
            <w:top w:w="0" w:type="dxa"/>
            <w:bottom w:w="0" w:type="dxa"/>
          </w:tblCellMar>
        </w:tblPrEx>
        <w:trPr>
          <w:trHeight w:val="509"/>
        </w:trPr>
        <w:tc>
          <w:tcPr>
            <w:tcW w:w="7814"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pPr>
            <w:r>
              <w:rPr>
                <w:b/>
                <w:color w:val="FFFFFF"/>
                <w:spacing w:val="0"/>
                <w:lang w:val="es-DO"/>
              </w:rPr>
              <w:t xml:space="preserve">Gráfico no. 8 </w:t>
            </w:r>
            <w:r>
              <w:rPr>
                <w:b/>
                <w:bCs/>
                <w:color w:val="FFFFFF"/>
                <w:spacing w:val="0"/>
                <w:lang w:val="es-DO"/>
              </w:rPr>
              <w:t>sobre comparat</w:t>
            </w:r>
            <w:r>
              <w:rPr>
                <w:b/>
                <w:bCs/>
                <w:color w:val="FFFFFF"/>
                <w:spacing w:val="0"/>
                <w:lang w:val="es-DO"/>
              </w:rPr>
              <w:t>ivo de solicitudes de</w:t>
            </w:r>
            <w:r>
              <w:rPr>
                <w:b/>
                <w:color w:val="FFFFFF"/>
                <w:spacing w:val="0"/>
              </w:rPr>
              <w:t xml:space="preserve"> evaluación preempleo realizadas</w:t>
            </w:r>
            <w:r>
              <w:rPr>
                <w:b/>
                <w:bCs/>
                <w:color w:val="FFFFFF"/>
                <w:spacing w:val="0"/>
                <w:lang w:val="es-DO"/>
              </w:rPr>
              <w:t xml:space="preserve"> durante el periodo anual 2025</w:t>
            </w:r>
          </w:p>
        </w:tc>
      </w:tr>
      <w:tr w:rsidR="00184CAB">
        <w:tblPrEx>
          <w:tblCellMar>
            <w:top w:w="0" w:type="dxa"/>
            <w:bottom w:w="0" w:type="dxa"/>
          </w:tblCellMar>
        </w:tblPrEx>
        <w:trPr>
          <w:trHeight w:val="2719"/>
        </w:trPr>
        <w:tc>
          <w:tcPr>
            <w:tcW w:w="7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both"/>
            </w:pPr>
            <w:r>
              <w:rPr>
                <w:noProof/>
                <w:color w:val="auto"/>
                <w:spacing w:val="0"/>
              </w:rPr>
              <w:drawing>
                <wp:inline distT="0" distB="0" distL="0" distR="0">
                  <wp:extent cx="4813301" cy="1612901"/>
                  <wp:effectExtent l="0" t="0" r="0" b="0"/>
                  <wp:docPr id="54"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c>
      </w:tr>
    </w:tbl>
    <w:p w:rsidR="00184CAB" w:rsidRDefault="002B1930">
      <w:pPr>
        <w:spacing w:line="240" w:lineRule="auto"/>
      </w:pPr>
      <w:r>
        <w:rPr>
          <w:i/>
          <w:color w:val="4C4747"/>
          <w:sz w:val="18"/>
          <w:szCs w:val="18"/>
        </w:rPr>
        <w:t xml:space="preserve">Fuente: Informe correspondiente al periodo anual 2025, </w:t>
      </w:r>
      <w:r>
        <w:rPr>
          <w:i/>
          <w:color w:val="4C4747"/>
          <w:sz w:val="18"/>
          <w:szCs w:val="18"/>
          <w:lang w:val="es-DO"/>
        </w:rPr>
        <w:t>Depto. de salud y seguridad en el trabajo</w:t>
      </w:r>
      <w:r>
        <w:rPr>
          <w:i/>
          <w:color w:val="4C4747"/>
          <w:sz w:val="18"/>
          <w:szCs w:val="18"/>
        </w:rPr>
        <w:t>, Dirección de Recursos Humanos.</w:t>
      </w:r>
    </w:p>
    <w:p w:rsidR="00184CAB" w:rsidRDefault="00184CAB">
      <w:pPr>
        <w:spacing w:line="240" w:lineRule="auto"/>
      </w:pPr>
    </w:p>
    <w:p w:rsidR="00184CAB" w:rsidRDefault="002B1930">
      <w:pPr>
        <w:spacing w:line="240" w:lineRule="auto"/>
        <w:jc w:val="both"/>
      </w:pPr>
      <w:r>
        <w:rPr>
          <w:b/>
          <w:color w:val="4B4747"/>
        </w:rPr>
        <w:t>Proyecciones para cierre de año:</w:t>
      </w:r>
    </w:p>
    <w:p w:rsidR="00184CAB" w:rsidRDefault="002B1930">
      <w:pPr>
        <w:spacing w:line="360" w:lineRule="auto"/>
        <w:jc w:val="both"/>
      </w:pPr>
      <w:r>
        <w:rPr>
          <w:color w:val="4B4747"/>
          <w:lang w:val="es-DO"/>
        </w:rPr>
        <w:t>Debido</w:t>
      </w:r>
      <w:r>
        <w:rPr>
          <w:color w:val="4B4747"/>
        </w:rPr>
        <w:t xml:space="preserve"> </w:t>
      </w:r>
      <w:r>
        <w:rPr>
          <w:color w:val="4B4747"/>
          <w:lang w:val="es-DO"/>
        </w:rPr>
        <w:t xml:space="preserve">al comportamiento operativo registrado, la dirección proyecta para el mes de diciembre, cerrar el año con un descenso en la operatividad de sus funciones debido a las actividades propias de cierre de fin de año, ya que no se tienen programadas, </w:t>
      </w:r>
      <w:r>
        <w:rPr>
          <w:color w:val="4B4747"/>
          <w:lang w:val="es-DO"/>
        </w:rPr>
        <w:t>capacitaciones, ingreso de personal ni otras actividades propias del área.</w:t>
      </w:r>
    </w:p>
    <w:p w:rsidR="00184CAB" w:rsidRDefault="002B1930">
      <w:pPr>
        <w:spacing w:line="360" w:lineRule="auto"/>
        <w:jc w:val="both"/>
      </w:pPr>
      <w:r>
        <w:rPr>
          <w:color w:val="4B4747"/>
          <w:lang w:val="es-DO"/>
        </w:rPr>
        <w:t xml:space="preserve">El 2025 marca un año de consolidación para Recursos Humanos, evidenciando </w:t>
      </w:r>
      <w:r>
        <w:rPr>
          <w:bCs/>
          <w:color w:val="4B4747"/>
          <w:lang w:val="es-DO"/>
        </w:rPr>
        <w:t>un aumento sostenido en la profesionalización del personal</w:t>
      </w:r>
      <w:r>
        <w:rPr>
          <w:color w:val="4B4747"/>
          <w:lang w:val="es-DO"/>
        </w:rPr>
        <w:t>, una mayor eficiencia en la gestión de trámites,</w:t>
      </w:r>
      <w:r>
        <w:rPr>
          <w:color w:val="4B4747"/>
          <w:lang w:val="es-DO"/>
        </w:rPr>
        <w:t xml:space="preserve"> y una atención integral a las áreas operativas y misionales. La dirección cerrará el año con indicadores superiores a 2024, reafirmando su rol estratégico en la gestión del talento humano del MAPRE.</w:t>
      </w:r>
    </w:p>
    <w:p w:rsidR="00184CAB" w:rsidRDefault="00184CAB">
      <w:pPr>
        <w:spacing w:line="240" w:lineRule="auto"/>
        <w:jc w:val="both"/>
      </w:pPr>
    </w:p>
    <w:p w:rsidR="00184CAB" w:rsidRDefault="00184CAB">
      <w:pPr>
        <w:spacing w:line="240" w:lineRule="auto"/>
        <w:jc w:val="both"/>
      </w:pPr>
    </w:p>
    <w:p w:rsidR="00184CAB" w:rsidRDefault="00184CAB">
      <w:pPr>
        <w:spacing w:line="240" w:lineRule="auto"/>
        <w:jc w:val="both"/>
      </w:pPr>
    </w:p>
    <w:p w:rsidR="00184CAB" w:rsidRDefault="002B1930">
      <w:pPr>
        <w:pStyle w:val="Ttulo2"/>
        <w:numPr>
          <w:ilvl w:val="1"/>
          <w:numId w:val="23"/>
        </w:numPr>
        <w:spacing w:line="360" w:lineRule="auto"/>
        <w:rPr>
          <w:rFonts w:eastAsia="Calibri"/>
          <w:b/>
          <w:color w:val="4C4747"/>
          <w:szCs w:val="24"/>
        </w:rPr>
      </w:pPr>
      <w:bookmarkStart w:id="116" w:name="_Toc217043962"/>
      <w:bookmarkStart w:id="117" w:name="_Toc217907932"/>
      <w:bookmarkStart w:id="118" w:name="_Toc217914432"/>
      <w:r>
        <w:rPr>
          <w:rFonts w:eastAsia="Calibri"/>
          <w:b/>
          <w:color w:val="4C4747"/>
          <w:szCs w:val="24"/>
        </w:rPr>
        <w:lastRenderedPageBreak/>
        <w:t>Desempeño de la Dirección Jurídica</w:t>
      </w:r>
      <w:bookmarkEnd w:id="116"/>
      <w:bookmarkEnd w:id="117"/>
      <w:bookmarkEnd w:id="118"/>
    </w:p>
    <w:p w:rsidR="00184CAB" w:rsidRDefault="00184CAB">
      <w:pPr>
        <w:spacing w:line="360" w:lineRule="auto"/>
        <w:jc w:val="both"/>
        <w:rPr>
          <w:color w:val="4C4747"/>
        </w:rPr>
      </w:pPr>
    </w:p>
    <w:p w:rsidR="00184CAB" w:rsidRDefault="002B1930">
      <w:pPr>
        <w:spacing w:line="360" w:lineRule="auto"/>
        <w:jc w:val="both"/>
        <w:rPr>
          <w:color w:val="4C4747"/>
        </w:rPr>
      </w:pPr>
      <w:r>
        <w:rPr>
          <w:color w:val="4C4747"/>
        </w:rPr>
        <w:t xml:space="preserve">Con el objetivo </w:t>
      </w:r>
      <w:r>
        <w:rPr>
          <w:color w:val="4C4747"/>
        </w:rPr>
        <w:t>de brindar asistencia legal a todas las áreas que conforman el Ministerio Administrativo de la Presidencia, así como aquellas instituciones que requieran de colaboración en materia jurídica, esta Dirección ha elaborado 277 documentos jurídicos y otros proc</w:t>
      </w:r>
      <w:r>
        <w:rPr>
          <w:color w:val="4C4747"/>
        </w:rPr>
        <w:t>esos presentados a continuación:</w:t>
      </w:r>
    </w:p>
    <w:p w:rsidR="00184CAB" w:rsidRDefault="002B1930">
      <w:pPr>
        <w:spacing w:line="360" w:lineRule="auto"/>
        <w:jc w:val="both"/>
      </w:pPr>
      <w:r>
        <w:rPr>
          <w:b/>
          <w:color w:val="4C4747"/>
        </w:rPr>
        <w:t xml:space="preserve">Procesos de Compras y Contrataciones. </w:t>
      </w:r>
      <w:r>
        <w:rPr>
          <w:color w:val="4C4747"/>
        </w:rPr>
        <w:t>Se han elaborado y gestionado la firma de 101 actas, 29 Resoluciones, 44 pliegos de condiciones, para un total de 174 documentos conforme se evidencia más debajo:</w:t>
      </w:r>
    </w:p>
    <w:tbl>
      <w:tblPr>
        <w:tblW w:w="7792" w:type="dxa"/>
        <w:tblCellMar>
          <w:left w:w="10" w:type="dxa"/>
          <w:right w:w="10" w:type="dxa"/>
        </w:tblCellMar>
        <w:tblLook w:val="0000" w:firstRow="0" w:lastRow="0" w:firstColumn="0" w:lastColumn="0" w:noHBand="0" w:noVBand="0"/>
      </w:tblPr>
      <w:tblGrid>
        <w:gridCol w:w="5671"/>
        <w:gridCol w:w="2121"/>
      </w:tblGrid>
      <w:tr w:rsidR="00184CAB">
        <w:tblPrEx>
          <w:tblCellMar>
            <w:top w:w="0" w:type="dxa"/>
            <w:bottom w:w="0" w:type="dxa"/>
          </w:tblCellMar>
        </w:tblPrEx>
        <w:trPr>
          <w:trHeight w:val="270"/>
        </w:trPr>
        <w:tc>
          <w:tcPr>
            <w:tcW w:w="7792" w:type="dxa"/>
            <w:gridSpan w:val="2"/>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lang w:val="es-ES"/>
              </w:rPr>
            </w:pPr>
            <w:r>
              <w:rPr>
                <w:b/>
                <w:color w:val="FFFFFF"/>
                <w:sz w:val="19"/>
                <w:szCs w:val="19"/>
                <w:lang w:val="es-ES"/>
              </w:rPr>
              <w:t>Tabla no. 29 Sobre rel</w:t>
            </w:r>
            <w:r>
              <w:rPr>
                <w:b/>
                <w:color w:val="FFFFFF"/>
                <w:sz w:val="19"/>
                <w:szCs w:val="19"/>
                <w:lang w:val="es-ES"/>
              </w:rPr>
              <w:t xml:space="preserve">ación de tipos de documentos de compras y contrataciones realizados durante el periodo anual 2025 </w:t>
            </w:r>
          </w:p>
        </w:tc>
      </w:tr>
      <w:tr w:rsidR="00184CAB">
        <w:tblPrEx>
          <w:tblCellMar>
            <w:top w:w="0" w:type="dxa"/>
            <w:bottom w:w="0" w:type="dxa"/>
          </w:tblCellMar>
        </w:tblPrEx>
        <w:trPr>
          <w:trHeight w:val="270"/>
        </w:trPr>
        <w:tc>
          <w:tcPr>
            <w:tcW w:w="5671"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pPr>
            <w:r>
              <w:rPr>
                <w:b/>
                <w:color w:val="FFFFFF"/>
                <w:sz w:val="19"/>
                <w:szCs w:val="19"/>
              </w:rPr>
              <w:t>Tipo de documento</w:t>
            </w:r>
          </w:p>
        </w:tc>
        <w:tc>
          <w:tcPr>
            <w:tcW w:w="2121"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pPr>
            <w:r>
              <w:rPr>
                <w:b/>
                <w:color w:val="FFFFFF"/>
                <w:sz w:val="19"/>
                <w:szCs w:val="19"/>
              </w:rPr>
              <w:t>Cantidad</w:t>
            </w:r>
          </w:p>
        </w:tc>
      </w:tr>
      <w:tr w:rsidR="00184CAB">
        <w:tblPrEx>
          <w:tblCellMar>
            <w:top w:w="0" w:type="dxa"/>
            <w:bottom w:w="0" w:type="dxa"/>
          </w:tblCellMar>
        </w:tblPrEx>
        <w:tc>
          <w:tcPr>
            <w:tcW w:w="5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both"/>
              <w:rPr>
                <w:color w:val="4C4747"/>
                <w:sz w:val="19"/>
                <w:szCs w:val="19"/>
              </w:rPr>
            </w:pPr>
            <w:r>
              <w:rPr>
                <w:color w:val="4C4747"/>
                <w:sz w:val="19"/>
                <w:szCs w:val="19"/>
              </w:rPr>
              <w:t>Actas de procesos de compras</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85</w:t>
            </w:r>
          </w:p>
        </w:tc>
      </w:tr>
      <w:tr w:rsidR="00184CAB">
        <w:tblPrEx>
          <w:tblCellMar>
            <w:top w:w="0" w:type="dxa"/>
            <w:bottom w:w="0" w:type="dxa"/>
          </w:tblCellMar>
        </w:tblPrEx>
        <w:tc>
          <w:tcPr>
            <w:tcW w:w="5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both"/>
              <w:rPr>
                <w:color w:val="4C4747"/>
                <w:sz w:val="19"/>
                <w:szCs w:val="19"/>
              </w:rPr>
            </w:pPr>
            <w:r>
              <w:rPr>
                <w:color w:val="4C4747"/>
                <w:sz w:val="19"/>
                <w:szCs w:val="19"/>
              </w:rPr>
              <w:t>Resolución y actas de adjudicación de procesos de excepción</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26</w:t>
            </w:r>
          </w:p>
        </w:tc>
      </w:tr>
      <w:tr w:rsidR="00184CAB">
        <w:tblPrEx>
          <w:tblCellMar>
            <w:top w:w="0" w:type="dxa"/>
            <w:bottom w:w="0" w:type="dxa"/>
          </w:tblCellMar>
        </w:tblPrEx>
        <w:tc>
          <w:tcPr>
            <w:tcW w:w="5671"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right"/>
            </w:pPr>
            <w:proofErr w:type="gramStart"/>
            <w:r>
              <w:rPr>
                <w:b/>
                <w:color w:val="FFFFFF"/>
                <w:sz w:val="19"/>
                <w:szCs w:val="19"/>
                <w:lang w:val="es-ES"/>
              </w:rPr>
              <w:t>Total</w:t>
            </w:r>
            <w:proofErr w:type="gramEnd"/>
            <w:r>
              <w:rPr>
                <w:b/>
                <w:color w:val="FFFFFF"/>
                <w:sz w:val="19"/>
                <w:szCs w:val="19"/>
                <w:lang w:val="es-ES"/>
              </w:rPr>
              <w:t xml:space="preserve"> de actas</w:t>
            </w:r>
          </w:p>
        </w:tc>
        <w:tc>
          <w:tcPr>
            <w:tcW w:w="2121"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pPr>
            <w:r>
              <w:rPr>
                <w:b/>
                <w:color w:val="FFFFFF"/>
                <w:sz w:val="19"/>
                <w:szCs w:val="19"/>
              </w:rPr>
              <w:t>111</w:t>
            </w:r>
          </w:p>
        </w:tc>
      </w:tr>
      <w:tr w:rsidR="00184CAB">
        <w:tblPrEx>
          <w:tblCellMar>
            <w:top w:w="0" w:type="dxa"/>
            <w:bottom w:w="0" w:type="dxa"/>
          </w:tblCellMar>
        </w:tblPrEx>
        <w:tc>
          <w:tcPr>
            <w:tcW w:w="5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both"/>
              <w:rPr>
                <w:color w:val="4C4747"/>
                <w:sz w:val="19"/>
                <w:szCs w:val="19"/>
              </w:rPr>
            </w:pPr>
            <w:r>
              <w:rPr>
                <w:color w:val="4C4747"/>
                <w:sz w:val="19"/>
                <w:szCs w:val="19"/>
              </w:rPr>
              <w:t xml:space="preserve">Circulares </w:t>
            </w:r>
            <w:r>
              <w:rPr>
                <w:color w:val="4C4747"/>
                <w:sz w:val="19"/>
                <w:szCs w:val="19"/>
              </w:rPr>
              <w:t>de procesos de compras</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82</w:t>
            </w:r>
          </w:p>
        </w:tc>
      </w:tr>
      <w:tr w:rsidR="00184CAB">
        <w:tblPrEx>
          <w:tblCellMar>
            <w:top w:w="0" w:type="dxa"/>
            <w:bottom w:w="0" w:type="dxa"/>
          </w:tblCellMar>
        </w:tblPrEx>
        <w:tc>
          <w:tcPr>
            <w:tcW w:w="5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both"/>
              <w:rPr>
                <w:color w:val="4C4747"/>
                <w:sz w:val="19"/>
                <w:szCs w:val="19"/>
              </w:rPr>
            </w:pPr>
            <w:r>
              <w:rPr>
                <w:color w:val="4C4747"/>
                <w:sz w:val="19"/>
                <w:szCs w:val="19"/>
              </w:rPr>
              <w:t>Informes de procesos de compras</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13</w:t>
            </w:r>
          </w:p>
        </w:tc>
      </w:tr>
      <w:tr w:rsidR="00184CAB">
        <w:tblPrEx>
          <w:tblCellMar>
            <w:top w:w="0" w:type="dxa"/>
            <w:bottom w:w="0" w:type="dxa"/>
          </w:tblCellMar>
        </w:tblPrEx>
        <w:tc>
          <w:tcPr>
            <w:tcW w:w="5671"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right"/>
              <w:rPr>
                <w:b/>
                <w:color w:val="FFFFFF"/>
                <w:sz w:val="19"/>
                <w:szCs w:val="19"/>
                <w:lang w:val="es-ES"/>
              </w:rPr>
            </w:pPr>
            <w:proofErr w:type="gramStart"/>
            <w:r>
              <w:rPr>
                <w:b/>
                <w:color w:val="FFFFFF"/>
                <w:sz w:val="19"/>
                <w:szCs w:val="19"/>
                <w:lang w:val="es-ES"/>
              </w:rPr>
              <w:t>Total</w:t>
            </w:r>
            <w:proofErr w:type="gramEnd"/>
            <w:r>
              <w:rPr>
                <w:b/>
                <w:color w:val="FFFFFF"/>
                <w:sz w:val="19"/>
                <w:szCs w:val="19"/>
                <w:lang w:val="es-ES"/>
              </w:rPr>
              <w:t xml:space="preserve"> de circulares e informes</w:t>
            </w:r>
          </w:p>
        </w:tc>
        <w:tc>
          <w:tcPr>
            <w:tcW w:w="2121"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95</w:t>
            </w:r>
          </w:p>
        </w:tc>
      </w:tr>
      <w:tr w:rsidR="00184CAB">
        <w:tblPrEx>
          <w:tblCellMar>
            <w:top w:w="0" w:type="dxa"/>
            <w:bottom w:w="0" w:type="dxa"/>
          </w:tblCellMar>
        </w:tblPrEx>
        <w:tc>
          <w:tcPr>
            <w:tcW w:w="5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pPr>
            <w:r>
              <w:rPr>
                <w:color w:val="4C4747"/>
                <w:sz w:val="19"/>
                <w:szCs w:val="19"/>
              </w:rPr>
              <w:t>Pliegos de condiciones</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44</w:t>
            </w:r>
          </w:p>
        </w:tc>
      </w:tr>
      <w:tr w:rsidR="00184CAB">
        <w:tblPrEx>
          <w:tblCellMar>
            <w:top w:w="0" w:type="dxa"/>
            <w:bottom w:w="0" w:type="dxa"/>
          </w:tblCellMar>
        </w:tblPrEx>
        <w:tc>
          <w:tcPr>
            <w:tcW w:w="5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both"/>
              <w:rPr>
                <w:color w:val="4C4747"/>
                <w:sz w:val="19"/>
                <w:szCs w:val="19"/>
              </w:rPr>
            </w:pPr>
            <w:r>
              <w:rPr>
                <w:color w:val="4C4747"/>
                <w:sz w:val="19"/>
                <w:szCs w:val="19"/>
              </w:rPr>
              <w:t>Enmiendas a pliegos de condiciones</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24</w:t>
            </w:r>
          </w:p>
        </w:tc>
      </w:tr>
      <w:tr w:rsidR="00184CAB">
        <w:tblPrEx>
          <w:tblCellMar>
            <w:top w:w="0" w:type="dxa"/>
            <w:bottom w:w="0" w:type="dxa"/>
          </w:tblCellMar>
        </w:tblPrEx>
        <w:tc>
          <w:tcPr>
            <w:tcW w:w="5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both"/>
              <w:rPr>
                <w:color w:val="4C4747"/>
                <w:sz w:val="19"/>
                <w:szCs w:val="19"/>
              </w:rPr>
            </w:pPr>
            <w:r>
              <w:rPr>
                <w:color w:val="4C4747"/>
                <w:sz w:val="19"/>
                <w:szCs w:val="19"/>
              </w:rPr>
              <w:t>Resoluciones administrativas</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3</w:t>
            </w:r>
          </w:p>
        </w:tc>
      </w:tr>
      <w:tr w:rsidR="00184CAB">
        <w:tblPrEx>
          <w:tblCellMar>
            <w:top w:w="0" w:type="dxa"/>
            <w:bottom w:w="0" w:type="dxa"/>
          </w:tblCellMar>
        </w:tblPrEx>
        <w:tc>
          <w:tcPr>
            <w:tcW w:w="5671"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right"/>
              <w:rPr>
                <w:b/>
                <w:color w:val="FFFFFF"/>
                <w:sz w:val="19"/>
                <w:szCs w:val="19"/>
              </w:rPr>
            </w:pPr>
            <w:r>
              <w:rPr>
                <w:b/>
                <w:color w:val="FFFFFF"/>
                <w:sz w:val="19"/>
                <w:szCs w:val="19"/>
              </w:rPr>
              <w:t>Total</w:t>
            </w:r>
          </w:p>
        </w:tc>
        <w:tc>
          <w:tcPr>
            <w:tcW w:w="2121"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71</w:t>
            </w:r>
          </w:p>
        </w:tc>
      </w:tr>
      <w:tr w:rsidR="00184CAB">
        <w:tblPrEx>
          <w:tblCellMar>
            <w:top w:w="0" w:type="dxa"/>
            <w:bottom w:w="0" w:type="dxa"/>
          </w:tblCellMar>
        </w:tblPrEx>
        <w:tc>
          <w:tcPr>
            <w:tcW w:w="5671"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right"/>
              <w:rPr>
                <w:b/>
                <w:color w:val="FFFFFF"/>
                <w:sz w:val="19"/>
                <w:szCs w:val="19"/>
                <w:lang w:val="es-ES"/>
              </w:rPr>
            </w:pPr>
            <w:proofErr w:type="gramStart"/>
            <w:r>
              <w:rPr>
                <w:b/>
                <w:color w:val="FFFFFF"/>
                <w:sz w:val="19"/>
                <w:szCs w:val="19"/>
                <w:lang w:val="es-ES"/>
              </w:rPr>
              <w:t>Total</w:t>
            </w:r>
            <w:proofErr w:type="gramEnd"/>
            <w:r>
              <w:rPr>
                <w:b/>
                <w:color w:val="FFFFFF"/>
                <w:sz w:val="19"/>
                <w:szCs w:val="19"/>
                <w:lang w:val="es-ES"/>
              </w:rPr>
              <w:t xml:space="preserve"> general</w:t>
            </w:r>
          </w:p>
        </w:tc>
        <w:tc>
          <w:tcPr>
            <w:tcW w:w="2121"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277</w:t>
            </w:r>
          </w:p>
        </w:tc>
      </w:tr>
    </w:tbl>
    <w:p w:rsidR="00184CAB" w:rsidRDefault="002B1930">
      <w:pPr>
        <w:spacing w:line="240" w:lineRule="auto"/>
      </w:pPr>
      <w:r>
        <w:rPr>
          <w:i/>
          <w:color w:val="4C4747"/>
        </w:rPr>
        <w:t>Fuente: Informe correspondiente</w:t>
      </w:r>
      <w:r>
        <w:rPr>
          <w:i/>
          <w:color w:val="4C4747"/>
        </w:rPr>
        <w:t xml:space="preserve"> al </w:t>
      </w:r>
      <w:r>
        <w:rPr>
          <w:b/>
          <w:i/>
          <w:color w:val="4C4747"/>
        </w:rPr>
        <w:t>periodo anual 2025</w:t>
      </w:r>
      <w:r>
        <w:rPr>
          <w:i/>
          <w:color w:val="4C4747"/>
        </w:rPr>
        <w:t>, Dirección Jurídica</w:t>
      </w:r>
    </w:p>
    <w:p w:rsidR="00184CAB" w:rsidRDefault="002B1930">
      <w:pPr>
        <w:spacing w:line="240" w:lineRule="auto"/>
        <w:jc w:val="both"/>
      </w:pPr>
      <w:r>
        <w:rPr>
          <w:b/>
          <w:color w:val="4B4747"/>
        </w:rPr>
        <w:t>Proyecciones para cierre de año:</w:t>
      </w:r>
    </w:p>
    <w:p w:rsidR="00184CAB" w:rsidRDefault="002B1930">
      <w:pPr>
        <w:spacing w:line="360" w:lineRule="auto"/>
        <w:jc w:val="both"/>
      </w:pPr>
      <w:r>
        <w:rPr>
          <w:color w:val="4B4747"/>
        </w:rPr>
        <w:t>D</w:t>
      </w:r>
      <w:proofErr w:type="spellStart"/>
      <w:r>
        <w:rPr>
          <w:color w:val="4B4747"/>
          <w:lang w:val="es-DO"/>
        </w:rPr>
        <w:t>ebido</w:t>
      </w:r>
      <w:proofErr w:type="spellEnd"/>
      <w:r>
        <w:rPr>
          <w:color w:val="4B4747"/>
          <w:lang w:val="es-DO"/>
        </w:rPr>
        <w:t xml:space="preserve"> al cierre de los procesos de compras y contrataciones, se espera un descenso en la cantidad de documentaciones tramitadas para el mes de diciembre. </w:t>
      </w:r>
    </w:p>
    <w:p w:rsidR="00184CAB" w:rsidRDefault="00184CAB">
      <w:pPr>
        <w:spacing w:line="360" w:lineRule="auto"/>
        <w:jc w:val="both"/>
      </w:pPr>
    </w:p>
    <w:p w:rsidR="00184CAB" w:rsidRDefault="00184CAB">
      <w:pPr>
        <w:spacing w:line="360" w:lineRule="auto"/>
        <w:jc w:val="both"/>
      </w:pPr>
    </w:p>
    <w:p w:rsidR="00184CAB" w:rsidRDefault="002B1930">
      <w:pPr>
        <w:spacing w:line="360" w:lineRule="auto"/>
        <w:jc w:val="both"/>
      </w:pPr>
      <w:r>
        <w:rPr>
          <w:color w:val="4B4747"/>
          <w:lang w:val="es-DO"/>
        </w:rPr>
        <w:lastRenderedPageBreak/>
        <w:t>Aunque el volumen docu</w:t>
      </w:r>
      <w:r>
        <w:rPr>
          <w:color w:val="4B4747"/>
          <w:lang w:val="es-DO"/>
        </w:rPr>
        <w:t xml:space="preserve">mental del 2025 es inferior al del 2024 debido a los cambios normativos y la reorganización de flujos administrativos internos, los indicadores muestran </w:t>
      </w:r>
      <w:r>
        <w:rPr>
          <w:bCs/>
          <w:color w:val="4B4747"/>
          <w:lang w:val="es-DO"/>
        </w:rPr>
        <w:t>una mejora sustancial en la calidad del servicio jurídico</w:t>
      </w:r>
      <w:r>
        <w:rPr>
          <w:color w:val="4B4747"/>
          <w:lang w:val="es-DO"/>
        </w:rPr>
        <w:t>, una mayor participación en procesos estratég</w:t>
      </w:r>
      <w:r>
        <w:rPr>
          <w:color w:val="4B4747"/>
          <w:lang w:val="es-DO"/>
        </w:rPr>
        <w:t>icos.</w:t>
      </w:r>
    </w:p>
    <w:p w:rsidR="00184CAB" w:rsidRDefault="002B1930">
      <w:pPr>
        <w:spacing w:line="360" w:lineRule="auto"/>
        <w:jc w:val="both"/>
        <w:rPr>
          <w:color w:val="4B4747"/>
          <w:lang w:val="es-DO"/>
        </w:rPr>
      </w:pPr>
      <w:r>
        <w:rPr>
          <w:color w:val="4B4747"/>
          <w:lang w:val="es-DO"/>
        </w:rPr>
        <w:t xml:space="preserve">El incremento en los contratos revisados y en los acompañamientos especiales demuestra un fortalecimiento de la seguridad jurídica y una mayor articulación con las direcciones misionales, consolidando la Dirección Jurídica como un pilar transversal </w:t>
      </w:r>
      <w:r>
        <w:rPr>
          <w:color w:val="4B4747"/>
          <w:lang w:val="es-DO"/>
        </w:rPr>
        <w:t>de gobernanza institucional.</w:t>
      </w:r>
    </w:p>
    <w:p w:rsidR="00184CAB" w:rsidRDefault="00184CAB">
      <w:pPr>
        <w:spacing w:line="240" w:lineRule="auto"/>
        <w:rPr>
          <w:color w:val="4C4747"/>
          <w:lang w:val="es-DO"/>
        </w:rPr>
      </w:pPr>
    </w:p>
    <w:p w:rsidR="00184CAB" w:rsidRDefault="002B1930">
      <w:pPr>
        <w:pStyle w:val="Ttulo2"/>
        <w:numPr>
          <w:ilvl w:val="1"/>
          <w:numId w:val="23"/>
        </w:numPr>
        <w:spacing w:line="360" w:lineRule="auto"/>
      </w:pPr>
      <w:bookmarkStart w:id="119" w:name="_Toc217043963"/>
      <w:bookmarkStart w:id="120" w:name="_Toc217907933"/>
      <w:bookmarkStart w:id="121" w:name="_Toc217914433"/>
      <w:r>
        <w:rPr>
          <w:rFonts w:eastAsia="Calibri"/>
          <w:b/>
          <w:color w:val="4C4747"/>
          <w:szCs w:val="24"/>
        </w:rPr>
        <w:t>Desempeño de la Dirección de Transformación Digital.</w:t>
      </w:r>
      <w:bookmarkEnd w:id="119"/>
      <w:bookmarkEnd w:id="120"/>
      <w:bookmarkEnd w:id="121"/>
    </w:p>
    <w:p w:rsidR="00184CAB" w:rsidRDefault="00184CAB">
      <w:pPr>
        <w:spacing w:line="360" w:lineRule="auto"/>
        <w:jc w:val="both"/>
        <w:rPr>
          <w:color w:val="4C4747"/>
        </w:rPr>
      </w:pPr>
    </w:p>
    <w:p w:rsidR="00184CAB" w:rsidRDefault="002B1930">
      <w:pPr>
        <w:spacing w:line="360" w:lineRule="auto"/>
        <w:jc w:val="both"/>
      </w:pPr>
      <w:r>
        <w:rPr>
          <w:color w:val="4C4747"/>
        </w:rPr>
        <w:t xml:space="preserve">Con la misión de </w:t>
      </w:r>
      <w:r>
        <w:rPr>
          <w:bCs/>
          <w:color w:val="4C4747"/>
        </w:rPr>
        <w:t>garantizar la continuidad, seguridad y modernización de la infraestructura tecnológica</w:t>
      </w:r>
      <w:r>
        <w:rPr>
          <w:color w:val="4C4747"/>
        </w:rPr>
        <w:t xml:space="preserve"> del Ministerio Administrativo de la Presidencia y asegurar que los </w:t>
      </w:r>
      <w:r>
        <w:rPr>
          <w:color w:val="4C4747"/>
        </w:rPr>
        <w:t xml:space="preserve">servicios digitales soporten de manera eficiente las operaciones institucionales de la Casa de Gobierno y sus dependencias, esta dirección concentró sus esfuerzos en la </w:t>
      </w:r>
      <w:r>
        <w:rPr>
          <w:bCs/>
          <w:color w:val="4C4747"/>
        </w:rPr>
        <w:t>actualización de plataformas estratégicas</w:t>
      </w:r>
      <w:r>
        <w:rPr>
          <w:color w:val="4C4747"/>
        </w:rPr>
        <w:t xml:space="preserve">, la </w:t>
      </w:r>
      <w:r>
        <w:rPr>
          <w:bCs/>
          <w:color w:val="4C4747"/>
        </w:rPr>
        <w:t>mejora de la conectividad</w:t>
      </w:r>
      <w:r>
        <w:rPr>
          <w:color w:val="4C4747"/>
        </w:rPr>
        <w:t xml:space="preserve">, la </w:t>
      </w:r>
      <w:r>
        <w:rPr>
          <w:bCs/>
          <w:color w:val="4C4747"/>
        </w:rPr>
        <w:t>seguridad t</w:t>
      </w:r>
      <w:r>
        <w:rPr>
          <w:bCs/>
          <w:color w:val="4C4747"/>
        </w:rPr>
        <w:t>ecnológica</w:t>
      </w:r>
      <w:r>
        <w:rPr>
          <w:color w:val="4C4747"/>
        </w:rPr>
        <w:t xml:space="preserve"> y la </w:t>
      </w:r>
      <w:r>
        <w:rPr>
          <w:bCs/>
          <w:color w:val="4C4747"/>
        </w:rPr>
        <w:t>continuidad operativa</w:t>
      </w:r>
      <w:r>
        <w:rPr>
          <w:color w:val="4C4747"/>
        </w:rPr>
        <w:t>, contribuyendo directamente al cumplimiento de los objetivos institucionales y a la estabilidad de los servicios.</w:t>
      </w:r>
    </w:p>
    <w:p w:rsidR="00184CAB" w:rsidRDefault="002B1930">
      <w:pPr>
        <w:autoSpaceDE w:val="0"/>
        <w:spacing w:line="360" w:lineRule="auto"/>
        <w:jc w:val="both"/>
        <w:rPr>
          <w:color w:val="4B4747"/>
        </w:rPr>
      </w:pPr>
      <w:r>
        <w:rPr>
          <w:color w:val="4B4747"/>
        </w:rPr>
        <w:t>Algunos resultados relevantes a destacar son los siguientes:</w:t>
      </w:r>
    </w:p>
    <w:p w:rsidR="00184CAB" w:rsidRDefault="002B1930">
      <w:pPr>
        <w:autoSpaceDE w:val="0"/>
        <w:spacing w:line="360" w:lineRule="auto"/>
        <w:jc w:val="both"/>
      </w:pPr>
      <w:r>
        <w:rPr>
          <w:b/>
          <w:color w:val="4B4747"/>
        </w:rPr>
        <w:t>Renovación de la plataforma de respaldo y r</w:t>
      </w:r>
      <w:r>
        <w:rPr>
          <w:b/>
          <w:color w:val="4B4747"/>
        </w:rPr>
        <w:t>eplicación de máquinas virtuales:</w:t>
      </w:r>
      <w:r>
        <w:rPr>
          <w:color w:val="4B4747"/>
        </w:rPr>
        <w:t xml:space="preserve"> Durante el primer semestre de 2025 se ejecutó la renovación del licenciamiento de la plataforma de respaldo y replicación de los servidores institucionales, como parte de las acciones estratégicas del </w:t>
      </w:r>
      <w:r>
        <w:rPr>
          <w:bCs/>
          <w:color w:val="4B4747"/>
        </w:rPr>
        <w:t xml:space="preserve">Plan de Recuperación </w:t>
      </w:r>
      <w:r>
        <w:rPr>
          <w:bCs/>
          <w:color w:val="4B4747"/>
        </w:rPr>
        <w:t xml:space="preserve">ante Desastres y </w:t>
      </w:r>
      <w:r>
        <w:rPr>
          <w:bCs/>
          <w:color w:val="4B4747"/>
        </w:rPr>
        <w:lastRenderedPageBreak/>
        <w:t>Continuidad de Negocios</w:t>
      </w:r>
      <w:r>
        <w:rPr>
          <w:color w:val="4B4747"/>
        </w:rPr>
        <w:t>.</w:t>
      </w:r>
    </w:p>
    <w:p w:rsidR="00184CAB" w:rsidRDefault="002B1930">
      <w:pPr>
        <w:autoSpaceDE w:val="0"/>
        <w:spacing w:line="360" w:lineRule="auto"/>
        <w:jc w:val="both"/>
      </w:pPr>
      <w:r>
        <w:rPr>
          <w:b/>
          <w:color w:val="4B4747"/>
        </w:rPr>
        <w:t>Migración y Actualización del Servidor de Administración de Dominio:</w:t>
      </w:r>
      <w:r>
        <w:rPr>
          <w:color w:val="4B4747"/>
        </w:rPr>
        <w:t xml:space="preserve"> </w:t>
      </w:r>
      <w:r>
        <w:rPr>
          <w:color w:val="4B4747"/>
          <w:lang w:val="es-DO"/>
        </w:rPr>
        <w:t>Se realizó la migración y actualización del servidor de administración de usuarios de dominio, sustituyendo una plataforma descontinuada que repr</w:t>
      </w:r>
      <w:r>
        <w:rPr>
          <w:color w:val="4B4747"/>
          <w:lang w:val="es-DO"/>
        </w:rPr>
        <w:t>esentaba riesgos de seguridad y estabilidad.</w:t>
      </w:r>
    </w:p>
    <w:p w:rsidR="00184CAB" w:rsidRDefault="002B1930">
      <w:pPr>
        <w:spacing w:line="360" w:lineRule="auto"/>
        <w:jc w:val="both"/>
      </w:pPr>
      <w:r>
        <w:rPr>
          <w:b/>
          <w:color w:val="4B4747"/>
          <w:lang w:val="es-DO"/>
        </w:rPr>
        <w:t xml:space="preserve">Migración de Antena Móvil Palacio Nacional: </w:t>
      </w:r>
      <w:r>
        <w:rPr>
          <w:color w:val="4B4747"/>
        </w:rPr>
        <w:t xml:space="preserve">Se completó exitosamente la migración de la antena móvil del proveedor Altice, pasando de tecnología de cobre a </w:t>
      </w:r>
      <w:r>
        <w:rPr>
          <w:bCs/>
          <w:color w:val="4B4747"/>
        </w:rPr>
        <w:t>fibra óptica</w:t>
      </w:r>
      <w:r>
        <w:rPr>
          <w:color w:val="4B4747"/>
        </w:rPr>
        <w:t>, garantizando una transición sin interrupc</w:t>
      </w:r>
      <w:r>
        <w:rPr>
          <w:color w:val="4B4747"/>
        </w:rPr>
        <w:t>iones del servicio.</w:t>
      </w:r>
    </w:p>
    <w:p w:rsidR="00184CAB" w:rsidRDefault="002B1930">
      <w:pPr>
        <w:spacing w:line="360" w:lineRule="auto"/>
        <w:ind w:left="720"/>
        <w:jc w:val="both"/>
        <w:rPr>
          <w:color w:val="4B4747"/>
          <w:lang w:val="es-DO"/>
        </w:rPr>
      </w:pPr>
      <w:r>
        <w:rPr>
          <w:color w:val="4B4747"/>
          <w:lang w:val="es-DO"/>
        </w:rPr>
        <w:t>Entre los beneficios obtenidos se destacan:</w:t>
      </w:r>
    </w:p>
    <w:p w:rsidR="00184CAB" w:rsidRDefault="002B1930">
      <w:pPr>
        <w:numPr>
          <w:ilvl w:val="0"/>
          <w:numId w:val="27"/>
        </w:numPr>
        <w:tabs>
          <w:tab w:val="left" w:pos="-5760"/>
          <w:tab w:val="left" w:pos="-5400"/>
        </w:tabs>
        <w:spacing w:line="360" w:lineRule="auto"/>
        <w:jc w:val="both"/>
        <w:rPr>
          <w:color w:val="4B4747"/>
          <w:lang w:val="es-DO"/>
        </w:rPr>
      </w:pPr>
      <w:r>
        <w:rPr>
          <w:color w:val="4B4747"/>
          <w:lang w:val="es-DO"/>
        </w:rPr>
        <w:t>Mayor velocidad y estabilidad en la transmisión de datos.</w:t>
      </w:r>
    </w:p>
    <w:p w:rsidR="00184CAB" w:rsidRDefault="002B1930">
      <w:pPr>
        <w:numPr>
          <w:ilvl w:val="0"/>
          <w:numId w:val="27"/>
        </w:numPr>
        <w:tabs>
          <w:tab w:val="left" w:pos="-5760"/>
          <w:tab w:val="left" w:pos="-5400"/>
        </w:tabs>
        <w:spacing w:line="360" w:lineRule="auto"/>
        <w:jc w:val="both"/>
        <w:rPr>
          <w:color w:val="4B4747"/>
          <w:lang w:val="es-DO"/>
        </w:rPr>
      </w:pPr>
      <w:r>
        <w:rPr>
          <w:color w:val="4B4747"/>
          <w:lang w:val="es-DO"/>
        </w:rPr>
        <w:t>Menor latencia y mayor capacidad de tráfico.</w:t>
      </w:r>
    </w:p>
    <w:p w:rsidR="00184CAB" w:rsidRDefault="002B1930">
      <w:pPr>
        <w:numPr>
          <w:ilvl w:val="0"/>
          <w:numId w:val="27"/>
        </w:numPr>
        <w:tabs>
          <w:tab w:val="left" w:pos="-5760"/>
          <w:tab w:val="left" w:pos="-5400"/>
        </w:tabs>
        <w:spacing w:line="360" w:lineRule="auto"/>
        <w:jc w:val="both"/>
        <w:rPr>
          <w:color w:val="4B4747"/>
          <w:lang w:val="es-DO"/>
        </w:rPr>
      </w:pPr>
      <w:r>
        <w:rPr>
          <w:color w:val="4B4747"/>
          <w:lang w:val="es-DO"/>
        </w:rPr>
        <w:t>Infraestructura de conectividad más confiable y sostenible.</w:t>
      </w:r>
    </w:p>
    <w:p w:rsidR="00184CAB" w:rsidRDefault="002B1930">
      <w:pPr>
        <w:spacing w:line="360" w:lineRule="auto"/>
        <w:jc w:val="both"/>
      </w:pPr>
      <w:r>
        <w:rPr>
          <w:b/>
          <w:color w:val="4B4747"/>
          <w:lang w:val="es-DO"/>
        </w:rPr>
        <w:t>Rediseño del portal instituci</w:t>
      </w:r>
      <w:r>
        <w:rPr>
          <w:b/>
          <w:color w:val="4B4747"/>
          <w:lang w:val="es-DO"/>
        </w:rPr>
        <w:t>onal MAPRE:</w:t>
      </w:r>
      <w:r>
        <w:rPr>
          <w:color w:val="4B4747"/>
          <w:lang w:val="es-DO"/>
        </w:rPr>
        <w:t xml:space="preserve"> Se realizó un rediseño completo del portal mapre.gob.do, ajustándolo a los lineamientos establecidos por la OGTIC. Con este trabajo se logró modernizar la imagen del portal, hacerlo visualmente más atractivo, permitiendo la estandarización de s</w:t>
      </w:r>
      <w:r>
        <w:rPr>
          <w:color w:val="4B4747"/>
          <w:lang w:val="es-DO"/>
        </w:rPr>
        <w:t>u estructura y así cumplir con las normas vigentes.</w:t>
      </w:r>
    </w:p>
    <w:p w:rsidR="00184CAB" w:rsidRDefault="002B1930">
      <w:pPr>
        <w:spacing w:line="360" w:lineRule="auto"/>
        <w:jc w:val="both"/>
      </w:pPr>
      <w:r>
        <w:rPr>
          <w:b/>
          <w:color w:val="4B4747"/>
        </w:rPr>
        <w:t xml:space="preserve">Migración del Portal Institucional a Microsoft Azure: </w:t>
      </w:r>
      <w:r>
        <w:rPr>
          <w:color w:val="4B4747"/>
          <w:lang w:val="es-DO"/>
        </w:rPr>
        <w:t>En coordinación con la División de Desarrollo e Implementación de Sistemas, se completó la migración del portal institucional del MAPRE a la plataform</w:t>
      </w:r>
      <w:r>
        <w:rPr>
          <w:color w:val="4B4747"/>
          <w:lang w:val="es-DO"/>
        </w:rPr>
        <w:t>a Microsoft Azure, fortaleciendo la infraestructura web institucional.</w:t>
      </w:r>
    </w:p>
    <w:p w:rsidR="00184CAB" w:rsidRDefault="002B1930">
      <w:pPr>
        <w:pStyle w:val="Prrafodelista"/>
        <w:spacing w:line="360" w:lineRule="auto"/>
        <w:ind w:left="567"/>
        <w:jc w:val="both"/>
        <w:rPr>
          <w:color w:val="4B4747"/>
          <w:lang w:val="es-DO"/>
        </w:rPr>
      </w:pPr>
      <w:r>
        <w:rPr>
          <w:color w:val="4B4747"/>
          <w:lang w:val="es-DO"/>
        </w:rPr>
        <w:t>Los principales beneficios fueron:</w:t>
      </w:r>
    </w:p>
    <w:p w:rsidR="00184CAB" w:rsidRDefault="002B1930">
      <w:pPr>
        <w:pStyle w:val="Prrafodelista"/>
        <w:numPr>
          <w:ilvl w:val="0"/>
          <w:numId w:val="28"/>
        </w:numPr>
        <w:tabs>
          <w:tab w:val="left" w:pos="-1593"/>
          <w:tab w:val="left" w:pos="-1080"/>
        </w:tabs>
        <w:spacing w:line="360" w:lineRule="auto"/>
        <w:jc w:val="both"/>
        <w:rPr>
          <w:color w:val="4B4747"/>
          <w:lang w:val="es-DO"/>
        </w:rPr>
      </w:pPr>
      <w:r>
        <w:rPr>
          <w:color w:val="4B4747"/>
          <w:lang w:val="es-DO"/>
        </w:rPr>
        <w:t>Mayor disponibilidad y escalabilidad del portal.</w:t>
      </w:r>
    </w:p>
    <w:p w:rsidR="00184CAB" w:rsidRDefault="002B1930">
      <w:pPr>
        <w:pStyle w:val="Prrafodelista"/>
        <w:numPr>
          <w:ilvl w:val="0"/>
          <w:numId w:val="28"/>
        </w:numPr>
        <w:tabs>
          <w:tab w:val="left" w:pos="-1593"/>
          <w:tab w:val="left" w:pos="-1080"/>
        </w:tabs>
        <w:spacing w:line="360" w:lineRule="auto"/>
        <w:jc w:val="both"/>
        <w:rPr>
          <w:color w:val="4B4747"/>
          <w:lang w:val="es-DO"/>
        </w:rPr>
      </w:pPr>
      <w:r>
        <w:rPr>
          <w:color w:val="4B4747"/>
          <w:lang w:val="es-DO"/>
        </w:rPr>
        <w:lastRenderedPageBreak/>
        <w:t>Respaldo automático de la información.</w:t>
      </w:r>
    </w:p>
    <w:p w:rsidR="00184CAB" w:rsidRDefault="002B1930">
      <w:pPr>
        <w:pStyle w:val="Prrafodelista"/>
        <w:numPr>
          <w:ilvl w:val="0"/>
          <w:numId w:val="28"/>
        </w:numPr>
        <w:tabs>
          <w:tab w:val="left" w:pos="-1593"/>
          <w:tab w:val="left" w:pos="-1080"/>
        </w:tabs>
        <w:spacing w:line="360" w:lineRule="auto"/>
        <w:jc w:val="both"/>
        <w:rPr>
          <w:color w:val="4B4747"/>
          <w:lang w:val="es-DO"/>
        </w:rPr>
      </w:pPr>
      <w:r>
        <w:rPr>
          <w:color w:val="4B4747"/>
          <w:lang w:val="es-DO"/>
        </w:rPr>
        <w:t>Protección avanzada frente a amenazas cibernéticas.</w:t>
      </w:r>
    </w:p>
    <w:p w:rsidR="00184CAB" w:rsidRDefault="002B1930">
      <w:pPr>
        <w:pStyle w:val="Prrafodelista"/>
        <w:numPr>
          <w:ilvl w:val="0"/>
          <w:numId w:val="28"/>
        </w:numPr>
        <w:tabs>
          <w:tab w:val="left" w:pos="-1593"/>
          <w:tab w:val="left" w:pos="-1080"/>
        </w:tabs>
        <w:spacing w:line="360" w:lineRule="auto"/>
        <w:jc w:val="both"/>
        <w:rPr>
          <w:color w:val="4B4747"/>
          <w:lang w:val="es-DO"/>
        </w:rPr>
      </w:pPr>
      <w:r>
        <w:rPr>
          <w:color w:val="4B4747"/>
          <w:lang w:val="es-DO"/>
        </w:rPr>
        <w:t xml:space="preserve">Mejora en </w:t>
      </w:r>
      <w:r>
        <w:rPr>
          <w:color w:val="4B4747"/>
          <w:lang w:val="es-DO"/>
        </w:rPr>
        <w:t>el rendimiento y experiencia del usuario.</w:t>
      </w:r>
    </w:p>
    <w:p w:rsidR="00184CAB" w:rsidRDefault="002B1930">
      <w:pPr>
        <w:autoSpaceDE w:val="0"/>
        <w:spacing w:line="360" w:lineRule="auto"/>
        <w:jc w:val="both"/>
      </w:pPr>
      <w:r>
        <w:rPr>
          <w:b/>
          <w:color w:val="4C4747"/>
          <w:lang w:val="es-DO"/>
        </w:rPr>
        <w:t xml:space="preserve">Renovación y Ampliación de la Herramienta de Monitoreo de Infraestructura: </w:t>
      </w:r>
      <w:r>
        <w:rPr>
          <w:color w:val="4C4747"/>
          <w:lang w:val="es-DO"/>
        </w:rPr>
        <w:t>Se renovó y amplió la herramienta de monitoreo de infraestructura tecnológica, incrementando significativamente la capacidad de supervisión</w:t>
      </w:r>
      <w:r>
        <w:rPr>
          <w:color w:val="4C4747"/>
          <w:lang w:val="es-DO"/>
        </w:rPr>
        <w:t xml:space="preserve"> continua de servidores, redes y sistemas.</w:t>
      </w:r>
    </w:p>
    <w:p w:rsidR="00184CAB" w:rsidRDefault="002B1930">
      <w:pPr>
        <w:autoSpaceDE w:val="0"/>
        <w:spacing w:line="360" w:lineRule="auto"/>
        <w:jc w:val="both"/>
        <w:rPr>
          <w:color w:val="4C4747"/>
          <w:lang w:val="es-DO"/>
        </w:rPr>
      </w:pPr>
      <w:r>
        <w:rPr>
          <w:color w:val="4C4747"/>
          <w:lang w:val="es-DO"/>
        </w:rPr>
        <w:t>Este fortalecimiento permitió la detección temprana de fallas, reducción de tiempos de inactividad, optimización del rendimiento de los sistemas y una mejor planificación de recursos tecnológicos.</w:t>
      </w:r>
    </w:p>
    <w:p w:rsidR="00184CAB" w:rsidRDefault="002B1930">
      <w:pPr>
        <w:pStyle w:val="Prrafodelista"/>
        <w:numPr>
          <w:ilvl w:val="0"/>
          <w:numId w:val="29"/>
        </w:numPr>
        <w:autoSpaceDE w:val="0"/>
        <w:spacing w:line="360" w:lineRule="auto"/>
        <w:jc w:val="both"/>
      </w:pPr>
      <w:r>
        <w:rPr>
          <w:b/>
          <w:bCs/>
          <w:color w:val="4C4747"/>
          <w:lang w:val="es-DO"/>
        </w:rPr>
        <w:t xml:space="preserve">Gestión de la </w:t>
      </w:r>
      <w:r>
        <w:rPr>
          <w:b/>
          <w:bCs/>
          <w:color w:val="4C4747"/>
          <w:lang w:val="es-DO"/>
        </w:rPr>
        <w:t xml:space="preserve">Plataforma “Gestión RD”: </w:t>
      </w:r>
      <w:r>
        <w:rPr>
          <w:color w:val="4C4747"/>
          <w:lang w:val="es-DO"/>
        </w:rPr>
        <w:t xml:space="preserve">Durante el periodo anual 2025, se concentraron esfuerzos en la </w:t>
      </w:r>
      <w:r>
        <w:rPr>
          <w:bCs/>
          <w:color w:val="4C4747"/>
          <w:lang w:val="es-DO"/>
        </w:rPr>
        <w:t>coordinación, actualización y seguimiento de la Plataforma Gestión RD</w:t>
      </w:r>
      <w:r>
        <w:rPr>
          <w:color w:val="4C4747"/>
          <w:lang w:val="es-DO"/>
        </w:rPr>
        <w:t xml:space="preserve">, fortaleciendo los canales de comunicación con los </w:t>
      </w:r>
      <w:r>
        <w:rPr>
          <w:bCs/>
          <w:color w:val="4C4747"/>
          <w:lang w:val="es-DO"/>
        </w:rPr>
        <w:t>enlaces responsables de suministrar información</w:t>
      </w:r>
      <w:r>
        <w:rPr>
          <w:bCs/>
          <w:color w:val="4C4747"/>
          <w:lang w:val="es-DO"/>
        </w:rPr>
        <w:t xml:space="preserve"> actualizada</w:t>
      </w:r>
      <w:r>
        <w:rPr>
          <w:color w:val="4C4747"/>
          <w:lang w:val="es-DO"/>
        </w:rPr>
        <w:t xml:space="preserve"> sobre las obras y sus novedades.</w:t>
      </w:r>
    </w:p>
    <w:p w:rsidR="00184CAB" w:rsidRDefault="002B1930">
      <w:pPr>
        <w:pStyle w:val="Prrafodelista"/>
        <w:autoSpaceDE w:val="0"/>
        <w:spacing w:line="360" w:lineRule="auto"/>
        <w:jc w:val="both"/>
      </w:pPr>
      <w:r>
        <w:rPr>
          <w:color w:val="4C4747"/>
          <w:lang w:val="es-DO"/>
        </w:rPr>
        <w:t xml:space="preserve">Se dio seguimiento al </w:t>
      </w:r>
      <w:r>
        <w:rPr>
          <w:bCs/>
          <w:color w:val="4C4747"/>
          <w:lang w:val="es-DO"/>
        </w:rPr>
        <w:t>ciclo completo de los proyectos de infraestructura</w:t>
      </w:r>
      <w:r>
        <w:rPr>
          <w:color w:val="4C4747"/>
          <w:lang w:val="es-DO"/>
        </w:rPr>
        <w:t>, manteniendo coordinación con las áreas involucradas y comunicación constante con las instituciones pertinentes.</w:t>
      </w:r>
      <w:r>
        <w:rPr>
          <w:color w:val="4C4747"/>
          <w:lang w:val="es-DO"/>
        </w:rPr>
        <w:br/>
      </w:r>
      <w:r>
        <w:rPr>
          <w:color w:val="4C4747"/>
          <w:lang w:val="es-DO"/>
        </w:rPr>
        <w:t xml:space="preserve">Asimismo, se realizaron </w:t>
      </w:r>
      <w:r>
        <w:rPr>
          <w:bCs/>
          <w:color w:val="4C4747"/>
          <w:lang w:val="es-DO"/>
        </w:rPr>
        <w:t>reuniones interinstitucionales</w:t>
      </w:r>
      <w:r>
        <w:rPr>
          <w:color w:val="4C4747"/>
          <w:lang w:val="es-DO"/>
        </w:rPr>
        <w:t xml:space="preserve">, en colaboración con las divisiones implicadas, para garantizar la </w:t>
      </w:r>
      <w:r>
        <w:rPr>
          <w:bCs/>
          <w:color w:val="4C4747"/>
          <w:lang w:val="es-DO"/>
        </w:rPr>
        <w:t>operatividad, actualización permanente y transparencia</w:t>
      </w:r>
      <w:r>
        <w:rPr>
          <w:color w:val="4C4747"/>
          <w:lang w:val="es-DO"/>
        </w:rPr>
        <w:t xml:space="preserve"> de la información publicada en la plataforma.</w:t>
      </w:r>
    </w:p>
    <w:p w:rsidR="00184CAB" w:rsidRDefault="002B1930">
      <w:pPr>
        <w:pStyle w:val="Prrafodelista"/>
        <w:numPr>
          <w:ilvl w:val="0"/>
          <w:numId w:val="29"/>
        </w:numPr>
        <w:autoSpaceDE w:val="0"/>
        <w:spacing w:line="360" w:lineRule="auto"/>
        <w:jc w:val="both"/>
      </w:pPr>
      <w:r>
        <w:rPr>
          <w:b/>
          <w:bCs/>
          <w:color w:val="4C4747"/>
          <w:lang w:val="es-DO"/>
        </w:rPr>
        <w:t xml:space="preserve">Gestión de Servicios Digitales y Atención al Usuario: </w:t>
      </w:r>
      <w:r>
        <w:rPr>
          <w:color w:val="4C4747"/>
          <w:lang w:val="es-DO"/>
        </w:rPr>
        <w:t>Dur</w:t>
      </w:r>
      <w:r>
        <w:rPr>
          <w:color w:val="4C4747"/>
          <w:lang w:val="es-DO"/>
        </w:rPr>
        <w:t xml:space="preserve">ante el período evaluado, la Mesa de Servicios Digitales mantuvo una operación continua y eficiente, gestionando </w:t>
      </w:r>
      <w:r>
        <w:rPr>
          <w:color w:val="4C4747"/>
          <w:lang w:val="es-DO"/>
        </w:rPr>
        <w:lastRenderedPageBreak/>
        <w:t>solicitudes, incidentes y requerimientos tecnológicos de las distintas áreas del MAPRE.</w:t>
      </w:r>
    </w:p>
    <w:p w:rsidR="00184CAB" w:rsidRDefault="002B1930">
      <w:pPr>
        <w:pStyle w:val="Prrafodelista"/>
        <w:spacing w:line="360" w:lineRule="auto"/>
        <w:jc w:val="both"/>
        <w:rPr>
          <w:bCs/>
          <w:color w:val="4C4747"/>
        </w:rPr>
      </w:pPr>
      <w:r>
        <w:rPr>
          <w:bCs/>
          <w:color w:val="4C4747"/>
        </w:rPr>
        <w:t xml:space="preserve">El desempeño tecnológico de 2025 supera ampliamente el </w:t>
      </w:r>
      <w:r>
        <w:rPr>
          <w:bCs/>
          <w:color w:val="4C4747"/>
        </w:rPr>
        <w:t>de 2024, duplicando prácticamente el volumen de tickets atendidos (+93%) y fortaleciendo la capacidad institucional para sostener operaciones críticas. La mejora en la disponibilidad de sistemas, la adopción de herramientas digitales y el avance del expedi</w:t>
      </w:r>
      <w:r>
        <w:rPr>
          <w:bCs/>
          <w:color w:val="4C4747"/>
        </w:rPr>
        <w:t>ente digital reflejan un aumento en la madurez digital del MAPRE.</w:t>
      </w:r>
    </w:p>
    <w:p w:rsidR="00184CAB" w:rsidRDefault="002B1930">
      <w:pPr>
        <w:pStyle w:val="Prrafodelista"/>
        <w:autoSpaceDE w:val="0"/>
        <w:spacing w:line="360" w:lineRule="auto"/>
        <w:jc w:val="both"/>
        <w:rPr>
          <w:bCs/>
          <w:color w:val="4C4747"/>
          <w:lang w:val="es-DO"/>
        </w:rPr>
      </w:pPr>
      <w:r>
        <w:rPr>
          <w:bCs/>
          <w:color w:val="4C4747"/>
          <w:lang w:val="es-DO"/>
        </w:rPr>
        <w:t>Se registro un total de 5,871 tickets solicitud de servicios tecnológicos atendidos durante el periodo anual año en curso.</w:t>
      </w:r>
    </w:p>
    <w:p w:rsidR="00184CAB" w:rsidRDefault="002B1930">
      <w:pPr>
        <w:pStyle w:val="Prrafodelista"/>
        <w:numPr>
          <w:ilvl w:val="0"/>
          <w:numId w:val="29"/>
        </w:numPr>
        <w:autoSpaceDE w:val="0"/>
        <w:spacing w:line="360" w:lineRule="auto"/>
        <w:jc w:val="both"/>
      </w:pPr>
      <w:r>
        <w:rPr>
          <w:b/>
          <w:bCs/>
          <w:color w:val="4C4747"/>
          <w:lang w:val="es-DO"/>
        </w:rPr>
        <w:t xml:space="preserve">Implementación y Optimización de Plataformas Tecnológicas: </w:t>
      </w:r>
      <w:r>
        <w:rPr>
          <w:color w:val="4C4747"/>
          <w:lang w:val="es-DO"/>
        </w:rPr>
        <w:t xml:space="preserve">Durante </w:t>
      </w:r>
      <w:r>
        <w:rPr>
          <w:color w:val="4C4747"/>
          <w:lang w:val="es-DO"/>
        </w:rPr>
        <w:t>2025 se consolidaron diversas iniciativas orientadas a la modernización de los servicios digitales, entre las que se destacan:</w:t>
      </w:r>
    </w:p>
    <w:p w:rsidR="00184CAB" w:rsidRDefault="002B1930">
      <w:pPr>
        <w:pStyle w:val="Prrafodelista"/>
        <w:numPr>
          <w:ilvl w:val="0"/>
          <w:numId w:val="29"/>
        </w:numPr>
        <w:autoSpaceDE w:val="0"/>
        <w:spacing w:line="360" w:lineRule="auto"/>
        <w:jc w:val="both"/>
      </w:pPr>
      <w:r>
        <w:rPr>
          <w:b/>
          <w:bCs/>
          <w:color w:val="4C4747"/>
          <w:lang w:val="es-DO"/>
        </w:rPr>
        <w:t>Implementación de la CMDB integrada a la Mesa de Servicios</w:t>
      </w:r>
      <w:r>
        <w:rPr>
          <w:color w:val="4C4747"/>
          <w:lang w:val="es-DO"/>
        </w:rPr>
        <w:t>, fortaleciendo la gestión de activos tecnológicos y la trazabilidad de</w:t>
      </w:r>
      <w:r>
        <w:rPr>
          <w:color w:val="4C4747"/>
          <w:lang w:val="es-DO"/>
        </w:rPr>
        <w:t xml:space="preserve"> los servicios.</w:t>
      </w:r>
    </w:p>
    <w:p w:rsidR="00184CAB" w:rsidRDefault="002B1930">
      <w:pPr>
        <w:pStyle w:val="Prrafodelista"/>
        <w:numPr>
          <w:ilvl w:val="0"/>
          <w:numId w:val="29"/>
        </w:numPr>
        <w:autoSpaceDE w:val="0"/>
        <w:spacing w:line="360" w:lineRule="auto"/>
        <w:jc w:val="both"/>
      </w:pPr>
      <w:r>
        <w:rPr>
          <w:b/>
          <w:bCs/>
          <w:color w:val="4C4747"/>
          <w:lang w:val="es-DO"/>
        </w:rPr>
        <w:t>Sistema de Gestión de Equipos Finales (</w:t>
      </w:r>
      <w:proofErr w:type="spellStart"/>
      <w:r>
        <w:rPr>
          <w:b/>
          <w:bCs/>
          <w:color w:val="4C4747"/>
          <w:lang w:val="es-DO"/>
        </w:rPr>
        <w:t>Endpoint</w:t>
      </w:r>
      <w:proofErr w:type="spellEnd"/>
      <w:r>
        <w:rPr>
          <w:b/>
          <w:bCs/>
          <w:color w:val="4C4747"/>
          <w:lang w:val="es-DO"/>
        </w:rPr>
        <w:t xml:space="preserve"> Management)</w:t>
      </w:r>
      <w:r>
        <w:rPr>
          <w:color w:val="4C4747"/>
          <w:lang w:val="es-DO"/>
        </w:rPr>
        <w:t>, mejorando el control, la seguridad y la administración de los dispositivos institucionales que abarcan laptops, computadoras de escritorio, tabletas, pizarras inteligentes y otros</w:t>
      </w:r>
      <w:r>
        <w:rPr>
          <w:color w:val="4C4747"/>
          <w:lang w:val="es-DO"/>
        </w:rPr>
        <w:t xml:space="preserve"> dispositivos. </w:t>
      </w:r>
    </w:p>
    <w:p w:rsidR="00184CAB" w:rsidRDefault="002B1930">
      <w:pPr>
        <w:pStyle w:val="Prrafodelista"/>
        <w:autoSpaceDE w:val="0"/>
        <w:spacing w:line="360" w:lineRule="auto"/>
        <w:jc w:val="both"/>
      </w:pPr>
      <w:r>
        <w:rPr>
          <w:color w:val="4C4747"/>
          <w:lang w:val="es-DO"/>
        </w:rPr>
        <w:t xml:space="preserve">Esta herramienta no solo habilita un inventario automatizado y en tiempo real, sino que potencia significativamente las capacidades del personal técnico al permitir </w:t>
      </w:r>
      <w:r>
        <w:rPr>
          <w:bCs/>
          <w:color w:val="4C4747"/>
          <w:lang w:val="es-DO"/>
        </w:rPr>
        <w:t>asistencia remota sin presencia física, instalación de software a distancia</w:t>
      </w:r>
      <w:r>
        <w:rPr>
          <w:bCs/>
          <w:color w:val="4C4747"/>
          <w:lang w:val="es-DO"/>
        </w:rPr>
        <w:t xml:space="preserve"> y la aplicación automática de parches y actualizaciones</w:t>
      </w:r>
      <w:r>
        <w:rPr>
          <w:color w:val="4C4747"/>
          <w:lang w:val="es-DO"/>
        </w:rPr>
        <w:t>.</w:t>
      </w:r>
    </w:p>
    <w:tbl>
      <w:tblPr>
        <w:tblW w:w="7792" w:type="dxa"/>
        <w:tblCellMar>
          <w:left w:w="10" w:type="dxa"/>
          <w:right w:w="10" w:type="dxa"/>
        </w:tblCellMar>
        <w:tblLook w:val="0000" w:firstRow="0" w:lastRow="0" w:firstColumn="0" w:lastColumn="0" w:noHBand="0" w:noVBand="0"/>
      </w:tblPr>
      <w:tblGrid>
        <w:gridCol w:w="7792"/>
      </w:tblGrid>
      <w:tr w:rsidR="00184CAB">
        <w:tblPrEx>
          <w:tblCellMar>
            <w:top w:w="0" w:type="dxa"/>
            <w:bottom w:w="0" w:type="dxa"/>
          </w:tblCellMar>
        </w:tblPrEx>
        <w:trPr>
          <w:trHeight w:val="319"/>
        </w:trPr>
        <w:tc>
          <w:tcPr>
            <w:tcW w:w="7792"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line="360" w:lineRule="auto"/>
              <w:ind w:left="360"/>
              <w:jc w:val="both"/>
            </w:pPr>
            <w:r>
              <w:rPr>
                <w:b/>
                <w:color w:val="FFFFFF"/>
              </w:rPr>
              <w:lastRenderedPageBreak/>
              <w:t>Evidencia fotográfica-</w:t>
            </w:r>
            <w:proofErr w:type="spellStart"/>
            <w:r>
              <w:rPr>
                <w:b/>
                <w:color w:val="FFFFFF"/>
              </w:rPr>
              <w:t>Endpoint</w:t>
            </w:r>
            <w:proofErr w:type="spellEnd"/>
            <w:r>
              <w:rPr>
                <w:b/>
                <w:color w:val="FFFFFF"/>
              </w:rPr>
              <w:t xml:space="preserve"> Management</w:t>
            </w:r>
          </w:p>
        </w:tc>
      </w:tr>
      <w:tr w:rsidR="00184CAB">
        <w:tblPrEx>
          <w:tblCellMar>
            <w:top w:w="0" w:type="dxa"/>
            <w:bottom w:w="0" w:type="dxa"/>
          </w:tblCellMar>
        </w:tblPrEx>
        <w:trPr>
          <w:trHeight w:val="1900"/>
        </w:trPr>
        <w:tc>
          <w:tcPr>
            <w:tcW w:w="77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360" w:lineRule="auto"/>
              <w:jc w:val="both"/>
            </w:pPr>
            <w:r>
              <w:rPr>
                <w:noProof/>
              </w:rPr>
              <w:drawing>
                <wp:inline distT="0" distB="0" distL="0" distR="0">
                  <wp:extent cx="4800215" cy="2173894"/>
                  <wp:effectExtent l="0" t="0" r="385" b="0"/>
                  <wp:docPr id="55" name="Imagen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4800215" cy="2173894"/>
                          </a:xfrm>
                          <a:prstGeom prst="rect">
                            <a:avLst/>
                          </a:prstGeom>
                          <a:noFill/>
                          <a:ln>
                            <a:noFill/>
                            <a:prstDash/>
                          </a:ln>
                        </pic:spPr>
                      </pic:pic>
                    </a:graphicData>
                  </a:graphic>
                </wp:inline>
              </w:drawing>
            </w:r>
          </w:p>
        </w:tc>
      </w:tr>
    </w:tbl>
    <w:p w:rsidR="00184CAB" w:rsidRDefault="002B1930">
      <w:pPr>
        <w:autoSpaceDE w:val="0"/>
        <w:spacing w:line="240" w:lineRule="auto"/>
        <w:jc w:val="both"/>
        <w:rPr>
          <w:i/>
          <w:color w:val="4C4747"/>
          <w:sz w:val="18"/>
          <w:szCs w:val="18"/>
          <w:lang w:val="es-DO"/>
        </w:rPr>
      </w:pPr>
      <w:r>
        <w:rPr>
          <w:i/>
          <w:color w:val="4C4747"/>
          <w:sz w:val="18"/>
          <w:szCs w:val="18"/>
          <w:lang w:val="es-DO"/>
        </w:rPr>
        <w:t>Fuente: Informe anual 2025, Dirección de Transformación Digital, Ministerio Administrativo de la Presidencia.</w:t>
      </w:r>
    </w:p>
    <w:p w:rsidR="00184CAB" w:rsidRDefault="00184CAB">
      <w:pPr>
        <w:autoSpaceDE w:val="0"/>
        <w:spacing w:line="360" w:lineRule="auto"/>
        <w:jc w:val="both"/>
        <w:rPr>
          <w:b/>
          <w:bCs/>
          <w:color w:val="4C4747"/>
          <w:lang w:val="es-DO"/>
        </w:rPr>
      </w:pPr>
    </w:p>
    <w:p w:rsidR="00184CAB" w:rsidRDefault="002B1930">
      <w:pPr>
        <w:pStyle w:val="Prrafodelista"/>
        <w:numPr>
          <w:ilvl w:val="0"/>
          <w:numId w:val="29"/>
        </w:numPr>
        <w:autoSpaceDE w:val="0"/>
        <w:spacing w:line="360" w:lineRule="auto"/>
        <w:jc w:val="both"/>
      </w:pPr>
      <w:proofErr w:type="spellStart"/>
      <w:r>
        <w:rPr>
          <w:b/>
          <w:bCs/>
          <w:color w:val="4C4747"/>
          <w:lang w:val="es-DO"/>
        </w:rPr>
        <w:t>Tenant</w:t>
      </w:r>
      <w:proofErr w:type="spellEnd"/>
      <w:r>
        <w:rPr>
          <w:b/>
          <w:bCs/>
          <w:color w:val="4C4747"/>
          <w:lang w:val="es-DO"/>
        </w:rPr>
        <w:t xml:space="preserve"> independiente de Mesa de Servicios</w:t>
      </w:r>
      <w:r>
        <w:rPr>
          <w:b/>
          <w:bCs/>
          <w:color w:val="4C4747"/>
          <w:lang w:val="es-DO"/>
        </w:rPr>
        <w:t xml:space="preserve"> para la Dirección de Ingeniería</w:t>
      </w:r>
      <w:r>
        <w:rPr>
          <w:color w:val="4C4747"/>
          <w:lang w:val="es-DO"/>
        </w:rPr>
        <w:t>, permitiendo una gestión especializada y alineada a sus necesidades operativas.</w:t>
      </w:r>
    </w:p>
    <w:tbl>
      <w:tblPr>
        <w:tblW w:w="7910" w:type="dxa"/>
        <w:tblCellMar>
          <w:left w:w="10" w:type="dxa"/>
          <w:right w:w="10" w:type="dxa"/>
        </w:tblCellMar>
        <w:tblLook w:val="0000" w:firstRow="0" w:lastRow="0" w:firstColumn="0" w:lastColumn="0" w:noHBand="0" w:noVBand="0"/>
      </w:tblPr>
      <w:tblGrid>
        <w:gridCol w:w="7910"/>
      </w:tblGrid>
      <w:tr w:rsidR="00184CAB">
        <w:tblPrEx>
          <w:tblCellMar>
            <w:top w:w="0" w:type="dxa"/>
            <w:bottom w:w="0" w:type="dxa"/>
          </w:tblCellMar>
        </w:tblPrEx>
        <w:tc>
          <w:tcPr>
            <w:tcW w:w="7910"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line="360" w:lineRule="auto"/>
              <w:ind w:left="360"/>
              <w:jc w:val="both"/>
            </w:pPr>
            <w:r>
              <w:rPr>
                <w:b/>
                <w:color w:val="FFFFFF"/>
              </w:rPr>
              <w:t xml:space="preserve">Evidencia fotográfica - </w:t>
            </w:r>
            <w:proofErr w:type="spellStart"/>
            <w:r>
              <w:rPr>
                <w:b/>
                <w:bCs/>
                <w:color w:val="FFFFFF"/>
                <w:lang w:val="es-DO"/>
              </w:rPr>
              <w:t>Tenant</w:t>
            </w:r>
            <w:proofErr w:type="spellEnd"/>
          </w:p>
        </w:tc>
      </w:tr>
      <w:tr w:rsidR="00184CAB">
        <w:tblPrEx>
          <w:tblCellMar>
            <w:top w:w="0" w:type="dxa"/>
            <w:bottom w:w="0" w:type="dxa"/>
          </w:tblCellMar>
        </w:tblPrEx>
        <w:tc>
          <w:tcPr>
            <w:tcW w:w="7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360" w:lineRule="auto"/>
              <w:jc w:val="both"/>
            </w:pPr>
            <w:r>
              <w:rPr>
                <w:noProof/>
              </w:rPr>
              <w:drawing>
                <wp:inline distT="0" distB="0" distL="0" distR="0">
                  <wp:extent cx="4910071" cy="1597255"/>
                  <wp:effectExtent l="0" t="0" r="4829" b="2945"/>
                  <wp:docPr id="56" name="Imagen 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4910071" cy="1597255"/>
                          </a:xfrm>
                          <a:prstGeom prst="rect">
                            <a:avLst/>
                          </a:prstGeom>
                          <a:noFill/>
                          <a:ln>
                            <a:noFill/>
                            <a:prstDash/>
                          </a:ln>
                        </pic:spPr>
                      </pic:pic>
                    </a:graphicData>
                  </a:graphic>
                </wp:inline>
              </w:drawing>
            </w:r>
          </w:p>
        </w:tc>
      </w:tr>
    </w:tbl>
    <w:p w:rsidR="00184CAB" w:rsidRDefault="002B1930">
      <w:pPr>
        <w:autoSpaceDE w:val="0"/>
        <w:spacing w:line="240" w:lineRule="auto"/>
        <w:jc w:val="both"/>
        <w:rPr>
          <w:i/>
          <w:color w:val="4C4747"/>
          <w:sz w:val="18"/>
          <w:szCs w:val="18"/>
          <w:lang w:val="es-DO"/>
        </w:rPr>
      </w:pPr>
      <w:r>
        <w:rPr>
          <w:i/>
          <w:color w:val="4C4747"/>
          <w:sz w:val="18"/>
          <w:szCs w:val="18"/>
          <w:lang w:val="es-DO"/>
        </w:rPr>
        <w:t xml:space="preserve">Fuente: Informe anual 2025, Dirección de Transformación Digital, Ministerio Administrativo de la </w:t>
      </w:r>
      <w:r>
        <w:rPr>
          <w:i/>
          <w:color w:val="4C4747"/>
          <w:sz w:val="18"/>
          <w:szCs w:val="18"/>
          <w:lang w:val="es-DO"/>
        </w:rPr>
        <w:t>Presidencia.</w:t>
      </w:r>
    </w:p>
    <w:p w:rsidR="00184CAB" w:rsidRDefault="00184CAB">
      <w:pPr>
        <w:autoSpaceDE w:val="0"/>
        <w:spacing w:line="240" w:lineRule="auto"/>
        <w:jc w:val="both"/>
        <w:rPr>
          <w:i/>
          <w:color w:val="4C4747"/>
          <w:lang w:val="es-DO"/>
        </w:rPr>
      </w:pPr>
    </w:p>
    <w:p w:rsidR="00184CAB" w:rsidRDefault="00184CAB">
      <w:pPr>
        <w:autoSpaceDE w:val="0"/>
        <w:spacing w:line="240" w:lineRule="auto"/>
        <w:jc w:val="both"/>
        <w:rPr>
          <w:i/>
          <w:color w:val="4C4747"/>
          <w:lang w:val="es-DO"/>
        </w:rPr>
      </w:pPr>
    </w:p>
    <w:p w:rsidR="00184CAB" w:rsidRDefault="002B1930">
      <w:pPr>
        <w:pStyle w:val="Prrafodelista"/>
        <w:numPr>
          <w:ilvl w:val="0"/>
          <w:numId w:val="30"/>
        </w:numPr>
        <w:autoSpaceDE w:val="0"/>
        <w:spacing w:line="360" w:lineRule="auto"/>
        <w:jc w:val="both"/>
      </w:pPr>
      <w:r>
        <w:rPr>
          <w:b/>
          <w:bCs/>
          <w:color w:val="4C4747"/>
          <w:lang w:val="es-DO"/>
        </w:rPr>
        <w:lastRenderedPageBreak/>
        <w:t xml:space="preserve">Plataforma </w:t>
      </w:r>
      <w:proofErr w:type="spellStart"/>
      <w:r>
        <w:rPr>
          <w:b/>
          <w:bCs/>
          <w:color w:val="4C4747"/>
          <w:lang w:val="es-DO"/>
        </w:rPr>
        <w:t>EcoMAPRE</w:t>
      </w:r>
      <w:proofErr w:type="spellEnd"/>
      <w:r>
        <w:rPr>
          <w:color w:val="4C4747"/>
          <w:lang w:val="es-DO"/>
        </w:rPr>
        <w:t>, como herramienta digital de apoyo a la gestión ambiental institucional, orientada a la transparencia, el monitoreo y la sistematización de información.</w:t>
      </w:r>
    </w:p>
    <w:tbl>
      <w:tblPr>
        <w:tblW w:w="7910" w:type="dxa"/>
        <w:tblCellMar>
          <w:left w:w="10" w:type="dxa"/>
          <w:right w:w="10" w:type="dxa"/>
        </w:tblCellMar>
        <w:tblLook w:val="0000" w:firstRow="0" w:lastRow="0" w:firstColumn="0" w:lastColumn="0" w:noHBand="0" w:noVBand="0"/>
      </w:tblPr>
      <w:tblGrid>
        <w:gridCol w:w="7910"/>
      </w:tblGrid>
      <w:tr w:rsidR="00184CAB">
        <w:tblPrEx>
          <w:tblCellMar>
            <w:top w:w="0" w:type="dxa"/>
            <w:bottom w:w="0" w:type="dxa"/>
          </w:tblCellMar>
        </w:tblPrEx>
        <w:tc>
          <w:tcPr>
            <w:tcW w:w="7910"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line="360" w:lineRule="auto"/>
              <w:ind w:left="360"/>
              <w:jc w:val="both"/>
            </w:pPr>
            <w:r>
              <w:rPr>
                <w:b/>
                <w:color w:val="FFFFFF"/>
              </w:rPr>
              <w:t xml:space="preserve">Evidencia fotográfica - </w:t>
            </w:r>
            <w:r>
              <w:rPr>
                <w:b/>
                <w:bCs/>
                <w:color w:val="FFFFFF"/>
                <w:lang w:val="es-DO"/>
              </w:rPr>
              <w:t xml:space="preserve">Plataforma </w:t>
            </w:r>
            <w:proofErr w:type="spellStart"/>
            <w:r>
              <w:rPr>
                <w:b/>
                <w:bCs/>
                <w:color w:val="FFFFFF"/>
                <w:lang w:val="es-DO"/>
              </w:rPr>
              <w:t>EcoMAPRE</w:t>
            </w:r>
            <w:proofErr w:type="spellEnd"/>
          </w:p>
        </w:tc>
      </w:tr>
      <w:tr w:rsidR="00184CAB">
        <w:tblPrEx>
          <w:tblCellMar>
            <w:top w:w="0" w:type="dxa"/>
            <w:bottom w:w="0" w:type="dxa"/>
          </w:tblCellMar>
        </w:tblPrEx>
        <w:tc>
          <w:tcPr>
            <w:tcW w:w="7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360" w:lineRule="auto"/>
              <w:jc w:val="both"/>
            </w:pPr>
            <w:r>
              <w:rPr>
                <w:rStyle w:val="Textoennegrita"/>
                <w:b w:val="0"/>
                <w:bCs w:val="0"/>
                <w:noProof/>
                <w:color w:val="000000"/>
                <w:spacing w:val="0"/>
              </w:rPr>
              <w:drawing>
                <wp:inline distT="0" distB="0" distL="0" distR="0">
                  <wp:extent cx="4907987" cy="2031074"/>
                  <wp:effectExtent l="0" t="0" r="6913" b="7276"/>
                  <wp:docPr id="57" name="Imagen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4907987" cy="2031074"/>
                          </a:xfrm>
                          <a:prstGeom prst="rect">
                            <a:avLst/>
                          </a:prstGeom>
                          <a:noFill/>
                          <a:ln>
                            <a:noFill/>
                            <a:prstDash/>
                          </a:ln>
                        </pic:spPr>
                      </pic:pic>
                    </a:graphicData>
                  </a:graphic>
                </wp:inline>
              </w:drawing>
            </w:r>
          </w:p>
        </w:tc>
      </w:tr>
    </w:tbl>
    <w:p w:rsidR="00184CAB" w:rsidRDefault="002B1930">
      <w:pPr>
        <w:autoSpaceDE w:val="0"/>
        <w:spacing w:line="240" w:lineRule="auto"/>
        <w:jc w:val="both"/>
      </w:pPr>
      <w:r>
        <w:rPr>
          <w:i/>
          <w:color w:val="4C4747"/>
          <w:sz w:val="18"/>
          <w:szCs w:val="18"/>
          <w:lang w:val="es-DO"/>
        </w:rPr>
        <w:t xml:space="preserve">Fuente: Informe </w:t>
      </w:r>
      <w:r>
        <w:rPr>
          <w:i/>
          <w:color w:val="4C4747"/>
          <w:sz w:val="18"/>
          <w:szCs w:val="18"/>
          <w:lang w:val="es-DO"/>
        </w:rPr>
        <w:t>anual 2025, Dirección de Transformación Digital, Ministerio Administrativo de la Presidencia</w:t>
      </w:r>
      <w:r>
        <w:rPr>
          <w:i/>
          <w:color w:val="4C4747"/>
          <w:lang w:val="es-DO"/>
        </w:rPr>
        <w:t>.</w:t>
      </w:r>
    </w:p>
    <w:p w:rsidR="00184CAB" w:rsidRDefault="00184CAB">
      <w:pPr>
        <w:autoSpaceDE w:val="0"/>
        <w:spacing w:line="360" w:lineRule="auto"/>
        <w:jc w:val="both"/>
        <w:rPr>
          <w:b/>
          <w:color w:val="4C4747"/>
          <w:lang w:val="es-DO"/>
        </w:rPr>
      </w:pPr>
    </w:p>
    <w:p w:rsidR="00184CAB" w:rsidRDefault="002B1930">
      <w:pPr>
        <w:autoSpaceDE w:val="0"/>
        <w:spacing w:line="360" w:lineRule="auto"/>
        <w:jc w:val="both"/>
      </w:pPr>
      <w:r>
        <w:rPr>
          <w:b/>
          <w:color w:val="4C4747"/>
          <w:lang w:val="es-DO"/>
        </w:rPr>
        <w:t>Infraestructura, Seguridad y Continuidad Operativa:</w:t>
      </w:r>
      <w:r>
        <w:rPr>
          <w:color w:val="4C4747"/>
          <w:lang w:val="es-DO"/>
        </w:rPr>
        <w:t xml:space="preserve"> En el marco del fortalecimiento de la infraestructura tecnológica, se ejecutaron acciones clave orientadas a </w:t>
      </w:r>
      <w:r>
        <w:rPr>
          <w:color w:val="4C4747"/>
          <w:lang w:val="es-DO"/>
        </w:rPr>
        <w:t>la seguridad, estabilidad y disponibilidad de los sistemas, incluyendo:</w:t>
      </w:r>
    </w:p>
    <w:p w:rsidR="00184CAB" w:rsidRDefault="002B1930">
      <w:pPr>
        <w:pStyle w:val="Prrafodelista"/>
        <w:numPr>
          <w:ilvl w:val="0"/>
          <w:numId w:val="31"/>
        </w:numPr>
        <w:tabs>
          <w:tab w:val="left" w:pos="720"/>
        </w:tabs>
        <w:autoSpaceDE w:val="0"/>
        <w:spacing w:line="360" w:lineRule="auto"/>
        <w:ind w:left="426" w:hanging="142"/>
        <w:jc w:val="both"/>
        <w:rPr>
          <w:color w:val="4C4747"/>
          <w:lang w:val="es-DO"/>
        </w:rPr>
      </w:pPr>
      <w:r>
        <w:rPr>
          <w:color w:val="4C4747"/>
          <w:lang w:val="es-DO"/>
        </w:rPr>
        <w:t>Renovación de plataformas de respaldo y replicación de servidores.</w:t>
      </w:r>
    </w:p>
    <w:p w:rsidR="00184CAB" w:rsidRDefault="002B1930">
      <w:pPr>
        <w:pStyle w:val="Prrafodelista"/>
        <w:numPr>
          <w:ilvl w:val="0"/>
          <w:numId w:val="31"/>
        </w:numPr>
        <w:tabs>
          <w:tab w:val="left" w:pos="720"/>
        </w:tabs>
        <w:autoSpaceDE w:val="0"/>
        <w:spacing w:line="360" w:lineRule="auto"/>
        <w:ind w:left="426" w:hanging="142"/>
        <w:jc w:val="both"/>
        <w:rPr>
          <w:color w:val="4C4747"/>
          <w:lang w:val="es-DO"/>
        </w:rPr>
      </w:pPr>
      <w:r>
        <w:rPr>
          <w:color w:val="4C4747"/>
          <w:lang w:val="es-DO"/>
        </w:rPr>
        <w:t>Actualización de servidores críticos y sistemas descontinuados.</w:t>
      </w:r>
    </w:p>
    <w:p w:rsidR="00184CAB" w:rsidRDefault="002B1930">
      <w:pPr>
        <w:pStyle w:val="Prrafodelista"/>
        <w:numPr>
          <w:ilvl w:val="0"/>
          <w:numId w:val="31"/>
        </w:numPr>
        <w:tabs>
          <w:tab w:val="left" w:pos="720"/>
        </w:tabs>
        <w:autoSpaceDE w:val="0"/>
        <w:spacing w:line="360" w:lineRule="auto"/>
        <w:ind w:left="426" w:hanging="142"/>
        <w:jc w:val="both"/>
        <w:rPr>
          <w:color w:val="4C4747"/>
          <w:lang w:val="es-DO"/>
        </w:rPr>
      </w:pPr>
      <w:r>
        <w:rPr>
          <w:color w:val="4C4747"/>
          <w:lang w:val="es-DO"/>
        </w:rPr>
        <w:t xml:space="preserve">Fortalecimiento de herramientas de monitoreo de </w:t>
      </w:r>
      <w:r>
        <w:rPr>
          <w:color w:val="4C4747"/>
          <w:lang w:val="es-DO"/>
        </w:rPr>
        <w:t>infraestructura.</w:t>
      </w:r>
    </w:p>
    <w:p w:rsidR="00184CAB" w:rsidRDefault="002B1930">
      <w:pPr>
        <w:pStyle w:val="Prrafodelista"/>
        <w:numPr>
          <w:ilvl w:val="0"/>
          <w:numId w:val="31"/>
        </w:numPr>
        <w:tabs>
          <w:tab w:val="left" w:pos="720"/>
        </w:tabs>
        <w:autoSpaceDE w:val="0"/>
        <w:spacing w:line="360" w:lineRule="auto"/>
        <w:ind w:left="426" w:hanging="142"/>
        <w:jc w:val="both"/>
        <w:rPr>
          <w:color w:val="4C4747"/>
          <w:lang w:val="es-DO"/>
        </w:rPr>
      </w:pPr>
      <w:r>
        <w:rPr>
          <w:color w:val="4C4747"/>
          <w:lang w:val="es-DO"/>
        </w:rPr>
        <w:t xml:space="preserve">Ejecución de mantenimientos preventivos a los </w:t>
      </w:r>
      <w:proofErr w:type="spellStart"/>
      <w:r>
        <w:rPr>
          <w:color w:val="4C4747"/>
          <w:lang w:val="es-DO"/>
        </w:rPr>
        <w:t>IDFs</w:t>
      </w:r>
      <w:proofErr w:type="spellEnd"/>
      <w:r>
        <w:rPr>
          <w:color w:val="4C4747"/>
          <w:lang w:val="es-DO"/>
        </w:rPr>
        <w:t xml:space="preserve"> de las distintas dependencias.</w:t>
      </w:r>
    </w:p>
    <w:p w:rsidR="00184CAB" w:rsidRDefault="00184CAB">
      <w:pPr>
        <w:pStyle w:val="Prrafodelista"/>
        <w:tabs>
          <w:tab w:val="left" w:pos="720"/>
        </w:tabs>
        <w:autoSpaceDE w:val="0"/>
        <w:spacing w:line="360" w:lineRule="auto"/>
        <w:ind w:left="426"/>
        <w:jc w:val="both"/>
        <w:rPr>
          <w:color w:val="4C4747"/>
          <w:lang w:val="es-DO"/>
        </w:rPr>
      </w:pPr>
    </w:p>
    <w:p w:rsidR="00184CAB" w:rsidRDefault="002B1930">
      <w:pPr>
        <w:autoSpaceDE w:val="0"/>
        <w:spacing w:line="360" w:lineRule="auto"/>
        <w:jc w:val="both"/>
      </w:pPr>
      <w:r>
        <w:rPr>
          <w:b/>
          <w:color w:val="4C4747"/>
          <w:lang w:val="es-DO"/>
        </w:rPr>
        <w:lastRenderedPageBreak/>
        <w:t xml:space="preserve">Cumplimiento normativo TIC: </w:t>
      </w:r>
      <w:r>
        <w:rPr>
          <w:color w:val="4C4747"/>
        </w:rPr>
        <w:t xml:space="preserve">Durante el período </w:t>
      </w:r>
      <w:r>
        <w:rPr>
          <w:bCs/>
          <w:color w:val="4C4747"/>
        </w:rPr>
        <w:t>anual 2025</w:t>
      </w:r>
      <w:r>
        <w:rPr>
          <w:color w:val="4C4747"/>
        </w:rPr>
        <w:t xml:space="preserve">, la Dirección de Transformación Digital se enfocó en </w:t>
      </w:r>
      <w:r>
        <w:rPr>
          <w:color w:val="4C4747"/>
          <w:lang w:val="es-DO"/>
        </w:rPr>
        <w:t xml:space="preserve">la obtención y formalización de </w:t>
      </w:r>
      <w:r>
        <w:rPr>
          <w:bCs/>
          <w:color w:val="4C4747"/>
          <w:lang w:val="es-DO"/>
        </w:rPr>
        <w:t>recertificaci</w:t>
      </w:r>
      <w:r>
        <w:rPr>
          <w:bCs/>
          <w:color w:val="4C4747"/>
          <w:lang w:val="es-DO"/>
        </w:rPr>
        <w:t>ones bajo las Normas sobre Tecnologías de la Información y Comunicación (NORTIC)</w:t>
      </w:r>
      <w:r>
        <w:rPr>
          <w:color w:val="4C4747"/>
          <w:lang w:val="es-DO"/>
        </w:rPr>
        <w:t>, emitidas por la Oficina Gubernamental de Tecnologías de la Información y Comunicación (OGTIC).</w:t>
      </w:r>
    </w:p>
    <w:p w:rsidR="00184CAB" w:rsidRDefault="002B1930">
      <w:pPr>
        <w:autoSpaceDE w:val="0"/>
        <w:spacing w:line="360" w:lineRule="auto"/>
        <w:jc w:val="both"/>
      </w:pPr>
      <w:r>
        <w:rPr>
          <w:color w:val="4C4747"/>
          <w:lang w:val="es-DO"/>
        </w:rPr>
        <w:t xml:space="preserve">En el mes de </w:t>
      </w:r>
      <w:r>
        <w:rPr>
          <w:bCs/>
          <w:color w:val="4C4747"/>
          <w:lang w:val="es-DO"/>
        </w:rPr>
        <w:t>julio</w:t>
      </w:r>
      <w:r>
        <w:rPr>
          <w:color w:val="4C4747"/>
          <w:lang w:val="es-DO"/>
        </w:rPr>
        <w:t>, se participó en un acto oficial organizado por la OGTIC, en</w:t>
      </w:r>
      <w:r>
        <w:rPr>
          <w:color w:val="4C4747"/>
          <w:lang w:val="es-DO"/>
        </w:rPr>
        <w:t xml:space="preserve"> el cual se recibieron las </w:t>
      </w:r>
      <w:r>
        <w:rPr>
          <w:bCs/>
          <w:color w:val="4C4747"/>
          <w:lang w:val="es-DO"/>
        </w:rPr>
        <w:t>versiones impresas de los certificados correspondientes a las recertificaciones</w:t>
      </w:r>
      <w:r>
        <w:rPr>
          <w:color w:val="4C4747"/>
          <w:lang w:val="es-DO"/>
        </w:rPr>
        <w:t xml:space="preserve"> en las normas </w:t>
      </w:r>
      <w:r>
        <w:rPr>
          <w:bCs/>
          <w:color w:val="4C4747"/>
          <w:lang w:val="es-DO"/>
        </w:rPr>
        <w:t>NORTIC E1, NORTIC A3, NORTIC A5, NORTIC A6 y NORTIC A7</w:t>
      </w:r>
      <w:r>
        <w:rPr>
          <w:color w:val="4C4747"/>
          <w:lang w:val="es-DO"/>
        </w:rPr>
        <w:t xml:space="preserve">, constituyéndose dicha entrega física en un </w:t>
      </w:r>
      <w:r>
        <w:rPr>
          <w:bCs/>
          <w:color w:val="4C4747"/>
          <w:lang w:val="es-DO"/>
        </w:rPr>
        <w:t>reconocimiento oficial al cumplimien</w:t>
      </w:r>
      <w:r>
        <w:rPr>
          <w:bCs/>
          <w:color w:val="4C4747"/>
          <w:lang w:val="es-DO"/>
        </w:rPr>
        <w:t>to de los estándares exigidos</w:t>
      </w:r>
      <w:r>
        <w:rPr>
          <w:color w:val="4C4747"/>
          <w:lang w:val="es-DO"/>
        </w:rPr>
        <w:t xml:space="preserve"> por cada normativa.</w:t>
      </w:r>
    </w:p>
    <w:p w:rsidR="00184CAB" w:rsidRDefault="00184CAB">
      <w:pPr>
        <w:autoSpaceDE w:val="0"/>
        <w:spacing w:line="360" w:lineRule="auto"/>
        <w:jc w:val="both"/>
      </w:pPr>
    </w:p>
    <w:p w:rsidR="00184CAB" w:rsidRDefault="002B1930">
      <w:pPr>
        <w:autoSpaceDE w:val="0"/>
        <w:spacing w:line="360" w:lineRule="auto"/>
        <w:jc w:val="both"/>
        <w:rPr>
          <w:b/>
          <w:color w:val="4B4747"/>
        </w:rPr>
      </w:pPr>
      <w:r>
        <w:rPr>
          <w:b/>
          <w:color w:val="4B4747"/>
        </w:rPr>
        <w:t xml:space="preserve">Desempeño del </w:t>
      </w:r>
      <w:proofErr w:type="spellStart"/>
      <w:r>
        <w:rPr>
          <w:b/>
          <w:color w:val="4B4747"/>
        </w:rPr>
        <w:t>ITICGe</w:t>
      </w:r>
      <w:proofErr w:type="spellEnd"/>
      <w:r>
        <w:rPr>
          <w:b/>
          <w:color w:val="4B4747"/>
        </w:rPr>
        <w:t xml:space="preserve"> en el año 2025:</w:t>
      </w:r>
    </w:p>
    <w:p w:rsidR="00184CAB" w:rsidRDefault="002B1930">
      <w:pPr>
        <w:autoSpaceDE w:val="0"/>
        <w:spacing w:line="360" w:lineRule="auto"/>
        <w:jc w:val="both"/>
        <w:rPr>
          <w:color w:val="4B4747"/>
          <w:lang w:val="es-ES"/>
        </w:rPr>
      </w:pPr>
      <w:r>
        <w:rPr>
          <w:color w:val="4B4747"/>
          <w:lang w:val="es-ES"/>
        </w:rPr>
        <w:t xml:space="preserve">Con relación al comportamiento de los indicadores monitoreados por la Oficina Gubernamental de Tecnologías de la información y Comunicaciones (OGTIC) a través del </w:t>
      </w:r>
      <w:r>
        <w:rPr>
          <w:color w:val="4B4747"/>
          <w:lang w:val="es-ES"/>
        </w:rPr>
        <w:t>Índice del Uso de TIC e Implementación de Gobierno Electrónico en el Estado Dominicano (</w:t>
      </w:r>
      <w:proofErr w:type="spellStart"/>
      <w:r>
        <w:rPr>
          <w:color w:val="4B4747"/>
          <w:lang w:val="es-ES"/>
        </w:rPr>
        <w:t>ITICge</w:t>
      </w:r>
      <w:proofErr w:type="spellEnd"/>
      <w:r>
        <w:rPr>
          <w:color w:val="4B4747"/>
          <w:lang w:val="es-ES"/>
        </w:rPr>
        <w:t xml:space="preserve">) durante el 2025, el MAPRE se mantuvo con poco avance a nivel de porcentajes, cerrando el año a diciembre 2025 con un 68.33%.  </w:t>
      </w:r>
    </w:p>
    <w:p w:rsidR="00184CAB" w:rsidRDefault="002B1930">
      <w:pPr>
        <w:autoSpaceDE w:val="0"/>
        <w:spacing w:line="360" w:lineRule="auto"/>
        <w:jc w:val="both"/>
        <w:rPr>
          <w:color w:val="4B4747"/>
          <w:lang w:val="es-ES"/>
        </w:rPr>
      </w:pPr>
      <w:r>
        <w:rPr>
          <w:color w:val="4B4747"/>
          <w:lang w:val="es-ES"/>
        </w:rPr>
        <w:t>A pesar de los esfuerzos realizad</w:t>
      </w:r>
      <w:r>
        <w:rPr>
          <w:color w:val="4B4747"/>
          <w:lang w:val="es-ES"/>
        </w:rPr>
        <w:t>os desde la Dirección de Transformación Digital para implementar y crear sistemas de gestión tecnológicas, hemos detectado oportunidades de mejora a nivel de creación y reportería de evidencias que puedan validar efectivamente las acciones realizadas, de m</w:t>
      </w:r>
      <w:r>
        <w:rPr>
          <w:color w:val="4B4747"/>
          <w:lang w:val="es-ES"/>
        </w:rPr>
        <w:t>anera que puedan ser medidas oportunamente a través de los indicadores externos (</w:t>
      </w:r>
      <w:proofErr w:type="spellStart"/>
      <w:r>
        <w:rPr>
          <w:color w:val="4B4747"/>
          <w:lang w:val="es-ES"/>
        </w:rPr>
        <w:t>ITICge</w:t>
      </w:r>
      <w:proofErr w:type="spellEnd"/>
      <w:r>
        <w:rPr>
          <w:color w:val="4B4747"/>
          <w:lang w:val="es-ES"/>
        </w:rPr>
        <w:t>).</w:t>
      </w:r>
    </w:p>
    <w:p w:rsidR="00184CAB" w:rsidRDefault="00184CAB">
      <w:pPr>
        <w:autoSpaceDE w:val="0"/>
        <w:spacing w:line="360" w:lineRule="auto"/>
        <w:jc w:val="both"/>
        <w:rPr>
          <w:color w:val="4B4747"/>
          <w:lang w:val="es-ES"/>
        </w:rPr>
      </w:pPr>
    </w:p>
    <w:tbl>
      <w:tblPr>
        <w:tblW w:w="7990" w:type="dxa"/>
        <w:tblCellMar>
          <w:left w:w="10" w:type="dxa"/>
          <w:right w:w="10" w:type="dxa"/>
        </w:tblCellMar>
        <w:tblLook w:val="0000" w:firstRow="0" w:lastRow="0" w:firstColumn="0" w:lastColumn="0" w:noHBand="0" w:noVBand="0"/>
      </w:tblPr>
      <w:tblGrid>
        <w:gridCol w:w="7990"/>
      </w:tblGrid>
      <w:tr w:rsidR="00184CAB">
        <w:tblPrEx>
          <w:tblCellMar>
            <w:top w:w="0" w:type="dxa"/>
            <w:bottom w:w="0" w:type="dxa"/>
          </w:tblCellMar>
        </w:tblPrEx>
        <w:trPr>
          <w:trHeight w:val="685"/>
        </w:trPr>
        <w:tc>
          <w:tcPr>
            <w:tcW w:w="7990"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line="360" w:lineRule="auto"/>
              <w:jc w:val="both"/>
            </w:pPr>
            <w:r>
              <w:rPr>
                <w:b/>
                <w:color w:val="FFFFFF"/>
                <w:sz w:val="19"/>
                <w:szCs w:val="19"/>
              </w:rPr>
              <w:lastRenderedPageBreak/>
              <w:t xml:space="preserve">Evidencia fotográfica – </w:t>
            </w:r>
            <w:proofErr w:type="spellStart"/>
            <w:r>
              <w:rPr>
                <w:b/>
                <w:bCs/>
                <w:color w:val="FFFFFF"/>
                <w:sz w:val="19"/>
                <w:szCs w:val="19"/>
                <w:lang w:val="es-DO"/>
              </w:rPr>
              <w:t>Dashboard</w:t>
            </w:r>
            <w:proofErr w:type="spellEnd"/>
            <w:r>
              <w:rPr>
                <w:b/>
                <w:bCs/>
                <w:color w:val="FFFFFF"/>
                <w:sz w:val="19"/>
                <w:szCs w:val="19"/>
                <w:lang w:val="es-DO"/>
              </w:rPr>
              <w:t xml:space="preserve"> Institucional de Monitoreo Gestión de la Calidad sobre el Índice - </w:t>
            </w:r>
            <w:proofErr w:type="spellStart"/>
            <w:r>
              <w:rPr>
                <w:b/>
                <w:bCs/>
                <w:color w:val="FFFFFF"/>
                <w:sz w:val="19"/>
                <w:szCs w:val="19"/>
                <w:lang w:val="es-DO"/>
              </w:rPr>
              <w:t>ITICge</w:t>
            </w:r>
            <w:proofErr w:type="spellEnd"/>
          </w:p>
        </w:tc>
      </w:tr>
      <w:tr w:rsidR="00184CAB">
        <w:tblPrEx>
          <w:tblCellMar>
            <w:top w:w="0" w:type="dxa"/>
            <w:bottom w:w="0" w:type="dxa"/>
          </w:tblCellMar>
        </w:tblPrEx>
        <w:trPr>
          <w:trHeight w:val="4848"/>
        </w:trPr>
        <w:tc>
          <w:tcPr>
            <w:tcW w:w="7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360" w:lineRule="auto"/>
              <w:jc w:val="center"/>
            </w:pPr>
            <w:r>
              <w:rPr>
                <w:noProof/>
                <w:sz w:val="19"/>
                <w:szCs w:val="19"/>
              </w:rPr>
              <w:drawing>
                <wp:anchor distT="0" distB="0" distL="114300" distR="114300" simplePos="0" relativeHeight="251683840" behindDoc="0" locked="0" layoutInCell="1" allowOverlap="1">
                  <wp:simplePos x="0" y="0"/>
                  <wp:positionH relativeFrom="column">
                    <wp:posOffset>822164</wp:posOffset>
                  </wp:positionH>
                  <wp:positionV relativeFrom="paragraph">
                    <wp:posOffset>493</wp:posOffset>
                  </wp:positionV>
                  <wp:extent cx="3275325" cy="2934967"/>
                  <wp:effectExtent l="0" t="0" r="1275" b="0"/>
                  <wp:wrapSquare wrapText="bothSides"/>
                  <wp:docPr id="58"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rcRect l="54900" t="31901"/>
                          <a:stretch>
                            <a:fillRect/>
                          </a:stretch>
                        </pic:blipFill>
                        <pic:spPr>
                          <a:xfrm>
                            <a:off x="0" y="0"/>
                            <a:ext cx="3275325" cy="2934967"/>
                          </a:xfrm>
                          <a:prstGeom prst="rect">
                            <a:avLst/>
                          </a:prstGeom>
                          <a:noFill/>
                          <a:ln>
                            <a:noFill/>
                            <a:prstDash/>
                          </a:ln>
                        </pic:spPr>
                      </pic:pic>
                    </a:graphicData>
                  </a:graphic>
                </wp:anchor>
              </w:drawing>
            </w:r>
          </w:p>
        </w:tc>
      </w:tr>
    </w:tbl>
    <w:p w:rsidR="00184CAB" w:rsidRDefault="002B1930">
      <w:pPr>
        <w:tabs>
          <w:tab w:val="left" w:pos="720"/>
        </w:tabs>
        <w:autoSpaceDE w:val="0"/>
        <w:spacing w:line="360" w:lineRule="auto"/>
        <w:jc w:val="both"/>
        <w:rPr>
          <w:i/>
          <w:color w:val="4C4747"/>
          <w:sz w:val="18"/>
          <w:szCs w:val="18"/>
        </w:rPr>
      </w:pPr>
      <w:r>
        <w:rPr>
          <w:i/>
          <w:color w:val="4C4747"/>
          <w:sz w:val="18"/>
          <w:szCs w:val="18"/>
        </w:rPr>
        <w:t xml:space="preserve">Fuente: Informe correspondiente al periodo anual </w:t>
      </w:r>
      <w:r>
        <w:rPr>
          <w:i/>
          <w:color w:val="4C4747"/>
          <w:sz w:val="18"/>
          <w:szCs w:val="18"/>
        </w:rPr>
        <w:t>2025, División de Calidad en la Gestión, Dirección de Planificación y Desarrollo.</w:t>
      </w:r>
    </w:p>
    <w:p w:rsidR="00184CAB" w:rsidRDefault="00184CAB">
      <w:pPr>
        <w:tabs>
          <w:tab w:val="left" w:pos="720"/>
        </w:tabs>
        <w:autoSpaceDE w:val="0"/>
        <w:spacing w:line="360" w:lineRule="auto"/>
        <w:jc w:val="both"/>
        <w:rPr>
          <w:i/>
          <w:color w:val="4C4747"/>
        </w:rPr>
      </w:pPr>
    </w:p>
    <w:tbl>
      <w:tblPr>
        <w:tblW w:w="8076" w:type="dxa"/>
        <w:tblCellMar>
          <w:left w:w="10" w:type="dxa"/>
          <w:right w:w="10" w:type="dxa"/>
        </w:tblCellMar>
        <w:tblLook w:val="0000" w:firstRow="0" w:lastRow="0" w:firstColumn="0" w:lastColumn="0" w:noHBand="0" w:noVBand="0"/>
      </w:tblPr>
      <w:tblGrid>
        <w:gridCol w:w="8136"/>
      </w:tblGrid>
      <w:tr w:rsidR="00184CAB">
        <w:tblPrEx>
          <w:tblCellMar>
            <w:top w:w="0" w:type="dxa"/>
            <w:bottom w:w="0" w:type="dxa"/>
          </w:tblCellMar>
        </w:tblPrEx>
        <w:trPr>
          <w:trHeight w:val="335"/>
        </w:trPr>
        <w:tc>
          <w:tcPr>
            <w:tcW w:w="8136"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line="360" w:lineRule="auto"/>
              <w:jc w:val="both"/>
            </w:pPr>
            <w:r>
              <w:rPr>
                <w:b/>
                <w:color w:val="FFFFFF"/>
                <w:sz w:val="19"/>
                <w:szCs w:val="19"/>
              </w:rPr>
              <w:t xml:space="preserve">Evidencia fotográfica – </w:t>
            </w:r>
            <w:proofErr w:type="spellStart"/>
            <w:r>
              <w:rPr>
                <w:b/>
                <w:bCs/>
                <w:color w:val="FFFFFF"/>
                <w:sz w:val="19"/>
                <w:szCs w:val="19"/>
                <w:lang w:val="es-DO"/>
              </w:rPr>
              <w:t>Dashboard</w:t>
            </w:r>
            <w:proofErr w:type="spellEnd"/>
            <w:r>
              <w:rPr>
                <w:b/>
                <w:bCs/>
                <w:color w:val="FFFFFF"/>
                <w:sz w:val="19"/>
                <w:szCs w:val="19"/>
                <w:lang w:val="es-DO"/>
              </w:rPr>
              <w:t xml:space="preserve"> Institucional de Monitoreo Gestión de la Calidad sobre el Índice - </w:t>
            </w:r>
            <w:proofErr w:type="spellStart"/>
            <w:r>
              <w:rPr>
                <w:b/>
                <w:bCs/>
                <w:color w:val="FFFFFF"/>
                <w:sz w:val="19"/>
                <w:szCs w:val="19"/>
                <w:lang w:val="es-DO"/>
              </w:rPr>
              <w:t>ITICge</w:t>
            </w:r>
            <w:proofErr w:type="spellEnd"/>
          </w:p>
        </w:tc>
      </w:tr>
      <w:tr w:rsidR="00184CAB">
        <w:tblPrEx>
          <w:tblCellMar>
            <w:top w:w="0" w:type="dxa"/>
            <w:bottom w:w="0" w:type="dxa"/>
          </w:tblCellMar>
        </w:tblPrEx>
        <w:trPr>
          <w:trHeight w:val="2136"/>
        </w:trPr>
        <w:tc>
          <w:tcPr>
            <w:tcW w:w="8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360" w:lineRule="auto"/>
              <w:jc w:val="center"/>
            </w:pPr>
            <w:r>
              <w:rPr>
                <w:noProof/>
                <w:sz w:val="19"/>
                <w:szCs w:val="19"/>
              </w:rPr>
              <w:drawing>
                <wp:inline distT="0" distB="0" distL="0" distR="0">
                  <wp:extent cx="5020357" cy="1538121"/>
                  <wp:effectExtent l="0" t="0" r="8843" b="4929"/>
                  <wp:docPr id="59" name="Imagen 7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rcRect l="978" t="38375" r="46049" b="729"/>
                          <a:stretch>
                            <a:fillRect/>
                          </a:stretch>
                        </pic:blipFill>
                        <pic:spPr>
                          <a:xfrm>
                            <a:off x="0" y="0"/>
                            <a:ext cx="5020357" cy="1538121"/>
                          </a:xfrm>
                          <a:prstGeom prst="rect">
                            <a:avLst/>
                          </a:prstGeom>
                          <a:noFill/>
                          <a:ln>
                            <a:noFill/>
                            <a:prstDash/>
                          </a:ln>
                        </pic:spPr>
                      </pic:pic>
                    </a:graphicData>
                  </a:graphic>
                </wp:inline>
              </w:drawing>
            </w:r>
          </w:p>
        </w:tc>
      </w:tr>
    </w:tbl>
    <w:p w:rsidR="00184CAB" w:rsidRDefault="002B1930">
      <w:pPr>
        <w:tabs>
          <w:tab w:val="left" w:pos="720"/>
        </w:tabs>
        <w:autoSpaceDE w:val="0"/>
        <w:spacing w:line="360" w:lineRule="auto"/>
        <w:jc w:val="both"/>
        <w:rPr>
          <w:i/>
          <w:color w:val="4C4747"/>
          <w:sz w:val="18"/>
          <w:szCs w:val="18"/>
        </w:rPr>
      </w:pPr>
      <w:r>
        <w:rPr>
          <w:i/>
          <w:color w:val="4C4747"/>
          <w:sz w:val="18"/>
          <w:szCs w:val="18"/>
        </w:rPr>
        <w:t>Fuente: Informe correspondiente al periodo anual 2025, Divisi</w:t>
      </w:r>
      <w:r>
        <w:rPr>
          <w:i/>
          <w:color w:val="4C4747"/>
          <w:sz w:val="18"/>
          <w:szCs w:val="18"/>
        </w:rPr>
        <w:t>ón de Calidad en la Gestión, Dirección de Planificación y Desarrollo.</w:t>
      </w:r>
    </w:p>
    <w:p w:rsidR="00184CAB" w:rsidRDefault="00184CAB">
      <w:pPr>
        <w:tabs>
          <w:tab w:val="left" w:pos="720"/>
        </w:tabs>
        <w:autoSpaceDE w:val="0"/>
        <w:spacing w:line="360" w:lineRule="auto"/>
        <w:jc w:val="both"/>
        <w:rPr>
          <w:i/>
          <w:color w:val="4C4747"/>
          <w:sz w:val="18"/>
          <w:szCs w:val="18"/>
        </w:rPr>
      </w:pPr>
    </w:p>
    <w:p w:rsidR="00184CAB" w:rsidRDefault="00184CAB">
      <w:pPr>
        <w:tabs>
          <w:tab w:val="left" w:pos="720"/>
        </w:tabs>
        <w:autoSpaceDE w:val="0"/>
        <w:spacing w:line="360" w:lineRule="auto"/>
        <w:jc w:val="both"/>
        <w:rPr>
          <w:i/>
          <w:color w:val="4C4747"/>
          <w:sz w:val="18"/>
          <w:szCs w:val="18"/>
        </w:rPr>
      </w:pPr>
    </w:p>
    <w:p w:rsidR="00184CAB" w:rsidRDefault="00184CAB">
      <w:pPr>
        <w:tabs>
          <w:tab w:val="left" w:pos="720"/>
        </w:tabs>
        <w:autoSpaceDE w:val="0"/>
        <w:spacing w:line="360" w:lineRule="auto"/>
        <w:jc w:val="both"/>
        <w:rPr>
          <w:i/>
          <w:color w:val="4C4747"/>
          <w:sz w:val="18"/>
          <w:szCs w:val="18"/>
        </w:rPr>
      </w:pPr>
    </w:p>
    <w:tbl>
      <w:tblPr>
        <w:tblW w:w="7856" w:type="dxa"/>
        <w:tblCellMar>
          <w:left w:w="10" w:type="dxa"/>
          <w:right w:w="10" w:type="dxa"/>
        </w:tblCellMar>
        <w:tblLook w:val="0000" w:firstRow="0" w:lastRow="0" w:firstColumn="0" w:lastColumn="0" w:noHBand="0" w:noVBand="0"/>
      </w:tblPr>
      <w:tblGrid>
        <w:gridCol w:w="7856"/>
      </w:tblGrid>
      <w:tr w:rsidR="00184CAB">
        <w:tblPrEx>
          <w:tblCellMar>
            <w:top w:w="0" w:type="dxa"/>
            <w:bottom w:w="0" w:type="dxa"/>
          </w:tblCellMar>
        </w:tblPrEx>
        <w:trPr>
          <w:trHeight w:val="573"/>
        </w:trPr>
        <w:tc>
          <w:tcPr>
            <w:tcW w:w="7856"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line="360" w:lineRule="auto"/>
              <w:jc w:val="both"/>
            </w:pPr>
            <w:r>
              <w:rPr>
                <w:b/>
                <w:color w:val="FFFFFF"/>
                <w:sz w:val="19"/>
                <w:szCs w:val="19"/>
              </w:rPr>
              <w:lastRenderedPageBreak/>
              <w:t xml:space="preserve">Evidencia fotográfica – </w:t>
            </w:r>
            <w:proofErr w:type="spellStart"/>
            <w:r>
              <w:rPr>
                <w:b/>
                <w:bCs/>
                <w:color w:val="FFFFFF"/>
                <w:sz w:val="19"/>
                <w:szCs w:val="19"/>
                <w:lang w:val="es-DO"/>
              </w:rPr>
              <w:t>Dashboard</w:t>
            </w:r>
            <w:proofErr w:type="spellEnd"/>
            <w:r>
              <w:rPr>
                <w:b/>
                <w:bCs/>
                <w:color w:val="FFFFFF"/>
                <w:sz w:val="19"/>
                <w:szCs w:val="19"/>
                <w:lang w:val="es-DO"/>
              </w:rPr>
              <w:t xml:space="preserve"> Institucional de Monitoreo Gestión de la Calidad sobre el Índice - </w:t>
            </w:r>
            <w:proofErr w:type="spellStart"/>
            <w:r>
              <w:rPr>
                <w:b/>
                <w:bCs/>
                <w:color w:val="FFFFFF"/>
                <w:sz w:val="19"/>
                <w:szCs w:val="19"/>
                <w:lang w:val="es-DO"/>
              </w:rPr>
              <w:t>ITICge</w:t>
            </w:r>
            <w:proofErr w:type="spellEnd"/>
          </w:p>
        </w:tc>
      </w:tr>
      <w:tr w:rsidR="00184CAB">
        <w:tblPrEx>
          <w:tblCellMar>
            <w:top w:w="0" w:type="dxa"/>
            <w:bottom w:w="0" w:type="dxa"/>
          </w:tblCellMar>
        </w:tblPrEx>
        <w:trPr>
          <w:trHeight w:val="2736"/>
        </w:trPr>
        <w:tc>
          <w:tcPr>
            <w:tcW w:w="7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360" w:lineRule="auto"/>
            </w:pPr>
            <w:r>
              <w:rPr>
                <w:noProof/>
                <w:sz w:val="19"/>
                <w:szCs w:val="19"/>
              </w:rPr>
              <w:drawing>
                <wp:anchor distT="0" distB="0" distL="114300" distR="114300" simplePos="0" relativeHeight="251684864" behindDoc="0" locked="0" layoutInCell="1" allowOverlap="1">
                  <wp:simplePos x="0" y="0"/>
                  <wp:positionH relativeFrom="column">
                    <wp:posOffset>226057</wp:posOffset>
                  </wp:positionH>
                  <wp:positionV relativeFrom="page">
                    <wp:posOffset>11430</wp:posOffset>
                  </wp:positionV>
                  <wp:extent cx="4434840" cy="2854327"/>
                  <wp:effectExtent l="0" t="0" r="0" b="0"/>
                  <wp:wrapSquare wrapText="bothSides"/>
                  <wp:docPr id="60" name="Imagen 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rcRect l="-1034" t="-1776" r="-2914" b="-2536"/>
                          <a:stretch>
                            <a:fillRect/>
                          </a:stretch>
                        </pic:blipFill>
                        <pic:spPr>
                          <a:xfrm>
                            <a:off x="0" y="0"/>
                            <a:ext cx="4434840" cy="2854327"/>
                          </a:xfrm>
                          <a:prstGeom prst="rect">
                            <a:avLst/>
                          </a:prstGeom>
                          <a:noFill/>
                          <a:ln>
                            <a:noFill/>
                            <a:prstDash/>
                          </a:ln>
                        </pic:spPr>
                      </pic:pic>
                    </a:graphicData>
                  </a:graphic>
                </wp:anchor>
              </w:drawing>
            </w:r>
          </w:p>
        </w:tc>
      </w:tr>
    </w:tbl>
    <w:p w:rsidR="00184CAB" w:rsidRDefault="002B1930">
      <w:pPr>
        <w:autoSpaceDE w:val="0"/>
        <w:spacing w:line="360" w:lineRule="auto"/>
        <w:jc w:val="both"/>
        <w:rPr>
          <w:i/>
          <w:color w:val="4B4747"/>
          <w:sz w:val="18"/>
          <w:szCs w:val="18"/>
        </w:rPr>
      </w:pPr>
      <w:r>
        <w:rPr>
          <w:i/>
          <w:color w:val="4B4747"/>
          <w:sz w:val="18"/>
          <w:szCs w:val="18"/>
        </w:rPr>
        <w:t xml:space="preserve">Fuente: Informe correspondiente al periodo anual 2025, División de </w:t>
      </w:r>
      <w:r>
        <w:rPr>
          <w:i/>
          <w:color w:val="4B4747"/>
          <w:sz w:val="18"/>
          <w:szCs w:val="18"/>
        </w:rPr>
        <w:t>Calidad en la Gestión, Dirección de Planificación y Desarrollo.</w:t>
      </w:r>
    </w:p>
    <w:p w:rsidR="00184CAB" w:rsidRDefault="002B1930">
      <w:pPr>
        <w:autoSpaceDE w:val="0"/>
        <w:spacing w:line="360" w:lineRule="auto"/>
        <w:jc w:val="both"/>
      </w:pPr>
      <w:r>
        <w:rPr>
          <w:color w:val="4B4747"/>
          <w:lang w:val="es-DO"/>
        </w:rPr>
        <w:t>Como parte de las acciones de mejora, actualmente se trabaja en un plan de acción para ejecutar las siguientes líneas de trabajo:</w:t>
      </w:r>
    </w:p>
    <w:p w:rsidR="00184CAB" w:rsidRDefault="002B1930">
      <w:pPr>
        <w:numPr>
          <w:ilvl w:val="0"/>
          <w:numId w:val="32"/>
        </w:numPr>
        <w:autoSpaceDE w:val="0"/>
        <w:spacing w:line="360" w:lineRule="auto"/>
        <w:jc w:val="both"/>
      </w:pPr>
      <w:r>
        <w:rPr>
          <w:bCs/>
          <w:color w:val="4B4747"/>
          <w:lang w:val="es-DO"/>
        </w:rPr>
        <w:t>El llenado del nuevo formulario ITICGE 2025.</w:t>
      </w:r>
    </w:p>
    <w:p w:rsidR="00184CAB" w:rsidRDefault="002B1930">
      <w:pPr>
        <w:numPr>
          <w:ilvl w:val="0"/>
          <w:numId w:val="32"/>
        </w:numPr>
        <w:autoSpaceDE w:val="0"/>
        <w:spacing w:line="360" w:lineRule="auto"/>
        <w:jc w:val="both"/>
      </w:pPr>
      <w:r>
        <w:rPr>
          <w:bCs/>
          <w:color w:val="4B4747"/>
          <w:lang w:val="es-DO"/>
        </w:rPr>
        <w:t xml:space="preserve">Consolidación de </w:t>
      </w:r>
      <w:r>
        <w:rPr>
          <w:bCs/>
          <w:color w:val="4B4747"/>
          <w:lang w:val="es-DO"/>
        </w:rPr>
        <w:t>la documentación y evidencias institucionales.</w:t>
      </w:r>
    </w:p>
    <w:p w:rsidR="00184CAB" w:rsidRDefault="002B1930">
      <w:pPr>
        <w:numPr>
          <w:ilvl w:val="0"/>
          <w:numId w:val="32"/>
        </w:numPr>
        <w:autoSpaceDE w:val="0"/>
        <w:spacing w:line="360" w:lineRule="auto"/>
        <w:jc w:val="both"/>
      </w:pPr>
      <w:r>
        <w:rPr>
          <w:bCs/>
          <w:color w:val="4B4747"/>
          <w:lang w:val="es-DO"/>
        </w:rPr>
        <w:t>Coordinación interáreas para garantizar consistencia y trazabilidad de la información.</w:t>
      </w:r>
    </w:p>
    <w:p w:rsidR="00184CAB" w:rsidRDefault="002B1930">
      <w:pPr>
        <w:numPr>
          <w:ilvl w:val="0"/>
          <w:numId w:val="32"/>
        </w:numPr>
        <w:autoSpaceDE w:val="0"/>
        <w:spacing w:line="360" w:lineRule="auto"/>
        <w:jc w:val="both"/>
      </w:pPr>
      <w:r>
        <w:rPr>
          <w:bCs/>
          <w:color w:val="4B4747"/>
          <w:lang w:val="es-DO"/>
        </w:rPr>
        <w:t>Recopilación de insumos técnicos vinculados a seguridad, infraestructura, interoperabilidad y automatización.</w:t>
      </w:r>
    </w:p>
    <w:p w:rsidR="00184CAB" w:rsidRDefault="002B1930">
      <w:pPr>
        <w:numPr>
          <w:ilvl w:val="0"/>
          <w:numId w:val="32"/>
        </w:numPr>
        <w:autoSpaceDE w:val="0"/>
        <w:spacing w:line="360" w:lineRule="auto"/>
        <w:jc w:val="both"/>
      </w:pPr>
      <w:r>
        <w:rPr>
          <w:bCs/>
          <w:color w:val="4B4747"/>
          <w:lang w:val="es-DO"/>
        </w:rPr>
        <w:t>Alineación d</w:t>
      </w:r>
      <w:r>
        <w:rPr>
          <w:bCs/>
          <w:color w:val="4B4747"/>
          <w:lang w:val="es-DO"/>
        </w:rPr>
        <w:t>e procesos digitales a los nuevos criterios de evaluación.</w:t>
      </w:r>
    </w:p>
    <w:p w:rsidR="00184CAB" w:rsidRDefault="00184CAB">
      <w:pPr>
        <w:autoSpaceDE w:val="0"/>
        <w:spacing w:line="360" w:lineRule="auto"/>
        <w:ind w:left="720"/>
        <w:jc w:val="both"/>
      </w:pPr>
    </w:p>
    <w:p w:rsidR="00184CAB" w:rsidRDefault="002B1930">
      <w:pPr>
        <w:autoSpaceDE w:val="0"/>
        <w:spacing w:line="360" w:lineRule="auto"/>
        <w:jc w:val="both"/>
        <w:rPr>
          <w:b/>
          <w:color w:val="4B4747"/>
        </w:rPr>
      </w:pPr>
      <w:r>
        <w:rPr>
          <w:b/>
          <w:color w:val="4B4747"/>
        </w:rPr>
        <w:lastRenderedPageBreak/>
        <w:t>Proyecciones para cierre de año:</w:t>
      </w:r>
    </w:p>
    <w:p w:rsidR="00184CAB" w:rsidRDefault="002B1930">
      <w:pPr>
        <w:autoSpaceDE w:val="0"/>
        <w:spacing w:line="360" w:lineRule="auto"/>
        <w:jc w:val="both"/>
        <w:rPr>
          <w:color w:val="4B4747"/>
          <w:lang w:val="es-DO"/>
        </w:rPr>
      </w:pPr>
      <w:r>
        <w:rPr>
          <w:color w:val="4B4747"/>
          <w:lang w:val="es-DO"/>
        </w:rPr>
        <w:t>El proceso de carga de información y remisión final del formulario se completará al cierre del año 2025, conforme a los plazos establecidos por la OGTIC. La evalua</w:t>
      </w:r>
      <w:r>
        <w:rPr>
          <w:color w:val="4B4747"/>
          <w:lang w:val="es-DO"/>
        </w:rPr>
        <w:t>ción oficial será realizada a inicios del año 2026.</w:t>
      </w:r>
    </w:p>
    <w:p w:rsidR="00184CAB" w:rsidRDefault="002B1930">
      <w:pPr>
        <w:autoSpaceDE w:val="0"/>
        <w:spacing w:line="360" w:lineRule="auto"/>
        <w:jc w:val="both"/>
      </w:pPr>
      <w:r>
        <w:rPr>
          <w:color w:val="4B4747"/>
          <w:lang w:val="es-DO"/>
        </w:rPr>
        <w:t xml:space="preserve">Dado que la evaluación ITICGE no se realiza de manera interna, sino mediante validación externa posterior, </w:t>
      </w:r>
      <w:r>
        <w:rPr>
          <w:bCs/>
          <w:color w:val="4B4747"/>
          <w:lang w:val="es-DO"/>
        </w:rPr>
        <w:t>no corresponde asignar una puntuación proyectada</w:t>
      </w:r>
      <w:r>
        <w:rPr>
          <w:color w:val="4B4747"/>
          <w:lang w:val="es-DO"/>
        </w:rPr>
        <w:t xml:space="preserve">. Sin embargo, sí se pueden identificar logros y </w:t>
      </w:r>
      <w:r>
        <w:rPr>
          <w:color w:val="4B4747"/>
          <w:lang w:val="es-DO"/>
        </w:rPr>
        <w:t>avances que fortalecen la posición institucional de cara a la calificación 2026:</w:t>
      </w:r>
    </w:p>
    <w:p w:rsidR="00184CAB" w:rsidRDefault="002B1930">
      <w:pPr>
        <w:numPr>
          <w:ilvl w:val="0"/>
          <w:numId w:val="33"/>
        </w:numPr>
        <w:autoSpaceDE w:val="0"/>
        <w:spacing w:line="360" w:lineRule="auto"/>
        <w:jc w:val="both"/>
        <w:rPr>
          <w:color w:val="4B4747"/>
          <w:lang w:val="es-DO"/>
        </w:rPr>
      </w:pPr>
      <w:r>
        <w:rPr>
          <w:color w:val="4B4747"/>
          <w:lang w:val="es-DO"/>
        </w:rPr>
        <w:t>Aumento del nivel de digitalización documental y flujo interno.</w:t>
      </w:r>
    </w:p>
    <w:p w:rsidR="00184CAB" w:rsidRDefault="002B1930">
      <w:pPr>
        <w:numPr>
          <w:ilvl w:val="0"/>
          <w:numId w:val="33"/>
        </w:numPr>
        <w:autoSpaceDE w:val="0"/>
        <w:spacing w:line="360" w:lineRule="auto"/>
        <w:jc w:val="both"/>
        <w:rPr>
          <w:color w:val="4B4747"/>
          <w:lang w:val="es-DO"/>
        </w:rPr>
      </w:pPr>
      <w:r>
        <w:rPr>
          <w:color w:val="4B4747"/>
          <w:lang w:val="es-DO"/>
        </w:rPr>
        <w:t>Sistematicidad en la generación de evidencias requeridas por el marco normativo.</w:t>
      </w:r>
    </w:p>
    <w:p w:rsidR="00184CAB" w:rsidRDefault="002B1930">
      <w:pPr>
        <w:numPr>
          <w:ilvl w:val="0"/>
          <w:numId w:val="33"/>
        </w:numPr>
        <w:autoSpaceDE w:val="0"/>
        <w:spacing w:line="360" w:lineRule="auto"/>
        <w:jc w:val="both"/>
        <w:rPr>
          <w:color w:val="4B4747"/>
          <w:lang w:val="es-DO"/>
        </w:rPr>
      </w:pPr>
      <w:r>
        <w:rPr>
          <w:color w:val="4B4747"/>
          <w:lang w:val="es-DO"/>
        </w:rPr>
        <w:t>Mejora en la disponibilidad de</w:t>
      </w:r>
      <w:r>
        <w:rPr>
          <w:color w:val="4B4747"/>
          <w:lang w:val="es-DO"/>
        </w:rPr>
        <w:t xml:space="preserve"> plataformas y servicios digitales.</w:t>
      </w:r>
    </w:p>
    <w:p w:rsidR="00184CAB" w:rsidRDefault="002B1930">
      <w:pPr>
        <w:numPr>
          <w:ilvl w:val="0"/>
          <w:numId w:val="33"/>
        </w:numPr>
        <w:autoSpaceDE w:val="0"/>
        <w:spacing w:line="360" w:lineRule="auto"/>
        <w:jc w:val="both"/>
        <w:rPr>
          <w:color w:val="4B4747"/>
          <w:lang w:val="es-DO"/>
        </w:rPr>
      </w:pPr>
      <w:r>
        <w:rPr>
          <w:color w:val="4B4747"/>
          <w:lang w:val="es-DO"/>
        </w:rPr>
        <w:t>Incremento en la gobernanza tecnológica y la articulación interdepartamental.</w:t>
      </w:r>
    </w:p>
    <w:p w:rsidR="00184CAB" w:rsidRDefault="002B1930">
      <w:pPr>
        <w:numPr>
          <w:ilvl w:val="0"/>
          <w:numId w:val="33"/>
        </w:numPr>
        <w:autoSpaceDE w:val="0"/>
        <w:spacing w:line="360" w:lineRule="auto"/>
        <w:jc w:val="both"/>
        <w:rPr>
          <w:color w:val="4B4747"/>
          <w:lang w:val="es-DO"/>
        </w:rPr>
      </w:pPr>
      <w:r>
        <w:rPr>
          <w:color w:val="4B4747"/>
          <w:lang w:val="es-DO"/>
        </w:rPr>
        <w:t>Mayor nivel de cumplimiento en seguridad informática y respaldo de la información.</w:t>
      </w:r>
    </w:p>
    <w:p w:rsidR="00184CAB" w:rsidRDefault="00184CAB">
      <w:pPr>
        <w:autoSpaceDE w:val="0"/>
        <w:spacing w:line="360" w:lineRule="auto"/>
        <w:jc w:val="both"/>
        <w:rPr>
          <w:color w:val="00B0F0"/>
          <w:lang w:val="es-DO"/>
        </w:rPr>
      </w:pPr>
    </w:p>
    <w:p w:rsidR="00184CAB" w:rsidRDefault="00184CAB">
      <w:pPr>
        <w:autoSpaceDE w:val="0"/>
        <w:spacing w:line="360" w:lineRule="auto"/>
        <w:jc w:val="both"/>
        <w:rPr>
          <w:color w:val="00B0F0"/>
          <w:lang w:val="es-DO"/>
        </w:rPr>
      </w:pPr>
    </w:p>
    <w:p w:rsidR="00184CAB" w:rsidRDefault="00184CAB">
      <w:pPr>
        <w:autoSpaceDE w:val="0"/>
        <w:spacing w:line="360" w:lineRule="auto"/>
        <w:jc w:val="both"/>
        <w:rPr>
          <w:color w:val="00B0F0"/>
          <w:lang w:val="es-DO"/>
        </w:rPr>
      </w:pPr>
    </w:p>
    <w:p w:rsidR="00184CAB" w:rsidRDefault="00184CAB">
      <w:pPr>
        <w:autoSpaceDE w:val="0"/>
        <w:spacing w:line="360" w:lineRule="auto"/>
        <w:jc w:val="both"/>
        <w:rPr>
          <w:color w:val="00B0F0"/>
          <w:lang w:val="es-DO"/>
        </w:rPr>
      </w:pPr>
    </w:p>
    <w:p w:rsidR="00184CAB" w:rsidRDefault="002B1930">
      <w:pPr>
        <w:pStyle w:val="Ttulo2"/>
        <w:numPr>
          <w:ilvl w:val="1"/>
          <w:numId w:val="23"/>
        </w:numPr>
        <w:spacing w:line="360" w:lineRule="auto"/>
        <w:rPr>
          <w:rFonts w:eastAsia="Calibri"/>
          <w:b/>
          <w:color w:val="4C4747"/>
          <w:szCs w:val="24"/>
        </w:rPr>
      </w:pPr>
      <w:bookmarkStart w:id="122" w:name="_Toc217043964"/>
      <w:bookmarkStart w:id="123" w:name="_Toc217907934"/>
      <w:bookmarkStart w:id="124" w:name="_Toc217914434"/>
      <w:r>
        <w:rPr>
          <w:rFonts w:eastAsia="Calibri"/>
          <w:b/>
          <w:color w:val="4C4747"/>
          <w:szCs w:val="24"/>
        </w:rPr>
        <w:lastRenderedPageBreak/>
        <w:t>Desempeño de la Dirección de Planificación y Desarrollo</w:t>
      </w:r>
      <w:r>
        <w:rPr>
          <w:rFonts w:eastAsia="Calibri"/>
          <w:b/>
          <w:color w:val="4C4747"/>
          <w:szCs w:val="24"/>
        </w:rPr>
        <w:t xml:space="preserve"> Institucional</w:t>
      </w:r>
      <w:bookmarkEnd w:id="122"/>
      <w:bookmarkEnd w:id="123"/>
      <w:bookmarkEnd w:id="124"/>
    </w:p>
    <w:p w:rsidR="00184CAB" w:rsidRDefault="00184CAB">
      <w:pPr>
        <w:spacing w:line="360" w:lineRule="auto"/>
        <w:rPr>
          <w:color w:val="4C4747"/>
        </w:rPr>
      </w:pPr>
    </w:p>
    <w:p w:rsidR="00184CAB" w:rsidRDefault="002B1930">
      <w:pPr>
        <w:spacing w:line="360" w:lineRule="auto"/>
        <w:jc w:val="both"/>
      </w:pPr>
      <w:r>
        <w:rPr>
          <w:color w:val="4C4747"/>
          <w:lang w:val="es-ES"/>
        </w:rPr>
        <w:t>En cumplimiento con la ley no. 498-06 de Planificación e Inversión Pública, y las normativas competentes</w:t>
      </w:r>
      <w:r>
        <w:rPr>
          <w:b/>
          <w:color w:val="4C4747"/>
          <w:lang w:val="es-ES"/>
        </w:rPr>
        <w:t xml:space="preserve">, </w:t>
      </w:r>
      <w:r>
        <w:rPr>
          <w:color w:val="4C4747"/>
          <w:lang w:val="es-ES"/>
        </w:rPr>
        <w:t xml:space="preserve">fue llevado a cabo el proceso de formulación, actualización, seguimiento y evaluación de los proyectos de la institución, gestionando </w:t>
      </w:r>
      <w:r>
        <w:rPr>
          <w:color w:val="4C4747"/>
          <w:lang w:val="es-ES"/>
        </w:rPr>
        <w:t>su financiamiento y su vinculación con la formulación del presupuesto. Fue agotado el proceso de monitoreo y evaluación trimestral del Plan Operativo Anual (POA), obteniendo como resultado un cumplimiento promedio de 96% hasta el tercer trimestre del prese</w:t>
      </w:r>
      <w:r>
        <w:rPr>
          <w:color w:val="4C4747"/>
          <w:lang w:val="es-ES"/>
        </w:rPr>
        <w:t>nte año.</w:t>
      </w:r>
    </w:p>
    <w:p w:rsidR="00184CAB" w:rsidRDefault="002B1930">
      <w:pPr>
        <w:spacing w:line="360" w:lineRule="auto"/>
        <w:jc w:val="both"/>
      </w:pPr>
      <w:r>
        <w:rPr>
          <w:b/>
          <w:color w:val="4C4747"/>
        </w:rPr>
        <w:t>Resultados de los Sistemas de Planes, Programas y Proyectos.</w:t>
      </w:r>
    </w:p>
    <w:p w:rsidR="00184CAB" w:rsidRDefault="002B1930">
      <w:pPr>
        <w:spacing w:line="360" w:lineRule="auto"/>
        <w:jc w:val="both"/>
      </w:pPr>
      <w:r>
        <w:rPr>
          <w:color w:val="4C4747"/>
        </w:rPr>
        <w:t xml:space="preserve">Con el objetivo de coordinar el monitoreo y evaluación del cumplimiento de los planes, programas y proyectos, la División de Formulación, Monitoreo y Evaluación de Planes, Programas y </w:t>
      </w:r>
      <w:r>
        <w:rPr>
          <w:color w:val="4C4747"/>
        </w:rPr>
        <w:t xml:space="preserve">Proyectos, durante el año 2025, llevo a cabo los siguientes procesos: </w:t>
      </w:r>
    </w:p>
    <w:p w:rsidR="00184CAB" w:rsidRDefault="002B1930">
      <w:pPr>
        <w:spacing w:line="360" w:lineRule="auto"/>
        <w:jc w:val="both"/>
      </w:pPr>
      <w:r>
        <w:rPr>
          <w:b/>
          <w:color w:val="4B4747"/>
        </w:rPr>
        <w:t xml:space="preserve">Plan Operativo Anual (POA). </w:t>
      </w:r>
      <w:r>
        <w:rPr>
          <w:color w:val="4B4747"/>
        </w:rPr>
        <w:t xml:space="preserve">El POA institucional es el instrumento orientador de la gestión, mediante el cual se operativizan los objetivos estratégicos de la institución. </w:t>
      </w:r>
    </w:p>
    <w:p w:rsidR="00184CAB" w:rsidRDefault="002B1930">
      <w:pPr>
        <w:spacing w:line="360" w:lineRule="auto"/>
        <w:jc w:val="both"/>
      </w:pPr>
      <w:r>
        <w:rPr>
          <w:color w:val="4B4747"/>
        </w:rPr>
        <w:t>A continuaci</w:t>
      </w:r>
      <w:r>
        <w:rPr>
          <w:color w:val="4B4747"/>
        </w:rPr>
        <w:t>ón, se muestran los resultados obtenidos durante el año 2025 al cierre del tercer trimestre:</w:t>
      </w:r>
    </w:p>
    <w:tbl>
      <w:tblPr>
        <w:tblW w:w="7900" w:type="dxa"/>
        <w:tblCellMar>
          <w:left w:w="10" w:type="dxa"/>
          <w:right w:w="10" w:type="dxa"/>
        </w:tblCellMar>
        <w:tblLook w:val="0000" w:firstRow="0" w:lastRow="0" w:firstColumn="0" w:lastColumn="0" w:noHBand="0" w:noVBand="0"/>
      </w:tblPr>
      <w:tblGrid>
        <w:gridCol w:w="3950"/>
        <w:gridCol w:w="3950"/>
      </w:tblGrid>
      <w:tr w:rsidR="00184CAB">
        <w:tblPrEx>
          <w:tblCellMar>
            <w:top w:w="0" w:type="dxa"/>
            <w:bottom w:w="0" w:type="dxa"/>
          </w:tblCellMar>
        </w:tblPrEx>
        <w:tc>
          <w:tcPr>
            <w:tcW w:w="7900" w:type="dxa"/>
            <w:gridSpan w:val="2"/>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bCs/>
                <w:color w:val="FFFFFF"/>
                <w:sz w:val="19"/>
                <w:szCs w:val="19"/>
              </w:rPr>
            </w:pPr>
            <w:r>
              <w:rPr>
                <w:b/>
                <w:bCs/>
                <w:color w:val="FFFFFF"/>
                <w:sz w:val="19"/>
                <w:szCs w:val="19"/>
              </w:rPr>
              <w:t>Tabla no. 30 de Resultados Trimestrales de ejecución de la Planificación Operativa Anual durante el periodo anual 2025</w:t>
            </w:r>
          </w:p>
        </w:tc>
      </w:tr>
      <w:tr w:rsidR="00184CAB">
        <w:tblPrEx>
          <w:tblCellMar>
            <w:top w:w="0" w:type="dxa"/>
            <w:bottom w:w="0" w:type="dxa"/>
          </w:tblCellMar>
        </w:tblPrEx>
        <w:tc>
          <w:tcPr>
            <w:tcW w:w="395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both"/>
              <w:rPr>
                <w:b/>
                <w:bCs/>
                <w:color w:val="FFFFFF"/>
                <w:sz w:val="19"/>
                <w:szCs w:val="19"/>
              </w:rPr>
            </w:pPr>
            <w:r>
              <w:rPr>
                <w:b/>
                <w:bCs/>
                <w:color w:val="FFFFFF"/>
                <w:sz w:val="19"/>
                <w:szCs w:val="19"/>
              </w:rPr>
              <w:t>Trimestre</w:t>
            </w:r>
          </w:p>
        </w:tc>
        <w:tc>
          <w:tcPr>
            <w:tcW w:w="395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both"/>
              <w:rPr>
                <w:b/>
                <w:color w:val="FFFFFF"/>
                <w:sz w:val="19"/>
                <w:szCs w:val="19"/>
              </w:rPr>
            </w:pPr>
            <w:r>
              <w:rPr>
                <w:b/>
                <w:color w:val="FFFFFF"/>
                <w:sz w:val="19"/>
                <w:szCs w:val="19"/>
              </w:rPr>
              <w:t>Calificación</w:t>
            </w:r>
          </w:p>
        </w:tc>
      </w:tr>
      <w:tr w:rsidR="00184CAB">
        <w:tblPrEx>
          <w:tblCellMar>
            <w:top w:w="0" w:type="dxa"/>
            <w:bottom w:w="0" w:type="dxa"/>
          </w:tblCellMar>
        </w:tblPrEx>
        <w:tc>
          <w:tcPr>
            <w:tcW w:w="39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spacing w:after="0" w:line="240" w:lineRule="auto"/>
              <w:jc w:val="both"/>
              <w:rPr>
                <w:bCs/>
                <w:color w:val="4C4747"/>
                <w:sz w:val="19"/>
                <w:szCs w:val="19"/>
              </w:rPr>
            </w:pPr>
            <w:r>
              <w:rPr>
                <w:bCs/>
                <w:color w:val="4C4747"/>
                <w:sz w:val="19"/>
                <w:szCs w:val="19"/>
              </w:rPr>
              <w:t>1er. Trimestre</w:t>
            </w:r>
          </w:p>
        </w:tc>
        <w:tc>
          <w:tcPr>
            <w:tcW w:w="39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spacing w:after="0" w:line="240" w:lineRule="auto"/>
              <w:jc w:val="both"/>
            </w:pPr>
            <w:r>
              <w:rPr>
                <w:color w:val="4C4747"/>
                <w:sz w:val="19"/>
                <w:szCs w:val="19"/>
              </w:rPr>
              <w:t>95%</w:t>
            </w:r>
          </w:p>
        </w:tc>
      </w:tr>
      <w:tr w:rsidR="00184CAB">
        <w:tblPrEx>
          <w:tblCellMar>
            <w:top w:w="0" w:type="dxa"/>
            <w:bottom w:w="0" w:type="dxa"/>
          </w:tblCellMar>
        </w:tblPrEx>
        <w:tc>
          <w:tcPr>
            <w:tcW w:w="3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84CAB" w:rsidRDefault="002B1930">
            <w:pPr>
              <w:spacing w:after="0" w:line="240" w:lineRule="auto"/>
              <w:jc w:val="both"/>
              <w:rPr>
                <w:bCs/>
                <w:color w:val="4C4747"/>
                <w:sz w:val="19"/>
                <w:szCs w:val="19"/>
              </w:rPr>
            </w:pPr>
            <w:r>
              <w:rPr>
                <w:bCs/>
                <w:color w:val="4C4747"/>
                <w:sz w:val="19"/>
                <w:szCs w:val="19"/>
              </w:rPr>
              <w:t>2do. Trimestre</w:t>
            </w:r>
          </w:p>
        </w:tc>
        <w:tc>
          <w:tcPr>
            <w:tcW w:w="3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84CAB" w:rsidRDefault="002B1930">
            <w:pPr>
              <w:spacing w:after="0" w:line="240" w:lineRule="auto"/>
              <w:jc w:val="both"/>
            </w:pPr>
            <w:r>
              <w:rPr>
                <w:color w:val="4C4747"/>
                <w:sz w:val="19"/>
                <w:szCs w:val="19"/>
              </w:rPr>
              <w:t>97%</w:t>
            </w:r>
          </w:p>
        </w:tc>
      </w:tr>
      <w:tr w:rsidR="00184CAB">
        <w:tblPrEx>
          <w:tblCellMar>
            <w:top w:w="0" w:type="dxa"/>
            <w:bottom w:w="0" w:type="dxa"/>
          </w:tblCellMar>
        </w:tblPrEx>
        <w:tc>
          <w:tcPr>
            <w:tcW w:w="39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spacing w:after="0" w:line="240" w:lineRule="auto"/>
              <w:jc w:val="both"/>
              <w:rPr>
                <w:bCs/>
                <w:color w:val="4C4747"/>
                <w:sz w:val="19"/>
                <w:szCs w:val="19"/>
              </w:rPr>
            </w:pPr>
            <w:r>
              <w:rPr>
                <w:bCs/>
                <w:color w:val="4C4747"/>
                <w:sz w:val="19"/>
                <w:szCs w:val="19"/>
              </w:rPr>
              <w:t>3er. Trimestre</w:t>
            </w:r>
          </w:p>
        </w:tc>
        <w:tc>
          <w:tcPr>
            <w:tcW w:w="39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84CAB" w:rsidRDefault="002B1930">
            <w:pPr>
              <w:spacing w:after="0" w:line="240" w:lineRule="auto"/>
              <w:jc w:val="both"/>
            </w:pPr>
            <w:r>
              <w:rPr>
                <w:color w:val="4C4747"/>
                <w:sz w:val="19"/>
                <w:szCs w:val="19"/>
              </w:rPr>
              <w:t>96%</w:t>
            </w:r>
          </w:p>
        </w:tc>
      </w:tr>
      <w:tr w:rsidR="00184CAB">
        <w:tblPrEx>
          <w:tblCellMar>
            <w:top w:w="0" w:type="dxa"/>
            <w:bottom w:w="0" w:type="dxa"/>
          </w:tblCellMar>
        </w:tblPrEx>
        <w:tc>
          <w:tcPr>
            <w:tcW w:w="395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both"/>
              <w:rPr>
                <w:b/>
                <w:bCs/>
                <w:color w:val="FFFFFF"/>
                <w:sz w:val="19"/>
                <w:szCs w:val="19"/>
              </w:rPr>
            </w:pPr>
            <w:r>
              <w:rPr>
                <w:b/>
                <w:bCs/>
                <w:color w:val="FFFFFF"/>
                <w:sz w:val="19"/>
                <w:szCs w:val="19"/>
              </w:rPr>
              <w:t>Ponderación general</w:t>
            </w:r>
          </w:p>
        </w:tc>
        <w:tc>
          <w:tcPr>
            <w:tcW w:w="395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both"/>
              <w:rPr>
                <w:color w:val="FFFFFF"/>
                <w:sz w:val="19"/>
                <w:szCs w:val="19"/>
              </w:rPr>
            </w:pPr>
            <w:r>
              <w:rPr>
                <w:color w:val="FFFFFF"/>
                <w:sz w:val="19"/>
                <w:szCs w:val="19"/>
              </w:rPr>
              <w:t>96%</w:t>
            </w:r>
          </w:p>
        </w:tc>
      </w:tr>
    </w:tbl>
    <w:p w:rsidR="00184CAB" w:rsidRDefault="002B1930">
      <w:pPr>
        <w:spacing w:line="240" w:lineRule="auto"/>
        <w:jc w:val="both"/>
        <w:rPr>
          <w:i/>
          <w:color w:val="4C4747"/>
          <w:sz w:val="18"/>
          <w:szCs w:val="18"/>
        </w:rPr>
      </w:pPr>
      <w:r>
        <w:rPr>
          <w:i/>
          <w:color w:val="4C4747"/>
          <w:sz w:val="18"/>
          <w:szCs w:val="18"/>
        </w:rPr>
        <w:t>Fuente: Informe anual correspondiente al periodo anual 2025, Dirección de Planificación y Desarrollo.</w:t>
      </w:r>
    </w:p>
    <w:p w:rsidR="00184CAB" w:rsidRDefault="00184CAB">
      <w:pPr>
        <w:spacing w:line="360" w:lineRule="auto"/>
        <w:jc w:val="both"/>
        <w:rPr>
          <w:b/>
          <w:color w:val="4C4747"/>
        </w:rPr>
      </w:pPr>
    </w:p>
    <w:p w:rsidR="00184CAB" w:rsidRDefault="002B1930">
      <w:pPr>
        <w:spacing w:line="360" w:lineRule="auto"/>
        <w:jc w:val="both"/>
      </w:pPr>
      <w:r>
        <w:rPr>
          <w:b/>
          <w:color w:val="4C4747"/>
        </w:rPr>
        <w:lastRenderedPageBreak/>
        <w:t>Plan Anual de Compras y Contrataciones (PACC).</w:t>
      </w:r>
      <w:r>
        <w:rPr>
          <w:color w:val="4C4747"/>
        </w:rPr>
        <w:t xml:space="preserve"> Es un instrumento de gestión, </w:t>
      </w:r>
      <w:r>
        <w:rPr>
          <w:color w:val="4C4747"/>
        </w:rPr>
        <w:t xml:space="preserve">indispensable para que la institución pueda contratar bienes, servicios y obras, durante el año fiscal, orientados al cumplimiento de las metas y objetivos contenido en el Plan Operativo, es por esto, que la División de Formulación, Monitoreo y Evaluación </w:t>
      </w:r>
      <w:r>
        <w:rPr>
          <w:color w:val="4C4747"/>
        </w:rPr>
        <w:t>de Planes, Programas y Proyectos, llevo a cabo el plan de actividades con las participación activa de todas las áreas, para el proceso de elaboración PACC 2026, levantado y consolidado para su digitación en el Portal de DGCP.</w:t>
      </w:r>
    </w:p>
    <w:p w:rsidR="00184CAB" w:rsidRDefault="002B1930">
      <w:pPr>
        <w:spacing w:line="360" w:lineRule="auto"/>
        <w:jc w:val="both"/>
      </w:pPr>
      <w:r>
        <w:rPr>
          <w:b/>
          <w:color w:val="4C4747"/>
        </w:rPr>
        <w:t>Plan Estratégico Institucional</w:t>
      </w:r>
      <w:r>
        <w:rPr>
          <w:b/>
          <w:color w:val="4C4747"/>
        </w:rPr>
        <w:t xml:space="preserve"> (PEI). </w:t>
      </w:r>
      <w:r>
        <w:rPr>
          <w:color w:val="4C4747"/>
        </w:rPr>
        <w:t>Es un instrumento de planificación a mediano plazo (4 años) que define la ruta para la consecución de las metas y objetivos de la institución, a través de la realización de determinadas tareas que conllevan un conglomerado de acciones y que direcci</w:t>
      </w:r>
      <w:r>
        <w:rPr>
          <w:color w:val="4C4747"/>
        </w:rPr>
        <w:t>onan a todos los actores al cumplimiento de los objetivos estratégicos definidos en el mismo.</w:t>
      </w:r>
    </w:p>
    <w:p w:rsidR="00184CAB" w:rsidRDefault="002B1930">
      <w:pPr>
        <w:spacing w:line="360" w:lineRule="auto"/>
        <w:jc w:val="both"/>
      </w:pPr>
      <w:r>
        <w:rPr>
          <w:color w:val="4C4747"/>
        </w:rPr>
        <w:t>Con el objetivo de difundir y dar a conocer nuestro actual PEI 2025-2028, La Dirección de Planificación y Desarrollo, a través de su división de Planes, Programas</w:t>
      </w:r>
      <w:r>
        <w:rPr>
          <w:color w:val="4C4747"/>
        </w:rPr>
        <w:t xml:space="preserve"> y Proyectos, llevó a cabo el programa </w:t>
      </w:r>
      <w:r>
        <w:rPr>
          <w:b/>
          <w:color w:val="4C4747"/>
        </w:rPr>
        <w:t xml:space="preserve">“Yo Soy MAPRE”, </w:t>
      </w:r>
      <w:r>
        <w:rPr>
          <w:color w:val="4C4747"/>
        </w:rPr>
        <w:t>como pieza clave para fortalecer el sentido de pertenencia, promover nuestra identidad institucional y afianzar la cultura organizacional entre los colaboradores del Ministerio Administrativo de la Pre</w:t>
      </w:r>
      <w:r>
        <w:rPr>
          <w:color w:val="4C4747"/>
        </w:rPr>
        <w:t>sidencia (MAPRE). Dentro de las acciones de este programa, una de las más relevantes fue la actividad interna de sensibilización, formación e identificación de los valores institucionales.</w:t>
      </w:r>
    </w:p>
    <w:p w:rsidR="00184CAB" w:rsidRDefault="002B1930">
      <w:pPr>
        <w:spacing w:line="360" w:lineRule="auto"/>
        <w:jc w:val="both"/>
        <w:rPr>
          <w:color w:val="4C4747"/>
        </w:rPr>
      </w:pPr>
      <w:r>
        <w:rPr>
          <w:color w:val="4C4747"/>
        </w:rPr>
        <w:t>Durante esta actividad, cada colaborador tuvo la oportunidad de ide</w:t>
      </w:r>
      <w:r>
        <w:rPr>
          <w:color w:val="4C4747"/>
        </w:rPr>
        <w:t>ntificar y seleccionar el valor con el que más se sentía representado.</w:t>
      </w:r>
    </w:p>
    <w:p w:rsidR="00184CAB" w:rsidRDefault="00184CAB">
      <w:pPr>
        <w:spacing w:line="360" w:lineRule="auto"/>
        <w:jc w:val="both"/>
        <w:rPr>
          <w:color w:val="4C4747"/>
        </w:rPr>
      </w:pPr>
    </w:p>
    <w:p w:rsidR="00184CAB" w:rsidRDefault="00184CAB">
      <w:pPr>
        <w:spacing w:line="360" w:lineRule="auto"/>
        <w:jc w:val="both"/>
        <w:rPr>
          <w:color w:val="4C4747"/>
        </w:rPr>
      </w:pPr>
    </w:p>
    <w:p w:rsidR="00184CAB" w:rsidRDefault="002B1930">
      <w:pPr>
        <w:spacing w:line="360" w:lineRule="auto"/>
        <w:jc w:val="both"/>
      </w:pPr>
      <w:r>
        <w:rPr>
          <w:b/>
          <w:color w:val="4C4747"/>
        </w:rPr>
        <w:t>Creación de Boletín Informativo MAPRE</w:t>
      </w:r>
      <w:r>
        <w:rPr>
          <w:color w:val="4C4747"/>
        </w:rPr>
        <w:t xml:space="preserve"> Durante este año, la Dirección de Planificación y Desarrollo trabajó en la creación del primer Boletín Informativo Institucional MAPRE a través d</w:t>
      </w:r>
      <w:r>
        <w:rPr>
          <w:color w:val="4C4747"/>
        </w:rPr>
        <w:t>el cual buscamos resaltar los principales logros del ministerio durante la gestión de nuestro ministro Sr. Andrés Bautista de manera que sea un instrumento fácil y asequible de obtener datos sobre las ejecutorias realizadas durante esta gestión.</w:t>
      </w:r>
    </w:p>
    <w:p w:rsidR="00184CAB" w:rsidRDefault="002B1930">
      <w:pPr>
        <w:spacing w:line="360" w:lineRule="auto"/>
        <w:jc w:val="both"/>
      </w:pPr>
      <w:r>
        <w:rPr>
          <w:b/>
          <w:color w:val="4C4747"/>
        </w:rPr>
        <w:t>Recopilaci</w:t>
      </w:r>
      <w:r>
        <w:rPr>
          <w:b/>
          <w:color w:val="4C4747"/>
        </w:rPr>
        <w:t>ón de Datos de Estadísticos.</w:t>
      </w:r>
      <w:r>
        <w:rPr>
          <w:color w:val="4C4747"/>
        </w:rPr>
        <w:t xml:space="preserve"> La División de Planes, Programas y Proyectos realizó el ejercicio de identificación y recolección de datos estadísticos referentes a los servicios y productos ofrecidos por las distintas unidades que conforman este ministerio. </w:t>
      </w:r>
      <w:r>
        <w:rPr>
          <w:color w:val="4C4747"/>
        </w:rPr>
        <w:t xml:space="preserve">Es importante destacar </w:t>
      </w:r>
      <w:proofErr w:type="gramStart"/>
      <w:r>
        <w:rPr>
          <w:color w:val="4C4747"/>
        </w:rPr>
        <w:t>que</w:t>
      </w:r>
      <w:proofErr w:type="gramEnd"/>
      <w:r>
        <w:rPr>
          <w:color w:val="4C4747"/>
        </w:rPr>
        <w:t xml:space="preserve"> por primera vez, en el MAPRE se realiza este ejercicio, lo cual permitirá contar con una base datos confiable para la posterior toma de decisiones institucionales.</w:t>
      </w:r>
    </w:p>
    <w:p w:rsidR="00184CAB" w:rsidRDefault="00184CAB">
      <w:pPr>
        <w:spacing w:line="360" w:lineRule="auto"/>
        <w:jc w:val="both"/>
        <w:rPr>
          <w:b/>
          <w:color w:val="4C4747"/>
        </w:rPr>
      </w:pPr>
    </w:p>
    <w:p w:rsidR="00184CAB" w:rsidRDefault="002B1930">
      <w:pPr>
        <w:spacing w:line="360" w:lineRule="auto"/>
        <w:jc w:val="both"/>
        <w:rPr>
          <w:b/>
          <w:color w:val="4C4747"/>
        </w:rPr>
      </w:pPr>
      <w:r>
        <w:rPr>
          <w:b/>
          <w:color w:val="4C4747"/>
        </w:rPr>
        <w:t xml:space="preserve">Resultados de los Sistemas de Calidad en la Gestión. </w:t>
      </w:r>
    </w:p>
    <w:p w:rsidR="00184CAB" w:rsidRDefault="002B1930">
      <w:pPr>
        <w:spacing w:line="360" w:lineRule="auto"/>
        <w:jc w:val="both"/>
        <w:rPr>
          <w:color w:val="4C4747"/>
        </w:rPr>
      </w:pPr>
      <w:r>
        <w:rPr>
          <w:color w:val="4C4747"/>
        </w:rPr>
        <w:t xml:space="preserve">Con la </w:t>
      </w:r>
      <w:r>
        <w:rPr>
          <w:color w:val="4C4747"/>
        </w:rPr>
        <w:t>finalidad de promover, coordinar y asegurar la implementación de modelos, sistemas y/o normas de gestión de calidad en la organización, la División de Calidad en la Gestión realizo las siguientes acciones:</w:t>
      </w:r>
    </w:p>
    <w:p w:rsidR="00184CAB" w:rsidRDefault="002B1930">
      <w:pPr>
        <w:spacing w:line="360" w:lineRule="auto"/>
        <w:jc w:val="both"/>
      </w:pPr>
      <w:r>
        <w:rPr>
          <w:b/>
          <w:color w:val="4C4747"/>
        </w:rPr>
        <w:t xml:space="preserve">Indicadores de Gestión Pública: </w:t>
      </w:r>
      <w:r>
        <w:rPr>
          <w:color w:val="4C4747"/>
        </w:rPr>
        <w:t>El impacto de la D</w:t>
      </w:r>
      <w:r>
        <w:rPr>
          <w:color w:val="4C4747"/>
        </w:rPr>
        <w:t xml:space="preserve">ivisión de Calidad trascendió los límites del control interno, inyectando eficiencia en la medición del desempeño general del ministerio. La adopción de metodologías de vanguardia fue clave, destacándose la implementación de la </w:t>
      </w:r>
      <w:r>
        <w:rPr>
          <w:bCs/>
          <w:color w:val="4C4747"/>
        </w:rPr>
        <w:t>Evaluación del Desempeño Ins</w:t>
      </w:r>
      <w:r>
        <w:rPr>
          <w:bCs/>
          <w:color w:val="4C4747"/>
        </w:rPr>
        <w:t>titucional (EDI)</w:t>
      </w:r>
      <w:r>
        <w:rPr>
          <w:color w:val="4C4747"/>
        </w:rPr>
        <w:t xml:space="preserve">. Los resultados fueron inmediatos y contundentes, el índice de desempeño se incrementó de un </w:t>
      </w:r>
      <w:r>
        <w:rPr>
          <w:b/>
          <w:color w:val="4C4747"/>
        </w:rPr>
        <w:t>64.12%</w:t>
      </w:r>
      <w:r>
        <w:rPr>
          <w:color w:val="4C4747"/>
        </w:rPr>
        <w:t xml:space="preserve"> a un </w:t>
      </w:r>
      <w:r>
        <w:rPr>
          <w:b/>
          <w:bCs/>
          <w:color w:val="4C4747"/>
        </w:rPr>
        <w:t>77.47%</w:t>
      </w:r>
      <w:r>
        <w:rPr>
          <w:color w:val="4C4747"/>
        </w:rPr>
        <w:t xml:space="preserve"> en octubre de </w:t>
      </w:r>
      <w:r>
        <w:rPr>
          <w:color w:val="4C4747"/>
        </w:rPr>
        <w:lastRenderedPageBreak/>
        <w:t xml:space="preserve">2025, lo que representó un aumento de </w:t>
      </w:r>
      <w:r>
        <w:rPr>
          <w:bCs/>
          <w:color w:val="4C4747"/>
        </w:rPr>
        <w:t>13.35 puntos porcentuales</w:t>
      </w:r>
      <w:r>
        <w:rPr>
          <w:color w:val="4C4747"/>
        </w:rPr>
        <w:t xml:space="preserve">. </w:t>
      </w:r>
    </w:p>
    <w:p w:rsidR="00184CAB" w:rsidRDefault="002B1930">
      <w:pPr>
        <w:spacing w:line="360" w:lineRule="auto"/>
        <w:jc w:val="both"/>
      </w:pPr>
      <w:r>
        <w:rPr>
          <w:color w:val="4C4747"/>
        </w:rPr>
        <w:t xml:space="preserve">Este salto se magnificó en noviembre, donde la </w:t>
      </w:r>
      <w:r>
        <w:rPr>
          <w:bCs/>
          <w:color w:val="4C4747"/>
        </w:rPr>
        <w:t>Evaluación del Desempeño Institucional (EDI)</w:t>
      </w:r>
      <w:r>
        <w:rPr>
          <w:color w:val="4C4747"/>
        </w:rPr>
        <w:t xml:space="preserve"> mostró un crecimiento porcentual del </w:t>
      </w:r>
      <w:r>
        <w:rPr>
          <w:b/>
          <w:bCs/>
          <w:color w:val="4C4747"/>
        </w:rPr>
        <w:t>17.5%</w:t>
      </w:r>
      <w:r>
        <w:rPr>
          <w:b/>
          <w:color w:val="4C4747"/>
        </w:rPr>
        <w:t>,</w:t>
      </w:r>
      <w:r>
        <w:rPr>
          <w:color w:val="4C4747"/>
        </w:rPr>
        <w:t xml:space="preserve"> y el </w:t>
      </w:r>
      <w:r>
        <w:rPr>
          <w:bCs/>
          <w:color w:val="4C4747"/>
        </w:rPr>
        <w:t>Índice de Desarrollo Institucional (IDI)</w:t>
      </w:r>
      <w:r>
        <w:rPr>
          <w:color w:val="4C4747"/>
        </w:rPr>
        <w:t xml:space="preserve"> se elevó de </w:t>
      </w:r>
      <w:r>
        <w:rPr>
          <w:bCs/>
          <w:color w:val="4C4747"/>
        </w:rPr>
        <w:t>76.14% a 81.95%</w:t>
      </w:r>
      <w:r>
        <w:rPr>
          <w:color w:val="4C4747"/>
        </w:rPr>
        <w:t>. Estos indicadores, monitoreados de manera continua, reflejaron la efectividad de las mejoras</w:t>
      </w:r>
      <w:r>
        <w:rPr>
          <w:color w:val="4C4747"/>
        </w:rPr>
        <w:t xml:space="preserve"> en procesos.</w:t>
      </w:r>
    </w:p>
    <w:tbl>
      <w:tblPr>
        <w:tblW w:w="7900" w:type="dxa"/>
        <w:tblCellMar>
          <w:left w:w="10" w:type="dxa"/>
          <w:right w:w="10" w:type="dxa"/>
        </w:tblCellMar>
        <w:tblLook w:val="0000" w:firstRow="0" w:lastRow="0" w:firstColumn="0" w:lastColumn="0" w:noHBand="0" w:noVBand="0"/>
      </w:tblPr>
      <w:tblGrid>
        <w:gridCol w:w="4248"/>
        <w:gridCol w:w="3652"/>
      </w:tblGrid>
      <w:tr w:rsidR="00184CAB">
        <w:tblPrEx>
          <w:tblCellMar>
            <w:top w:w="0" w:type="dxa"/>
            <w:bottom w:w="0" w:type="dxa"/>
          </w:tblCellMar>
        </w:tblPrEx>
        <w:trPr>
          <w:tblHeader/>
        </w:trPr>
        <w:tc>
          <w:tcPr>
            <w:tcW w:w="7900" w:type="dxa"/>
            <w:gridSpan w:val="2"/>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bCs/>
                <w:color w:val="FFFFFF"/>
                <w:sz w:val="19"/>
                <w:szCs w:val="19"/>
              </w:rPr>
            </w:pPr>
            <w:r>
              <w:rPr>
                <w:b/>
                <w:bCs/>
                <w:color w:val="FFFFFF"/>
                <w:sz w:val="19"/>
                <w:szCs w:val="19"/>
              </w:rPr>
              <w:t>Tabla No. 31 de Resultados de Indicadores de Gestión Pública periodo anual 2025</w:t>
            </w:r>
          </w:p>
        </w:tc>
      </w:tr>
      <w:tr w:rsidR="00184CAB">
        <w:tblPrEx>
          <w:tblCellMar>
            <w:top w:w="0" w:type="dxa"/>
            <w:bottom w:w="0" w:type="dxa"/>
          </w:tblCellMar>
        </w:tblPrEx>
        <w:trPr>
          <w:tblHeader/>
        </w:trPr>
        <w:tc>
          <w:tcPr>
            <w:tcW w:w="424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bCs/>
                <w:color w:val="FFFFFF"/>
                <w:sz w:val="19"/>
                <w:szCs w:val="19"/>
              </w:rPr>
            </w:pPr>
            <w:r>
              <w:rPr>
                <w:b/>
                <w:bCs/>
                <w:color w:val="FFFFFF"/>
                <w:sz w:val="19"/>
                <w:szCs w:val="19"/>
              </w:rPr>
              <w:t>Indicadores</w:t>
            </w:r>
          </w:p>
        </w:tc>
        <w:tc>
          <w:tcPr>
            <w:tcW w:w="3652"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bCs/>
                <w:color w:val="FFFFFF"/>
                <w:sz w:val="19"/>
                <w:szCs w:val="19"/>
              </w:rPr>
            </w:pPr>
            <w:r>
              <w:rPr>
                <w:b/>
                <w:bCs/>
                <w:color w:val="FFFFFF"/>
                <w:sz w:val="19"/>
                <w:szCs w:val="19"/>
              </w:rPr>
              <w:t>Ponderación</w:t>
            </w:r>
          </w:p>
        </w:tc>
      </w:tr>
      <w:tr w:rsidR="00184CAB">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84CAB" w:rsidRDefault="002B1930">
            <w:pPr>
              <w:spacing w:line="240" w:lineRule="auto"/>
              <w:jc w:val="center"/>
              <w:rPr>
                <w:bCs/>
                <w:color w:val="4C4747"/>
                <w:sz w:val="19"/>
                <w:szCs w:val="19"/>
              </w:rPr>
            </w:pPr>
            <w:r>
              <w:rPr>
                <w:bCs/>
                <w:color w:val="4C4747"/>
                <w:sz w:val="19"/>
                <w:szCs w:val="19"/>
              </w:rPr>
              <w:t>SISMAP</w:t>
            </w:r>
          </w:p>
        </w:tc>
        <w:tc>
          <w:tcPr>
            <w:tcW w:w="3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84CAB" w:rsidRDefault="002B1930">
            <w:pPr>
              <w:spacing w:line="240" w:lineRule="auto"/>
              <w:jc w:val="center"/>
              <w:rPr>
                <w:color w:val="4C4747"/>
                <w:sz w:val="19"/>
                <w:szCs w:val="19"/>
              </w:rPr>
            </w:pPr>
            <w:r>
              <w:rPr>
                <w:color w:val="4C4747"/>
                <w:sz w:val="19"/>
                <w:szCs w:val="19"/>
              </w:rPr>
              <w:t>86.19%</w:t>
            </w:r>
          </w:p>
        </w:tc>
      </w:tr>
      <w:tr w:rsidR="00184CAB">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84CAB" w:rsidRDefault="002B1930">
            <w:pPr>
              <w:spacing w:line="240" w:lineRule="auto"/>
              <w:jc w:val="center"/>
              <w:rPr>
                <w:bCs/>
                <w:color w:val="4C4747"/>
                <w:sz w:val="19"/>
                <w:szCs w:val="19"/>
              </w:rPr>
            </w:pPr>
            <w:r>
              <w:rPr>
                <w:bCs/>
                <w:color w:val="4C4747"/>
                <w:sz w:val="19"/>
                <w:szCs w:val="19"/>
              </w:rPr>
              <w:t>IDI</w:t>
            </w:r>
          </w:p>
        </w:tc>
        <w:tc>
          <w:tcPr>
            <w:tcW w:w="3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84CAB" w:rsidRDefault="002B1930">
            <w:pPr>
              <w:spacing w:line="240" w:lineRule="auto"/>
              <w:jc w:val="center"/>
              <w:rPr>
                <w:color w:val="4C4747"/>
                <w:sz w:val="19"/>
                <w:szCs w:val="19"/>
              </w:rPr>
            </w:pPr>
            <w:r>
              <w:rPr>
                <w:color w:val="4C4747"/>
                <w:sz w:val="19"/>
                <w:szCs w:val="19"/>
              </w:rPr>
              <w:t>83.09%</w:t>
            </w:r>
          </w:p>
        </w:tc>
      </w:tr>
      <w:tr w:rsidR="00184CAB">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84CAB" w:rsidRDefault="002B1930">
            <w:pPr>
              <w:spacing w:line="240" w:lineRule="auto"/>
              <w:jc w:val="center"/>
              <w:rPr>
                <w:bCs/>
                <w:color w:val="4C4747"/>
                <w:sz w:val="19"/>
                <w:szCs w:val="19"/>
              </w:rPr>
            </w:pPr>
            <w:r>
              <w:rPr>
                <w:bCs/>
                <w:color w:val="4C4747"/>
                <w:sz w:val="19"/>
                <w:szCs w:val="19"/>
              </w:rPr>
              <w:t>ITICGE</w:t>
            </w:r>
          </w:p>
        </w:tc>
        <w:tc>
          <w:tcPr>
            <w:tcW w:w="3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84CAB" w:rsidRDefault="002B1930">
            <w:pPr>
              <w:spacing w:line="240" w:lineRule="auto"/>
              <w:jc w:val="center"/>
              <w:rPr>
                <w:color w:val="4C4747"/>
                <w:sz w:val="19"/>
                <w:szCs w:val="19"/>
              </w:rPr>
            </w:pPr>
            <w:r>
              <w:rPr>
                <w:color w:val="4C4747"/>
                <w:sz w:val="19"/>
                <w:szCs w:val="19"/>
              </w:rPr>
              <w:t>68.33%</w:t>
            </w:r>
          </w:p>
        </w:tc>
      </w:tr>
      <w:tr w:rsidR="00184CAB">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84CAB" w:rsidRDefault="002B1930">
            <w:pPr>
              <w:spacing w:line="240" w:lineRule="auto"/>
              <w:jc w:val="center"/>
              <w:rPr>
                <w:bCs/>
                <w:color w:val="4C4747"/>
                <w:sz w:val="19"/>
                <w:szCs w:val="19"/>
              </w:rPr>
            </w:pPr>
            <w:r>
              <w:rPr>
                <w:bCs/>
                <w:color w:val="4C4747"/>
                <w:sz w:val="19"/>
                <w:szCs w:val="19"/>
              </w:rPr>
              <w:t>SISCOMPRAS</w:t>
            </w:r>
          </w:p>
        </w:tc>
        <w:tc>
          <w:tcPr>
            <w:tcW w:w="3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84CAB" w:rsidRDefault="002B1930">
            <w:pPr>
              <w:spacing w:line="240" w:lineRule="auto"/>
              <w:jc w:val="center"/>
              <w:rPr>
                <w:color w:val="4C4747"/>
                <w:sz w:val="19"/>
                <w:szCs w:val="19"/>
              </w:rPr>
            </w:pPr>
            <w:r>
              <w:rPr>
                <w:color w:val="4C4747"/>
                <w:sz w:val="19"/>
                <w:szCs w:val="19"/>
              </w:rPr>
              <w:t>85.39%</w:t>
            </w:r>
          </w:p>
        </w:tc>
      </w:tr>
      <w:tr w:rsidR="00184CAB">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84CAB" w:rsidRDefault="002B1930">
            <w:pPr>
              <w:spacing w:line="240" w:lineRule="auto"/>
              <w:jc w:val="center"/>
              <w:rPr>
                <w:bCs/>
                <w:color w:val="4C4747"/>
                <w:sz w:val="19"/>
                <w:szCs w:val="19"/>
              </w:rPr>
            </w:pPr>
            <w:r>
              <w:rPr>
                <w:bCs/>
                <w:color w:val="4C4747"/>
                <w:sz w:val="19"/>
                <w:szCs w:val="19"/>
              </w:rPr>
              <w:t>NOBACI</w:t>
            </w:r>
          </w:p>
        </w:tc>
        <w:tc>
          <w:tcPr>
            <w:tcW w:w="3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84CAB" w:rsidRDefault="002B1930">
            <w:pPr>
              <w:spacing w:line="240" w:lineRule="auto"/>
              <w:jc w:val="center"/>
              <w:rPr>
                <w:color w:val="4C4747"/>
                <w:sz w:val="19"/>
                <w:szCs w:val="19"/>
              </w:rPr>
            </w:pPr>
            <w:r>
              <w:rPr>
                <w:color w:val="4C4747"/>
                <w:sz w:val="19"/>
                <w:szCs w:val="19"/>
              </w:rPr>
              <w:t>93.32%</w:t>
            </w:r>
          </w:p>
        </w:tc>
      </w:tr>
      <w:tr w:rsidR="00184CAB">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84CAB" w:rsidRDefault="002B1930">
            <w:pPr>
              <w:spacing w:line="240" w:lineRule="auto"/>
              <w:jc w:val="center"/>
              <w:rPr>
                <w:bCs/>
                <w:color w:val="4C4747"/>
                <w:sz w:val="19"/>
                <w:szCs w:val="19"/>
              </w:rPr>
            </w:pPr>
            <w:r>
              <w:rPr>
                <w:bCs/>
                <w:color w:val="4C4747"/>
                <w:sz w:val="19"/>
                <w:szCs w:val="19"/>
              </w:rPr>
              <w:t>SAIP</w:t>
            </w:r>
          </w:p>
        </w:tc>
        <w:tc>
          <w:tcPr>
            <w:tcW w:w="3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84CAB" w:rsidRDefault="002B1930">
            <w:pPr>
              <w:spacing w:line="240" w:lineRule="auto"/>
              <w:jc w:val="center"/>
              <w:rPr>
                <w:color w:val="4C4747"/>
                <w:sz w:val="19"/>
                <w:szCs w:val="19"/>
              </w:rPr>
            </w:pPr>
            <w:r>
              <w:rPr>
                <w:color w:val="4C4747"/>
                <w:sz w:val="19"/>
                <w:szCs w:val="19"/>
              </w:rPr>
              <w:t>99.79%</w:t>
            </w:r>
          </w:p>
        </w:tc>
      </w:tr>
      <w:tr w:rsidR="00184CAB">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84CAB" w:rsidRDefault="002B1930">
            <w:pPr>
              <w:spacing w:line="240" w:lineRule="auto"/>
              <w:jc w:val="center"/>
              <w:rPr>
                <w:bCs/>
                <w:color w:val="4C4747"/>
                <w:sz w:val="19"/>
                <w:szCs w:val="19"/>
              </w:rPr>
            </w:pPr>
            <w:r>
              <w:rPr>
                <w:bCs/>
                <w:color w:val="4C4747"/>
                <w:sz w:val="19"/>
                <w:szCs w:val="19"/>
              </w:rPr>
              <w:t>POLITICAS TRANSVERSALES</w:t>
            </w:r>
          </w:p>
        </w:tc>
        <w:tc>
          <w:tcPr>
            <w:tcW w:w="3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84CAB" w:rsidRDefault="002B1930">
            <w:pPr>
              <w:spacing w:line="240" w:lineRule="auto"/>
              <w:jc w:val="center"/>
              <w:rPr>
                <w:color w:val="4C4747"/>
                <w:sz w:val="19"/>
                <w:szCs w:val="19"/>
              </w:rPr>
            </w:pPr>
            <w:r>
              <w:rPr>
                <w:color w:val="4C4747"/>
                <w:sz w:val="19"/>
                <w:szCs w:val="19"/>
              </w:rPr>
              <w:t>75.33%</w:t>
            </w:r>
          </w:p>
        </w:tc>
      </w:tr>
      <w:tr w:rsidR="00184CAB">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84CAB" w:rsidRDefault="002B1930">
            <w:pPr>
              <w:spacing w:line="240" w:lineRule="auto"/>
              <w:jc w:val="center"/>
              <w:rPr>
                <w:bCs/>
                <w:color w:val="4C4747"/>
                <w:sz w:val="19"/>
                <w:szCs w:val="19"/>
              </w:rPr>
            </w:pPr>
            <w:r>
              <w:rPr>
                <w:bCs/>
                <w:color w:val="4C4747"/>
                <w:sz w:val="19"/>
                <w:szCs w:val="19"/>
              </w:rPr>
              <w:t>SISACNOC</w:t>
            </w:r>
          </w:p>
        </w:tc>
        <w:tc>
          <w:tcPr>
            <w:tcW w:w="3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84CAB" w:rsidRDefault="002B1930">
            <w:pPr>
              <w:spacing w:line="240" w:lineRule="auto"/>
              <w:jc w:val="center"/>
              <w:rPr>
                <w:color w:val="4C4747"/>
                <w:sz w:val="19"/>
                <w:szCs w:val="19"/>
              </w:rPr>
            </w:pPr>
            <w:r>
              <w:rPr>
                <w:color w:val="4C4747"/>
                <w:sz w:val="19"/>
                <w:szCs w:val="19"/>
              </w:rPr>
              <w:t>81.00%</w:t>
            </w:r>
          </w:p>
        </w:tc>
      </w:tr>
      <w:tr w:rsidR="00184CAB">
        <w:tblPrEx>
          <w:tblCellMar>
            <w:top w:w="0" w:type="dxa"/>
            <w:bottom w:w="0" w:type="dxa"/>
          </w:tblCellMar>
        </w:tblPrEx>
        <w:tc>
          <w:tcPr>
            <w:tcW w:w="42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84CAB" w:rsidRDefault="002B1930">
            <w:pPr>
              <w:spacing w:line="240" w:lineRule="auto"/>
              <w:jc w:val="center"/>
              <w:rPr>
                <w:bCs/>
                <w:color w:val="4C4747"/>
                <w:sz w:val="19"/>
                <w:szCs w:val="19"/>
              </w:rPr>
            </w:pPr>
            <w:r>
              <w:rPr>
                <w:bCs/>
                <w:color w:val="4C4747"/>
                <w:sz w:val="19"/>
                <w:szCs w:val="19"/>
              </w:rPr>
              <w:t>ICI</w:t>
            </w:r>
          </w:p>
        </w:tc>
        <w:tc>
          <w:tcPr>
            <w:tcW w:w="36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84CAB" w:rsidRDefault="002B1930">
            <w:pPr>
              <w:spacing w:line="240" w:lineRule="auto"/>
              <w:jc w:val="center"/>
              <w:rPr>
                <w:color w:val="4C4747"/>
                <w:sz w:val="19"/>
                <w:szCs w:val="19"/>
              </w:rPr>
            </w:pPr>
            <w:r>
              <w:rPr>
                <w:color w:val="4C4747"/>
                <w:sz w:val="19"/>
                <w:szCs w:val="19"/>
              </w:rPr>
              <w:t>90.59%</w:t>
            </w:r>
          </w:p>
        </w:tc>
      </w:tr>
    </w:tbl>
    <w:p w:rsidR="00184CAB" w:rsidRDefault="002B1930">
      <w:pPr>
        <w:spacing w:line="240" w:lineRule="auto"/>
        <w:jc w:val="both"/>
        <w:rPr>
          <w:i/>
          <w:color w:val="4C4747"/>
          <w:sz w:val="18"/>
          <w:szCs w:val="18"/>
        </w:rPr>
      </w:pPr>
      <w:r>
        <w:rPr>
          <w:i/>
          <w:color w:val="4C4747"/>
          <w:sz w:val="18"/>
          <w:szCs w:val="18"/>
        </w:rPr>
        <w:t>Fuente: Informe correspondiente al periodo anual 2025, División de Calidad en la Gestión, Dirección de Planificación y Desarrollo.</w:t>
      </w:r>
    </w:p>
    <w:p w:rsidR="00184CAB" w:rsidRDefault="002B1930">
      <w:pPr>
        <w:spacing w:line="360" w:lineRule="auto"/>
        <w:jc w:val="both"/>
      </w:pPr>
      <w:r>
        <w:rPr>
          <w:b/>
          <w:color w:val="4C4747"/>
        </w:rPr>
        <w:t xml:space="preserve">Certificaciones: </w:t>
      </w:r>
      <w:r>
        <w:rPr>
          <w:color w:val="4C4747"/>
        </w:rPr>
        <w:t>Con el objetivo de cumplir con estándares internacionales para prevenir, detectar y mitigar ri</w:t>
      </w:r>
      <w:r>
        <w:rPr>
          <w:color w:val="4C4747"/>
        </w:rPr>
        <w:t xml:space="preserve">esgos de soborno y corrupción, el MAPRE obtuvo la recertificación ISO-37001:2016 en Sistema de Gestión Antisoborno. Para lograrlo, la División elaboró el plan de trabajo para la recertificación y se propuso la actualización del Comité de Antisoborno. </w:t>
      </w:r>
    </w:p>
    <w:p w:rsidR="00184CAB" w:rsidRDefault="002B1930">
      <w:pPr>
        <w:spacing w:line="360" w:lineRule="auto"/>
        <w:jc w:val="both"/>
        <w:rPr>
          <w:color w:val="4C4747"/>
        </w:rPr>
      </w:pPr>
      <w:r>
        <w:rPr>
          <w:color w:val="4C4747"/>
        </w:rPr>
        <w:t xml:space="preserve">Los </w:t>
      </w:r>
      <w:r>
        <w:rPr>
          <w:color w:val="4C4747"/>
        </w:rPr>
        <w:t>esfuerzos se intensificaron en septiembre con la Actualización de documentos referentes a la ISO 37001:2016 y la coordinación de la Auditoría Interna con los responsables de las áreas misionales. La culminación de este esfuerzo se verificó en noviembre con</w:t>
      </w:r>
      <w:r>
        <w:rPr>
          <w:color w:val="4C4747"/>
        </w:rPr>
        <w:t xml:space="preserve"> la ejecución de las auditorías internas y externas, confirmando el compromiso del MAPRE con los más altos estándares de integridad.</w:t>
      </w:r>
    </w:p>
    <w:p w:rsidR="00184CAB" w:rsidRDefault="002B1930">
      <w:pPr>
        <w:spacing w:line="360" w:lineRule="auto"/>
        <w:jc w:val="both"/>
      </w:pPr>
      <w:r>
        <w:rPr>
          <w:color w:val="4C4747"/>
        </w:rPr>
        <w:lastRenderedPageBreak/>
        <w:t xml:space="preserve">Así mismo, se trabaja para lograr la certificación del </w:t>
      </w:r>
      <w:r>
        <w:rPr>
          <w:b/>
          <w:bCs/>
          <w:color w:val="4C4747"/>
        </w:rPr>
        <w:t>Sello CAF +300</w:t>
      </w:r>
      <w:r>
        <w:rPr>
          <w:color w:val="4C4747"/>
        </w:rPr>
        <w:t xml:space="preserve"> mediante la aplicación de la </w:t>
      </w:r>
      <w:r>
        <w:rPr>
          <w:bCs/>
          <w:color w:val="4C4747"/>
        </w:rPr>
        <w:t>Metodología CAF</w:t>
      </w:r>
      <w:r>
        <w:rPr>
          <w:color w:val="4C4747"/>
        </w:rPr>
        <w:t xml:space="preserve">. </w:t>
      </w:r>
    </w:p>
    <w:p w:rsidR="00184CAB" w:rsidRDefault="002B1930">
      <w:pPr>
        <w:spacing w:line="360" w:lineRule="auto"/>
        <w:jc w:val="both"/>
      </w:pPr>
      <w:r>
        <w:rPr>
          <w:color w:val="4C4747"/>
        </w:rPr>
        <w:t>La tra</w:t>
      </w:r>
      <w:r>
        <w:rPr>
          <w:color w:val="4C4747"/>
        </w:rPr>
        <w:t xml:space="preserve">nsparencia y la atención ciudadana fueron institucionalizadas con la </w:t>
      </w:r>
      <w:r>
        <w:rPr>
          <w:bCs/>
          <w:color w:val="4C4747"/>
        </w:rPr>
        <w:t>Elaboración y Oficialización del procedimiento de Quejas, Sugerencias y Denuncias</w:t>
      </w:r>
      <w:r>
        <w:rPr>
          <w:color w:val="4C4747"/>
        </w:rPr>
        <w:t xml:space="preserve"> y la </w:t>
      </w:r>
      <w:r>
        <w:rPr>
          <w:bCs/>
          <w:color w:val="4C4747"/>
        </w:rPr>
        <w:t>Actualización del Indicador “</w:t>
      </w:r>
      <w:r>
        <w:rPr>
          <w:bCs/>
          <w:i/>
          <w:color w:val="4C4747"/>
        </w:rPr>
        <w:t xml:space="preserve">01.5 Transparencia en las Informaciones de Servicios y </w:t>
      </w:r>
      <w:proofErr w:type="gramStart"/>
      <w:r>
        <w:rPr>
          <w:bCs/>
          <w:i/>
          <w:color w:val="4C4747"/>
        </w:rPr>
        <w:t>Funcionarios</w:t>
      </w:r>
      <w:proofErr w:type="gramEnd"/>
      <w:r>
        <w:rPr>
          <w:bCs/>
          <w:color w:val="4C4747"/>
        </w:rPr>
        <w:t>” en</w:t>
      </w:r>
      <w:r>
        <w:rPr>
          <w:bCs/>
          <w:color w:val="4C4747"/>
        </w:rPr>
        <w:t xml:space="preserve"> el SISMAP</w:t>
      </w:r>
      <w:r>
        <w:rPr>
          <w:color w:val="4C4747"/>
        </w:rPr>
        <w:t xml:space="preserve">, asegurando que el compromiso con la ciudadanía fuera medible y accesible. La voz del usuario fue validada con la </w:t>
      </w:r>
      <w:r>
        <w:rPr>
          <w:bCs/>
          <w:color w:val="4C4747"/>
        </w:rPr>
        <w:t>Realización de 41 Informes de Encuestas de Satisfacción</w:t>
      </w:r>
      <w:r>
        <w:rPr>
          <w:color w:val="4C4747"/>
        </w:rPr>
        <w:t xml:space="preserve"> a áreas internas, lo que permite evidenciar la confianza y satisfacción de </w:t>
      </w:r>
      <w:r>
        <w:rPr>
          <w:color w:val="4C4747"/>
        </w:rPr>
        <w:t xml:space="preserve">los colaboradores en los servicios internos que se ofrecen desde las distintas áreas del MAPRE. De hecho, Ministerio Administrativo de la Presidencia obtuvo un </w:t>
      </w:r>
      <w:r>
        <w:rPr>
          <w:b/>
          <w:color w:val="4C4747"/>
        </w:rPr>
        <w:t>92.26%</w:t>
      </w:r>
      <w:r>
        <w:rPr>
          <w:color w:val="4C4747"/>
        </w:rPr>
        <w:t xml:space="preserve"> en el </w:t>
      </w:r>
      <w:r>
        <w:rPr>
          <w:bCs/>
          <w:color w:val="4C4747"/>
        </w:rPr>
        <w:t>Índice de Satisfacción Ciudadana</w:t>
      </w:r>
      <w:r>
        <w:rPr>
          <w:color w:val="4C4747"/>
        </w:rPr>
        <w:t>, un subindicador que es gestionado desde el SISMAP</w:t>
      </w:r>
      <w:r>
        <w:rPr>
          <w:b/>
          <w:color w:val="4C4747"/>
        </w:rPr>
        <w:t>.</w:t>
      </w:r>
    </w:p>
    <w:p w:rsidR="00184CAB" w:rsidRDefault="002B1930">
      <w:pPr>
        <w:spacing w:line="360" w:lineRule="auto"/>
        <w:jc w:val="both"/>
      </w:pPr>
      <w:r>
        <w:rPr>
          <w:b/>
          <w:color w:val="4C4747"/>
          <w:lang w:val="es-ES"/>
        </w:rPr>
        <w:t xml:space="preserve">Resultados de la implementación y aplicación de NOBACI: </w:t>
      </w:r>
      <w:r>
        <w:rPr>
          <w:color w:val="4C4747"/>
          <w:lang w:val="es-ES"/>
        </w:rPr>
        <w:t xml:space="preserve">Las Normas Básicas de Control Interno definen el nivel mínimo de calidad o marco general requerido para el Control Interno del sector Público y proveen las bases para que los Sistemas de </w:t>
      </w:r>
      <w:r>
        <w:rPr>
          <w:color w:val="4C4747"/>
          <w:lang w:val="es-ES"/>
        </w:rPr>
        <w:t>Administración de Control y las Unidades de Auditoría puedan ser evaluados.</w:t>
      </w:r>
    </w:p>
    <w:p w:rsidR="00184CAB" w:rsidRDefault="002B1930">
      <w:pPr>
        <w:spacing w:line="360" w:lineRule="auto"/>
        <w:jc w:val="both"/>
      </w:pPr>
      <w:r>
        <w:rPr>
          <w:color w:val="4C4747"/>
          <w:lang w:val="es-ES"/>
        </w:rPr>
        <w:t>Durante el 2025, el cumplimiento de las Normas Básicas de Control Interno (NOBACI) para el MAPRE significaron un desafío institucional, mismo que desde la División de Calidad se as</w:t>
      </w:r>
      <w:r>
        <w:rPr>
          <w:color w:val="4C4747"/>
          <w:lang w:val="es-ES"/>
        </w:rPr>
        <w:t xml:space="preserve">umió partiendo de un diagnóstico inicial al cierre del Cuarto Trimestre de 2024 (T4 2024) que ubicaba la institución con un cumplimiento del </w:t>
      </w:r>
      <w:r>
        <w:rPr>
          <w:b/>
          <w:color w:val="4C4747"/>
          <w:lang w:val="es-ES"/>
        </w:rPr>
        <w:t>64.28%.</w:t>
      </w:r>
      <w:r>
        <w:rPr>
          <w:color w:val="4C4747"/>
          <w:lang w:val="es-ES"/>
        </w:rPr>
        <w:t xml:space="preserve"> </w:t>
      </w:r>
    </w:p>
    <w:p w:rsidR="00184CAB" w:rsidRDefault="002B1930">
      <w:pPr>
        <w:spacing w:line="360" w:lineRule="auto"/>
        <w:jc w:val="both"/>
      </w:pPr>
      <w:r>
        <w:rPr>
          <w:color w:val="4C4747"/>
          <w:lang w:val="es-ES"/>
        </w:rPr>
        <w:t>Este porcentaje, si bien estable, marcaba un claro camino hacia la optimización. Con una estrategia de cho</w:t>
      </w:r>
      <w:r>
        <w:rPr>
          <w:color w:val="4C4747"/>
          <w:lang w:val="es-ES"/>
        </w:rPr>
        <w:t xml:space="preserve">que implementada a principios de año, el 1er. Trimestre (T1 2025) concluyó con un avance de </w:t>
      </w:r>
      <w:r>
        <w:rPr>
          <w:b/>
          <w:color w:val="4C4747"/>
          <w:lang w:val="es-ES"/>
        </w:rPr>
        <w:t>81.58%.</w:t>
      </w:r>
      <w:r>
        <w:rPr>
          <w:color w:val="4C4747"/>
          <w:lang w:val="es-ES"/>
        </w:rPr>
        <w:t xml:space="preserve"> Este incremento de </w:t>
      </w:r>
      <w:r>
        <w:rPr>
          <w:b/>
          <w:color w:val="4C4747"/>
          <w:lang w:val="es-ES"/>
        </w:rPr>
        <w:t>17.30</w:t>
      </w:r>
      <w:r>
        <w:rPr>
          <w:color w:val="4C4747"/>
          <w:lang w:val="es-ES"/>
        </w:rPr>
        <w:t xml:space="preserve"> puntos porcentuales en </w:t>
      </w:r>
      <w:r>
        <w:rPr>
          <w:color w:val="4C4747"/>
          <w:lang w:val="es-ES"/>
        </w:rPr>
        <w:lastRenderedPageBreak/>
        <w:t xml:space="preserve">sólo tres meses se consiguió gracias a la priorización de los componentes más sensibles, particularmente la </w:t>
      </w:r>
      <w:r>
        <w:rPr>
          <w:color w:val="4C4747"/>
          <w:lang w:val="es-ES"/>
        </w:rPr>
        <w:t xml:space="preserve">Valoración y Administración del Riesgo (VAR). </w:t>
      </w:r>
    </w:p>
    <w:p w:rsidR="00184CAB" w:rsidRDefault="002B1930">
      <w:pPr>
        <w:spacing w:line="360" w:lineRule="auto"/>
        <w:jc w:val="both"/>
        <w:rPr>
          <w:color w:val="4C4747"/>
          <w:lang w:val="es-ES"/>
        </w:rPr>
      </w:pPr>
      <w:r>
        <w:rPr>
          <w:color w:val="4C4747"/>
          <w:lang w:val="es-ES"/>
        </w:rPr>
        <w:t>En el mes de enero, este subíndice registraba un crítico 40% de cumplimiento, mientras otros como Actividades de Control (ADC) e Información y Comunicación (</w:t>
      </w:r>
      <w:proofErr w:type="spellStart"/>
      <w:r>
        <w:rPr>
          <w:color w:val="4C4747"/>
          <w:lang w:val="es-ES"/>
        </w:rPr>
        <w:t>IyC</w:t>
      </w:r>
      <w:proofErr w:type="spellEnd"/>
      <w:r>
        <w:rPr>
          <w:color w:val="4C4747"/>
          <w:lang w:val="es-ES"/>
        </w:rPr>
        <w:t>) ya exhibían un cumplimiento del 100%. La focali</w:t>
      </w:r>
      <w:r>
        <w:rPr>
          <w:color w:val="4C4747"/>
          <w:lang w:val="es-ES"/>
        </w:rPr>
        <w:t>zación en VAR, a través de la oficialización de manuales y procedimientos, permitió cerrar la brecha y garantizar la solidez estructural del control interno.</w:t>
      </w:r>
    </w:p>
    <w:p w:rsidR="00184CAB" w:rsidRDefault="002B1930">
      <w:pPr>
        <w:spacing w:line="360" w:lineRule="auto"/>
        <w:jc w:val="both"/>
      </w:pPr>
      <w:r>
        <w:rPr>
          <w:color w:val="4C4747"/>
          <w:lang w:val="es-ES"/>
        </w:rPr>
        <w:t xml:space="preserve">La inercia de la eficiencia se mantuvo vigente en el Segundo Trimestre (T2 2025), cuando la </w:t>
      </w:r>
      <w:r>
        <w:rPr>
          <w:color w:val="4C4747"/>
          <w:lang w:val="es-ES"/>
        </w:rPr>
        <w:t xml:space="preserve">proyección NOBACI escaló nuevamente, alcanzando un notable </w:t>
      </w:r>
      <w:r>
        <w:rPr>
          <w:b/>
          <w:color w:val="4C4747"/>
          <w:lang w:val="es-ES"/>
        </w:rPr>
        <w:t>92.52%,</w:t>
      </w:r>
      <w:r>
        <w:rPr>
          <w:color w:val="4C4747"/>
          <w:lang w:val="es-ES"/>
        </w:rPr>
        <w:t xml:space="preserve"> sumando 10.94 puntos porcentuales adicionales de progreso. Este avance consolidado demostró que la mejora no era pasajera, sino un resultado sistémico de la formalización de procedimientos </w:t>
      </w:r>
      <w:r>
        <w:rPr>
          <w:color w:val="4C4747"/>
          <w:lang w:val="es-ES"/>
        </w:rPr>
        <w:t>clave, la validación de matrices críticas y la gestión documental rigurosa, todo ello asegurado con la carga oficial en la plataforma NOBACI/ICI.</w:t>
      </w:r>
    </w:p>
    <w:p w:rsidR="00184CAB" w:rsidRDefault="002B1930">
      <w:pPr>
        <w:spacing w:line="360" w:lineRule="auto"/>
        <w:jc w:val="both"/>
      </w:pPr>
      <w:r>
        <w:rPr>
          <w:color w:val="4C4747"/>
          <w:lang w:val="es-ES"/>
        </w:rPr>
        <w:t>El pico de este rendimiento se alcanzó en el Tercer Trimestre (T3 2025), que simboliza la madurez operativa, d</w:t>
      </w:r>
      <w:r>
        <w:rPr>
          <w:color w:val="4C4747"/>
          <w:lang w:val="es-ES"/>
        </w:rPr>
        <w:t xml:space="preserve">onde el Índice de las NOBACI registró un hito histórico de </w:t>
      </w:r>
      <w:r>
        <w:rPr>
          <w:b/>
          <w:color w:val="4C4747"/>
          <w:lang w:val="es-ES"/>
        </w:rPr>
        <w:t>93.32%,</w:t>
      </w:r>
      <w:r>
        <w:rPr>
          <w:color w:val="4C4747"/>
          <w:lang w:val="es-ES"/>
        </w:rPr>
        <w:t xml:space="preserve"> asegurando una metodología de trabajo que garantiza la sostenibilidad del cumplimiento normativo.</w:t>
      </w:r>
    </w:p>
    <w:p w:rsidR="00184CAB" w:rsidRDefault="002B1930">
      <w:pPr>
        <w:spacing w:line="360" w:lineRule="auto"/>
        <w:rPr>
          <w:b/>
          <w:color w:val="4C4747"/>
        </w:rPr>
      </w:pPr>
      <w:r>
        <w:rPr>
          <w:b/>
          <w:color w:val="4C4747"/>
        </w:rPr>
        <w:t>Desempeño de Políticas Transversales</w:t>
      </w:r>
    </w:p>
    <w:p w:rsidR="00184CAB" w:rsidRDefault="002B1930">
      <w:pPr>
        <w:spacing w:line="360" w:lineRule="auto"/>
        <w:jc w:val="both"/>
        <w:rPr>
          <w:color w:val="4C4747"/>
        </w:rPr>
      </w:pPr>
      <w:r>
        <w:rPr>
          <w:color w:val="4C4747"/>
        </w:rPr>
        <w:t>En cumplimiento con la Evaluación del Desempeño Instit</w:t>
      </w:r>
      <w:r>
        <w:rPr>
          <w:color w:val="4C4747"/>
        </w:rPr>
        <w:t>ucional (EDI), durante el periodo anual 2025 el MAPRE coordinó la implementación de las políticas transversales, junto a los indicadores de medición y evidencias de ejecución establecidos para cada política transversal.</w:t>
      </w:r>
    </w:p>
    <w:p w:rsidR="00184CAB" w:rsidRDefault="002B1930">
      <w:pPr>
        <w:spacing w:line="360" w:lineRule="auto"/>
        <w:jc w:val="both"/>
      </w:pPr>
      <w:r>
        <w:rPr>
          <w:color w:val="4C4747"/>
          <w:lang w:val="es-DO"/>
        </w:rPr>
        <w:lastRenderedPageBreak/>
        <w:t>La adopción de metodologías de vangu</w:t>
      </w:r>
      <w:r>
        <w:rPr>
          <w:color w:val="4C4747"/>
          <w:lang w:val="es-DO"/>
        </w:rPr>
        <w:t xml:space="preserve">ardia fue un pilar clave para la institución, destacándose la implementación de la </w:t>
      </w:r>
      <w:r>
        <w:rPr>
          <w:bCs/>
          <w:color w:val="4C4747"/>
          <w:lang w:val="es-DO"/>
        </w:rPr>
        <w:t>Evaluación del Desempeño Institucional (EDI)</w:t>
      </w:r>
      <w:r>
        <w:rPr>
          <w:color w:val="4C4747"/>
          <w:lang w:val="es-DO"/>
        </w:rPr>
        <w:t xml:space="preserve">. Los resultados fueron inmediatos y contundentes, </w:t>
      </w:r>
      <w:r>
        <w:rPr>
          <w:color w:val="4C4747"/>
        </w:rPr>
        <w:t xml:space="preserve">El índice de desempeño institucional registró un avance significativo durante </w:t>
      </w:r>
      <w:r>
        <w:rPr>
          <w:color w:val="4C4747"/>
        </w:rPr>
        <w:t xml:space="preserve">el periodo, incrementándose de </w:t>
      </w:r>
      <w:r>
        <w:rPr>
          <w:b/>
          <w:bCs/>
          <w:color w:val="4C4747"/>
        </w:rPr>
        <w:t>64.12 %</w:t>
      </w:r>
      <w:r>
        <w:rPr>
          <w:color w:val="4C4747"/>
        </w:rPr>
        <w:t xml:space="preserve"> a un valor máximo de </w:t>
      </w:r>
      <w:r>
        <w:rPr>
          <w:b/>
          <w:bCs/>
          <w:color w:val="4C4747"/>
        </w:rPr>
        <w:t>77.47 %</w:t>
      </w:r>
      <w:r>
        <w:rPr>
          <w:color w:val="4C4747"/>
        </w:rPr>
        <w:t xml:space="preserve"> en octubre de 2025, equivalente a un aumento de </w:t>
      </w:r>
      <w:r>
        <w:rPr>
          <w:b/>
          <w:bCs/>
          <w:color w:val="4C4747"/>
        </w:rPr>
        <w:t>13.35 puntos porcentuales</w:t>
      </w:r>
      <w:r>
        <w:rPr>
          <w:color w:val="4C4747"/>
        </w:rPr>
        <w:t xml:space="preserve">. </w:t>
      </w:r>
    </w:p>
    <w:p w:rsidR="00184CAB" w:rsidRDefault="002B1930">
      <w:pPr>
        <w:spacing w:line="360" w:lineRule="auto"/>
        <w:jc w:val="both"/>
      </w:pPr>
      <w:r>
        <w:rPr>
          <w:color w:val="4C4747"/>
        </w:rPr>
        <w:t xml:space="preserve">Al corte actual, el indicador se sitúa en </w:t>
      </w:r>
      <w:r>
        <w:rPr>
          <w:b/>
          <w:bCs/>
          <w:color w:val="4C4747"/>
        </w:rPr>
        <w:t>75.33 %</w:t>
      </w:r>
      <w:r>
        <w:rPr>
          <w:color w:val="4C4747"/>
        </w:rPr>
        <w:t xml:space="preserve">, lo que representa una mejora sostenida de </w:t>
      </w:r>
      <w:r>
        <w:rPr>
          <w:b/>
          <w:bCs/>
          <w:color w:val="4C4747"/>
        </w:rPr>
        <w:t>11.21 puntos porcen</w:t>
      </w:r>
      <w:r>
        <w:rPr>
          <w:b/>
          <w:bCs/>
          <w:color w:val="4C4747"/>
        </w:rPr>
        <w:t>tuales</w:t>
      </w:r>
      <w:r>
        <w:rPr>
          <w:color w:val="4C4747"/>
        </w:rPr>
        <w:t xml:space="preserve"> respecto a la línea base, evidenciando la consolidación del Sistema de Evaluación del Desempeño Institucional (EDI) y la implementación efectiva de las políticas transversales</w:t>
      </w:r>
      <w:r>
        <w:rPr>
          <w:color w:val="4C4747"/>
          <w:lang w:val="es-DO"/>
        </w:rPr>
        <w:t xml:space="preserve">. </w:t>
      </w:r>
    </w:p>
    <w:p w:rsidR="00184CAB" w:rsidRDefault="002B1930">
      <w:pPr>
        <w:spacing w:line="360" w:lineRule="auto"/>
        <w:jc w:val="both"/>
      </w:pPr>
      <w:r>
        <w:rPr>
          <w:color w:val="4C4747"/>
          <w:lang w:val="es-DO"/>
        </w:rPr>
        <w:t xml:space="preserve">Este salto se magnificó en noviembre, donde la </w:t>
      </w:r>
      <w:r>
        <w:rPr>
          <w:bCs/>
          <w:color w:val="4C4747"/>
          <w:lang w:val="es-DO"/>
        </w:rPr>
        <w:t>Evaluación del Desempeño</w:t>
      </w:r>
      <w:r>
        <w:rPr>
          <w:bCs/>
          <w:color w:val="4C4747"/>
          <w:lang w:val="es-DO"/>
        </w:rPr>
        <w:t xml:space="preserve"> Institucional (EDI)</w:t>
      </w:r>
      <w:r>
        <w:rPr>
          <w:color w:val="4C4747"/>
          <w:lang w:val="es-DO"/>
        </w:rPr>
        <w:t xml:space="preserve"> mostró un crecimiento porcentual del </w:t>
      </w:r>
      <w:r>
        <w:rPr>
          <w:bCs/>
          <w:color w:val="4C4747"/>
          <w:lang w:val="es-DO"/>
        </w:rPr>
        <w:t>17.5%</w:t>
      </w:r>
      <w:r>
        <w:rPr>
          <w:color w:val="4C4747"/>
          <w:lang w:val="es-DO"/>
        </w:rPr>
        <w:t xml:space="preserve">, y el </w:t>
      </w:r>
      <w:r>
        <w:rPr>
          <w:bCs/>
          <w:color w:val="4C4747"/>
          <w:lang w:val="es-DO"/>
        </w:rPr>
        <w:t>Índice de Desarrollo Institucional (IDI)</w:t>
      </w:r>
      <w:r>
        <w:rPr>
          <w:color w:val="4C4747"/>
          <w:lang w:val="es-DO"/>
        </w:rPr>
        <w:t xml:space="preserve"> se elevó de </w:t>
      </w:r>
      <w:r>
        <w:rPr>
          <w:bCs/>
          <w:color w:val="4C4747"/>
          <w:lang w:val="es-DO"/>
        </w:rPr>
        <w:t>76.14% a 81.95%</w:t>
      </w:r>
      <w:r>
        <w:rPr>
          <w:color w:val="4C4747"/>
          <w:lang w:val="es-DO"/>
        </w:rPr>
        <w:t>. Estos indicadores, monitoreados de manera continua, reflejaron la efectividad de las mejoras en procesos.</w:t>
      </w:r>
    </w:p>
    <w:p w:rsidR="00184CAB" w:rsidRDefault="002B1930">
      <w:pPr>
        <w:spacing w:line="360" w:lineRule="auto"/>
        <w:jc w:val="both"/>
      </w:pPr>
      <w:r>
        <w:rPr>
          <w:color w:val="4C4747"/>
          <w:lang w:val="es-DO"/>
        </w:rPr>
        <w:t>La digital</w:t>
      </w:r>
      <w:r>
        <w:rPr>
          <w:color w:val="4C4747"/>
          <w:lang w:val="es-DO"/>
        </w:rPr>
        <w:t xml:space="preserve">ización de la gestión fue otro pilar fundamental, especialmente visible en </w:t>
      </w:r>
      <w:r>
        <w:rPr>
          <w:bCs/>
          <w:color w:val="4C4747"/>
          <w:lang w:val="es-DO"/>
        </w:rPr>
        <w:t>septiembre de 2025</w:t>
      </w:r>
      <w:r>
        <w:rPr>
          <w:color w:val="4C4747"/>
          <w:lang w:val="es-DO"/>
        </w:rPr>
        <w:t xml:space="preserve">, con la </w:t>
      </w:r>
      <w:r>
        <w:rPr>
          <w:bCs/>
          <w:color w:val="4C4747"/>
          <w:lang w:val="es-DO"/>
        </w:rPr>
        <w:t xml:space="preserve">Presentación a los responsables de Indicadores institucionales un </w:t>
      </w:r>
      <w:proofErr w:type="spellStart"/>
      <w:r>
        <w:rPr>
          <w:bCs/>
          <w:color w:val="4C4747"/>
          <w:lang w:val="es-DO"/>
        </w:rPr>
        <w:t>Dashboard</w:t>
      </w:r>
      <w:proofErr w:type="spellEnd"/>
      <w:r>
        <w:rPr>
          <w:bCs/>
          <w:color w:val="4C4747"/>
          <w:lang w:val="es-DO"/>
        </w:rPr>
        <w:t xml:space="preserve"> que consolida Índices e Indicadores de MAPRE</w:t>
      </w:r>
      <w:r>
        <w:rPr>
          <w:color w:val="4C4747"/>
          <w:lang w:val="es-DO"/>
        </w:rPr>
        <w:t xml:space="preserve">. </w:t>
      </w:r>
    </w:p>
    <w:p w:rsidR="00184CAB" w:rsidRDefault="002B1930">
      <w:pPr>
        <w:spacing w:line="360" w:lineRule="auto"/>
        <w:jc w:val="both"/>
      </w:pPr>
      <w:r>
        <w:rPr>
          <w:color w:val="4C4747"/>
          <w:lang w:val="es-DO"/>
        </w:rPr>
        <w:t>Este tablero de control, desarr</w:t>
      </w:r>
      <w:r>
        <w:rPr>
          <w:color w:val="4C4747"/>
          <w:lang w:val="es-DO"/>
        </w:rPr>
        <w:t xml:space="preserve">ollado utilizando la potencia de la herramienta de inteligencia de negocios </w:t>
      </w:r>
      <w:proofErr w:type="spellStart"/>
      <w:r>
        <w:rPr>
          <w:bCs/>
          <w:color w:val="4C4747"/>
          <w:lang w:val="es-DO"/>
        </w:rPr>
        <w:t>Power</w:t>
      </w:r>
      <w:proofErr w:type="spellEnd"/>
      <w:r>
        <w:rPr>
          <w:bCs/>
          <w:color w:val="4C4747"/>
          <w:lang w:val="es-DO"/>
        </w:rPr>
        <w:t xml:space="preserve"> BI</w:t>
      </w:r>
      <w:r>
        <w:rPr>
          <w:color w:val="4C4747"/>
          <w:lang w:val="es-DO"/>
        </w:rPr>
        <w:t xml:space="preserve">, marcó un antes y un después en la administración. Permitió pasar de reportes estáticos a la visualización dinámica y en tiempo real de los principales índices, </w:t>
      </w:r>
      <w:r>
        <w:rPr>
          <w:color w:val="4C4747"/>
          <w:lang w:val="es-DO"/>
        </w:rPr>
        <w:t>facilitando la identificación instantánea de desviaciones y la toma de decisiones estratégicas de manera informada.</w:t>
      </w:r>
    </w:p>
    <w:p w:rsidR="00184CAB" w:rsidRDefault="00184CAB">
      <w:pPr>
        <w:spacing w:line="360" w:lineRule="auto"/>
        <w:jc w:val="both"/>
      </w:pPr>
    </w:p>
    <w:p w:rsidR="00184CAB" w:rsidRDefault="002B1930">
      <w:pPr>
        <w:spacing w:line="360" w:lineRule="auto"/>
        <w:jc w:val="both"/>
      </w:pPr>
      <w:r>
        <w:rPr>
          <w:color w:val="4C4747"/>
          <w:lang w:val="es-DO"/>
        </w:rPr>
        <w:lastRenderedPageBreak/>
        <w:t xml:space="preserve">Esta gestión transversal basada en datos se reflejó en la solidez de otros indicadores institucionales al cierre del año, como el </w:t>
      </w:r>
      <w:r>
        <w:rPr>
          <w:bCs/>
          <w:color w:val="4C4747"/>
          <w:lang w:val="es-DO"/>
        </w:rPr>
        <w:t>SISCOMPRA</w:t>
      </w:r>
      <w:r>
        <w:rPr>
          <w:bCs/>
          <w:color w:val="4C4747"/>
          <w:lang w:val="es-DO"/>
        </w:rPr>
        <w:t>S</w:t>
      </w:r>
      <w:r>
        <w:rPr>
          <w:color w:val="4C4747"/>
          <w:lang w:val="es-DO"/>
        </w:rPr>
        <w:t xml:space="preserve"> con un </w:t>
      </w:r>
      <w:r>
        <w:rPr>
          <w:bCs/>
          <w:color w:val="4C4747"/>
        </w:rPr>
        <w:t>85.39</w:t>
      </w:r>
      <w:r>
        <w:rPr>
          <w:bCs/>
          <w:color w:val="4C4747"/>
          <w:lang w:val="es-DO"/>
        </w:rPr>
        <w:t>%</w:t>
      </w:r>
      <w:r>
        <w:rPr>
          <w:color w:val="4C4747"/>
          <w:lang w:val="es-DO"/>
        </w:rPr>
        <w:t xml:space="preserve">, el </w:t>
      </w:r>
      <w:r>
        <w:rPr>
          <w:bCs/>
          <w:color w:val="4C4747"/>
          <w:lang w:val="es-DO"/>
        </w:rPr>
        <w:t>SAIP</w:t>
      </w:r>
      <w:r>
        <w:rPr>
          <w:color w:val="4C4747"/>
          <w:lang w:val="es-DO"/>
        </w:rPr>
        <w:t xml:space="preserve"> con un notable </w:t>
      </w:r>
      <w:r>
        <w:rPr>
          <w:bCs/>
          <w:color w:val="4C4747"/>
          <w:lang w:val="es-DO"/>
        </w:rPr>
        <w:t>99.35%</w:t>
      </w:r>
      <w:r>
        <w:rPr>
          <w:color w:val="4C4747"/>
          <w:lang w:val="es-DO"/>
        </w:rPr>
        <w:t xml:space="preserve">, el </w:t>
      </w:r>
      <w:r>
        <w:rPr>
          <w:bCs/>
          <w:color w:val="4C4747"/>
          <w:lang w:val="es-DO"/>
        </w:rPr>
        <w:t>ICI</w:t>
      </w:r>
      <w:r>
        <w:rPr>
          <w:color w:val="4C4747"/>
          <w:lang w:val="es-DO"/>
        </w:rPr>
        <w:t xml:space="preserve"> en </w:t>
      </w:r>
      <w:r>
        <w:rPr>
          <w:bCs/>
          <w:color w:val="4C4747"/>
          <w:lang w:val="es-DO"/>
        </w:rPr>
        <w:t>88.87%</w:t>
      </w:r>
      <w:r>
        <w:rPr>
          <w:color w:val="4C4747"/>
          <w:lang w:val="es-DO"/>
        </w:rPr>
        <w:t xml:space="preserve">, y las </w:t>
      </w:r>
      <w:r>
        <w:rPr>
          <w:bCs/>
          <w:color w:val="4C4747"/>
          <w:lang w:val="es-DO"/>
        </w:rPr>
        <w:t>Políticas Transversales</w:t>
      </w:r>
      <w:r>
        <w:rPr>
          <w:color w:val="4C4747"/>
          <w:lang w:val="es-DO"/>
        </w:rPr>
        <w:t xml:space="preserve"> en un </w:t>
      </w:r>
      <w:r>
        <w:rPr>
          <w:bCs/>
          <w:color w:val="4C4747"/>
          <w:lang w:val="es-DO"/>
        </w:rPr>
        <w:t>75.33%</w:t>
      </w:r>
      <w:r>
        <w:rPr>
          <w:color w:val="4C4747"/>
          <w:lang w:val="es-DO"/>
        </w:rPr>
        <w:t xml:space="preserve"> en noviembre de 2025. Estos resultados, obtenidos a través del Indicador de Desempeño Institucional arrojan una calificación total para la Evaluaci</w:t>
      </w:r>
      <w:r>
        <w:rPr>
          <w:color w:val="4C4747"/>
          <w:lang w:val="es-DO"/>
        </w:rPr>
        <w:t>ón de Desempeño Institucional (EDI) de 82.12% al mes de noviembre del 2025.</w:t>
      </w:r>
    </w:p>
    <w:tbl>
      <w:tblPr>
        <w:tblW w:w="7792" w:type="dxa"/>
        <w:jc w:val="center"/>
        <w:tblCellMar>
          <w:left w:w="10" w:type="dxa"/>
          <w:right w:w="10" w:type="dxa"/>
        </w:tblCellMar>
        <w:tblLook w:val="0000" w:firstRow="0" w:lastRow="0" w:firstColumn="0" w:lastColumn="0" w:noHBand="0" w:noVBand="0"/>
      </w:tblPr>
      <w:tblGrid>
        <w:gridCol w:w="988"/>
        <w:gridCol w:w="4110"/>
        <w:gridCol w:w="2694"/>
      </w:tblGrid>
      <w:tr w:rsidR="00184CAB">
        <w:tblPrEx>
          <w:tblCellMar>
            <w:top w:w="0" w:type="dxa"/>
            <w:bottom w:w="0" w:type="dxa"/>
          </w:tblCellMar>
        </w:tblPrEx>
        <w:trPr>
          <w:jc w:val="center"/>
        </w:trPr>
        <w:tc>
          <w:tcPr>
            <w:tcW w:w="7792" w:type="dxa"/>
            <w:gridSpan w:val="3"/>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auto"/>
                <w:spacing w:val="0"/>
                <w:sz w:val="19"/>
                <w:szCs w:val="19"/>
              </w:rPr>
            </w:pPr>
            <w:r>
              <w:rPr>
                <w:b/>
                <w:color w:val="auto"/>
                <w:spacing w:val="0"/>
                <w:sz w:val="19"/>
                <w:szCs w:val="19"/>
              </w:rPr>
              <w:t>Tabla no. 33 sobre relación de las calificaciones obtenidas en la implementación de las Políticas Transversales</w:t>
            </w:r>
          </w:p>
          <w:p w:rsidR="00184CAB" w:rsidRDefault="002B1930">
            <w:pPr>
              <w:spacing w:after="0" w:line="240" w:lineRule="auto"/>
              <w:jc w:val="center"/>
              <w:rPr>
                <w:b/>
                <w:color w:val="auto"/>
                <w:spacing w:val="0"/>
                <w:sz w:val="19"/>
                <w:szCs w:val="19"/>
              </w:rPr>
            </w:pPr>
            <w:r>
              <w:rPr>
                <w:b/>
                <w:color w:val="auto"/>
                <w:spacing w:val="0"/>
                <w:sz w:val="19"/>
                <w:szCs w:val="19"/>
              </w:rPr>
              <w:t>Durante el periodo anual 2025</w:t>
            </w:r>
          </w:p>
        </w:tc>
      </w:tr>
      <w:tr w:rsidR="00184CAB">
        <w:tblPrEx>
          <w:tblCellMar>
            <w:top w:w="0" w:type="dxa"/>
            <w:bottom w:w="0" w:type="dxa"/>
          </w:tblCellMar>
        </w:tblPrEx>
        <w:trPr>
          <w:jc w:val="center"/>
        </w:trPr>
        <w:tc>
          <w:tcPr>
            <w:tcW w:w="98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pPr>
            <w:r>
              <w:rPr>
                <w:b/>
                <w:color w:val="auto"/>
                <w:spacing w:val="0"/>
                <w:sz w:val="19"/>
                <w:szCs w:val="19"/>
              </w:rPr>
              <w:t>No.</w:t>
            </w:r>
          </w:p>
        </w:tc>
        <w:tc>
          <w:tcPr>
            <w:tcW w:w="4110"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pPr>
            <w:r>
              <w:rPr>
                <w:b/>
                <w:color w:val="auto"/>
                <w:spacing w:val="0"/>
                <w:sz w:val="19"/>
                <w:szCs w:val="19"/>
              </w:rPr>
              <w:t>Política transversal</w:t>
            </w:r>
          </w:p>
        </w:tc>
        <w:tc>
          <w:tcPr>
            <w:tcW w:w="2694"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pPr>
            <w:r>
              <w:rPr>
                <w:b/>
                <w:color w:val="auto"/>
                <w:spacing w:val="0"/>
                <w:sz w:val="19"/>
                <w:szCs w:val="19"/>
              </w:rPr>
              <w:t>Ponderación</w:t>
            </w:r>
          </w:p>
        </w:tc>
      </w:tr>
      <w:tr w:rsidR="00184CAB">
        <w:tblPrEx>
          <w:tblCellMar>
            <w:top w:w="0" w:type="dxa"/>
            <w:bottom w:w="0" w:type="dxa"/>
          </w:tblCellMar>
        </w:tblPrEx>
        <w:trPr>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184CAB">
            <w:pPr>
              <w:pStyle w:val="Prrafodelista"/>
              <w:numPr>
                <w:ilvl w:val="0"/>
                <w:numId w:val="34"/>
              </w:numPr>
              <w:spacing w:after="0" w:line="240" w:lineRule="auto"/>
              <w:jc w:val="center"/>
              <w:rPr>
                <w:color w:val="4C4747"/>
                <w:spacing w:val="0"/>
                <w:sz w:val="19"/>
                <w:szCs w:val="19"/>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line="240" w:lineRule="auto"/>
              <w:jc w:val="center"/>
            </w:pPr>
            <w:r>
              <w:rPr>
                <w:color w:val="4C4747"/>
                <w:spacing w:val="0"/>
                <w:sz w:val="19"/>
                <w:szCs w:val="19"/>
              </w:rPr>
              <w:t>Gestión de Sostenibilidad ambiental</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pacing w:val="0"/>
                <w:sz w:val="19"/>
                <w:szCs w:val="19"/>
              </w:rPr>
            </w:pPr>
            <w:r>
              <w:rPr>
                <w:color w:val="4C4747"/>
                <w:spacing w:val="0"/>
                <w:sz w:val="19"/>
                <w:szCs w:val="19"/>
              </w:rPr>
              <w:t>99.00%</w:t>
            </w:r>
          </w:p>
        </w:tc>
      </w:tr>
      <w:tr w:rsidR="00184CAB">
        <w:tblPrEx>
          <w:tblCellMar>
            <w:top w:w="0" w:type="dxa"/>
            <w:bottom w:w="0" w:type="dxa"/>
          </w:tblCellMar>
        </w:tblPrEx>
        <w:trPr>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184CAB">
            <w:pPr>
              <w:pStyle w:val="Prrafodelista"/>
              <w:numPr>
                <w:ilvl w:val="0"/>
                <w:numId w:val="34"/>
              </w:numPr>
              <w:spacing w:after="0" w:line="240" w:lineRule="auto"/>
              <w:jc w:val="center"/>
              <w:rPr>
                <w:color w:val="4C4747"/>
                <w:spacing w:val="0"/>
                <w:sz w:val="19"/>
                <w:szCs w:val="19"/>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line="240" w:lineRule="auto"/>
              <w:jc w:val="center"/>
            </w:pPr>
            <w:r>
              <w:rPr>
                <w:color w:val="4C4747"/>
                <w:spacing w:val="0"/>
                <w:sz w:val="19"/>
                <w:szCs w:val="19"/>
              </w:rPr>
              <w:t>Participación Social</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pacing w:val="0"/>
                <w:sz w:val="19"/>
                <w:szCs w:val="19"/>
              </w:rPr>
            </w:pPr>
            <w:r>
              <w:rPr>
                <w:color w:val="4C4747"/>
                <w:spacing w:val="0"/>
                <w:sz w:val="19"/>
                <w:szCs w:val="19"/>
              </w:rPr>
              <w:t>96.00%</w:t>
            </w:r>
          </w:p>
        </w:tc>
      </w:tr>
      <w:tr w:rsidR="00184CAB">
        <w:tblPrEx>
          <w:tblCellMar>
            <w:top w:w="0" w:type="dxa"/>
            <w:bottom w:w="0" w:type="dxa"/>
          </w:tblCellMar>
        </w:tblPrEx>
        <w:trPr>
          <w:trHeight w:val="7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184CAB">
            <w:pPr>
              <w:pStyle w:val="Prrafodelista"/>
              <w:numPr>
                <w:ilvl w:val="0"/>
                <w:numId w:val="34"/>
              </w:numPr>
              <w:spacing w:after="0" w:line="240" w:lineRule="auto"/>
              <w:jc w:val="center"/>
              <w:rPr>
                <w:color w:val="4C4747"/>
                <w:spacing w:val="0"/>
                <w:sz w:val="19"/>
                <w:szCs w:val="19"/>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line="240" w:lineRule="auto"/>
              <w:jc w:val="center"/>
            </w:pPr>
            <w:r>
              <w:rPr>
                <w:color w:val="4C4747"/>
                <w:spacing w:val="0"/>
                <w:sz w:val="19"/>
                <w:szCs w:val="19"/>
              </w:rPr>
              <w:t>Cohesión Territorial</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pacing w:val="0"/>
                <w:sz w:val="19"/>
                <w:szCs w:val="19"/>
              </w:rPr>
            </w:pPr>
            <w:r>
              <w:rPr>
                <w:color w:val="4C4747"/>
                <w:spacing w:val="0"/>
                <w:sz w:val="19"/>
                <w:szCs w:val="19"/>
              </w:rPr>
              <w:t>90.00%</w:t>
            </w:r>
          </w:p>
        </w:tc>
      </w:tr>
      <w:tr w:rsidR="00184CAB">
        <w:tblPrEx>
          <w:tblCellMar>
            <w:top w:w="0" w:type="dxa"/>
            <w:bottom w:w="0" w:type="dxa"/>
          </w:tblCellMar>
        </w:tblPrEx>
        <w:trPr>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184CAB">
            <w:pPr>
              <w:pStyle w:val="Prrafodelista"/>
              <w:numPr>
                <w:ilvl w:val="0"/>
                <w:numId w:val="34"/>
              </w:numPr>
              <w:spacing w:after="0" w:line="240" w:lineRule="auto"/>
              <w:jc w:val="center"/>
              <w:rPr>
                <w:color w:val="4C4747"/>
                <w:spacing w:val="0"/>
                <w:sz w:val="19"/>
                <w:szCs w:val="19"/>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line="240" w:lineRule="auto"/>
              <w:jc w:val="center"/>
            </w:pPr>
            <w:r>
              <w:rPr>
                <w:color w:val="4C4747"/>
                <w:spacing w:val="0"/>
                <w:sz w:val="19"/>
                <w:szCs w:val="19"/>
              </w:rPr>
              <w:t>Derechos Humanos</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pacing w:val="0"/>
                <w:sz w:val="19"/>
                <w:szCs w:val="19"/>
              </w:rPr>
            </w:pPr>
            <w:r>
              <w:rPr>
                <w:color w:val="4C4747"/>
                <w:spacing w:val="0"/>
                <w:sz w:val="19"/>
                <w:szCs w:val="19"/>
              </w:rPr>
              <w:t>82.00%</w:t>
            </w:r>
          </w:p>
        </w:tc>
      </w:tr>
      <w:tr w:rsidR="00184CAB">
        <w:tblPrEx>
          <w:tblCellMar>
            <w:top w:w="0" w:type="dxa"/>
            <w:bottom w:w="0" w:type="dxa"/>
          </w:tblCellMar>
        </w:tblPrEx>
        <w:trPr>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184CAB">
            <w:pPr>
              <w:pStyle w:val="Prrafodelista"/>
              <w:numPr>
                <w:ilvl w:val="0"/>
                <w:numId w:val="34"/>
              </w:numPr>
              <w:spacing w:after="0" w:line="240" w:lineRule="auto"/>
              <w:jc w:val="center"/>
              <w:rPr>
                <w:color w:val="4C4747"/>
                <w:spacing w:val="0"/>
                <w:sz w:val="19"/>
                <w:szCs w:val="19"/>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pacing w:val="0"/>
                <w:sz w:val="19"/>
                <w:szCs w:val="19"/>
              </w:rPr>
            </w:pPr>
            <w:r>
              <w:rPr>
                <w:color w:val="4C4747"/>
                <w:spacing w:val="0"/>
                <w:sz w:val="19"/>
                <w:szCs w:val="19"/>
              </w:rPr>
              <w:t>Gestión Integral de Riesgos</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pacing w:val="0"/>
                <w:sz w:val="19"/>
                <w:szCs w:val="19"/>
              </w:rPr>
            </w:pPr>
            <w:r>
              <w:rPr>
                <w:color w:val="4C4747"/>
                <w:spacing w:val="0"/>
                <w:sz w:val="19"/>
                <w:szCs w:val="19"/>
              </w:rPr>
              <w:t>70.00%</w:t>
            </w:r>
          </w:p>
        </w:tc>
      </w:tr>
      <w:tr w:rsidR="00184CAB">
        <w:tblPrEx>
          <w:tblCellMar>
            <w:top w:w="0" w:type="dxa"/>
            <w:bottom w:w="0" w:type="dxa"/>
          </w:tblCellMar>
        </w:tblPrEx>
        <w:trPr>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184CAB">
            <w:pPr>
              <w:pStyle w:val="Prrafodelista"/>
              <w:numPr>
                <w:ilvl w:val="0"/>
                <w:numId w:val="34"/>
              </w:numPr>
              <w:spacing w:after="0" w:line="240" w:lineRule="auto"/>
              <w:jc w:val="center"/>
              <w:rPr>
                <w:color w:val="4C4747"/>
                <w:spacing w:val="0"/>
                <w:sz w:val="19"/>
                <w:szCs w:val="19"/>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pacing w:val="0"/>
                <w:sz w:val="19"/>
                <w:szCs w:val="19"/>
              </w:rPr>
            </w:pPr>
            <w:r>
              <w:rPr>
                <w:color w:val="4C4747"/>
                <w:spacing w:val="0"/>
                <w:sz w:val="19"/>
                <w:szCs w:val="19"/>
              </w:rPr>
              <w:t>Género</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pacing w:val="0"/>
                <w:sz w:val="19"/>
                <w:szCs w:val="19"/>
              </w:rPr>
            </w:pPr>
            <w:r>
              <w:rPr>
                <w:color w:val="4C4747"/>
                <w:spacing w:val="0"/>
                <w:sz w:val="19"/>
                <w:szCs w:val="19"/>
              </w:rPr>
              <w:t>15.00%</w:t>
            </w:r>
          </w:p>
        </w:tc>
      </w:tr>
      <w:tr w:rsidR="00184CAB">
        <w:tblPrEx>
          <w:tblCellMar>
            <w:top w:w="0" w:type="dxa"/>
            <w:bottom w:w="0" w:type="dxa"/>
          </w:tblCellMar>
        </w:tblPrEx>
        <w:trPr>
          <w:jc w:val="center"/>
        </w:trPr>
        <w:tc>
          <w:tcPr>
            <w:tcW w:w="5098" w:type="dxa"/>
            <w:gridSpan w:val="2"/>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pacing w:val="0"/>
                <w:sz w:val="19"/>
                <w:szCs w:val="19"/>
              </w:rPr>
            </w:pPr>
            <w:r>
              <w:rPr>
                <w:b/>
                <w:color w:val="FFFFFF"/>
                <w:spacing w:val="0"/>
                <w:sz w:val="19"/>
                <w:szCs w:val="19"/>
              </w:rPr>
              <w:t>Estado actual del índice</w:t>
            </w:r>
          </w:p>
        </w:tc>
        <w:tc>
          <w:tcPr>
            <w:tcW w:w="2694"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pacing w:val="0"/>
                <w:sz w:val="19"/>
                <w:szCs w:val="19"/>
              </w:rPr>
            </w:pPr>
            <w:r>
              <w:rPr>
                <w:b/>
                <w:color w:val="FFFFFF"/>
                <w:spacing w:val="0"/>
                <w:sz w:val="19"/>
                <w:szCs w:val="19"/>
              </w:rPr>
              <w:t>75.33%</w:t>
            </w:r>
          </w:p>
        </w:tc>
      </w:tr>
    </w:tbl>
    <w:p w:rsidR="00184CAB" w:rsidRDefault="002B1930">
      <w:pPr>
        <w:spacing w:line="240" w:lineRule="auto"/>
        <w:jc w:val="both"/>
        <w:rPr>
          <w:i/>
          <w:color w:val="4C4747"/>
          <w:sz w:val="18"/>
          <w:szCs w:val="18"/>
        </w:rPr>
      </w:pPr>
      <w:r>
        <w:rPr>
          <w:i/>
          <w:color w:val="4C4747"/>
          <w:sz w:val="18"/>
          <w:szCs w:val="18"/>
        </w:rPr>
        <w:t xml:space="preserve">Fuente: Informe correspondiente al </w:t>
      </w:r>
      <w:r>
        <w:rPr>
          <w:i/>
          <w:color w:val="4C4747"/>
          <w:sz w:val="18"/>
          <w:szCs w:val="18"/>
        </w:rPr>
        <w:t>periodo anual 2025, División de Calidad en la Gestión, Dirección de Planificación y Desarrollo.</w:t>
      </w:r>
    </w:p>
    <w:p w:rsidR="00184CAB" w:rsidRDefault="00184CAB">
      <w:pPr>
        <w:spacing w:line="360" w:lineRule="auto"/>
        <w:jc w:val="both"/>
        <w:rPr>
          <w:b/>
          <w:color w:val="4C4747"/>
        </w:rPr>
      </w:pPr>
    </w:p>
    <w:p w:rsidR="00184CAB" w:rsidRDefault="002B1930">
      <w:pPr>
        <w:spacing w:line="360" w:lineRule="auto"/>
        <w:jc w:val="both"/>
      </w:pPr>
      <w:r>
        <w:rPr>
          <w:b/>
          <w:color w:val="4C4747"/>
        </w:rPr>
        <w:t xml:space="preserve">Gestión del Sistema de Desarrollo institucional. </w:t>
      </w:r>
      <w:r>
        <w:rPr>
          <w:color w:val="4C4747"/>
        </w:rPr>
        <w:t>Con el objetivo de asegurar la implementación de procesos documentales y de organización estructural, la Divis</w:t>
      </w:r>
      <w:r>
        <w:rPr>
          <w:color w:val="4C4747"/>
        </w:rPr>
        <w:t>ión de Desarrollo Institucional, llevo a cabo la realización de las siguientes acciones:</w:t>
      </w:r>
    </w:p>
    <w:p w:rsidR="00184CAB" w:rsidRDefault="002B1930">
      <w:pPr>
        <w:spacing w:line="360" w:lineRule="auto"/>
        <w:jc w:val="both"/>
      </w:pPr>
      <w:r>
        <w:rPr>
          <w:b/>
          <w:color w:val="4C4747"/>
        </w:rPr>
        <w:t xml:space="preserve">Resultados de la Gestión Documental: </w:t>
      </w:r>
      <w:r>
        <w:rPr>
          <w:color w:val="4C4747"/>
        </w:rPr>
        <w:t>Se trabajó arduamente para organizar modificar la estructura documental del ministerio, teniendo como resultado un total de ciento</w:t>
      </w:r>
      <w:r>
        <w:rPr>
          <w:color w:val="4C4747"/>
        </w:rPr>
        <w:t xml:space="preserve"> nueve (109) documentaciones debidamente aprobadas y socializadas, según se muestra a continuación: </w:t>
      </w:r>
    </w:p>
    <w:tbl>
      <w:tblPr>
        <w:tblW w:w="7933" w:type="dxa"/>
        <w:jc w:val="center"/>
        <w:tblCellMar>
          <w:left w:w="10" w:type="dxa"/>
          <w:right w:w="10" w:type="dxa"/>
        </w:tblCellMar>
        <w:tblLook w:val="0000" w:firstRow="0" w:lastRow="0" w:firstColumn="0" w:lastColumn="0" w:noHBand="0" w:noVBand="0"/>
      </w:tblPr>
      <w:tblGrid>
        <w:gridCol w:w="4673"/>
        <w:gridCol w:w="1885"/>
        <w:gridCol w:w="1375"/>
      </w:tblGrid>
      <w:tr w:rsidR="00184CAB">
        <w:tblPrEx>
          <w:tblCellMar>
            <w:top w:w="0" w:type="dxa"/>
            <w:bottom w:w="0" w:type="dxa"/>
          </w:tblCellMar>
        </w:tblPrEx>
        <w:trPr>
          <w:tblHeader/>
          <w:jc w:val="center"/>
        </w:trPr>
        <w:tc>
          <w:tcPr>
            <w:tcW w:w="7933" w:type="dxa"/>
            <w:gridSpan w:val="3"/>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lang w:val="es-ES"/>
              </w:rPr>
            </w:pPr>
            <w:bookmarkStart w:id="125" w:name="_Hlk217035187"/>
            <w:r>
              <w:rPr>
                <w:b/>
                <w:color w:val="FFFFFF"/>
                <w:sz w:val="19"/>
                <w:szCs w:val="19"/>
                <w:lang w:val="es-ES"/>
              </w:rPr>
              <w:lastRenderedPageBreak/>
              <w:t>Tabla no. 32 Procesos documentales institucionales realizados durante el periodo anual 2025</w:t>
            </w:r>
          </w:p>
        </w:tc>
      </w:tr>
      <w:tr w:rsidR="00184CAB">
        <w:tblPrEx>
          <w:tblCellMar>
            <w:top w:w="0" w:type="dxa"/>
            <w:bottom w:w="0" w:type="dxa"/>
          </w:tblCellMar>
        </w:tblPrEx>
        <w:trPr>
          <w:tblHeader/>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Tipo de documentos</w:t>
            </w:r>
          </w:p>
        </w:tc>
        <w:tc>
          <w:tcPr>
            <w:tcW w:w="188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Estatus</w:t>
            </w:r>
          </w:p>
        </w:tc>
        <w:tc>
          <w:tcPr>
            <w:tcW w:w="137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Total</w:t>
            </w:r>
          </w:p>
        </w:tc>
      </w:tr>
      <w:tr w:rsidR="00184CAB">
        <w:tblPrEx>
          <w:tblCellMar>
            <w:top w:w="0" w:type="dxa"/>
            <w:bottom w:w="0" w:type="dxa"/>
          </w:tblCellMar>
        </w:tblPrEx>
        <w:trPr>
          <w:tblHeader/>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Manual</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Aprobado</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5</w:t>
            </w:r>
          </w:p>
        </w:tc>
      </w:tr>
      <w:tr w:rsidR="00184CAB">
        <w:tblPrEx>
          <w:tblCellMar>
            <w:top w:w="0" w:type="dxa"/>
            <w:bottom w:w="0" w:type="dxa"/>
          </w:tblCellMar>
        </w:tblPrEx>
        <w:trPr>
          <w:tblHeader/>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Política</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Aprobado</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3</w:t>
            </w:r>
          </w:p>
        </w:tc>
      </w:tr>
      <w:tr w:rsidR="00184CAB">
        <w:tblPrEx>
          <w:tblCellMar>
            <w:top w:w="0" w:type="dxa"/>
            <w:bottom w:w="0" w:type="dxa"/>
          </w:tblCellMar>
        </w:tblPrEx>
        <w:trPr>
          <w:tblHeader/>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Procedimiento</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Aprobado</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19</w:t>
            </w:r>
          </w:p>
        </w:tc>
      </w:tr>
      <w:tr w:rsidR="00184CAB">
        <w:tblPrEx>
          <w:tblCellMar>
            <w:top w:w="0" w:type="dxa"/>
            <w:bottom w:w="0" w:type="dxa"/>
          </w:tblCellMar>
        </w:tblPrEx>
        <w:trPr>
          <w:tblHeader/>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Plan</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Aprobado</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8</w:t>
            </w:r>
          </w:p>
        </w:tc>
      </w:tr>
      <w:tr w:rsidR="00184CAB">
        <w:tblPrEx>
          <w:tblCellMar>
            <w:top w:w="0" w:type="dxa"/>
            <w:bottom w:w="0" w:type="dxa"/>
          </w:tblCellMar>
        </w:tblPrEx>
        <w:trPr>
          <w:tblHeader/>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Protocolo</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Aprobado</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1</w:t>
            </w:r>
          </w:p>
        </w:tc>
      </w:tr>
      <w:tr w:rsidR="00184CAB">
        <w:tblPrEx>
          <w:tblCellMar>
            <w:top w:w="0" w:type="dxa"/>
            <w:bottom w:w="0" w:type="dxa"/>
          </w:tblCellMar>
        </w:tblPrEx>
        <w:trPr>
          <w:tblHeader/>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Instructivo</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Aprobado</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1</w:t>
            </w:r>
          </w:p>
        </w:tc>
      </w:tr>
      <w:tr w:rsidR="00184CAB">
        <w:tblPrEx>
          <w:tblCellMar>
            <w:top w:w="0" w:type="dxa"/>
            <w:bottom w:w="0" w:type="dxa"/>
          </w:tblCellMar>
        </w:tblPrEx>
        <w:trPr>
          <w:tblHeader/>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Formulario</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Aprobado</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37</w:t>
            </w:r>
          </w:p>
        </w:tc>
      </w:tr>
      <w:tr w:rsidR="00184CAB">
        <w:tblPrEx>
          <w:tblCellMar>
            <w:top w:w="0" w:type="dxa"/>
            <w:bottom w:w="0" w:type="dxa"/>
          </w:tblCellMar>
        </w:tblPrEx>
        <w:trPr>
          <w:tblHeader/>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Minuta</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Aprobado</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3</w:t>
            </w:r>
          </w:p>
        </w:tc>
      </w:tr>
      <w:tr w:rsidR="00184CAB">
        <w:tblPrEx>
          <w:tblCellMar>
            <w:top w:w="0" w:type="dxa"/>
            <w:bottom w:w="0" w:type="dxa"/>
          </w:tblCellMar>
        </w:tblPrEx>
        <w:trPr>
          <w:tblHeader/>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Matriz</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Aprobado</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18</w:t>
            </w:r>
          </w:p>
        </w:tc>
      </w:tr>
      <w:tr w:rsidR="00184CAB">
        <w:tblPrEx>
          <w:tblCellMar>
            <w:top w:w="0" w:type="dxa"/>
            <w:bottom w:w="0" w:type="dxa"/>
          </w:tblCellMar>
        </w:tblPrEx>
        <w:trPr>
          <w:tblHeader/>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Reporte</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Aprobado</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4</w:t>
            </w:r>
          </w:p>
        </w:tc>
      </w:tr>
      <w:tr w:rsidR="00184CAB">
        <w:tblPrEx>
          <w:tblCellMar>
            <w:top w:w="0" w:type="dxa"/>
            <w:bottom w:w="0" w:type="dxa"/>
          </w:tblCellMar>
        </w:tblPrEx>
        <w:trPr>
          <w:tblHeader/>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Listado</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Aprobado</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3</w:t>
            </w:r>
          </w:p>
        </w:tc>
      </w:tr>
      <w:tr w:rsidR="00184CAB">
        <w:tblPrEx>
          <w:tblCellMar>
            <w:top w:w="0" w:type="dxa"/>
            <w:bottom w:w="0" w:type="dxa"/>
          </w:tblCellMar>
        </w:tblPrEx>
        <w:trPr>
          <w:tblHeader/>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Registro/Guías</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Aprobado</w:t>
            </w:r>
          </w:p>
        </w:tc>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184CAB" w:rsidRDefault="002B1930">
            <w:pPr>
              <w:spacing w:after="0" w:line="240" w:lineRule="auto"/>
              <w:jc w:val="center"/>
            </w:pPr>
            <w:r>
              <w:rPr>
                <w:color w:val="4B4747"/>
                <w:sz w:val="19"/>
                <w:szCs w:val="19"/>
                <w:lang w:eastAsia="es-ES"/>
              </w:rPr>
              <w:t>7</w:t>
            </w:r>
          </w:p>
        </w:tc>
      </w:tr>
      <w:tr w:rsidR="00184CAB">
        <w:tblPrEx>
          <w:tblCellMar>
            <w:top w:w="0" w:type="dxa"/>
            <w:bottom w:w="0" w:type="dxa"/>
          </w:tblCellMar>
        </w:tblPrEx>
        <w:trPr>
          <w:tblHeader/>
          <w:jc w:val="center"/>
        </w:trPr>
        <w:tc>
          <w:tcPr>
            <w:tcW w:w="6558" w:type="dxa"/>
            <w:gridSpan w:val="2"/>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right"/>
              <w:rPr>
                <w:b/>
                <w:color w:val="FFFFFF"/>
                <w:sz w:val="19"/>
                <w:szCs w:val="19"/>
              </w:rPr>
            </w:pPr>
            <w:r>
              <w:rPr>
                <w:b/>
                <w:color w:val="FFFFFF"/>
                <w:sz w:val="19"/>
                <w:szCs w:val="19"/>
              </w:rPr>
              <w:t>TOTAL</w:t>
            </w:r>
          </w:p>
        </w:tc>
        <w:tc>
          <w:tcPr>
            <w:tcW w:w="137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109</w:t>
            </w:r>
          </w:p>
        </w:tc>
      </w:tr>
    </w:tbl>
    <w:bookmarkEnd w:id="125"/>
    <w:p w:rsidR="00184CAB" w:rsidRDefault="002B1930">
      <w:pPr>
        <w:spacing w:line="240" w:lineRule="auto"/>
        <w:rPr>
          <w:i/>
          <w:color w:val="4C4747"/>
          <w:sz w:val="18"/>
          <w:szCs w:val="18"/>
        </w:rPr>
      </w:pPr>
      <w:r>
        <w:rPr>
          <w:i/>
          <w:color w:val="4C4747"/>
          <w:sz w:val="18"/>
          <w:szCs w:val="18"/>
        </w:rPr>
        <w:t xml:space="preserve">Fuente: </w:t>
      </w:r>
      <w:r>
        <w:rPr>
          <w:i/>
          <w:color w:val="4C4747"/>
          <w:sz w:val="18"/>
          <w:szCs w:val="18"/>
        </w:rPr>
        <w:t>Informe correspondiente anual 2025, División de Desarrollo Institucional, Dirección de Planificación y Desarrollo MAPRE</w:t>
      </w:r>
    </w:p>
    <w:p w:rsidR="00184CAB" w:rsidRDefault="002B1930">
      <w:pPr>
        <w:spacing w:line="360" w:lineRule="auto"/>
        <w:jc w:val="both"/>
      </w:pPr>
      <w:r>
        <w:rPr>
          <w:b/>
          <w:color w:val="4C4747"/>
        </w:rPr>
        <w:t xml:space="preserve">Estructura Organizativa: </w:t>
      </w:r>
      <w:r>
        <w:rPr>
          <w:color w:val="4C4747"/>
          <w:lang w:val="es-ES"/>
        </w:rPr>
        <w:t xml:space="preserve">Con el objetivo de fortalecer la organización estructural del MAPRE, durante el año 2025, en colaboración con </w:t>
      </w:r>
      <w:r>
        <w:rPr>
          <w:color w:val="4C4747"/>
          <w:lang w:val="es-ES"/>
        </w:rPr>
        <w:t xml:space="preserve">el Ministerio de Administración Pública (MAP), se aprobó la actualización de la Estructura Organizativa, mediante la </w:t>
      </w:r>
      <w:r>
        <w:rPr>
          <w:b/>
          <w:color w:val="4C4747"/>
          <w:lang w:val="es-ES"/>
        </w:rPr>
        <w:t>Resolución núm. MAPRE-03-2025</w:t>
      </w:r>
      <w:r>
        <w:rPr>
          <w:color w:val="4C4747"/>
          <w:lang w:val="es-ES"/>
        </w:rPr>
        <w:t xml:space="preserve"> que incorpora cambios en la jerarquía y nomenclaturas de varias áreas operativas del MAPRE, para lograr la co</w:t>
      </w:r>
      <w:r>
        <w:rPr>
          <w:color w:val="4C4747"/>
          <w:lang w:val="es-ES"/>
        </w:rPr>
        <w:t>rrecta operatividad y funcionamiento del Ministerio Administrativo de la Presidencia.</w:t>
      </w:r>
    </w:p>
    <w:p w:rsidR="00184CAB" w:rsidRDefault="002B1930">
      <w:pPr>
        <w:spacing w:line="360" w:lineRule="auto"/>
        <w:jc w:val="both"/>
      </w:pPr>
      <w:r>
        <w:rPr>
          <w:color w:val="4C4747"/>
        </w:rPr>
        <w:t xml:space="preserve">Consecuentemente, se encuentra en proceso de evaluación interna el </w:t>
      </w:r>
      <w:r>
        <w:rPr>
          <w:b/>
          <w:color w:val="4C4747"/>
        </w:rPr>
        <w:t>Manual de Organización y Funciones (MOF)</w:t>
      </w:r>
      <w:r>
        <w:rPr>
          <w:color w:val="4C4747"/>
        </w:rPr>
        <w:t xml:space="preserve"> a los fines de que pueda existir en coherencia con los cambios</w:t>
      </w:r>
      <w:r>
        <w:rPr>
          <w:color w:val="4C4747"/>
        </w:rPr>
        <w:t xml:space="preserve"> realizados y asegurar el logro de la misión institucional dispuesta en la Planificación Estratégica para el cuatrienio 2025-2028.</w:t>
      </w:r>
    </w:p>
    <w:p w:rsidR="00184CAB" w:rsidRDefault="00184CAB">
      <w:pPr>
        <w:spacing w:line="360" w:lineRule="auto"/>
        <w:jc w:val="both"/>
        <w:rPr>
          <w:b/>
          <w:color w:val="4B4747"/>
        </w:rPr>
      </w:pPr>
    </w:p>
    <w:p w:rsidR="00184CAB" w:rsidRDefault="002B1930">
      <w:pPr>
        <w:spacing w:line="360" w:lineRule="auto"/>
        <w:jc w:val="both"/>
        <w:rPr>
          <w:b/>
          <w:color w:val="4B4747"/>
        </w:rPr>
      </w:pPr>
      <w:r>
        <w:rPr>
          <w:b/>
          <w:color w:val="4B4747"/>
        </w:rPr>
        <w:t>Proyecciones para cierre de año:</w:t>
      </w:r>
    </w:p>
    <w:p w:rsidR="00184CAB" w:rsidRDefault="002B1930">
      <w:pPr>
        <w:spacing w:line="360" w:lineRule="auto"/>
        <w:jc w:val="both"/>
        <w:rPr>
          <w:color w:val="4B4747"/>
          <w:lang w:val="es-DO"/>
        </w:rPr>
      </w:pPr>
      <w:r>
        <w:rPr>
          <w:color w:val="4B4747"/>
          <w:lang w:val="es-DO"/>
        </w:rPr>
        <w:t>El año 2025 constituye un período de consolidación para el Sistema de Planificación Institu</w:t>
      </w:r>
      <w:r>
        <w:rPr>
          <w:color w:val="4B4747"/>
          <w:lang w:val="es-DO"/>
        </w:rPr>
        <w:t xml:space="preserve">cional del MAPRE. Con un cumplimiento proyectado del POA que supera el 91% al cierre de diciembre, la actualización integral de documentos de gestión, la integración de </w:t>
      </w:r>
      <w:r>
        <w:rPr>
          <w:color w:val="4B4747"/>
          <w:lang w:val="es-DO"/>
        </w:rPr>
        <w:lastRenderedPageBreak/>
        <w:t>políticas transversales y la alineación estratégica al PEI 2025–2028, la institución av</w:t>
      </w:r>
      <w:r>
        <w:rPr>
          <w:color w:val="4B4747"/>
          <w:lang w:val="es-DO"/>
        </w:rPr>
        <w:t>anza hacia una mayor madurez operativa y organizacional.</w:t>
      </w:r>
    </w:p>
    <w:p w:rsidR="00184CAB" w:rsidRDefault="002B1930">
      <w:pPr>
        <w:spacing w:line="360" w:lineRule="auto"/>
        <w:jc w:val="both"/>
        <w:rPr>
          <w:color w:val="4B4747"/>
          <w:lang w:val="es-DO"/>
        </w:rPr>
      </w:pPr>
      <w:r>
        <w:rPr>
          <w:color w:val="4B4747"/>
          <w:lang w:val="es-DO"/>
        </w:rPr>
        <w:t>La proyección de cierre evidencia una gestión planificada, ordenada y orientada a resultados, garantizando coherencia entre los planes institucionales, el uso de recursos y los compromisos presidenci</w:t>
      </w:r>
      <w:r>
        <w:rPr>
          <w:color w:val="4B4747"/>
          <w:lang w:val="es-DO"/>
        </w:rPr>
        <w:t>ales, lo que fortalece el desempeño global del MAPRE y su capacidad de respuesta frente a las prioridades gubernamentales.</w:t>
      </w:r>
    </w:p>
    <w:p w:rsidR="00184CAB" w:rsidRDefault="00184CAB">
      <w:pPr>
        <w:spacing w:line="360" w:lineRule="auto"/>
        <w:jc w:val="both"/>
        <w:rPr>
          <w:color w:val="4B4747"/>
          <w:lang w:val="es-DO"/>
        </w:rPr>
      </w:pPr>
    </w:p>
    <w:p w:rsidR="00184CAB" w:rsidRDefault="002B1930">
      <w:pPr>
        <w:pStyle w:val="Ttulo2"/>
        <w:numPr>
          <w:ilvl w:val="1"/>
          <w:numId w:val="23"/>
        </w:numPr>
        <w:spacing w:line="360" w:lineRule="auto"/>
        <w:rPr>
          <w:rFonts w:eastAsia="Calibri"/>
          <w:b/>
          <w:color w:val="4C4747"/>
          <w:szCs w:val="24"/>
        </w:rPr>
      </w:pPr>
      <w:bookmarkStart w:id="126" w:name="_Toc217043965"/>
      <w:bookmarkStart w:id="127" w:name="_Toc217907935"/>
      <w:bookmarkStart w:id="128" w:name="_Toc217914435"/>
      <w:r>
        <w:rPr>
          <w:rFonts w:eastAsia="Calibri"/>
          <w:b/>
          <w:color w:val="4C4747"/>
          <w:szCs w:val="24"/>
        </w:rPr>
        <w:t>Desempeño de la Dirección de Comunicaciones</w:t>
      </w:r>
      <w:bookmarkEnd w:id="126"/>
      <w:bookmarkEnd w:id="127"/>
      <w:bookmarkEnd w:id="128"/>
    </w:p>
    <w:p w:rsidR="00184CAB" w:rsidRDefault="00184CAB">
      <w:pPr>
        <w:spacing w:line="360" w:lineRule="auto"/>
        <w:jc w:val="both"/>
        <w:rPr>
          <w:color w:val="4C4747"/>
        </w:rPr>
      </w:pPr>
    </w:p>
    <w:p w:rsidR="00184CAB" w:rsidRDefault="002B1930">
      <w:pPr>
        <w:spacing w:line="360" w:lineRule="auto"/>
        <w:jc w:val="both"/>
      </w:pPr>
      <w:r>
        <w:rPr>
          <w:color w:val="4C4747"/>
        </w:rPr>
        <w:t>El presente recoge las acciones realizadas y logros alcanzados por la Dirección de Comu</w:t>
      </w:r>
      <w:r>
        <w:rPr>
          <w:color w:val="4C4747"/>
        </w:rPr>
        <w:t xml:space="preserve">nicaciones periodo anual del 2025, </w:t>
      </w:r>
      <w:r>
        <w:rPr>
          <w:color w:val="4C4747"/>
          <w:lang w:val="es-DO"/>
        </w:rPr>
        <w:t>en cumplimiento a las estrategias que propician la construcción y fortalecimiento de una comunicación eficiente y de calidad, proactiva e innovadora.</w:t>
      </w:r>
    </w:p>
    <w:p w:rsidR="00184CAB" w:rsidRDefault="002B1930">
      <w:pPr>
        <w:spacing w:line="360" w:lineRule="auto"/>
        <w:jc w:val="both"/>
        <w:rPr>
          <w:color w:val="4C4747"/>
        </w:rPr>
      </w:pPr>
      <w:r>
        <w:rPr>
          <w:color w:val="4C4747"/>
        </w:rPr>
        <w:t>En interés de transmitir de manera oportuna y transparente las ejecutor</w:t>
      </w:r>
      <w:r>
        <w:rPr>
          <w:color w:val="4C4747"/>
        </w:rPr>
        <w:t>ias institucionales, la Dirección de Comunicaciones ha desplegado una intensa labor de promoción e información a los ciudadanos a través de la página web institucional, redes sociales, notas y ruedas de prensa.</w:t>
      </w:r>
    </w:p>
    <w:p w:rsidR="00184CAB" w:rsidRDefault="002B1930">
      <w:pPr>
        <w:spacing w:line="360" w:lineRule="auto"/>
        <w:jc w:val="both"/>
      </w:pPr>
      <w:r>
        <w:rPr>
          <w:b/>
          <w:bCs/>
          <w:color w:val="4C4747"/>
          <w:lang w:val="es-DO"/>
        </w:rPr>
        <w:t xml:space="preserve">Gestión de Prensa: </w:t>
      </w:r>
      <w:r>
        <w:rPr>
          <w:color w:val="4C4747"/>
          <w:lang w:val="es-DO"/>
        </w:rPr>
        <w:t>Fueron realizadas cobertur</w:t>
      </w:r>
      <w:r>
        <w:rPr>
          <w:color w:val="4C4747"/>
          <w:lang w:val="es-DO"/>
        </w:rPr>
        <w:t xml:space="preserve">as internas y externas con su respectiva nota prensa o nota informativa relacionadas a las actividades presididas por la autoridad máxima de este ministerio, así como también, viceministros, directores, encargados de áreas y coordinadores. </w:t>
      </w:r>
    </w:p>
    <w:p w:rsidR="00184CAB" w:rsidRDefault="00184CAB">
      <w:pPr>
        <w:spacing w:line="360" w:lineRule="auto"/>
        <w:jc w:val="both"/>
      </w:pPr>
    </w:p>
    <w:p w:rsidR="00184CAB" w:rsidRDefault="002B1930">
      <w:pPr>
        <w:spacing w:line="360" w:lineRule="auto"/>
        <w:jc w:val="both"/>
        <w:rPr>
          <w:color w:val="4C4747"/>
          <w:lang w:val="es-DO"/>
        </w:rPr>
      </w:pPr>
      <w:r>
        <w:rPr>
          <w:color w:val="4C4747"/>
          <w:lang w:val="es-DO"/>
        </w:rPr>
        <w:lastRenderedPageBreak/>
        <w:t xml:space="preserve">Las notas de </w:t>
      </w:r>
      <w:r>
        <w:rPr>
          <w:color w:val="4C4747"/>
          <w:lang w:val="es-DO"/>
        </w:rPr>
        <w:t xml:space="preserve">prensa o notas informativas publicadas en el </w:t>
      </w:r>
      <w:proofErr w:type="spellStart"/>
      <w:r>
        <w:rPr>
          <w:color w:val="4C4747"/>
          <w:lang w:val="es-DO"/>
        </w:rPr>
        <w:t>website</w:t>
      </w:r>
      <w:proofErr w:type="spellEnd"/>
      <w:r>
        <w:rPr>
          <w:color w:val="4C4747"/>
          <w:lang w:val="es-DO"/>
        </w:rPr>
        <w:t xml:space="preserve"> institucional y distribuidas en los diferentes medios de comunicación social, impresos y digitales, describen el desarrollo de una agenda ministerial versátil. A continuación, se presenta un resumen de l</w:t>
      </w:r>
      <w:r>
        <w:rPr>
          <w:color w:val="4C4747"/>
          <w:lang w:val="es-DO"/>
        </w:rPr>
        <w:t>as publicaciones generadas en el periodo anual 2025:</w:t>
      </w:r>
    </w:p>
    <w:tbl>
      <w:tblPr>
        <w:tblW w:w="7938" w:type="dxa"/>
        <w:tblInd w:w="-5" w:type="dxa"/>
        <w:tblLayout w:type="fixed"/>
        <w:tblCellMar>
          <w:left w:w="10" w:type="dxa"/>
          <w:right w:w="10" w:type="dxa"/>
        </w:tblCellMar>
        <w:tblLook w:val="0000" w:firstRow="0" w:lastRow="0" w:firstColumn="0" w:lastColumn="0" w:noHBand="0" w:noVBand="0"/>
      </w:tblPr>
      <w:tblGrid>
        <w:gridCol w:w="4085"/>
        <w:gridCol w:w="3853"/>
      </w:tblGrid>
      <w:tr w:rsidR="00184CAB">
        <w:tblPrEx>
          <w:tblCellMar>
            <w:top w:w="0" w:type="dxa"/>
            <w:bottom w:w="0" w:type="dxa"/>
          </w:tblCellMar>
        </w:tblPrEx>
        <w:trPr>
          <w:trHeight w:val="493"/>
          <w:tblHeader/>
        </w:trPr>
        <w:tc>
          <w:tcPr>
            <w:tcW w:w="7938" w:type="dxa"/>
            <w:gridSpan w:val="2"/>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Tabla no. 34 sobre relación de Notas de prensa enviadas a medios de comunicación durante el Periodo anual 2025</w:t>
            </w:r>
          </w:p>
        </w:tc>
      </w:tr>
      <w:tr w:rsidR="00184CAB">
        <w:tblPrEx>
          <w:tblCellMar>
            <w:top w:w="0" w:type="dxa"/>
            <w:bottom w:w="0" w:type="dxa"/>
          </w:tblCellMar>
        </w:tblPrEx>
        <w:trPr>
          <w:tblHeader/>
        </w:trPr>
        <w:tc>
          <w:tcPr>
            <w:tcW w:w="4085" w:type="dxa"/>
            <w:tcBorders>
              <w:top w:val="single" w:sz="4" w:space="0" w:color="000000"/>
              <w:left w:val="single" w:sz="4" w:space="0" w:color="000000"/>
              <w:bottom w:val="single" w:sz="18" w:space="0" w:color="323E4F"/>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Mes</w:t>
            </w:r>
          </w:p>
        </w:tc>
        <w:tc>
          <w:tcPr>
            <w:tcW w:w="3853" w:type="dxa"/>
            <w:tcBorders>
              <w:top w:val="single" w:sz="4" w:space="0" w:color="000000"/>
              <w:left w:val="single" w:sz="4" w:space="0" w:color="000000"/>
              <w:bottom w:val="single" w:sz="18" w:space="0" w:color="323E4F"/>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Total</w:t>
            </w:r>
          </w:p>
        </w:tc>
      </w:tr>
      <w:tr w:rsidR="00184CAB">
        <w:tblPrEx>
          <w:tblCellMar>
            <w:top w:w="0" w:type="dxa"/>
            <w:bottom w:w="0" w:type="dxa"/>
          </w:tblCellMar>
        </w:tblPrEx>
        <w:tc>
          <w:tcPr>
            <w:tcW w:w="4085" w:type="dxa"/>
            <w:tcBorders>
              <w:top w:val="single" w:sz="18" w:space="0" w:color="323E4F"/>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Enero</w:t>
            </w:r>
          </w:p>
        </w:tc>
        <w:tc>
          <w:tcPr>
            <w:tcW w:w="3853" w:type="dxa"/>
            <w:tcBorders>
              <w:top w:val="single" w:sz="18" w:space="0" w:color="323E4F"/>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3</w:t>
            </w:r>
          </w:p>
        </w:tc>
      </w:tr>
      <w:tr w:rsidR="00184CAB">
        <w:tblPrEx>
          <w:tblCellMar>
            <w:top w:w="0" w:type="dxa"/>
            <w:bottom w:w="0" w:type="dxa"/>
          </w:tblCellMar>
        </w:tblPrEx>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Febrero</w:t>
            </w:r>
          </w:p>
        </w:tc>
        <w:tc>
          <w:tcPr>
            <w:tcW w:w="3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3</w:t>
            </w:r>
          </w:p>
        </w:tc>
      </w:tr>
      <w:tr w:rsidR="00184CAB">
        <w:tblPrEx>
          <w:tblCellMar>
            <w:top w:w="0" w:type="dxa"/>
            <w:bottom w:w="0" w:type="dxa"/>
          </w:tblCellMar>
        </w:tblPrEx>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Marzo</w:t>
            </w:r>
          </w:p>
        </w:tc>
        <w:tc>
          <w:tcPr>
            <w:tcW w:w="3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3</w:t>
            </w:r>
          </w:p>
        </w:tc>
      </w:tr>
      <w:tr w:rsidR="00184CAB">
        <w:tblPrEx>
          <w:tblCellMar>
            <w:top w:w="0" w:type="dxa"/>
            <w:bottom w:w="0" w:type="dxa"/>
          </w:tblCellMar>
        </w:tblPrEx>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Abril</w:t>
            </w:r>
          </w:p>
        </w:tc>
        <w:tc>
          <w:tcPr>
            <w:tcW w:w="3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3</w:t>
            </w:r>
          </w:p>
        </w:tc>
      </w:tr>
      <w:tr w:rsidR="00184CAB">
        <w:tblPrEx>
          <w:tblCellMar>
            <w:top w:w="0" w:type="dxa"/>
            <w:bottom w:w="0" w:type="dxa"/>
          </w:tblCellMar>
        </w:tblPrEx>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Mayo</w:t>
            </w:r>
          </w:p>
        </w:tc>
        <w:tc>
          <w:tcPr>
            <w:tcW w:w="3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1</w:t>
            </w:r>
          </w:p>
        </w:tc>
      </w:tr>
      <w:tr w:rsidR="00184CAB">
        <w:tblPrEx>
          <w:tblCellMar>
            <w:top w:w="0" w:type="dxa"/>
            <w:bottom w:w="0" w:type="dxa"/>
          </w:tblCellMar>
        </w:tblPrEx>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Junio</w:t>
            </w:r>
          </w:p>
        </w:tc>
        <w:tc>
          <w:tcPr>
            <w:tcW w:w="3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1</w:t>
            </w:r>
          </w:p>
        </w:tc>
      </w:tr>
      <w:tr w:rsidR="00184CAB">
        <w:tblPrEx>
          <w:tblCellMar>
            <w:top w:w="0" w:type="dxa"/>
            <w:bottom w:w="0" w:type="dxa"/>
          </w:tblCellMar>
        </w:tblPrEx>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Julio</w:t>
            </w:r>
          </w:p>
        </w:tc>
        <w:tc>
          <w:tcPr>
            <w:tcW w:w="3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4</w:t>
            </w:r>
          </w:p>
        </w:tc>
      </w:tr>
      <w:tr w:rsidR="00184CAB">
        <w:tblPrEx>
          <w:tblCellMar>
            <w:top w:w="0" w:type="dxa"/>
            <w:bottom w:w="0" w:type="dxa"/>
          </w:tblCellMar>
        </w:tblPrEx>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Agosto</w:t>
            </w:r>
          </w:p>
        </w:tc>
        <w:tc>
          <w:tcPr>
            <w:tcW w:w="3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5</w:t>
            </w:r>
          </w:p>
        </w:tc>
      </w:tr>
      <w:tr w:rsidR="00184CAB">
        <w:tblPrEx>
          <w:tblCellMar>
            <w:top w:w="0" w:type="dxa"/>
            <w:bottom w:w="0" w:type="dxa"/>
          </w:tblCellMar>
        </w:tblPrEx>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Septiembre</w:t>
            </w:r>
          </w:p>
        </w:tc>
        <w:tc>
          <w:tcPr>
            <w:tcW w:w="3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1</w:t>
            </w:r>
          </w:p>
        </w:tc>
      </w:tr>
      <w:tr w:rsidR="00184CAB">
        <w:tblPrEx>
          <w:tblCellMar>
            <w:top w:w="0" w:type="dxa"/>
            <w:bottom w:w="0" w:type="dxa"/>
          </w:tblCellMar>
        </w:tblPrEx>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Octubre</w:t>
            </w:r>
          </w:p>
        </w:tc>
        <w:tc>
          <w:tcPr>
            <w:tcW w:w="3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2</w:t>
            </w:r>
          </w:p>
        </w:tc>
      </w:tr>
      <w:tr w:rsidR="00184CAB">
        <w:tblPrEx>
          <w:tblCellMar>
            <w:top w:w="0" w:type="dxa"/>
            <w:bottom w:w="0" w:type="dxa"/>
          </w:tblCellMar>
        </w:tblPrEx>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Noviembre</w:t>
            </w:r>
          </w:p>
        </w:tc>
        <w:tc>
          <w:tcPr>
            <w:tcW w:w="3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7</w:t>
            </w:r>
          </w:p>
        </w:tc>
      </w:tr>
      <w:tr w:rsidR="00184CAB">
        <w:tblPrEx>
          <w:tblCellMar>
            <w:top w:w="0" w:type="dxa"/>
            <w:bottom w:w="0" w:type="dxa"/>
          </w:tblCellMar>
        </w:tblPrEx>
        <w:tc>
          <w:tcPr>
            <w:tcW w:w="408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TOTAL</w:t>
            </w:r>
          </w:p>
        </w:tc>
        <w:tc>
          <w:tcPr>
            <w:tcW w:w="3853"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33</w:t>
            </w:r>
          </w:p>
        </w:tc>
      </w:tr>
    </w:tbl>
    <w:p w:rsidR="00184CAB" w:rsidRDefault="002B1930">
      <w:pPr>
        <w:spacing w:line="240" w:lineRule="auto"/>
        <w:jc w:val="both"/>
        <w:rPr>
          <w:i/>
          <w:color w:val="4C4747"/>
          <w:sz w:val="18"/>
          <w:szCs w:val="18"/>
        </w:rPr>
      </w:pPr>
      <w:bookmarkStart w:id="129" w:name="_Hlk216274365"/>
      <w:r>
        <w:rPr>
          <w:i/>
          <w:color w:val="4C4747"/>
          <w:sz w:val="18"/>
          <w:szCs w:val="18"/>
        </w:rPr>
        <w:t>Fuente: Informe correspondiente al reporte realizado por la Dirección de Comunicaciones MAPRE, 2025.</w:t>
      </w:r>
      <w:bookmarkEnd w:id="129"/>
    </w:p>
    <w:p w:rsidR="00184CAB" w:rsidRDefault="002B1930">
      <w:pPr>
        <w:spacing w:line="360" w:lineRule="auto"/>
        <w:jc w:val="both"/>
      </w:pPr>
      <w:r>
        <w:rPr>
          <w:b/>
          <w:bCs/>
          <w:color w:val="4C4747"/>
          <w:lang w:val="es-DO"/>
        </w:rPr>
        <w:t>Relaciones públicas</w:t>
      </w:r>
      <w:r>
        <w:rPr>
          <w:i/>
          <w:color w:val="4C4747"/>
        </w:rPr>
        <w:t xml:space="preserve">: </w:t>
      </w:r>
      <w:r>
        <w:rPr>
          <w:color w:val="4C4747"/>
          <w:lang w:val="es-DO"/>
        </w:rPr>
        <w:t xml:space="preserve">Como parte de las relaciones públicas diseñadas, para el año 2025 se ha fomentado un </w:t>
      </w:r>
      <w:r>
        <w:rPr>
          <w:color w:val="4C4747"/>
          <w:lang w:val="es-DO"/>
        </w:rPr>
        <w:t>contacto directo y efectivo con medios de comunicación digital, impresos y televisivos con el propósito de difundir y dar conocer las ejecutorias, a favor de los dominicanos a través del Ministerio Administrativo de la Presidencia, entre las que se encuent</w:t>
      </w:r>
      <w:r>
        <w:rPr>
          <w:color w:val="4C4747"/>
          <w:lang w:val="es-DO"/>
        </w:rPr>
        <w:t xml:space="preserve">ran: Listín Diario, Diario Libre, El Nacional, El Caribe, Hoy, Nuevo Diario, El Día, La Información, CDN, SIN, AN7, Telemicro, </w:t>
      </w:r>
      <w:proofErr w:type="spellStart"/>
      <w:r>
        <w:rPr>
          <w:color w:val="4C4747"/>
          <w:lang w:val="es-DO"/>
        </w:rPr>
        <w:t>Telesistema</w:t>
      </w:r>
      <w:proofErr w:type="spellEnd"/>
      <w:r>
        <w:rPr>
          <w:color w:val="4C4747"/>
          <w:lang w:val="es-DO"/>
        </w:rPr>
        <w:t xml:space="preserve">, Canal 4, </w:t>
      </w:r>
      <w:proofErr w:type="spellStart"/>
      <w:r>
        <w:rPr>
          <w:color w:val="4C4747"/>
          <w:lang w:val="es-DO"/>
        </w:rPr>
        <w:t>NDigital</w:t>
      </w:r>
      <w:proofErr w:type="spellEnd"/>
      <w:r>
        <w:rPr>
          <w:color w:val="4C4747"/>
          <w:lang w:val="es-DO"/>
        </w:rPr>
        <w:t>, Proceso, La Z101.1. Se realizó un total de 97 publicaciones a través de medios impresos durante e</w:t>
      </w:r>
      <w:r>
        <w:rPr>
          <w:color w:val="4C4747"/>
          <w:lang w:val="es-DO"/>
        </w:rPr>
        <w:t>l periodo enero-noviembre del año en curso.</w:t>
      </w:r>
    </w:p>
    <w:p w:rsidR="00184CAB" w:rsidRDefault="002B1930">
      <w:pPr>
        <w:spacing w:line="360" w:lineRule="auto"/>
        <w:jc w:val="both"/>
      </w:pPr>
      <w:r>
        <w:rPr>
          <w:b/>
          <w:bCs/>
          <w:color w:val="4C4747"/>
          <w:lang w:val="es-DO"/>
        </w:rPr>
        <w:t xml:space="preserve">Convocatorias de prensa: </w:t>
      </w:r>
      <w:r>
        <w:rPr>
          <w:color w:val="4C4747"/>
          <w:lang w:val="es-DO"/>
        </w:rPr>
        <w:t>Durante este periodo se realizaron 4 convocatorias de prensa a eventos puntuales.</w:t>
      </w:r>
    </w:p>
    <w:p w:rsidR="00184CAB" w:rsidRDefault="002B1930">
      <w:pPr>
        <w:spacing w:line="360" w:lineRule="auto"/>
        <w:jc w:val="both"/>
      </w:pPr>
      <w:r>
        <w:rPr>
          <w:b/>
          <w:bCs/>
          <w:color w:val="4C4747"/>
          <w:lang w:val="es-DO"/>
        </w:rPr>
        <w:t xml:space="preserve">Monitoreo de Medios Digitales: </w:t>
      </w:r>
      <w:r>
        <w:rPr>
          <w:color w:val="4C4747"/>
          <w:lang w:val="es-DO"/>
        </w:rPr>
        <w:t xml:space="preserve">Durante el año 2025, el Ministerio Administrativo de la Presidencia </w:t>
      </w:r>
      <w:r>
        <w:rPr>
          <w:color w:val="4C4747"/>
          <w:lang w:val="es-DO"/>
        </w:rPr>
        <w:t xml:space="preserve">fortaleció su estrategia de </w:t>
      </w:r>
      <w:r>
        <w:rPr>
          <w:color w:val="4C4747"/>
          <w:lang w:val="es-DO"/>
        </w:rPr>
        <w:lastRenderedPageBreak/>
        <w:t>comunicación digital mediante la creación de contenidos originales y exclusivos con el objetivo de consolidar un vínculo más directo y orgánico con los usuarios de las redes sociales de este ministerio.</w:t>
      </w:r>
    </w:p>
    <w:tbl>
      <w:tblPr>
        <w:tblW w:w="7792" w:type="dxa"/>
        <w:tblLayout w:type="fixed"/>
        <w:tblCellMar>
          <w:left w:w="10" w:type="dxa"/>
          <w:right w:w="10" w:type="dxa"/>
        </w:tblCellMar>
        <w:tblLook w:val="0000" w:firstRow="0" w:lastRow="0" w:firstColumn="0" w:lastColumn="0" w:noHBand="0" w:noVBand="0"/>
      </w:tblPr>
      <w:tblGrid>
        <w:gridCol w:w="1413"/>
        <w:gridCol w:w="1559"/>
        <w:gridCol w:w="1418"/>
        <w:gridCol w:w="1559"/>
        <w:gridCol w:w="1843"/>
      </w:tblGrid>
      <w:tr w:rsidR="00184CAB">
        <w:tblPrEx>
          <w:tblCellMar>
            <w:top w:w="0" w:type="dxa"/>
            <w:bottom w:w="0" w:type="dxa"/>
          </w:tblCellMar>
        </w:tblPrEx>
        <w:trPr>
          <w:trHeight w:val="517"/>
        </w:trPr>
        <w:tc>
          <w:tcPr>
            <w:tcW w:w="7792" w:type="dxa"/>
            <w:gridSpan w:val="5"/>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line="240" w:lineRule="auto"/>
              <w:jc w:val="center"/>
              <w:rPr>
                <w:b/>
                <w:color w:val="FFFFFF"/>
                <w:sz w:val="19"/>
                <w:szCs w:val="19"/>
                <w:lang w:val="es-ES"/>
              </w:rPr>
            </w:pPr>
            <w:r>
              <w:rPr>
                <w:b/>
                <w:color w:val="FFFFFF"/>
                <w:sz w:val="19"/>
                <w:szCs w:val="19"/>
                <w:lang w:val="es-ES"/>
              </w:rPr>
              <w:t>Tabla no. 35 Sobre Relaci</w:t>
            </w:r>
            <w:r>
              <w:rPr>
                <w:b/>
                <w:color w:val="FFFFFF"/>
                <w:sz w:val="19"/>
                <w:szCs w:val="19"/>
                <w:lang w:val="es-ES"/>
              </w:rPr>
              <w:t>ón de Métricas estadísticas periodo anual 2025 en las redes sociales del MAPRE</w:t>
            </w:r>
          </w:p>
        </w:tc>
      </w:tr>
      <w:tr w:rsidR="00184CAB">
        <w:tblPrEx>
          <w:tblCellMar>
            <w:top w:w="0" w:type="dxa"/>
            <w:bottom w:w="0" w:type="dxa"/>
          </w:tblCellMar>
        </w:tblPrEx>
        <w:tc>
          <w:tcPr>
            <w:tcW w:w="1413"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line="240" w:lineRule="auto"/>
              <w:jc w:val="center"/>
              <w:rPr>
                <w:b/>
                <w:color w:val="FFFFFF"/>
                <w:sz w:val="19"/>
                <w:szCs w:val="19"/>
              </w:rPr>
            </w:pPr>
            <w:r>
              <w:rPr>
                <w:b/>
                <w:color w:val="FFFFFF"/>
                <w:sz w:val="19"/>
                <w:szCs w:val="19"/>
              </w:rPr>
              <w:t>Red Social</w:t>
            </w:r>
          </w:p>
        </w:tc>
        <w:tc>
          <w:tcPr>
            <w:tcW w:w="1559"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line="240" w:lineRule="auto"/>
              <w:jc w:val="center"/>
              <w:rPr>
                <w:b/>
                <w:color w:val="FFFFFF"/>
                <w:sz w:val="19"/>
                <w:szCs w:val="19"/>
              </w:rPr>
            </w:pPr>
            <w:r>
              <w:rPr>
                <w:b/>
                <w:color w:val="FFFFFF"/>
                <w:sz w:val="19"/>
                <w:szCs w:val="19"/>
              </w:rPr>
              <w:t>Cantidad de Seguidores</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line="240" w:lineRule="auto"/>
              <w:jc w:val="center"/>
              <w:rPr>
                <w:b/>
                <w:color w:val="FFFFFF"/>
                <w:sz w:val="19"/>
                <w:szCs w:val="19"/>
              </w:rPr>
            </w:pPr>
            <w:r>
              <w:rPr>
                <w:b/>
                <w:color w:val="FFFFFF"/>
                <w:sz w:val="19"/>
                <w:szCs w:val="19"/>
              </w:rPr>
              <w:t>Alcance</w:t>
            </w:r>
          </w:p>
        </w:tc>
        <w:tc>
          <w:tcPr>
            <w:tcW w:w="1559"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line="240" w:lineRule="auto"/>
              <w:jc w:val="center"/>
              <w:rPr>
                <w:b/>
                <w:color w:val="FFFFFF"/>
                <w:sz w:val="19"/>
                <w:szCs w:val="19"/>
              </w:rPr>
            </w:pPr>
            <w:r>
              <w:rPr>
                <w:b/>
                <w:color w:val="FFFFFF"/>
                <w:sz w:val="19"/>
                <w:szCs w:val="19"/>
              </w:rPr>
              <w:t>Interacciones</w:t>
            </w:r>
          </w:p>
        </w:tc>
        <w:tc>
          <w:tcPr>
            <w:tcW w:w="1843"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line="240" w:lineRule="auto"/>
              <w:jc w:val="center"/>
              <w:rPr>
                <w:b/>
                <w:color w:val="FFFFFF"/>
                <w:sz w:val="19"/>
                <w:szCs w:val="19"/>
              </w:rPr>
            </w:pPr>
            <w:r>
              <w:rPr>
                <w:b/>
                <w:color w:val="FFFFFF"/>
                <w:sz w:val="19"/>
                <w:szCs w:val="19"/>
              </w:rPr>
              <w:t>Impresiones/Visualizaciones</w:t>
            </w:r>
          </w:p>
        </w:tc>
      </w:tr>
      <w:tr w:rsidR="00184CAB">
        <w:tblPrEx>
          <w:tblCellMar>
            <w:top w:w="0" w:type="dxa"/>
            <w:bottom w:w="0" w:type="dxa"/>
          </w:tblCellMar>
        </w:tblPrEx>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Instagram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129,353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170,466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19,470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1,278,825</w:t>
            </w:r>
          </w:p>
        </w:tc>
      </w:tr>
      <w:tr w:rsidR="00184CAB">
        <w:tblPrEx>
          <w:tblCellMar>
            <w:top w:w="0" w:type="dxa"/>
            <w:bottom w:w="0" w:type="dxa"/>
          </w:tblCellMar>
        </w:tblPrEx>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Facebook</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74,984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No disponible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21,831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1,412,505</w:t>
            </w:r>
          </w:p>
        </w:tc>
      </w:tr>
      <w:tr w:rsidR="00184CAB">
        <w:tblPrEx>
          <w:tblCellMar>
            <w:top w:w="0" w:type="dxa"/>
            <w:bottom w:w="0" w:type="dxa"/>
          </w:tblCellMar>
        </w:tblPrEx>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32,329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862,906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46,854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No disponible</w:t>
            </w:r>
          </w:p>
        </w:tc>
      </w:tr>
      <w:tr w:rsidR="00184CAB">
        <w:tblPrEx>
          <w:tblCellMar>
            <w:top w:w="0" w:type="dxa"/>
            <w:bottom w:w="0" w:type="dxa"/>
          </w:tblCellMar>
        </w:tblPrEx>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YouTube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954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No disponible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B4747"/>
                <w:sz w:val="19"/>
                <w:szCs w:val="19"/>
              </w:rPr>
            </w:pPr>
            <w:r>
              <w:rPr>
                <w:color w:val="4B4747"/>
                <w:sz w:val="19"/>
                <w:szCs w:val="19"/>
              </w:rPr>
              <w:t>296</w:t>
            </w:r>
          </w:p>
        </w:tc>
      </w:tr>
      <w:tr w:rsidR="00184CAB">
        <w:tblPrEx>
          <w:tblCellMar>
            <w:top w:w="0" w:type="dxa"/>
            <w:bottom w:w="0" w:type="dxa"/>
          </w:tblCellMar>
        </w:tblPrEx>
        <w:tc>
          <w:tcPr>
            <w:tcW w:w="1413"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TOTAL</w:t>
            </w:r>
          </w:p>
        </w:tc>
        <w:tc>
          <w:tcPr>
            <w:tcW w:w="1559"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237,620</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1,033,372</w:t>
            </w:r>
          </w:p>
        </w:tc>
        <w:tc>
          <w:tcPr>
            <w:tcW w:w="1559"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88,161</w:t>
            </w:r>
          </w:p>
        </w:tc>
        <w:tc>
          <w:tcPr>
            <w:tcW w:w="1843"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2,691,626</w:t>
            </w:r>
          </w:p>
        </w:tc>
      </w:tr>
    </w:tbl>
    <w:p w:rsidR="00184CAB" w:rsidRDefault="002B1930">
      <w:pPr>
        <w:spacing w:line="240" w:lineRule="auto"/>
        <w:jc w:val="both"/>
        <w:rPr>
          <w:i/>
          <w:color w:val="4C4747"/>
          <w:sz w:val="18"/>
          <w:szCs w:val="18"/>
        </w:rPr>
      </w:pPr>
      <w:r>
        <w:rPr>
          <w:i/>
          <w:color w:val="4C4747"/>
          <w:sz w:val="18"/>
          <w:szCs w:val="18"/>
        </w:rPr>
        <w:t>Fuente: Informe correspondiente al reporte realizado por la Dirección de Comunicaciones MAPRE, 2025.</w:t>
      </w:r>
    </w:p>
    <w:p w:rsidR="00184CAB" w:rsidRDefault="002B1930">
      <w:pPr>
        <w:spacing w:line="360" w:lineRule="auto"/>
        <w:jc w:val="both"/>
      </w:pPr>
      <w:r>
        <w:rPr>
          <w:b/>
          <w:bCs/>
          <w:color w:val="4C4747"/>
          <w:lang w:val="es-DO"/>
        </w:rPr>
        <w:t xml:space="preserve">Coberturas de eventos: </w:t>
      </w:r>
      <w:r>
        <w:rPr>
          <w:color w:val="4C4747"/>
          <w:lang w:val="es-DO"/>
        </w:rPr>
        <w:t xml:space="preserve">Durante este </w:t>
      </w:r>
      <w:r>
        <w:rPr>
          <w:color w:val="4C4747"/>
          <w:lang w:val="es-DO"/>
        </w:rPr>
        <w:t>periodo enero-noviembre del año en curso se realizaron un total de trescientas nueve (309) coberturas, tanto internas como externas, dichas coberturas se reflejaron tanto en el portal web de la institución, como en las redes sociales del ministerio y del m</w:t>
      </w:r>
      <w:r>
        <w:rPr>
          <w:color w:val="4C4747"/>
          <w:lang w:val="es-DO"/>
        </w:rPr>
        <w:t>inistro Bautista.</w:t>
      </w:r>
    </w:p>
    <w:p w:rsidR="00184CAB" w:rsidRDefault="002B1930">
      <w:pPr>
        <w:spacing w:line="360" w:lineRule="auto"/>
        <w:jc w:val="both"/>
      </w:pPr>
      <w:r>
        <w:rPr>
          <w:b/>
          <w:bCs/>
          <w:color w:val="4C4747"/>
          <w:lang w:val="es-DO"/>
        </w:rPr>
        <w:t xml:space="preserve">Comunicación interna: </w:t>
      </w:r>
      <w:r>
        <w:rPr>
          <w:color w:val="4C4747"/>
          <w:lang w:val="es-DO"/>
        </w:rPr>
        <w:t xml:space="preserve">Se realizaron diversos modelos y adaptaciones de artes gráficas para uso de comunicación interna de la institución. </w:t>
      </w:r>
    </w:p>
    <w:p w:rsidR="00184CAB" w:rsidRDefault="002B1930">
      <w:pPr>
        <w:spacing w:line="360" w:lineRule="auto"/>
        <w:jc w:val="both"/>
        <w:rPr>
          <w:color w:val="4C4747"/>
          <w:lang w:val="es-DO"/>
        </w:rPr>
      </w:pPr>
      <w:r>
        <w:rPr>
          <w:color w:val="4C4747"/>
          <w:lang w:val="es-DO"/>
        </w:rPr>
        <w:t>Estas comunicaciones internas se reflejaron mediante: diseños de arte divulgados a través del corre</w:t>
      </w:r>
      <w:r>
        <w:rPr>
          <w:color w:val="4C4747"/>
          <w:lang w:val="es-DO"/>
        </w:rPr>
        <w:t>o institucional y pantallas localizadas y establecidas en puntos estratégicos del Palacio Nacional, además, de murales informativos y banners con información valiosa para los colaboradores de MAPRE, por ejemplo, el código de vestimenta adecuado para ingres</w:t>
      </w:r>
      <w:r>
        <w:rPr>
          <w:color w:val="4C4747"/>
          <w:lang w:val="es-DO"/>
        </w:rPr>
        <w:t>ar a la Casa de Gobierno.</w:t>
      </w:r>
    </w:p>
    <w:p w:rsidR="00184CAB" w:rsidRDefault="002B1930">
      <w:pPr>
        <w:spacing w:line="360" w:lineRule="auto"/>
        <w:jc w:val="both"/>
        <w:rPr>
          <w:color w:val="4C4747"/>
          <w:lang w:val="es-DO"/>
        </w:rPr>
      </w:pPr>
      <w:r>
        <w:rPr>
          <w:color w:val="4C4747"/>
          <w:lang w:val="es-DO"/>
        </w:rPr>
        <w:t>Las campañas internas destacadas durante este periodo anual 2025 fueron:</w:t>
      </w:r>
    </w:p>
    <w:p w:rsidR="00184CAB" w:rsidRDefault="002B1930">
      <w:pPr>
        <w:numPr>
          <w:ilvl w:val="0"/>
          <w:numId w:val="35"/>
        </w:numPr>
        <w:spacing w:line="360" w:lineRule="auto"/>
        <w:jc w:val="both"/>
      </w:pPr>
      <w:r>
        <w:rPr>
          <w:b/>
          <w:bCs/>
          <w:color w:val="4C4747"/>
          <w:lang w:val="es-DO"/>
        </w:rPr>
        <w:t xml:space="preserve"> “Yo soy MAPRE”: con el objetivo de reforzar los valores los</w:t>
      </w:r>
      <w:r>
        <w:rPr>
          <w:color w:val="4C4747"/>
          <w:lang w:val="es-DO"/>
        </w:rPr>
        <w:t xml:space="preserve"> </w:t>
      </w:r>
      <w:r>
        <w:rPr>
          <w:color w:val="4C4747"/>
          <w:lang w:val="es-DO"/>
        </w:rPr>
        <w:lastRenderedPageBreak/>
        <w:t>colaboradores participaron de un ejercicio en el que identificaron y seleccionaron el valor inst</w:t>
      </w:r>
      <w:r>
        <w:rPr>
          <w:color w:val="4C4747"/>
          <w:lang w:val="es-DO"/>
        </w:rPr>
        <w:t>itucional que los representa como servidores públicos siendo libres en elegir entre: integridad, innovación, transparencia y voluntad.</w:t>
      </w:r>
    </w:p>
    <w:p w:rsidR="00184CAB" w:rsidRDefault="002B1930">
      <w:pPr>
        <w:numPr>
          <w:ilvl w:val="0"/>
          <w:numId w:val="35"/>
        </w:numPr>
        <w:spacing w:line="360" w:lineRule="auto"/>
        <w:jc w:val="both"/>
      </w:pPr>
      <w:r>
        <w:rPr>
          <w:b/>
          <w:bCs/>
          <w:color w:val="4C4747"/>
          <w:lang w:val="es-DO"/>
        </w:rPr>
        <w:t xml:space="preserve">“El poder de cambiar la historia del Cáncer de Mama”: </w:t>
      </w:r>
      <w:r>
        <w:rPr>
          <w:color w:val="4C4747"/>
          <w:lang w:val="es-DO"/>
        </w:rPr>
        <w:t>la charla “El poder de cambiar la historia del Cáncer de Mama”, con</w:t>
      </w:r>
      <w:r>
        <w:rPr>
          <w:color w:val="4C4747"/>
          <w:lang w:val="es-DO"/>
        </w:rPr>
        <w:t xml:space="preserve"> el objetivo de orientar a las colaboradoras sobre la prevención y detección temprana de esta enfermedad.</w:t>
      </w:r>
    </w:p>
    <w:p w:rsidR="00184CAB" w:rsidRDefault="002B1930">
      <w:pPr>
        <w:numPr>
          <w:ilvl w:val="0"/>
          <w:numId w:val="35"/>
        </w:numPr>
        <w:spacing w:line="360" w:lineRule="auto"/>
        <w:jc w:val="both"/>
      </w:pPr>
      <w:r>
        <w:rPr>
          <w:b/>
          <w:bCs/>
          <w:color w:val="4C4747"/>
          <w:lang w:val="es-DO"/>
        </w:rPr>
        <w:t xml:space="preserve">“Protegiendo lo Nuestro con Integridad”: </w:t>
      </w:r>
      <w:r>
        <w:rPr>
          <w:color w:val="4C4747"/>
          <w:lang w:val="es-DO"/>
        </w:rPr>
        <w:t>un esfuerzo colectivo que busca reafirmar el compromiso del Gobierno dominicano con la transparencia, la inte</w:t>
      </w:r>
      <w:r>
        <w:rPr>
          <w:color w:val="4C4747"/>
          <w:lang w:val="es-DO"/>
        </w:rPr>
        <w:t>gridad, la rendición de cuentas y la prevención de la corrupción</w:t>
      </w:r>
    </w:p>
    <w:p w:rsidR="00184CAB" w:rsidRDefault="002B1930">
      <w:pPr>
        <w:numPr>
          <w:ilvl w:val="0"/>
          <w:numId w:val="35"/>
        </w:numPr>
        <w:spacing w:line="360" w:lineRule="auto"/>
        <w:jc w:val="both"/>
      </w:pPr>
      <w:r>
        <w:rPr>
          <w:b/>
          <w:bCs/>
          <w:color w:val="4C4747"/>
          <w:lang w:val="es-DO"/>
        </w:rPr>
        <w:t>Conformación del Comité de Gestión Ambiental</w:t>
      </w:r>
      <w:r>
        <w:rPr>
          <w:color w:val="4C4747"/>
          <w:lang w:val="es-DO"/>
        </w:rPr>
        <w:t>: se formalizó el Comité de Gestión Ambiental (CGA) reafirmando su compromiso con la sostenibilidad institucional y el cumplimiento de los lineamie</w:t>
      </w:r>
      <w:r>
        <w:rPr>
          <w:color w:val="4C4747"/>
          <w:lang w:val="es-DO"/>
        </w:rPr>
        <w:t>ntos establecidos en la Política Transversal de Sostenibilidad Ambiental (PTSA) y la Certificación Sostenibilidad 3Rs.</w:t>
      </w:r>
    </w:p>
    <w:p w:rsidR="00184CAB" w:rsidRDefault="00184CAB">
      <w:pPr>
        <w:spacing w:line="360" w:lineRule="auto"/>
        <w:jc w:val="both"/>
      </w:pPr>
    </w:p>
    <w:p w:rsidR="00184CAB" w:rsidRDefault="002B1930">
      <w:pPr>
        <w:numPr>
          <w:ilvl w:val="0"/>
          <w:numId w:val="35"/>
        </w:numPr>
        <w:spacing w:line="360" w:lineRule="auto"/>
        <w:jc w:val="both"/>
      </w:pPr>
      <w:r>
        <w:rPr>
          <w:b/>
          <w:bCs/>
          <w:color w:val="4C4747"/>
          <w:lang w:val="es-DO"/>
        </w:rPr>
        <w:t xml:space="preserve">Concientización sobre “Las Tres Erres (3Rs), reducir, reutilizar y reciclar: </w:t>
      </w:r>
      <w:r>
        <w:rPr>
          <w:color w:val="4C4747"/>
          <w:lang w:val="es-DO"/>
        </w:rPr>
        <w:t>se desarrolló con el objetivo de sensibilizar y concientiza</w:t>
      </w:r>
      <w:r>
        <w:rPr>
          <w:color w:val="4C4747"/>
          <w:lang w:val="es-DO"/>
        </w:rPr>
        <w:t>r a los colaboradores del Ministerio Administrativo de la Presidencia sobre la importancia de adoptar hábitos sostenibles, fueron orientados acerca de la regla denominada “Las Tres Erres (3Rs)” de la sostenibilidad.</w:t>
      </w:r>
    </w:p>
    <w:p w:rsidR="00184CAB" w:rsidRDefault="002B1930">
      <w:pPr>
        <w:numPr>
          <w:ilvl w:val="0"/>
          <w:numId w:val="35"/>
        </w:numPr>
        <w:spacing w:line="360" w:lineRule="auto"/>
        <w:jc w:val="both"/>
      </w:pPr>
      <w:r>
        <w:rPr>
          <w:b/>
          <w:bCs/>
          <w:color w:val="4C4747"/>
          <w:lang w:val="es-DO"/>
        </w:rPr>
        <w:t xml:space="preserve">Apoyo de coberturas internas: </w:t>
      </w:r>
      <w:r>
        <w:rPr>
          <w:color w:val="4C4747"/>
          <w:lang w:val="es-DO"/>
        </w:rPr>
        <w:t xml:space="preserve">Se brindó </w:t>
      </w:r>
      <w:r>
        <w:rPr>
          <w:color w:val="4C4747"/>
          <w:lang w:val="es-DO"/>
        </w:rPr>
        <w:t xml:space="preserve">asistencia fotográfica, audiovisual y elaboración de nota informativa para los eventos desarrollados con el propósito de difundir de manera </w:t>
      </w:r>
      <w:r>
        <w:rPr>
          <w:color w:val="4C4747"/>
          <w:lang w:val="es-DO"/>
        </w:rPr>
        <w:lastRenderedPageBreak/>
        <w:t>interna todos los materiales trabajados con el objetivo de una comunicación efectiva y de impacto positivo a lo inte</w:t>
      </w:r>
      <w:r>
        <w:rPr>
          <w:color w:val="4C4747"/>
          <w:lang w:val="es-DO"/>
        </w:rPr>
        <w:t>rno de la institución.</w:t>
      </w:r>
    </w:p>
    <w:tbl>
      <w:tblPr>
        <w:tblW w:w="7512" w:type="dxa"/>
        <w:tblInd w:w="421" w:type="dxa"/>
        <w:tblCellMar>
          <w:left w:w="10" w:type="dxa"/>
          <w:right w:w="10" w:type="dxa"/>
        </w:tblCellMar>
        <w:tblLook w:val="0000" w:firstRow="0" w:lastRow="0" w:firstColumn="0" w:lastColumn="0" w:noHBand="0" w:noVBand="0"/>
      </w:tblPr>
      <w:tblGrid>
        <w:gridCol w:w="3685"/>
        <w:gridCol w:w="3827"/>
      </w:tblGrid>
      <w:tr w:rsidR="00184CAB">
        <w:tblPrEx>
          <w:tblCellMar>
            <w:top w:w="0" w:type="dxa"/>
            <w:bottom w:w="0" w:type="dxa"/>
          </w:tblCellMar>
        </w:tblPrEx>
        <w:trPr>
          <w:trHeight w:val="300"/>
          <w:tblHeader/>
        </w:trPr>
        <w:tc>
          <w:tcPr>
            <w:tcW w:w="7512" w:type="dxa"/>
            <w:gridSpan w:val="2"/>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line="240" w:lineRule="auto"/>
              <w:jc w:val="center"/>
              <w:rPr>
                <w:b/>
                <w:color w:val="FFFFFF"/>
                <w:sz w:val="19"/>
                <w:szCs w:val="19"/>
                <w:lang w:val="es-ES"/>
              </w:rPr>
            </w:pPr>
            <w:r>
              <w:rPr>
                <w:b/>
                <w:color w:val="FFFFFF"/>
                <w:sz w:val="19"/>
                <w:szCs w:val="19"/>
                <w:lang w:val="es-ES"/>
              </w:rPr>
              <w:t>Tabla no. 36 Sobre Relación de solicitudes de elaboración de Diseño gráfico para comunicación interna durante el Periodo anual 2025</w:t>
            </w:r>
          </w:p>
        </w:tc>
      </w:tr>
      <w:tr w:rsidR="00184CAB">
        <w:tblPrEx>
          <w:tblCellMar>
            <w:top w:w="0" w:type="dxa"/>
            <w:bottom w:w="0" w:type="dxa"/>
          </w:tblCellMar>
        </w:tblPrEx>
        <w:trPr>
          <w:trHeight w:val="300"/>
          <w:tblHeader/>
        </w:trPr>
        <w:tc>
          <w:tcPr>
            <w:tcW w:w="3685" w:type="dxa"/>
            <w:tcBorders>
              <w:top w:val="single" w:sz="4" w:space="0" w:color="000000"/>
              <w:left w:val="single" w:sz="4" w:space="0" w:color="000000"/>
              <w:bottom w:val="single" w:sz="18" w:space="0" w:color="323E4F"/>
              <w:right w:val="single" w:sz="4" w:space="0" w:color="000000"/>
            </w:tcBorders>
            <w:shd w:val="clear" w:color="auto" w:fill="002060"/>
            <w:tcMar>
              <w:top w:w="0" w:type="dxa"/>
              <w:left w:w="108" w:type="dxa"/>
              <w:bottom w:w="0" w:type="dxa"/>
              <w:right w:w="108" w:type="dxa"/>
            </w:tcMar>
          </w:tcPr>
          <w:p w:rsidR="00184CAB" w:rsidRDefault="002B1930">
            <w:pPr>
              <w:spacing w:line="240" w:lineRule="auto"/>
              <w:jc w:val="center"/>
              <w:rPr>
                <w:b/>
                <w:color w:val="FFFFFF"/>
                <w:sz w:val="19"/>
                <w:szCs w:val="19"/>
              </w:rPr>
            </w:pPr>
            <w:r>
              <w:rPr>
                <w:b/>
                <w:color w:val="FFFFFF"/>
                <w:sz w:val="19"/>
                <w:szCs w:val="19"/>
              </w:rPr>
              <w:t>Mes</w:t>
            </w:r>
          </w:p>
        </w:tc>
        <w:tc>
          <w:tcPr>
            <w:tcW w:w="3827" w:type="dxa"/>
            <w:tcBorders>
              <w:top w:val="single" w:sz="4" w:space="0" w:color="000000"/>
              <w:left w:val="single" w:sz="4" w:space="0" w:color="000000"/>
              <w:bottom w:val="single" w:sz="18" w:space="0" w:color="323E4F"/>
              <w:right w:val="single" w:sz="4" w:space="0" w:color="000000"/>
            </w:tcBorders>
            <w:shd w:val="clear" w:color="auto" w:fill="002060"/>
            <w:tcMar>
              <w:top w:w="0" w:type="dxa"/>
              <w:left w:w="108" w:type="dxa"/>
              <w:bottom w:w="0" w:type="dxa"/>
              <w:right w:w="108" w:type="dxa"/>
            </w:tcMar>
          </w:tcPr>
          <w:p w:rsidR="00184CAB" w:rsidRDefault="002B1930">
            <w:pPr>
              <w:spacing w:line="240" w:lineRule="auto"/>
              <w:jc w:val="center"/>
              <w:rPr>
                <w:b/>
                <w:color w:val="FFFFFF"/>
                <w:sz w:val="19"/>
                <w:szCs w:val="19"/>
              </w:rPr>
            </w:pPr>
            <w:r>
              <w:rPr>
                <w:b/>
                <w:color w:val="FFFFFF"/>
                <w:sz w:val="19"/>
                <w:szCs w:val="19"/>
              </w:rPr>
              <w:t>Cantidad de artes realizados</w:t>
            </w:r>
          </w:p>
        </w:tc>
      </w:tr>
      <w:tr w:rsidR="00184CAB">
        <w:tblPrEx>
          <w:tblCellMar>
            <w:top w:w="0" w:type="dxa"/>
            <w:bottom w:w="0" w:type="dxa"/>
          </w:tblCellMar>
        </w:tblPrEx>
        <w:trPr>
          <w:trHeight w:val="182"/>
        </w:trPr>
        <w:tc>
          <w:tcPr>
            <w:tcW w:w="3685" w:type="dxa"/>
            <w:tcBorders>
              <w:top w:val="single" w:sz="18" w:space="0" w:color="323E4F"/>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Enero</w:t>
            </w:r>
          </w:p>
        </w:tc>
        <w:tc>
          <w:tcPr>
            <w:tcW w:w="3827" w:type="dxa"/>
            <w:tcBorders>
              <w:top w:val="single" w:sz="18" w:space="0" w:color="323E4F"/>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12</w:t>
            </w:r>
          </w:p>
        </w:tc>
      </w:tr>
      <w:tr w:rsidR="00184CAB">
        <w:tblPrEx>
          <w:tblCellMar>
            <w:top w:w="0" w:type="dxa"/>
            <w:bottom w:w="0" w:type="dxa"/>
          </w:tblCellMar>
        </w:tblPrEx>
        <w:trPr>
          <w:trHeight w:val="300"/>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Febrero</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11</w:t>
            </w:r>
          </w:p>
        </w:tc>
      </w:tr>
      <w:tr w:rsidR="00184CAB">
        <w:tblPrEx>
          <w:tblCellMar>
            <w:top w:w="0" w:type="dxa"/>
            <w:bottom w:w="0" w:type="dxa"/>
          </w:tblCellMar>
        </w:tblPrEx>
        <w:trPr>
          <w:trHeight w:val="300"/>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Marzo</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28</w:t>
            </w:r>
          </w:p>
        </w:tc>
      </w:tr>
      <w:tr w:rsidR="00184CAB">
        <w:tblPrEx>
          <w:tblCellMar>
            <w:top w:w="0" w:type="dxa"/>
            <w:bottom w:w="0" w:type="dxa"/>
          </w:tblCellMar>
        </w:tblPrEx>
        <w:trPr>
          <w:trHeight w:val="300"/>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Abril</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34</w:t>
            </w:r>
          </w:p>
        </w:tc>
      </w:tr>
      <w:tr w:rsidR="00184CAB">
        <w:tblPrEx>
          <w:tblCellMar>
            <w:top w:w="0" w:type="dxa"/>
            <w:bottom w:w="0" w:type="dxa"/>
          </w:tblCellMar>
        </w:tblPrEx>
        <w:trPr>
          <w:trHeight w:val="300"/>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Mayo</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27</w:t>
            </w:r>
          </w:p>
        </w:tc>
      </w:tr>
      <w:tr w:rsidR="00184CAB">
        <w:tblPrEx>
          <w:tblCellMar>
            <w:top w:w="0" w:type="dxa"/>
            <w:bottom w:w="0" w:type="dxa"/>
          </w:tblCellMar>
        </w:tblPrEx>
        <w:trPr>
          <w:trHeight w:val="300"/>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Junio</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29</w:t>
            </w:r>
          </w:p>
        </w:tc>
      </w:tr>
      <w:tr w:rsidR="00184CAB">
        <w:tblPrEx>
          <w:tblCellMar>
            <w:top w:w="0" w:type="dxa"/>
            <w:bottom w:w="0" w:type="dxa"/>
          </w:tblCellMar>
        </w:tblPrEx>
        <w:trPr>
          <w:trHeight w:val="300"/>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Julio</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16</w:t>
            </w:r>
          </w:p>
        </w:tc>
      </w:tr>
      <w:tr w:rsidR="00184CAB">
        <w:tblPrEx>
          <w:tblCellMar>
            <w:top w:w="0" w:type="dxa"/>
            <w:bottom w:w="0" w:type="dxa"/>
          </w:tblCellMar>
        </w:tblPrEx>
        <w:trPr>
          <w:trHeight w:val="300"/>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Agosto</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14</w:t>
            </w:r>
          </w:p>
        </w:tc>
      </w:tr>
      <w:tr w:rsidR="00184CAB">
        <w:tblPrEx>
          <w:tblCellMar>
            <w:top w:w="0" w:type="dxa"/>
            <w:bottom w:w="0" w:type="dxa"/>
          </w:tblCellMar>
        </w:tblPrEx>
        <w:trPr>
          <w:trHeight w:val="300"/>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Septiembre</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16</w:t>
            </w:r>
          </w:p>
        </w:tc>
      </w:tr>
      <w:tr w:rsidR="00184CAB">
        <w:tblPrEx>
          <w:tblCellMar>
            <w:top w:w="0" w:type="dxa"/>
            <w:bottom w:w="0" w:type="dxa"/>
          </w:tblCellMar>
        </w:tblPrEx>
        <w:trPr>
          <w:trHeight w:val="300"/>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Octubre</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14</w:t>
            </w:r>
          </w:p>
        </w:tc>
      </w:tr>
      <w:tr w:rsidR="00184CAB">
        <w:tblPrEx>
          <w:tblCellMar>
            <w:top w:w="0" w:type="dxa"/>
            <w:bottom w:w="0" w:type="dxa"/>
          </w:tblCellMar>
        </w:tblPrEx>
        <w:trPr>
          <w:trHeight w:val="300"/>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Noviembre</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line="240" w:lineRule="auto"/>
              <w:jc w:val="center"/>
              <w:rPr>
                <w:color w:val="4C4747"/>
                <w:sz w:val="19"/>
                <w:szCs w:val="19"/>
              </w:rPr>
            </w:pPr>
            <w:r>
              <w:rPr>
                <w:color w:val="4C4747"/>
                <w:sz w:val="19"/>
                <w:szCs w:val="19"/>
              </w:rPr>
              <w:t>48</w:t>
            </w:r>
          </w:p>
        </w:tc>
      </w:tr>
      <w:tr w:rsidR="00184CAB">
        <w:tblPrEx>
          <w:tblCellMar>
            <w:top w:w="0" w:type="dxa"/>
            <w:bottom w:w="0" w:type="dxa"/>
          </w:tblCellMar>
        </w:tblPrEx>
        <w:trPr>
          <w:trHeight w:val="300"/>
        </w:trPr>
        <w:tc>
          <w:tcPr>
            <w:tcW w:w="368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line="240" w:lineRule="auto"/>
              <w:jc w:val="center"/>
              <w:rPr>
                <w:b/>
                <w:color w:val="FFFFFF"/>
                <w:sz w:val="19"/>
                <w:szCs w:val="19"/>
              </w:rPr>
            </w:pPr>
            <w:r>
              <w:rPr>
                <w:b/>
                <w:color w:val="FFFFFF"/>
                <w:sz w:val="19"/>
                <w:szCs w:val="19"/>
              </w:rPr>
              <w:t>TOTAL</w:t>
            </w:r>
          </w:p>
        </w:tc>
        <w:tc>
          <w:tcPr>
            <w:tcW w:w="3827"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line="240" w:lineRule="auto"/>
              <w:jc w:val="center"/>
              <w:rPr>
                <w:b/>
                <w:color w:val="FFFFFF"/>
                <w:sz w:val="19"/>
                <w:szCs w:val="19"/>
              </w:rPr>
            </w:pPr>
            <w:r>
              <w:rPr>
                <w:b/>
                <w:color w:val="FFFFFF"/>
                <w:sz w:val="19"/>
                <w:szCs w:val="19"/>
              </w:rPr>
              <w:t>249</w:t>
            </w:r>
          </w:p>
        </w:tc>
      </w:tr>
    </w:tbl>
    <w:p w:rsidR="00184CAB" w:rsidRDefault="002B1930">
      <w:pPr>
        <w:spacing w:line="360" w:lineRule="auto"/>
        <w:ind w:left="396"/>
        <w:jc w:val="both"/>
        <w:rPr>
          <w:i/>
          <w:color w:val="4C4747"/>
          <w:sz w:val="18"/>
          <w:szCs w:val="18"/>
        </w:rPr>
      </w:pPr>
      <w:r>
        <w:rPr>
          <w:i/>
          <w:color w:val="4C4747"/>
          <w:sz w:val="18"/>
          <w:szCs w:val="18"/>
        </w:rPr>
        <w:t>Fuente: Informe correspondiente al reporte realizado por la Dirección de Comunicaciones MAPRE, 2025.</w:t>
      </w:r>
    </w:p>
    <w:p w:rsidR="00184CAB" w:rsidRDefault="00184CAB">
      <w:pPr>
        <w:pStyle w:val="Ttulo1"/>
        <w:rPr>
          <w:color w:val="4C4747"/>
          <w:sz w:val="24"/>
          <w:szCs w:val="24"/>
        </w:rPr>
      </w:pPr>
      <w:bookmarkStart w:id="130" w:name="_Toc217043966"/>
      <w:bookmarkStart w:id="131" w:name="_Toc217907936"/>
    </w:p>
    <w:p w:rsidR="00184CAB" w:rsidRDefault="00184CAB">
      <w:pPr>
        <w:pStyle w:val="Ttulo1"/>
        <w:rPr>
          <w:color w:val="4C4747"/>
          <w:sz w:val="24"/>
          <w:szCs w:val="24"/>
        </w:rPr>
      </w:pPr>
    </w:p>
    <w:p w:rsidR="00184CAB" w:rsidRDefault="00184CAB"/>
    <w:p w:rsidR="00184CAB" w:rsidRDefault="00184CAB"/>
    <w:p w:rsidR="00184CAB" w:rsidRDefault="00184CAB"/>
    <w:p w:rsidR="00184CAB" w:rsidRDefault="00184CAB"/>
    <w:p w:rsidR="00184CAB" w:rsidRDefault="00184CAB"/>
    <w:p w:rsidR="00184CAB" w:rsidRDefault="00184CAB">
      <w:pPr>
        <w:pStyle w:val="Ttulo1"/>
        <w:rPr>
          <w:color w:val="4C4747"/>
          <w:sz w:val="24"/>
          <w:szCs w:val="24"/>
        </w:rPr>
      </w:pPr>
    </w:p>
    <w:p w:rsidR="00184CAB" w:rsidRDefault="002B1930">
      <w:pPr>
        <w:pStyle w:val="Ttulo1"/>
        <w:rPr>
          <w:color w:val="4C4747"/>
          <w:sz w:val="24"/>
          <w:szCs w:val="24"/>
        </w:rPr>
      </w:pPr>
      <w:bookmarkStart w:id="132" w:name="_Toc217914436"/>
      <w:r>
        <w:rPr>
          <w:color w:val="4C4747"/>
          <w:sz w:val="24"/>
          <w:szCs w:val="24"/>
        </w:rPr>
        <w:t>SERVICIO AL CIUDADANO Y TRANSPARENCIA INSTITUCIONAL.</w:t>
      </w:r>
      <w:bookmarkEnd w:id="130"/>
      <w:bookmarkEnd w:id="131"/>
      <w:bookmarkEnd w:id="132"/>
    </w:p>
    <w:p w:rsidR="00184CAB" w:rsidRDefault="002B1930">
      <w:pPr>
        <w:spacing w:line="360" w:lineRule="auto"/>
      </w:pPr>
      <w:r>
        <w:rPr>
          <w:noProof/>
          <w:color w:val="4C4747"/>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22860</wp:posOffset>
                </wp:positionV>
                <wp:extent cx="462915" cy="0"/>
                <wp:effectExtent l="0" t="19050" r="32385" b="19050"/>
                <wp:wrapNone/>
                <wp:docPr id="61" name="Straight Connector 14"/>
                <wp:cNvGraphicFramePr/>
                <a:graphic xmlns:a="http://schemas.openxmlformats.org/drawingml/2006/main">
                  <a:graphicData uri="http://schemas.microsoft.com/office/word/2010/wordprocessingShape">
                    <wps:wsp>
                      <wps:cNvCnPr/>
                      <wps:spPr>
                        <a:xfrm>
                          <a:off x="0" y="0"/>
                          <a:ext cx="462915" cy="0"/>
                        </a:xfrm>
                        <a:prstGeom prst="straightConnector1">
                          <a:avLst/>
                        </a:prstGeom>
                        <a:noFill/>
                        <a:ln w="28575" cap="flat">
                          <a:solidFill>
                            <a:srgbClr val="EE2A24"/>
                          </a:solidFill>
                          <a:prstDash val="solid"/>
                          <a:miter/>
                        </a:ln>
                      </wps:spPr>
                      <wps:bodyPr/>
                    </wps:wsp>
                  </a:graphicData>
                </a:graphic>
              </wp:anchor>
            </w:drawing>
          </mc:Choice>
          <mc:Fallback>
            <w:pict>
              <v:shape w14:anchorId="465B92AB" id="Straight Connector 14" o:spid="_x0000_s1026" type="#_x0000_t32" style="position:absolute;margin-left:0;margin-top:1.8pt;width:36.45pt;height:0;z-index:25166745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v6tAEAAFMDAAAOAAAAZHJzL2Uyb0RvYy54bWysU8tu2zAQvBfIPxC817KExE0Fy0FhJ70U&#10;rYG0H0BTpESAL+wylv33XdKOk7S3IBdS5O7M7gxXy7uDs2yvAE3wHa9nc86Ul6E3fuj4n98Pn285&#10;wyR8L2zwquNHhfxudfVpOcVWNWEMtlfAiMRjO8WOjynFtqpQjsoJnIWoPAV1ACcSHWGoehATsTtb&#10;NfP5opoC9BGCVIh0uzkF+arwa61k+qU1qsRsx6m3VFYo6y6v1Wop2gFEHI08tyHe0YUTxlPRC9VG&#10;JMGewPxH5YyEgEGnmQyuClobqYoGUlPP/1HzOIqoihYyB+PFJvw4WvlzvwVm+o4vas68cPRGjwmE&#10;GcbE1sF7cjAAq6+zU1PElgBrv4XzCeMWsuyDBpd3EsQOxd3jxV11SEzS5fWi+VrfcCafQ9ULLgKm&#10;7yo4lj86jucOLg3UxVyx/4GJKhPwGZCL+vBgrC0vaT2bOt7c3nzJhQQNlLYiFTAGa/qcmCEIw25t&#10;ge0FzcX9ffOtKQKJ+E1arrIROJ7ySug0Mc4klT0ggPW0ZWdOXuSvXeiPxaJyTy9XEs9Tlkfj9bmg&#10;X/6F1V8AAAD//wMAUEsDBBQABgAIAAAAIQDpSM4V2gAAAAMBAAAPAAAAZHJzL2Rvd25yZXYueG1s&#10;TI9BS8NAFITvgv9heYI3u2mDjUmzKSLUo2gsiLeX7GsSzL4Nu9s2+utdvehxmGHmm3I7m1GcyPnB&#10;soLlIgFB3Fo9cKdg/7q7uQPhA7LG0TIp+CQP2+ryosRC2zO/0KkOnYgl7AtU0IcwFVL6tieDfmEn&#10;4ugdrDMYonSd1A7PsdyMcpUka2lw4LjQ40QPPbUf9dEokMunerd/y/L8Oc0e3Vdzm6TZu1LXV/P9&#10;BkSgOfyF4Qc/okMVmRp7ZO3FqCAeCQrSNYhoZqscRPMrZVXK/+zVNwAAAP//AwBQSwECLQAUAAYA&#10;CAAAACEAtoM4kv4AAADhAQAAEwAAAAAAAAAAAAAAAAAAAAAAW0NvbnRlbnRfVHlwZXNdLnhtbFBL&#10;AQItABQABgAIAAAAIQA4/SH/1gAAAJQBAAALAAAAAAAAAAAAAAAAAC8BAABfcmVscy8ucmVsc1BL&#10;AQItABQABgAIAAAAIQAK+6v6tAEAAFMDAAAOAAAAAAAAAAAAAAAAAC4CAABkcnMvZTJvRG9jLnht&#10;bFBLAQItABQABgAIAAAAIQDpSM4V2gAAAAMBAAAPAAAAAAAAAAAAAAAAAA4EAABkcnMvZG93bnJl&#10;di54bWxQSwUGAAAAAAQABADzAAAAFQUAAAAA&#10;" strokecolor="#ee2a24" strokeweight="2.25pt">
                <v:stroke joinstyle="miter"/>
                <w10:wrap anchorx="margin"/>
              </v:shape>
            </w:pict>
          </mc:Fallback>
        </mc:AlternateContent>
      </w:r>
    </w:p>
    <w:p w:rsidR="00184CAB" w:rsidRDefault="002B1930">
      <w:pPr>
        <w:pStyle w:val="Prrafodelista"/>
        <w:numPr>
          <w:ilvl w:val="1"/>
          <w:numId w:val="23"/>
        </w:numPr>
        <w:spacing w:line="360" w:lineRule="auto"/>
        <w:jc w:val="both"/>
      </w:pPr>
      <w:r>
        <w:rPr>
          <w:b/>
          <w:color w:val="4C4747"/>
        </w:rPr>
        <w:t xml:space="preserve">Desempeño del </w:t>
      </w:r>
      <w:r>
        <w:rPr>
          <w:b/>
          <w:color w:val="4C4747"/>
        </w:rPr>
        <w:t>Departamento de Correspondencia.</w:t>
      </w:r>
      <w:r>
        <w:rPr>
          <w:color w:val="4C4747"/>
        </w:rPr>
        <w:t xml:space="preserve"> </w:t>
      </w:r>
    </w:p>
    <w:p w:rsidR="00184CAB" w:rsidRDefault="002B1930">
      <w:pPr>
        <w:pStyle w:val="NormalWeb"/>
        <w:spacing w:line="360" w:lineRule="auto"/>
        <w:jc w:val="both"/>
        <w:rPr>
          <w:rFonts w:eastAsia="Batang"/>
          <w:color w:val="4C4747"/>
          <w:lang w:val="es-US"/>
        </w:rPr>
      </w:pPr>
      <w:r>
        <w:rPr>
          <w:rFonts w:eastAsia="Batang"/>
          <w:color w:val="4C4747"/>
          <w:lang w:val="es-US"/>
        </w:rPr>
        <w:t>El Departamento de Correspondencia del Palacio Nacional tiene como misión garantizar una gestión documental eficiente, organizada y transparente, en beneficio de los ciudadanos y de los usuarios internos que interactúan co</w:t>
      </w:r>
      <w:r>
        <w:rPr>
          <w:rFonts w:eastAsia="Batang"/>
          <w:color w:val="4C4747"/>
          <w:lang w:val="es-US"/>
        </w:rPr>
        <w:t>n la sede del Poder Ejecutivo. Para ello, el área de Recepción de Documentos brinda atención presencial de calidad a los ciudadanos que depositan sus comunicaciones, asegurando su correcto registro, transferencia y trazabilidad.</w:t>
      </w:r>
    </w:p>
    <w:p w:rsidR="00184CAB" w:rsidRDefault="002B1930">
      <w:pPr>
        <w:pStyle w:val="NormalWeb"/>
        <w:spacing w:line="360" w:lineRule="auto"/>
        <w:jc w:val="both"/>
        <w:rPr>
          <w:rFonts w:eastAsia="Batang"/>
          <w:color w:val="4C4747"/>
          <w:lang w:val="es-US"/>
        </w:rPr>
      </w:pPr>
      <w:r>
        <w:rPr>
          <w:rFonts w:eastAsia="Batang"/>
          <w:color w:val="4C4747"/>
          <w:lang w:val="es-US"/>
        </w:rPr>
        <w:t>A través de la administraci</w:t>
      </w:r>
      <w:r>
        <w:rPr>
          <w:rFonts w:eastAsia="Batang"/>
          <w:color w:val="4C4747"/>
          <w:lang w:val="es-US"/>
        </w:rPr>
        <w:t xml:space="preserve">ón del Sistema de Transparencia Documental (TRANSDOC), se ofrece acompañamiento continuo a las áreas usuarias mediante la creación de perfiles, inducciones técnicas y soporte especializado, contribuyendo al fortalecimiento de la gestión institucional. </w:t>
      </w:r>
    </w:p>
    <w:p w:rsidR="00184CAB" w:rsidRDefault="002B1930">
      <w:pPr>
        <w:pStyle w:val="NormalWeb"/>
        <w:spacing w:line="360" w:lineRule="auto"/>
        <w:jc w:val="both"/>
        <w:rPr>
          <w:rFonts w:eastAsia="Batang"/>
          <w:color w:val="4C4747"/>
          <w:lang w:val="es-US"/>
        </w:rPr>
      </w:pPr>
      <w:r>
        <w:rPr>
          <w:rFonts w:eastAsia="Batang"/>
          <w:color w:val="4C4747"/>
          <w:lang w:val="es-US"/>
        </w:rPr>
        <w:t>Dur</w:t>
      </w:r>
      <w:r>
        <w:rPr>
          <w:rFonts w:eastAsia="Batang"/>
          <w:color w:val="4C4747"/>
          <w:lang w:val="es-US"/>
        </w:rPr>
        <w:t>ante el período reportado, el Departamento de Correspondencia ejecutó diversas iniciativas orientadas a fortalecer la eficiencia operativa, garantizar la transparencia en la gestión documental y elevar los estándares de calidad en la atención tanto a ciuda</w:t>
      </w:r>
      <w:r>
        <w:rPr>
          <w:rFonts w:eastAsia="Batang"/>
          <w:color w:val="4C4747"/>
          <w:lang w:val="es-US"/>
        </w:rPr>
        <w:t xml:space="preserve">danos como a usuarios internos. A continuación, se detallan las principales acciones implementadas: </w:t>
      </w:r>
    </w:p>
    <w:p w:rsidR="00184CAB" w:rsidRDefault="002B1930">
      <w:pPr>
        <w:pStyle w:val="NormalWeb"/>
        <w:numPr>
          <w:ilvl w:val="0"/>
          <w:numId w:val="36"/>
        </w:numPr>
        <w:spacing w:line="360" w:lineRule="auto"/>
        <w:jc w:val="both"/>
        <w:rPr>
          <w:rFonts w:eastAsia="Batang"/>
          <w:color w:val="4C4747"/>
          <w:lang w:val="es-US"/>
        </w:rPr>
      </w:pPr>
      <w:r>
        <w:rPr>
          <w:rFonts w:eastAsia="Batang"/>
          <w:color w:val="4C4747"/>
          <w:lang w:val="es-US"/>
        </w:rPr>
        <w:t>Automatización del registro de correspondencias en el Área de Recepción.</w:t>
      </w:r>
    </w:p>
    <w:p w:rsidR="00184CAB" w:rsidRDefault="002B1930">
      <w:pPr>
        <w:pStyle w:val="NormalWeb"/>
        <w:numPr>
          <w:ilvl w:val="0"/>
          <w:numId w:val="36"/>
        </w:numPr>
        <w:spacing w:line="360" w:lineRule="auto"/>
        <w:jc w:val="both"/>
        <w:rPr>
          <w:rFonts w:eastAsia="Batang"/>
          <w:color w:val="4C4747"/>
          <w:lang w:val="es-US"/>
        </w:rPr>
      </w:pPr>
      <w:r>
        <w:rPr>
          <w:rFonts w:eastAsia="Batang"/>
          <w:color w:val="4C4747"/>
          <w:lang w:val="es-US"/>
        </w:rPr>
        <w:t>Actualización de la Información Institucional y Servicios Brindados por la Institu</w:t>
      </w:r>
      <w:r>
        <w:rPr>
          <w:rFonts w:eastAsia="Batang"/>
          <w:color w:val="4C4747"/>
          <w:lang w:val="es-US"/>
        </w:rPr>
        <w:t>ción en la Página Web.</w:t>
      </w:r>
    </w:p>
    <w:p w:rsidR="00184CAB" w:rsidRDefault="002B1930">
      <w:pPr>
        <w:pStyle w:val="NormalWeb"/>
        <w:numPr>
          <w:ilvl w:val="0"/>
          <w:numId w:val="36"/>
        </w:numPr>
        <w:spacing w:line="360" w:lineRule="auto"/>
        <w:jc w:val="both"/>
        <w:rPr>
          <w:rFonts w:eastAsia="Batang"/>
          <w:color w:val="4C4747"/>
          <w:lang w:val="es-US"/>
        </w:rPr>
      </w:pPr>
      <w:r>
        <w:rPr>
          <w:rFonts w:eastAsia="Batang"/>
          <w:color w:val="4C4747"/>
          <w:lang w:val="es-US"/>
        </w:rPr>
        <w:t>Restablecimiento del Servicio de Consulta en Línea de Correspondencias.</w:t>
      </w:r>
    </w:p>
    <w:p w:rsidR="00184CAB" w:rsidRDefault="00184CAB">
      <w:pPr>
        <w:pStyle w:val="NormalWeb"/>
        <w:spacing w:line="360" w:lineRule="auto"/>
        <w:jc w:val="both"/>
        <w:rPr>
          <w:rFonts w:eastAsia="Batang"/>
          <w:color w:val="4C4747"/>
          <w:lang w:val="es-US"/>
        </w:rPr>
      </w:pPr>
    </w:p>
    <w:p w:rsidR="00184CAB" w:rsidRDefault="00184CAB">
      <w:pPr>
        <w:pStyle w:val="NormalWeb"/>
        <w:spacing w:line="360" w:lineRule="auto"/>
        <w:jc w:val="both"/>
        <w:rPr>
          <w:rFonts w:eastAsia="Batang"/>
          <w:color w:val="4C4747"/>
          <w:lang w:val="es-US"/>
        </w:rPr>
      </w:pPr>
    </w:p>
    <w:p w:rsidR="00184CAB" w:rsidRDefault="00184CAB">
      <w:pPr>
        <w:pStyle w:val="NormalWeb"/>
        <w:spacing w:line="360" w:lineRule="auto"/>
        <w:jc w:val="both"/>
        <w:rPr>
          <w:rFonts w:eastAsia="Batang"/>
          <w:color w:val="4C4747"/>
          <w:lang w:val="es-US"/>
        </w:rPr>
      </w:pPr>
    </w:p>
    <w:tbl>
      <w:tblPr>
        <w:tblW w:w="5000" w:type="pct"/>
        <w:tblCellMar>
          <w:left w:w="10" w:type="dxa"/>
          <w:right w:w="10" w:type="dxa"/>
        </w:tblCellMar>
        <w:tblLook w:val="0000" w:firstRow="0" w:lastRow="0" w:firstColumn="0" w:lastColumn="0" w:noHBand="0" w:noVBand="0"/>
      </w:tblPr>
      <w:tblGrid>
        <w:gridCol w:w="4103"/>
        <w:gridCol w:w="3807"/>
      </w:tblGrid>
      <w:tr w:rsidR="00184CAB">
        <w:tblPrEx>
          <w:tblCellMar>
            <w:top w:w="0" w:type="dxa"/>
            <w:bottom w:w="0" w:type="dxa"/>
          </w:tblCellMar>
        </w:tblPrEx>
        <w:trPr>
          <w:trHeight w:val="418"/>
        </w:trPr>
        <w:tc>
          <w:tcPr>
            <w:tcW w:w="7910" w:type="dxa"/>
            <w:gridSpan w:val="2"/>
            <w:tcBorders>
              <w:top w:val="single" w:sz="4" w:space="0" w:color="000000"/>
              <w:left w:val="single" w:sz="4" w:space="0" w:color="000000"/>
              <w:bottom w:val="single" w:sz="4" w:space="0" w:color="000000"/>
              <w:right w:val="single" w:sz="4" w:space="0" w:color="000000"/>
            </w:tcBorders>
            <w:shd w:val="clear" w:color="auto" w:fill="002060"/>
            <w:noWrap/>
            <w:tcMar>
              <w:top w:w="0" w:type="dxa"/>
              <w:left w:w="70" w:type="dxa"/>
              <w:bottom w:w="0" w:type="dxa"/>
              <w:right w:w="70" w:type="dxa"/>
            </w:tcMar>
            <w:vAlign w:val="center"/>
          </w:tcPr>
          <w:p w:rsidR="00184CAB" w:rsidRDefault="002B1930">
            <w:pPr>
              <w:spacing w:after="0" w:line="240" w:lineRule="auto"/>
              <w:jc w:val="center"/>
            </w:pPr>
            <w:r>
              <w:rPr>
                <w:rFonts w:eastAsia="Times New Roman"/>
                <w:b/>
                <w:color w:val="FFFFFF"/>
                <w:sz w:val="19"/>
                <w:szCs w:val="19"/>
                <w:lang w:val="es-ES" w:eastAsia="es-DO"/>
              </w:rPr>
              <w:lastRenderedPageBreak/>
              <w:t xml:space="preserve">Tabla no. 37 De relación de Correspondencias registradas </w:t>
            </w:r>
            <w:r>
              <w:rPr>
                <w:b/>
                <w:color w:val="FFFFFF"/>
                <w:sz w:val="19"/>
                <w:szCs w:val="19"/>
                <w:lang w:val="es-ES"/>
              </w:rPr>
              <w:t>realizadas en el periodo anual 2025</w:t>
            </w:r>
          </w:p>
        </w:tc>
      </w:tr>
      <w:tr w:rsidR="00184CAB">
        <w:tblPrEx>
          <w:tblCellMar>
            <w:top w:w="0" w:type="dxa"/>
            <w:bottom w:w="0" w:type="dxa"/>
          </w:tblCellMar>
        </w:tblPrEx>
        <w:trPr>
          <w:trHeight w:val="312"/>
        </w:trPr>
        <w:tc>
          <w:tcPr>
            <w:tcW w:w="4103"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184CAB" w:rsidRDefault="002B1930">
            <w:pPr>
              <w:spacing w:after="0" w:line="240" w:lineRule="auto"/>
              <w:jc w:val="center"/>
              <w:rPr>
                <w:rFonts w:eastAsia="Times New Roman"/>
                <w:color w:val="4C4747"/>
                <w:sz w:val="19"/>
                <w:szCs w:val="19"/>
                <w:lang w:eastAsia="es-DO"/>
              </w:rPr>
            </w:pPr>
            <w:r>
              <w:rPr>
                <w:rFonts w:eastAsia="Times New Roman"/>
                <w:color w:val="4C4747"/>
                <w:sz w:val="19"/>
                <w:szCs w:val="19"/>
                <w:lang w:eastAsia="es-DO"/>
              </w:rPr>
              <w:t>Origen Externo</w:t>
            </w:r>
          </w:p>
        </w:tc>
        <w:tc>
          <w:tcPr>
            <w:tcW w:w="3807" w:type="dxa"/>
            <w:tcBorders>
              <w:bottom w:val="single" w:sz="4" w:space="0" w:color="000000"/>
              <w:right w:val="single" w:sz="4" w:space="0" w:color="000000"/>
            </w:tcBorders>
            <w:shd w:val="clear" w:color="auto" w:fill="auto"/>
            <w:noWrap/>
            <w:tcMar>
              <w:top w:w="0" w:type="dxa"/>
              <w:left w:w="70" w:type="dxa"/>
              <w:bottom w:w="0" w:type="dxa"/>
              <w:right w:w="70" w:type="dxa"/>
            </w:tcMar>
          </w:tcPr>
          <w:p w:rsidR="00184CAB" w:rsidRDefault="002B1930">
            <w:pPr>
              <w:spacing w:after="0" w:line="240" w:lineRule="auto"/>
              <w:jc w:val="center"/>
            </w:pPr>
            <w:r>
              <w:rPr>
                <w:color w:val="4C4747"/>
                <w:sz w:val="19"/>
                <w:szCs w:val="19"/>
              </w:rPr>
              <w:t>26,801</w:t>
            </w:r>
          </w:p>
        </w:tc>
      </w:tr>
      <w:tr w:rsidR="00184CAB">
        <w:tblPrEx>
          <w:tblCellMar>
            <w:top w:w="0" w:type="dxa"/>
            <w:bottom w:w="0" w:type="dxa"/>
          </w:tblCellMar>
        </w:tblPrEx>
        <w:trPr>
          <w:trHeight w:val="312"/>
        </w:trPr>
        <w:tc>
          <w:tcPr>
            <w:tcW w:w="4103"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184CAB" w:rsidRDefault="002B1930">
            <w:pPr>
              <w:spacing w:after="0" w:line="240" w:lineRule="auto"/>
              <w:jc w:val="center"/>
              <w:rPr>
                <w:rFonts w:eastAsia="Times New Roman"/>
                <w:color w:val="4C4747"/>
                <w:sz w:val="19"/>
                <w:szCs w:val="19"/>
                <w:lang w:eastAsia="es-DO"/>
              </w:rPr>
            </w:pPr>
            <w:r>
              <w:rPr>
                <w:rFonts w:eastAsia="Times New Roman"/>
                <w:color w:val="4C4747"/>
                <w:sz w:val="19"/>
                <w:szCs w:val="19"/>
                <w:lang w:eastAsia="es-DO"/>
              </w:rPr>
              <w:t>Origen Interno</w:t>
            </w:r>
          </w:p>
        </w:tc>
        <w:tc>
          <w:tcPr>
            <w:tcW w:w="3807" w:type="dxa"/>
            <w:tcBorders>
              <w:bottom w:val="single" w:sz="4" w:space="0" w:color="000000"/>
              <w:right w:val="single" w:sz="4" w:space="0" w:color="000000"/>
            </w:tcBorders>
            <w:shd w:val="clear" w:color="auto" w:fill="auto"/>
            <w:noWrap/>
            <w:tcMar>
              <w:top w:w="0" w:type="dxa"/>
              <w:left w:w="70" w:type="dxa"/>
              <w:bottom w:w="0" w:type="dxa"/>
              <w:right w:w="70" w:type="dxa"/>
            </w:tcMar>
          </w:tcPr>
          <w:p w:rsidR="00184CAB" w:rsidRDefault="002B1930">
            <w:pPr>
              <w:spacing w:after="0" w:line="240" w:lineRule="auto"/>
              <w:jc w:val="center"/>
            </w:pPr>
            <w:r>
              <w:rPr>
                <w:color w:val="4C4747"/>
                <w:sz w:val="19"/>
                <w:szCs w:val="19"/>
              </w:rPr>
              <w:t>11,893</w:t>
            </w:r>
          </w:p>
        </w:tc>
      </w:tr>
      <w:tr w:rsidR="00184CAB">
        <w:tblPrEx>
          <w:tblCellMar>
            <w:top w:w="0" w:type="dxa"/>
            <w:bottom w:w="0" w:type="dxa"/>
          </w:tblCellMar>
        </w:tblPrEx>
        <w:trPr>
          <w:trHeight w:val="280"/>
        </w:trPr>
        <w:tc>
          <w:tcPr>
            <w:tcW w:w="4103" w:type="dxa"/>
            <w:tcBorders>
              <w:left w:val="single" w:sz="4" w:space="0" w:color="000000"/>
              <w:bottom w:val="single" w:sz="4" w:space="0" w:color="000000"/>
              <w:right w:val="single" w:sz="4" w:space="0" w:color="000000"/>
            </w:tcBorders>
            <w:shd w:val="clear" w:color="auto" w:fill="002060"/>
            <w:noWrap/>
            <w:tcMar>
              <w:top w:w="0" w:type="dxa"/>
              <w:left w:w="70" w:type="dxa"/>
              <w:bottom w:w="0" w:type="dxa"/>
              <w:right w:w="70" w:type="dxa"/>
            </w:tcMar>
            <w:vAlign w:val="bottom"/>
          </w:tcPr>
          <w:p w:rsidR="00184CAB" w:rsidRDefault="002B1930">
            <w:pPr>
              <w:spacing w:after="0" w:line="240" w:lineRule="auto"/>
              <w:jc w:val="center"/>
              <w:rPr>
                <w:rFonts w:eastAsia="Times New Roman"/>
                <w:b/>
                <w:bCs/>
                <w:color w:val="FFFFFF"/>
                <w:sz w:val="19"/>
                <w:szCs w:val="19"/>
                <w:lang w:eastAsia="es-DO"/>
              </w:rPr>
            </w:pPr>
            <w:r>
              <w:rPr>
                <w:rFonts w:eastAsia="Times New Roman"/>
                <w:b/>
                <w:bCs/>
                <w:color w:val="FFFFFF"/>
                <w:sz w:val="19"/>
                <w:szCs w:val="19"/>
                <w:lang w:eastAsia="es-DO"/>
              </w:rPr>
              <w:t>Total</w:t>
            </w:r>
          </w:p>
        </w:tc>
        <w:tc>
          <w:tcPr>
            <w:tcW w:w="3807" w:type="dxa"/>
            <w:tcBorders>
              <w:bottom w:val="single" w:sz="4" w:space="0" w:color="000000"/>
              <w:right w:val="single" w:sz="4" w:space="0" w:color="000000"/>
            </w:tcBorders>
            <w:shd w:val="clear" w:color="auto" w:fill="002060"/>
            <w:noWrap/>
            <w:tcMar>
              <w:top w:w="0" w:type="dxa"/>
              <w:left w:w="70" w:type="dxa"/>
              <w:bottom w:w="0" w:type="dxa"/>
              <w:right w:w="70" w:type="dxa"/>
            </w:tcMar>
          </w:tcPr>
          <w:p w:rsidR="00184CAB" w:rsidRDefault="002B1930">
            <w:pPr>
              <w:spacing w:after="0" w:line="240" w:lineRule="auto"/>
              <w:jc w:val="center"/>
            </w:pPr>
            <w:r>
              <w:rPr>
                <w:b/>
                <w:color w:val="FFFFFF"/>
                <w:sz w:val="19"/>
                <w:szCs w:val="19"/>
              </w:rPr>
              <w:t>38,694</w:t>
            </w:r>
          </w:p>
        </w:tc>
      </w:tr>
    </w:tbl>
    <w:p w:rsidR="00184CAB" w:rsidRDefault="002B1930">
      <w:pPr>
        <w:spacing w:line="240" w:lineRule="auto"/>
        <w:rPr>
          <w:i/>
          <w:color w:val="4C4747"/>
          <w:sz w:val="18"/>
          <w:szCs w:val="18"/>
        </w:rPr>
      </w:pPr>
      <w:r>
        <w:rPr>
          <w:i/>
          <w:color w:val="4C4747"/>
          <w:sz w:val="18"/>
          <w:szCs w:val="18"/>
        </w:rPr>
        <w:t>Fuente: Datos correspondientes al reporte del Departamento de Correspondencia, periodo anual 2025.</w:t>
      </w:r>
    </w:p>
    <w:p w:rsidR="00184CAB" w:rsidRDefault="002B1930">
      <w:pPr>
        <w:pStyle w:val="NormalWeb"/>
        <w:spacing w:line="360" w:lineRule="auto"/>
        <w:jc w:val="both"/>
      </w:pPr>
      <w:r>
        <w:rPr>
          <w:rFonts w:eastAsia="Calibri"/>
          <w:color w:val="4C4747"/>
          <w:spacing w:val="20"/>
          <w:lang w:val="es-US"/>
        </w:rPr>
        <w:t>En el año 2025, se gestionó un volumen significativo de comunicaciones internas y externas, lo que evidencia la alta demanda y operatividad del área</w:t>
      </w:r>
      <w:r>
        <w:rPr>
          <w:rFonts w:eastAsia="Calibri"/>
          <w:color w:val="4C4747"/>
          <w:spacing w:val="20"/>
          <w:lang w:val="es-ES_tradnl"/>
        </w:rPr>
        <w:t>:</w:t>
      </w:r>
    </w:p>
    <w:p w:rsidR="00184CAB" w:rsidRDefault="002B1930">
      <w:pPr>
        <w:spacing w:line="360" w:lineRule="auto"/>
        <w:jc w:val="both"/>
      </w:pPr>
      <w:r>
        <w:rPr>
          <w:color w:val="4C4747"/>
          <w:lang w:val="es-US"/>
        </w:rPr>
        <w:t>Cada do</w:t>
      </w:r>
      <w:r>
        <w:rPr>
          <w:color w:val="4C4747"/>
          <w:lang w:val="es-US"/>
        </w:rPr>
        <w:t xml:space="preserve">cumento gestionado cuenta con un código único que garantiza transparencia, control y seguridad institucional. </w:t>
      </w:r>
      <w:r>
        <w:rPr>
          <w:color w:val="4C4747"/>
          <w:lang w:val="es-DO"/>
        </w:rPr>
        <w:t>Además de la gestión de correspondencias recibidas, el Departamento de Correspondencia aseguró el despacho eficiente de documentos internos remiti</w:t>
      </w:r>
      <w:r>
        <w:rPr>
          <w:color w:val="4C4747"/>
          <w:lang w:val="es-DO"/>
        </w:rPr>
        <w:t>dos desde los distintos despachos del Palacio Nacional hacia otras instituciones del Estado.</w:t>
      </w:r>
    </w:p>
    <w:tbl>
      <w:tblPr>
        <w:tblW w:w="7905" w:type="dxa"/>
        <w:tblInd w:w="-5" w:type="dxa"/>
        <w:tblCellMar>
          <w:left w:w="10" w:type="dxa"/>
          <w:right w:w="10" w:type="dxa"/>
        </w:tblCellMar>
        <w:tblLook w:val="0000" w:firstRow="0" w:lastRow="0" w:firstColumn="0" w:lastColumn="0" w:noHBand="0" w:noVBand="0"/>
      </w:tblPr>
      <w:tblGrid>
        <w:gridCol w:w="4029"/>
        <w:gridCol w:w="500"/>
        <w:gridCol w:w="3376"/>
      </w:tblGrid>
      <w:tr w:rsidR="00184CAB">
        <w:tblPrEx>
          <w:tblCellMar>
            <w:top w:w="0" w:type="dxa"/>
            <w:bottom w:w="0" w:type="dxa"/>
          </w:tblCellMar>
        </w:tblPrEx>
        <w:tc>
          <w:tcPr>
            <w:tcW w:w="7905" w:type="dxa"/>
            <w:gridSpan w:val="3"/>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Tabla no. 38 de relación de correspondencias despachadas durante el periodo anual 2025</w:t>
            </w:r>
          </w:p>
        </w:tc>
      </w:tr>
      <w:tr w:rsidR="00184CAB">
        <w:tblPrEx>
          <w:tblCellMar>
            <w:top w:w="0" w:type="dxa"/>
            <w:bottom w:w="0" w:type="dxa"/>
          </w:tblCellMar>
        </w:tblPrEx>
        <w:tc>
          <w:tcPr>
            <w:tcW w:w="4029"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Mesa de Salida</w:t>
            </w:r>
          </w:p>
        </w:tc>
        <w:tc>
          <w:tcPr>
            <w:tcW w:w="3876" w:type="dxa"/>
            <w:gridSpan w:val="2"/>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rPr>
            </w:pPr>
            <w:r>
              <w:rPr>
                <w:b/>
                <w:color w:val="FFFFFF"/>
                <w:sz w:val="19"/>
                <w:szCs w:val="19"/>
              </w:rPr>
              <w:t>Total</w:t>
            </w:r>
          </w:p>
        </w:tc>
      </w:tr>
      <w:tr w:rsidR="00184CAB">
        <w:tblPrEx>
          <w:tblCellMar>
            <w:top w:w="0" w:type="dxa"/>
            <w:bottom w:w="0" w:type="dxa"/>
          </w:tblCellMar>
        </w:tblPrEx>
        <w:trPr>
          <w:trHeight w:val="475"/>
        </w:trPr>
        <w:tc>
          <w:tcPr>
            <w:tcW w:w="452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Correspondencias despachadas</w:t>
            </w:r>
          </w:p>
        </w:tc>
        <w:tc>
          <w:tcPr>
            <w:tcW w:w="33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1,916</w:t>
            </w:r>
          </w:p>
        </w:tc>
      </w:tr>
    </w:tbl>
    <w:p w:rsidR="00184CAB" w:rsidRDefault="002B1930">
      <w:pPr>
        <w:spacing w:line="240" w:lineRule="auto"/>
        <w:jc w:val="both"/>
        <w:rPr>
          <w:i/>
          <w:color w:val="4C4747"/>
          <w:sz w:val="18"/>
          <w:szCs w:val="18"/>
        </w:rPr>
      </w:pPr>
      <w:r>
        <w:rPr>
          <w:i/>
          <w:color w:val="4C4747"/>
          <w:sz w:val="18"/>
          <w:szCs w:val="18"/>
        </w:rPr>
        <w:t xml:space="preserve">Fuente: Datos </w:t>
      </w:r>
      <w:r>
        <w:rPr>
          <w:i/>
          <w:color w:val="4C4747"/>
          <w:sz w:val="18"/>
          <w:szCs w:val="18"/>
        </w:rPr>
        <w:t>correspondientes al reporte del Departamento de Correspondencia, periodo 2025.</w:t>
      </w:r>
    </w:p>
    <w:p w:rsidR="00184CAB" w:rsidRDefault="002B1930">
      <w:pPr>
        <w:spacing w:line="360" w:lineRule="auto"/>
        <w:jc w:val="both"/>
      </w:pPr>
      <w:r>
        <w:rPr>
          <w:color w:val="4C4747"/>
          <w:lang w:val="es-US"/>
        </w:rPr>
        <w:t xml:space="preserve">Con el fin de facilitar los procesos institucionales y la correcta comunicación oficial, se realizaron </w:t>
      </w:r>
      <w:r>
        <w:rPr>
          <w:bCs/>
          <w:color w:val="4C4747"/>
          <w:lang w:val="es-US"/>
        </w:rPr>
        <w:t>57 traducciones</w:t>
      </w:r>
      <w:r>
        <w:rPr>
          <w:color w:val="4C4747"/>
          <w:lang w:val="es-US"/>
        </w:rPr>
        <w:t xml:space="preserve"> de documentos:</w:t>
      </w:r>
    </w:p>
    <w:tbl>
      <w:tblPr>
        <w:tblW w:w="8016" w:type="dxa"/>
        <w:tblCellMar>
          <w:left w:w="10" w:type="dxa"/>
          <w:right w:w="10" w:type="dxa"/>
        </w:tblCellMar>
        <w:tblLook w:val="0000" w:firstRow="0" w:lastRow="0" w:firstColumn="0" w:lastColumn="0" w:noHBand="0" w:noVBand="0"/>
      </w:tblPr>
      <w:tblGrid>
        <w:gridCol w:w="4803"/>
        <w:gridCol w:w="3213"/>
      </w:tblGrid>
      <w:tr w:rsidR="00184CAB">
        <w:tblPrEx>
          <w:tblCellMar>
            <w:top w:w="0" w:type="dxa"/>
            <w:bottom w:w="0" w:type="dxa"/>
          </w:tblCellMar>
        </w:tblPrEx>
        <w:trPr>
          <w:trHeight w:val="299"/>
        </w:trPr>
        <w:tc>
          <w:tcPr>
            <w:tcW w:w="8016" w:type="dxa"/>
            <w:gridSpan w:val="2"/>
            <w:tcBorders>
              <w:top w:val="single" w:sz="4" w:space="0" w:color="000000"/>
              <w:left w:val="single" w:sz="4" w:space="0" w:color="000000"/>
              <w:bottom w:val="single" w:sz="4" w:space="0" w:color="000000"/>
              <w:right w:val="single" w:sz="4" w:space="0" w:color="000000"/>
            </w:tcBorders>
            <w:shd w:val="clear" w:color="auto" w:fill="002060"/>
            <w:noWrap/>
            <w:tcMar>
              <w:top w:w="0" w:type="dxa"/>
              <w:left w:w="70" w:type="dxa"/>
              <w:bottom w:w="0" w:type="dxa"/>
              <w:right w:w="70" w:type="dxa"/>
            </w:tcMar>
            <w:vAlign w:val="center"/>
          </w:tcPr>
          <w:p w:rsidR="00184CAB" w:rsidRDefault="002B1930">
            <w:pPr>
              <w:spacing w:after="0" w:line="240" w:lineRule="auto"/>
              <w:jc w:val="center"/>
            </w:pPr>
            <w:r>
              <w:rPr>
                <w:b/>
                <w:color w:val="FFFFFF"/>
                <w:sz w:val="19"/>
                <w:szCs w:val="19"/>
              </w:rPr>
              <w:t>Tabla no. 39 de relación de vías de solicit</w:t>
            </w:r>
            <w:r>
              <w:rPr>
                <w:b/>
                <w:color w:val="FFFFFF"/>
                <w:sz w:val="19"/>
                <w:szCs w:val="19"/>
              </w:rPr>
              <w:t>ud de traducciones a documentos realizadas en el periodo anual 2025</w:t>
            </w:r>
          </w:p>
        </w:tc>
      </w:tr>
      <w:tr w:rsidR="00184CAB">
        <w:tblPrEx>
          <w:tblCellMar>
            <w:top w:w="0" w:type="dxa"/>
            <w:bottom w:w="0" w:type="dxa"/>
          </w:tblCellMar>
        </w:tblPrEx>
        <w:trPr>
          <w:trHeight w:val="240"/>
        </w:trPr>
        <w:tc>
          <w:tcPr>
            <w:tcW w:w="4803"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after="0" w:line="240" w:lineRule="auto"/>
              <w:jc w:val="center"/>
              <w:rPr>
                <w:color w:val="4B4747"/>
                <w:sz w:val="19"/>
                <w:szCs w:val="19"/>
              </w:rPr>
            </w:pPr>
            <w:r>
              <w:rPr>
                <w:color w:val="4B4747"/>
                <w:sz w:val="19"/>
                <w:szCs w:val="19"/>
              </w:rPr>
              <w:t>Vía correspondencia</w:t>
            </w:r>
          </w:p>
        </w:tc>
        <w:tc>
          <w:tcPr>
            <w:tcW w:w="321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after="0" w:line="240" w:lineRule="auto"/>
              <w:jc w:val="center"/>
              <w:rPr>
                <w:color w:val="4B4747"/>
                <w:sz w:val="19"/>
                <w:szCs w:val="19"/>
              </w:rPr>
            </w:pPr>
            <w:r>
              <w:rPr>
                <w:color w:val="4B4747"/>
                <w:sz w:val="19"/>
                <w:szCs w:val="19"/>
              </w:rPr>
              <w:t>32</w:t>
            </w:r>
          </w:p>
        </w:tc>
      </w:tr>
      <w:tr w:rsidR="00184CAB">
        <w:tblPrEx>
          <w:tblCellMar>
            <w:top w:w="0" w:type="dxa"/>
            <w:bottom w:w="0" w:type="dxa"/>
          </w:tblCellMar>
        </w:tblPrEx>
        <w:trPr>
          <w:trHeight w:val="221"/>
        </w:trPr>
        <w:tc>
          <w:tcPr>
            <w:tcW w:w="4803"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after="0" w:line="240" w:lineRule="auto"/>
              <w:jc w:val="center"/>
              <w:rPr>
                <w:color w:val="4B4747"/>
                <w:sz w:val="19"/>
                <w:szCs w:val="19"/>
              </w:rPr>
            </w:pPr>
            <w:r>
              <w:rPr>
                <w:color w:val="4B4747"/>
                <w:sz w:val="19"/>
                <w:szCs w:val="19"/>
              </w:rPr>
              <w:t>Vía correo</w:t>
            </w:r>
          </w:p>
        </w:tc>
        <w:tc>
          <w:tcPr>
            <w:tcW w:w="3213"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after="0" w:line="240" w:lineRule="auto"/>
              <w:jc w:val="center"/>
              <w:rPr>
                <w:color w:val="4B4747"/>
                <w:sz w:val="19"/>
                <w:szCs w:val="19"/>
              </w:rPr>
            </w:pPr>
            <w:r>
              <w:rPr>
                <w:color w:val="4B4747"/>
                <w:sz w:val="19"/>
                <w:szCs w:val="19"/>
              </w:rPr>
              <w:t>25</w:t>
            </w:r>
          </w:p>
        </w:tc>
      </w:tr>
      <w:tr w:rsidR="00184CAB">
        <w:tblPrEx>
          <w:tblCellMar>
            <w:top w:w="0" w:type="dxa"/>
            <w:bottom w:w="0" w:type="dxa"/>
          </w:tblCellMar>
        </w:tblPrEx>
        <w:trPr>
          <w:trHeight w:val="299"/>
        </w:trPr>
        <w:tc>
          <w:tcPr>
            <w:tcW w:w="4803" w:type="dxa"/>
            <w:tcBorders>
              <w:left w:val="single" w:sz="4" w:space="0" w:color="000000"/>
              <w:bottom w:val="single" w:sz="4" w:space="0" w:color="000000"/>
              <w:right w:val="single" w:sz="4" w:space="0" w:color="000000"/>
            </w:tcBorders>
            <w:shd w:val="clear" w:color="auto" w:fill="002060"/>
            <w:noWrap/>
            <w:tcMar>
              <w:top w:w="0" w:type="dxa"/>
              <w:left w:w="70" w:type="dxa"/>
              <w:bottom w:w="0" w:type="dxa"/>
              <w:right w:w="70" w:type="dxa"/>
            </w:tcMar>
            <w:vAlign w:val="center"/>
          </w:tcPr>
          <w:p w:rsidR="00184CAB" w:rsidRDefault="002B1930">
            <w:pPr>
              <w:spacing w:after="0" w:line="240" w:lineRule="auto"/>
              <w:jc w:val="center"/>
              <w:rPr>
                <w:b/>
                <w:color w:val="FFFFFF"/>
                <w:sz w:val="19"/>
                <w:szCs w:val="19"/>
              </w:rPr>
            </w:pPr>
            <w:r>
              <w:rPr>
                <w:b/>
                <w:color w:val="FFFFFF"/>
                <w:sz w:val="19"/>
                <w:szCs w:val="19"/>
              </w:rPr>
              <w:t>Total</w:t>
            </w:r>
          </w:p>
        </w:tc>
        <w:tc>
          <w:tcPr>
            <w:tcW w:w="3213" w:type="dxa"/>
            <w:tcBorders>
              <w:bottom w:val="single" w:sz="4" w:space="0" w:color="000000"/>
              <w:right w:val="single" w:sz="4" w:space="0" w:color="000000"/>
            </w:tcBorders>
            <w:shd w:val="clear" w:color="auto" w:fill="002060"/>
            <w:noWrap/>
            <w:tcMar>
              <w:top w:w="0" w:type="dxa"/>
              <w:left w:w="70" w:type="dxa"/>
              <w:bottom w:w="0" w:type="dxa"/>
              <w:right w:w="70" w:type="dxa"/>
            </w:tcMar>
            <w:vAlign w:val="center"/>
          </w:tcPr>
          <w:p w:rsidR="00184CAB" w:rsidRDefault="002B1930">
            <w:pPr>
              <w:spacing w:after="0" w:line="240" w:lineRule="auto"/>
              <w:jc w:val="center"/>
              <w:rPr>
                <w:b/>
                <w:color w:val="FFFFFF"/>
                <w:sz w:val="19"/>
                <w:szCs w:val="19"/>
              </w:rPr>
            </w:pPr>
            <w:r>
              <w:rPr>
                <w:b/>
                <w:color w:val="FFFFFF"/>
                <w:sz w:val="19"/>
                <w:szCs w:val="19"/>
              </w:rPr>
              <w:t>57</w:t>
            </w:r>
          </w:p>
        </w:tc>
      </w:tr>
    </w:tbl>
    <w:p w:rsidR="00184CAB" w:rsidRDefault="002B1930">
      <w:pPr>
        <w:spacing w:line="240" w:lineRule="auto"/>
        <w:rPr>
          <w:i/>
          <w:color w:val="4C4747"/>
          <w:sz w:val="18"/>
          <w:szCs w:val="18"/>
        </w:rPr>
      </w:pPr>
      <w:r>
        <w:rPr>
          <w:i/>
          <w:color w:val="4C4747"/>
          <w:sz w:val="18"/>
          <w:szCs w:val="18"/>
        </w:rPr>
        <w:t>Fuente: Datos correspondientes al reporte del Departamento de Correspondencia, periodo anual 2025.</w:t>
      </w:r>
    </w:p>
    <w:tbl>
      <w:tblPr>
        <w:tblW w:w="8016" w:type="dxa"/>
        <w:tblCellMar>
          <w:left w:w="10" w:type="dxa"/>
          <w:right w:w="10" w:type="dxa"/>
        </w:tblCellMar>
        <w:tblLook w:val="0000" w:firstRow="0" w:lastRow="0" w:firstColumn="0" w:lastColumn="0" w:noHBand="0" w:noVBand="0"/>
      </w:tblPr>
      <w:tblGrid>
        <w:gridCol w:w="4248"/>
        <w:gridCol w:w="3768"/>
      </w:tblGrid>
      <w:tr w:rsidR="00184CAB">
        <w:tblPrEx>
          <w:tblCellMar>
            <w:top w:w="0" w:type="dxa"/>
            <w:bottom w:w="0" w:type="dxa"/>
          </w:tblCellMar>
        </w:tblPrEx>
        <w:trPr>
          <w:trHeight w:val="298"/>
        </w:trPr>
        <w:tc>
          <w:tcPr>
            <w:tcW w:w="8016" w:type="dxa"/>
            <w:gridSpan w:val="2"/>
            <w:tcBorders>
              <w:top w:val="single" w:sz="4" w:space="0" w:color="000000"/>
              <w:left w:val="single" w:sz="4" w:space="0" w:color="000000"/>
              <w:bottom w:val="single" w:sz="4" w:space="0" w:color="000000"/>
              <w:right w:val="single" w:sz="4" w:space="0" w:color="000000"/>
            </w:tcBorders>
            <w:shd w:val="clear" w:color="auto" w:fill="002060"/>
            <w:noWrap/>
            <w:tcMar>
              <w:top w:w="0" w:type="dxa"/>
              <w:left w:w="70" w:type="dxa"/>
              <w:bottom w:w="0" w:type="dxa"/>
              <w:right w:w="70" w:type="dxa"/>
            </w:tcMar>
            <w:vAlign w:val="bottom"/>
          </w:tcPr>
          <w:p w:rsidR="00184CAB" w:rsidRDefault="002B1930">
            <w:pPr>
              <w:spacing w:after="0" w:line="240" w:lineRule="auto"/>
              <w:jc w:val="center"/>
              <w:rPr>
                <w:b/>
                <w:color w:val="FFFFFF"/>
                <w:sz w:val="19"/>
                <w:szCs w:val="19"/>
              </w:rPr>
            </w:pPr>
            <w:r>
              <w:rPr>
                <w:b/>
                <w:color w:val="FFFFFF"/>
                <w:sz w:val="19"/>
                <w:szCs w:val="19"/>
              </w:rPr>
              <w:t xml:space="preserve">Tabla no. 40 de relación de </w:t>
            </w:r>
            <w:r>
              <w:rPr>
                <w:b/>
                <w:color w:val="FFFFFF"/>
                <w:sz w:val="19"/>
                <w:szCs w:val="19"/>
              </w:rPr>
              <w:t>Traducciones a documentos realizadas en el periodo anual 2025</w:t>
            </w:r>
          </w:p>
        </w:tc>
      </w:tr>
      <w:tr w:rsidR="00184CAB">
        <w:tblPrEx>
          <w:tblCellMar>
            <w:top w:w="0" w:type="dxa"/>
            <w:bottom w:w="0" w:type="dxa"/>
          </w:tblCellMar>
        </w:tblPrEx>
        <w:trPr>
          <w:trHeight w:val="298"/>
        </w:trPr>
        <w:tc>
          <w:tcPr>
            <w:tcW w:w="4248"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184CAB" w:rsidRDefault="002B1930">
            <w:pPr>
              <w:spacing w:after="0" w:line="240" w:lineRule="auto"/>
              <w:jc w:val="center"/>
              <w:rPr>
                <w:color w:val="4C4747"/>
                <w:sz w:val="19"/>
                <w:szCs w:val="19"/>
              </w:rPr>
            </w:pPr>
            <w:r>
              <w:rPr>
                <w:color w:val="4C4747"/>
                <w:sz w:val="19"/>
                <w:szCs w:val="19"/>
              </w:rPr>
              <w:t>Inglés</w:t>
            </w:r>
          </w:p>
        </w:tc>
        <w:tc>
          <w:tcPr>
            <w:tcW w:w="376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184CAB" w:rsidRDefault="002B1930">
            <w:pPr>
              <w:spacing w:after="0" w:line="240" w:lineRule="auto"/>
              <w:jc w:val="center"/>
              <w:rPr>
                <w:color w:val="4C4747"/>
                <w:sz w:val="19"/>
                <w:szCs w:val="19"/>
              </w:rPr>
            </w:pPr>
            <w:r>
              <w:rPr>
                <w:color w:val="4C4747"/>
                <w:sz w:val="19"/>
                <w:szCs w:val="19"/>
              </w:rPr>
              <w:t>57</w:t>
            </w:r>
          </w:p>
        </w:tc>
      </w:tr>
      <w:tr w:rsidR="00184CAB">
        <w:tblPrEx>
          <w:tblCellMar>
            <w:top w:w="0" w:type="dxa"/>
            <w:bottom w:w="0" w:type="dxa"/>
          </w:tblCellMar>
        </w:tblPrEx>
        <w:trPr>
          <w:trHeight w:val="298"/>
        </w:trPr>
        <w:tc>
          <w:tcPr>
            <w:tcW w:w="4248"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184CAB" w:rsidRDefault="002B1930">
            <w:pPr>
              <w:spacing w:after="0" w:line="240" w:lineRule="auto"/>
              <w:jc w:val="center"/>
              <w:rPr>
                <w:color w:val="4C4747"/>
                <w:sz w:val="19"/>
                <w:szCs w:val="19"/>
              </w:rPr>
            </w:pPr>
            <w:r>
              <w:rPr>
                <w:color w:val="4C4747"/>
                <w:sz w:val="19"/>
                <w:szCs w:val="19"/>
              </w:rPr>
              <w:t>Francés</w:t>
            </w:r>
          </w:p>
        </w:tc>
        <w:tc>
          <w:tcPr>
            <w:tcW w:w="376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184CAB" w:rsidRDefault="002B1930">
            <w:pPr>
              <w:spacing w:after="0" w:line="240" w:lineRule="auto"/>
              <w:jc w:val="center"/>
              <w:rPr>
                <w:color w:val="4C4747"/>
                <w:sz w:val="19"/>
                <w:szCs w:val="19"/>
              </w:rPr>
            </w:pPr>
            <w:r>
              <w:rPr>
                <w:color w:val="4C4747"/>
                <w:sz w:val="19"/>
                <w:szCs w:val="19"/>
              </w:rPr>
              <w:t>0</w:t>
            </w:r>
          </w:p>
        </w:tc>
      </w:tr>
      <w:tr w:rsidR="00184CAB">
        <w:tblPrEx>
          <w:tblCellMar>
            <w:top w:w="0" w:type="dxa"/>
            <w:bottom w:w="0" w:type="dxa"/>
          </w:tblCellMar>
        </w:tblPrEx>
        <w:trPr>
          <w:trHeight w:val="298"/>
        </w:trPr>
        <w:tc>
          <w:tcPr>
            <w:tcW w:w="4248"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184CAB" w:rsidRDefault="002B1930">
            <w:pPr>
              <w:spacing w:after="0" w:line="240" w:lineRule="auto"/>
              <w:jc w:val="center"/>
              <w:rPr>
                <w:color w:val="4C4747"/>
                <w:sz w:val="19"/>
                <w:szCs w:val="19"/>
              </w:rPr>
            </w:pPr>
            <w:r>
              <w:rPr>
                <w:color w:val="4C4747"/>
                <w:sz w:val="19"/>
                <w:szCs w:val="19"/>
              </w:rPr>
              <w:t>Alemán</w:t>
            </w:r>
          </w:p>
        </w:tc>
        <w:tc>
          <w:tcPr>
            <w:tcW w:w="3768"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184CAB" w:rsidRDefault="002B1930">
            <w:pPr>
              <w:spacing w:after="0" w:line="240" w:lineRule="auto"/>
              <w:jc w:val="center"/>
              <w:rPr>
                <w:color w:val="4C4747"/>
                <w:sz w:val="19"/>
                <w:szCs w:val="19"/>
              </w:rPr>
            </w:pPr>
            <w:r>
              <w:rPr>
                <w:color w:val="4C4747"/>
                <w:sz w:val="19"/>
                <w:szCs w:val="19"/>
              </w:rPr>
              <w:t>0</w:t>
            </w:r>
          </w:p>
        </w:tc>
      </w:tr>
      <w:tr w:rsidR="00184CAB">
        <w:tblPrEx>
          <w:tblCellMar>
            <w:top w:w="0" w:type="dxa"/>
            <w:bottom w:w="0" w:type="dxa"/>
          </w:tblCellMar>
        </w:tblPrEx>
        <w:trPr>
          <w:trHeight w:val="298"/>
        </w:trPr>
        <w:tc>
          <w:tcPr>
            <w:tcW w:w="4248" w:type="dxa"/>
            <w:tcBorders>
              <w:left w:val="single" w:sz="4" w:space="0" w:color="000000"/>
              <w:bottom w:val="single" w:sz="4" w:space="0" w:color="000000"/>
              <w:right w:val="single" w:sz="4" w:space="0" w:color="000000"/>
            </w:tcBorders>
            <w:shd w:val="clear" w:color="auto" w:fill="002060"/>
            <w:noWrap/>
            <w:tcMar>
              <w:top w:w="0" w:type="dxa"/>
              <w:left w:w="70" w:type="dxa"/>
              <w:bottom w:w="0" w:type="dxa"/>
              <w:right w:w="70" w:type="dxa"/>
            </w:tcMar>
            <w:vAlign w:val="bottom"/>
          </w:tcPr>
          <w:p w:rsidR="00184CAB" w:rsidRDefault="002B1930">
            <w:pPr>
              <w:spacing w:after="0" w:line="240" w:lineRule="auto"/>
              <w:jc w:val="center"/>
              <w:rPr>
                <w:b/>
                <w:color w:val="FFFFFF"/>
                <w:sz w:val="19"/>
                <w:szCs w:val="19"/>
              </w:rPr>
            </w:pPr>
            <w:r>
              <w:rPr>
                <w:b/>
                <w:color w:val="FFFFFF"/>
                <w:sz w:val="19"/>
                <w:szCs w:val="19"/>
              </w:rPr>
              <w:t>Total</w:t>
            </w:r>
          </w:p>
        </w:tc>
        <w:tc>
          <w:tcPr>
            <w:tcW w:w="3768" w:type="dxa"/>
            <w:tcBorders>
              <w:bottom w:val="single" w:sz="4" w:space="0" w:color="000000"/>
              <w:right w:val="single" w:sz="4" w:space="0" w:color="000000"/>
            </w:tcBorders>
            <w:shd w:val="clear" w:color="auto" w:fill="002060"/>
            <w:noWrap/>
            <w:tcMar>
              <w:top w:w="0" w:type="dxa"/>
              <w:left w:w="70" w:type="dxa"/>
              <w:bottom w:w="0" w:type="dxa"/>
              <w:right w:w="70" w:type="dxa"/>
            </w:tcMar>
            <w:vAlign w:val="bottom"/>
          </w:tcPr>
          <w:p w:rsidR="00184CAB" w:rsidRDefault="002B1930">
            <w:pPr>
              <w:spacing w:after="0" w:line="240" w:lineRule="auto"/>
              <w:jc w:val="center"/>
              <w:rPr>
                <w:b/>
                <w:color w:val="FFFFFF"/>
                <w:sz w:val="19"/>
                <w:szCs w:val="19"/>
              </w:rPr>
            </w:pPr>
            <w:r>
              <w:rPr>
                <w:b/>
                <w:color w:val="FFFFFF"/>
                <w:sz w:val="19"/>
                <w:szCs w:val="19"/>
              </w:rPr>
              <w:t>57</w:t>
            </w:r>
          </w:p>
        </w:tc>
      </w:tr>
    </w:tbl>
    <w:p w:rsidR="00184CAB" w:rsidRDefault="002B1930">
      <w:pPr>
        <w:spacing w:line="240" w:lineRule="auto"/>
        <w:rPr>
          <w:i/>
          <w:color w:val="4C4747"/>
          <w:sz w:val="18"/>
          <w:szCs w:val="18"/>
        </w:rPr>
      </w:pPr>
      <w:r>
        <w:rPr>
          <w:i/>
          <w:color w:val="4C4747"/>
          <w:sz w:val="18"/>
          <w:szCs w:val="18"/>
        </w:rPr>
        <w:t>Fuente: Datos correspondientes al reporte del Departamento de Correspondencia periodo anual 2025.</w:t>
      </w:r>
    </w:p>
    <w:p w:rsidR="00184CAB" w:rsidRDefault="00184CAB">
      <w:pPr>
        <w:pStyle w:val="Prrafodelista"/>
        <w:keepNext/>
        <w:keepLines/>
        <w:numPr>
          <w:ilvl w:val="0"/>
          <w:numId w:val="37"/>
        </w:numPr>
        <w:spacing w:before="40" w:after="0" w:line="360" w:lineRule="auto"/>
        <w:rPr>
          <w:b/>
          <w:vanish/>
          <w:color w:val="4C4747"/>
        </w:rPr>
      </w:pPr>
      <w:bookmarkStart w:id="133" w:name="_Toc201047000"/>
      <w:bookmarkStart w:id="134" w:name="_Toc201047487"/>
      <w:bookmarkStart w:id="135" w:name="_Toc201047571"/>
      <w:bookmarkStart w:id="136" w:name="_Toc214634309"/>
      <w:bookmarkStart w:id="137" w:name="_Toc214635872"/>
      <w:bookmarkStart w:id="138" w:name="_Toc216814427"/>
      <w:bookmarkStart w:id="139" w:name="_Toc216814619"/>
      <w:bookmarkStart w:id="140" w:name="_Toc216854843"/>
      <w:bookmarkStart w:id="141" w:name="_Toc216962336"/>
      <w:bookmarkStart w:id="142" w:name="_Toc216963239"/>
      <w:bookmarkStart w:id="143" w:name="_Toc216963288"/>
      <w:bookmarkStart w:id="144" w:name="_Toc216964421"/>
      <w:bookmarkStart w:id="145" w:name="_Toc217042000"/>
      <w:bookmarkStart w:id="146" w:name="_Toc217043967"/>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rsidR="00184CAB" w:rsidRDefault="00184CAB">
      <w:pPr>
        <w:pStyle w:val="Prrafodelista"/>
        <w:keepNext/>
        <w:keepLines/>
        <w:numPr>
          <w:ilvl w:val="0"/>
          <w:numId w:val="37"/>
        </w:numPr>
        <w:spacing w:before="40" w:after="0" w:line="360" w:lineRule="auto"/>
        <w:rPr>
          <w:b/>
          <w:vanish/>
          <w:color w:val="4C4747"/>
        </w:rPr>
      </w:pPr>
      <w:bookmarkStart w:id="147" w:name="_Toc201047001"/>
      <w:bookmarkStart w:id="148" w:name="_Toc201047488"/>
      <w:bookmarkStart w:id="149" w:name="_Toc201047572"/>
      <w:bookmarkStart w:id="150" w:name="_Toc214634310"/>
      <w:bookmarkStart w:id="151" w:name="_Toc214635873"/>
      <w:bookmarkStart w:id="152" w:name="_Toc216814428"/>
      <w:bookmarkStart w:id="153" w:name="_Toc216814620"/>
      <w:bookmarkStart w:id="154" w:name="_Toc216854844"/>
      <w:bookmarkStart w:id="155" w:name="_Toc216962337"/>
      <w:bookmarkStart w:id="156" w:name="_Toc216963240"/>
      <w:bookmarkStart w:id="157" w:name="_Toc216963289"/>
      <w:bookmarkStart w:id="158" w:name="_Toc216964422"/>
      <w:bookmarkStart w:id="159" w:name="_Toc217042001"/>
      <w:bookmarkStart w:id="160" w:name="_Toc217043968"/>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00184CAB" w:rsidRDefault="002B1930">
      <w:pPr>
        <w:pStyle w:val="Ttulo2"/>
        <w:numPr>
          <w:ilvl w:val="1"/>
          <w:numId w:val="37"/>
        </w:numPr>
        <w:spacing w:line="360" w:lineRule="auto"/>
        <w:rPr>
          <w:rFonts w:eastAsia="Calibri"/>
          <w:b/>
          <w:color w:val="4C4747"/>
          <w:szCs w:val="24"/>
        </w:rPr>
      </w:pPr>
      <w:bookmarkStart w:id="161" w:name="_Toc217043969"/>
      <w:bookmarkStart w:id="162" w:name="_Toc217907937"/>
      <w:bookmarkStart w:id="163" w:name="_Toc217914437"/>
      <w:r>
        <w:rPr>
          <w:rFonts w:eastAsia="Calibri"/>
          <w:b/>
          <w:color w:val="4C4747"/>
          <w:szCs w:val="24"/>
        </w:rPr>
        <w:t>Nivel de la satisfacción con el servicio</w:t>
      </w:r>
      <w:bookmarkEnd w:id="161"/>
      <w:bookmarkEnd w:id="162"/>
      <w:bookmarkEnd w:id="163"/>
    </w:p>
    <w:p w:rsidR="00184CAB" w:rsidRDefault="00184CAB">
      <w:pPr>
        <w:spacing w:line="360" w:lineRule="auto"/>
        <w:jc w:val="both"/>
        <w:rPr>
          <w:color w:val="4C4747"/>
          <w:lang w:val="es-US"/>
        </w:rPr>
      </w:pPr>
    </w:p>
    <w:p w:rsidR="00184CAB" w:rsidRDefault="002B1930">
      <w:pPr>
        <w:spacing w:line="360" w:lineRule="auto"/>
        <w:jc w:val="both"/>
        <w:rPr>
          <w:color w:val="4C4747"/>
          <w:lang w:val="es-US"/>
        </w:rPr>
      </w:pPr>
      <w:r>
        <w:rPr>
          <w:color w:val="4C4747"/>
          <w:lang w:val="es-US"/>
        </w:rPr>
        <w:t xml:space="preserve">Con el </w:t>
      </w:r>
      <w:r>
        <w:rPr>
          <w:color w:val="4C4747"/>
          <w:lang w:val="es-US"/>
        </w:rPr>
        <w:t>propósito de garantizar una mejora continua en la calidad del servicio ofrecido al ciudadano, durante el período reportado, el Departamento de Correspondencia aplicó una encuesta de satisfacción a los usuarios que realizaron depósitos de correspondencias d</w:t>
      </w:r>
      <w:r>
        <w:rPr>
          <w:color w:val="4C4747"/>
          <w:lang w:val="es-US"/>
        </w:rPr>
        <w:t>e manera presencial. La valoración incluyó cinco aspectos fundamentales del servicio: amabilidad, tiempo de espera, rapidez y eficiencia, información clara y precisa y el nivel general de satisfacción.</w:t>
      </w:r>
    </w:p>
    <w:tbl>
      <w:tblPr>
        <w:tblW w:w="7910" w:type="dxa"/>
        <w:tblCellMar>
          <w:left w:w="10" w:type="dxa"/>
          <w:right w:w="10" w:type="dxa"/>
        </w:tblCellMar>
        <w:tblLook w:val="0000" w:firstRow="0" w:lastRow="0" w:firstColumn="0" w:lastColumn="0" w:noHBand="0" w:noVBand="0"/>
      </w:tblPr>
      <w:tblGrid>
        <w:gridCol w:w="3397"/>
        <w:gridCol w:w="2699"/>
        <w:gridCol w:w="1814"/>
      </w:tblGrid>
      <w:tr w:rsidR="00184CAB">
        <w:tblPrEx>
          <w:tblCellMar>
            <w:top w:w="0" w:type="dxa"/>
            <w:bottom w:w="0" w:type="dxa"/>
          </w:tblCellMar>
        </w:tblPrEx>
        <w:trPr>
          <w:tblHeader/>
        </w:trPr>
        <w:tc>
          <w:tcPr>
            <w:tcW w:w="7910" w:type="dxa"/>
            <w:gridSpan w:val="3"/>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lang w:val="es-US"/>
              </w:rPr>
            </w:pPr>
            <w:r>
              <w:rPr>
                <w:b/>
                <w:color w:val="FFFFFF"/>
                <w:sz w:val="19"/>
                <w:szCs w:val="19"/>
                <w:lang w:val="es-US"/>
              </w:rPr>
              <w:t xml:space="preserve">Tabla no. 41 sobre relación de resultados de encuesta </w:t>
            </w:r>
            <w:r>
              <w:rPr>
                <w:b/>
                <w:color w:val="FFFFFF"/>
                <w:sz w:val="19"/>
                <w:szCs w:val="19"/>
                <w:lang w:val="es-US"/>
              </w:rPr>
              <w:t xml:space="preserve">de satisfacción con el servicio ofrecido por el </w:t>
            </w:r>
            <w:proofErr w:type="spellStart"/>
            <w:r>
              <w:rPr>
                <w:b/>
                <w:color w:val="FFFFFF"/>
                <w:sz w:val="19"/>
                <w:szCs w:val="19"/>
                <w:lang w:val="es-US"/>
              </w:rPr>
              <w:t>Dept</w:t>
            </w:r>
            <w:proofErr w:type="spellEnd"/>
            <w:r>
              <w:rPr>
                <w:b/>
                <w:color w:val="FFFFFF"/>
                <w:sz w:val="19"/>
                <w:szCs w:val="19"/>
                <w:lang w:val="es-US"/>
              </w:rPr>
              <w:t>. de Correspondencia durante el periodo anual 2025</w:t>
            </w:r>
          </w:p>
        </w:tc>
      </w:tr>
      <w:tr w:rsidR="00184CAB">
        <w:tblPrEx>
          <w:tblCellMar>
            <w:top w:w="0" w:type="dxa"/>
            <w:bottom w:w="0" w:type="dxa"/>
          </w:tblCellMar>
        </w:tblPrEx>
        <w:trPr>
          <w:tblHeader/>
        </w:trPr>
        <w:tc>
          <w:tcPr>
            <w:tcW w:w="3397"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lang w:val="es-US"/>
              </w:rPr>
            </w:pPr>
            <w:r>
              <w:rPr>
                <w:b/>
                <w:color w:val="FFFFFF"/>
                <w:sz w:val="19"/>
                <w:szCs w:val="19"/>
                <w:lang w:val="es-US"/>
              </w:rPr>
              <w:t>Indicador</w:t>
            </w:r>
          </w:p>
        </w:tc>
        <w:tc>
          <w:tcPr>
            <w:tcW w:w="2699"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lang w:val="es-US"/>
              </w:rPr>
            </w:pPr>
            <w:r>
              <w:rPr>
                <w:b/>
                <w:color w:val="FFFFFF"/>
                <w:sz w:val="19"/>
                <w:szCs w:val="19"/>
                <w:lang w:val="es-US"/>
              </w:rPr>
              <w:t>% Excelente + Bueno</w:t>
            </w:r>
          </w:p>
        </w:tc>
        <w:tc>
          <w:tcPr>
            <w:tcW w:w="1814"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lang w:val="es-US"/>
              </w:rPr>
            </w:pPr>
            <w:proofErr w:type="gramStart"/>
            <w:r>
              <w:rPr>
                <w:b/>
                <w:color w:val="FFFFFF"/>
                <w:sz w:val="19"/>
                <w:szCs w:val="19"/>
                <w:lang w:val="es-US"/>
              </w:rPr>
              <w:t>Total</w:t>
            </w:r>
            <w:proofErr w:type="gramEnd"/>
            <w:r>
              <w:rPr>
                <w:b/>
                <w:color w:val="FFFFFF"/>
                <w:sz w:val="19"/>
                <w:szCs w:val="19"/>
                <w:lang w:val="es-US"/>
              </w:rPr>
              <w:t xml:space="preserve"> de encuestas</w:t>
            </w:r>
          </w:p>
        </w:tc>
      </w:tr>
      <w:tr w:rsidR="00184CAB">
        <w:tblPrEx>
          <w:tblCellMar>
            <w:top w:w="0" w:type="dxa"/>
            <w:bottom w:w="0" w:type="dxa"/>
          </w:tblCellMar>
        </w:tblPrEx>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lang w:val="es-US"/>
              </w:rPr>
            </w:pPr>
            <w:r>
              <w:rPr>
                <w:color w:val="4C4747"/>
                <w:sz w:val="19"/>
                <w:szCs w:val="19"/>
                <w:lang w:val="es-US"/>
              </w:rPr>
              <w:t>Amabilidad</w:t>
            </w:r>
          </w:p>
        </w:tc>
        <w:tc>
          <w:tcPr>
            <w:tcW w:w="2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lang w:val="es-US"/>
              </w:rPr>
            </w:pPr>
            <w:r>
              <w:rPr>
                <w:color w:val="4C4747"/>
                <w:sz w:val="19"/>
                <w:szCs w:val="19"/>
                <w:lang w:val="es-US"/>
              </w:rPr>
              <w:t>96.9%</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lang w:val="es-US"/>
              </w:rPr>
            </w:pPr>
            <w:r>
              <w:rPr>
                <w:color w:val="4C4747"/>
                <w:sz w:val="19"/>
                <w:szCs w:val="19"/>
                <w:lang w:val="es-US"/>
              </w:rPr>
              <w:t>318</w:t>
            </w:r>
          </w:p>
        </w:tc>
      </w:tr>
      <w:tr w:rsidR="00184CAB">
        <w:tblPrEx>
          <w:tblCellMar>
            <w:top w:w="0" w:type="dxa"/>
            <w:bottom w:w="0" w:type="dxa"/>
          </w:tblCellMar>
        </w:tblPrEx>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lang w:val="es-US"/>
              </w:rPr>
            </w:pPr>
            <w:r>
              <w:rPr>
                <w:color w:val="4C4747"/>
                <w:sz w:val="19"/>
                <w:szCs w:val="19"/>
                <w:lang w:val="es-US"/>
              </w:rPr>
              <w:t>Tiempo de espera</w:t>
            </w:r>
          </w:p>
        </w:tc>
        <w:tc>
          <w:tcPr>
            <w:tcW w:w="2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lang w:val="es-US"/>
              </w:rPr>
            </w:pPr>
            <w:r>
              <w:rPr>
                <w:color w:val="4C4747"/>
                <w:sz w:val="19"/>
                <w:szCs w:val="19"/>
                <w:lang w:val="es-US"/>
              </w:rPr>
              <w:t>96.8%</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lang w:val="es-US"/>
              </w:rPr>
            </w:pPr>
            <w:r>
              <w:rPr>
                <w:color w:val="4C4747"/>
                <w:sz w:val="19"/>
                <w:szCs w:val="19"/>
                <w:lang w:val="es-US"/>
              </w:rPr>
              <w:t>316</w:t>
            </w:r>
          </w:p>
        </w:tc>
      </w:tr>
      <w:tr w:rsidR="00184CAB">
        <w:tblPrEx>
          <w:tblCellMar>
            <w:top w:w="0" w:type="dxa"/>
            <w:bottom w:w="0" w:type="dxa"/>
          </w:tblCellMar>
        </w:tblPrEx>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lang w:val="es-US"/>
              </w:rPr>
            </w:pPr>
            <w:r>
              <w:rPr>
                <w:color w:val="4C4747"/>
                <w:sz w:val="19"/>
                <w:szCs w:val="19"/>
                <w:lang w:val="es-US"/>
              </w:rPr>
              <w:t>Rapidez y eficiencia</w:t>
            </w:r>
          </w:p>
        </w:tc>
        <w:tc>
          <w:tcPr>
            <w:tcW w:w="2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lang w:val="es-US"/>
              </w:rPr>
            </w:pPr>
            <w:r>
              <w:rPr>
                <w:color w:val="4C4747"/>
                <w:sz w:val="19"/>
                <w:szCs w:val="19"/>
                <w:lang w:val="es-US"/>
              </w:rPr>
              <w:t>96.8%</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lang w:val="es-US"/>
              </w:rPr>
            </w:pPr>
            <w:r>
              <w:rPr>
                <w:color w:val="4C4747"/>
                <w:sz w:val="19"/>
                <w:szCs w:val="19"/>
                <w:lang w:val="es-US"/>
              </w:rPr>
              <w:t>317</w:t>
            </w:r>
          </w:p>
        </w:tc>
      </w:tr>
      <w:tr w:rsidR="00184CAB">
        <w:tblPrEx>
          <w:tblCellMar>
            <w:top w:w="0" w:type="dxa"/>
            <w:bottom w:w="0" w:type="dxa"/>
          </w:tblCellMar>
        </w:tblPrEx>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lang w:val="es-US"/>
              </w:rPr>
            </w:pPr>
            <w:r>
              <w:rPr>
                <w:color w:val="4C4747"/>
                <w:sz w:val="19"/>
                <w:szCs w:val="19"/>
                <w:lang w:val="es-US"/>
              </w:rPr>
              <w:t xml:space="preserve">Información clara y </w:t>
            </w:r>
            <w:r>
              <w:rPr>
                <w:color w:val="4C4747"/>
                <w:sz w:val="19"/>
                <w:szCs w:val="19"/>
                <w:lang w:val="es-US"/>
              </w:rPr>
              <w:t>precisa</w:t>
            </w:r>
          </w:p>
        </w:tc>
        <w:tc>
          <w:tcPr>
            <w:tcW w:w="2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lang w:val="es-US"/>
              </w:rPr>
            </w:pPr>
            <w:r>
              <w:rPr>
                <w:color w:val="4C4747"/>
                <w:sz w:val="19"/>
                <w:szCs w:val="19"/>
                <w:lang w:val="es-US"/>
              </w:rPr>
              <w:t>97.8%</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lang w:val="es-US"/>
              </w:rPr>
            </w:pPr>
            <w:r>
              <w:rPr>
                <w:color w:val="4C4747"/>
                <w:sz w:val="19"/>
                <w:szCs w:val="19"/>
                <w:lang w:val="es-US"/>
              </w:rPr>
              <w:t>317</w:t>
            </w:r>
          </w:p>
        </w:tc>
      </w:tr>
      <w:tr w:rsidR="00184CAB">
        <w:tblPrEx>
          <w:tblCellMar>
            <w:top w:w="0" w:type="dxa"/>
            <w:bottom w:w="0" w:type="dxa"/>
          </w:tblCellMar>
        </w:tblPrEx>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lang w:val="es-US"/>
              </w:rPr>
            </w:pPr>
            <w:r>
              <w:rPr>
                <w:color w:val="4C4747"/>
                <w:sz w:val="19"/>
                <w:szCs w:val="19"/>
                <w:lang w:val="es-US"/>
              </w:rPr>
              <w:t>Satisfacción general</w:t>
            </w:r>
          </w:p>
        </w:tc>
        <w:tc>
          <w:tcPr>
            <w:tcW w:w="2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lang w:val="es-US"/>
              </w:rPr>
            </w:pPr>
            <w:r>
              <w:rPr>
                <w:color w:val="4C4747"/>
                <w:sz w:val="19"/>
                <w:szCs w:val="19"/>
                <w:lang w:val="es-US"/>
              </w:rPr>
              <w:t>96.2%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lang w:val="es-US"/>
              </w:rPr>
            </w:pPr>
            <w:r>
              <w:rPr>
                <w:color w:val="4C4747"/>
                <w:sz w:val="19"/>
                <w:szCs w:val="19"/>
                <w:lang w:val="es-US"/>
              </w:rPr>
              <w:t>318</w:t>
            </w:r>
          </w:p>
        </w:tc>
      </w:tr>
    </w:tbl>
    <w:p w:rsidR="00184CAB" w:rsidRDefault="002B1930">
      <w:pPr>
        <w:spacing w:line="240" w:lineRule="auto"/>
        <w:rPr>
          <w:i/>
          <w:color w:val="4C4747"/>
          <w:sz w:val="18"/>
          <w:szCs w:val="18"/>
        </w:rPr>
      </w:pPr>
      <w:r>
        <w:rPr>
          <w:i/>
          <w:color w:val="4C4747"/>
          <w:sz w:val="18"/>
          <w:szCs w:val="18"/>
        </w:rPr>
        <w:t>Fuente: Datos correspondientes al reporte del Departamento de Correspondencia, periodo anual 2025.</w:t>
      </w:r>
    </w:p>
    <w:p w:rsidR="00184CAB" w:rsidRDefault="002B1930">
      <w:pPr>
        <w:spacing w:line="360" w:lineRule="auto"/>
        <w:jc w:val="both"/>
      </w:pPr>
      <w:r>
        <w:rPr>
          <w:color w:val="4C4747"/>
          <w:lang w:val="es-US"/>
        </w:rPr>
        <w:t xml:space="preserve">En total, las métricas evaluadas reflejan un desempeño altamente positivo, destacando un elevado nivel de </w:t>
      </w:r>
      <w:r>
        <w:rPr>
          <w:color w:val="4C4747"/>
          <w:lang w:val="es-US"/>
        </w:rPr>
        <w:t>excelencia y eficacia en la atención brindada.</w:t>
      </w:r>
    </w:p>
    <w:p w:rsidR="00184CAB" w:rsidRDefault="002B1930">
      <w:pPr>
        <w:spacing w:line="360" w:lineRule="auto"/>
        <w:jc w:val="both"/>
        <w:rPr>
          <w:color w:val="4C4747"/>
          <w:lang w:val="es-ES"/>
        </w:rPr>
      </w:pPr>
      <w:r>
        <w:rPr>
          <w:color w:val="4C4747"/>
          <w:lang w:val="es-ES"/>
        </w:rPr>
        <w:t>Durante el periodo enero-noviembre del año en curso, se registró un flujo de 33,216 ciudadanos atendidos, mientras que la Central Telefónica gestionó un total de 50,348 llamadas, consolidándose como un punto e</w:t>
      </w:r>
      <w:r>
        <w:rPr>
          <w:color w:val="4C4747"/>
          <w:lang w:val="es-ES"/>
        </w:rPr>
        <w:t xml:space="preserve">stratégico de interacción ciudadana. </w:t>
      </w:r>
    </w:p>
    <w:p w:rsidR="00184CAB" w:rsidRDefault="002B1930">
      <w:pPr>
        <w:spacing w:line="360" w:lineRule="auto"/>
        <w:jc w:val="both"/>
        <w:rPr>
          <w:color w:val="4C4747"/>
        </w:rPr>
      </w:pPr>
      <w:r>
        <w:rPr>
          <w:color w:val="4C4747"/>
        </w:rPr>
        <w:t xml:space="preserve">Adicionalmente, se instalaron pantallas informativas en el área, destinadas a la difusión de contenidos relevantes para los visitantes, incluyendo la transmisión de la sesión La Semanal, contribuyendo a una </w:t>
      </w:r>
      <w:r>
        <w:rPr>
          <w:color w:val="4C4747"/>
        </w:rPr>
        <w:t>comunicación más transparente.</w:t>
      </w:r>
    </w:p>
    <w:p w:rsidR="00184CAB" w:rsidRDefault="00184CAB">
      <w:pPr>
        <w:spacing w:line="360" w:lineRule="auto"/>
        <w:jc w:val="both"/>
        <w:rPr>
          <w:color w:val="4C4747"/>
        </w:rPr>
      </w:pPr>
    </w:p>
    <w:p w:rsidR="00184CAB" w:rsidRDefault="002B1930">
      <w:pPr>
        <w:autoSpaceDE w:val="0"/>
        <w:spacing w:line="360" w:lineRule="auto"/>
        <w:jc w:val="both"/>
        <w:rPr>
          <w:b/>
          <w:color w:val="4B4747"/>
        </w:rPr>
      </w:pPr>
      <w:r>
        <w:rPr>
          <w:b/>
          <w:color w:val="4B4747"/>
        </w:rPr>
        <w:lastRenderedPageBreak/>
        <w:t>Proyecciones para cierre de año:</w:t>
      </w:r>
    </w:p>
    <w:p w:rsidR="00184CAB" w:rsidRDefault="002B1930">
      <w:pPr>
        <w:spacing w:line="360" w:lineRule="auto"/>
        <w:jc w:val="both"/>
        <w:rPr>
          <w:color w:val="4C4747"/>
        </w:rPr>
      </w:pPr>
      <w:r>
        <w:rPr>
          <w:color w:val="4C4747"/>
        </w:rPr>
        <w:t>Se proyecta que para el mes de diciembre se mantenga la tendencia de satisfacción por encima del 95% como se mantuvo en todo el transcurso del año.</w:t>
      </w:r>
    </w:p>
    <w:p w:rsidR="00184CAB" w:rsidRDefault="002B1930">
      <w:pPr>
        <w:pStyle w:val="Ttulo2"/>
        <w:numPr>
          <w:ilvl w:val="1"/>
          <w:numId w:val="37"/>
        </w:numPr>
        <w:spacing w:line="360" w:lineRule="auto"/>
        <w:rPr>
          <w:rFonts w:eastAsia="Calibri"/>
          <w:b/>
          <w:color w:val="4C4747"/>
          <w:szCs w:val="24"/>
        </w:rPr>
      </w:pPr>
      <w:bookmarkStart w:id="164" w:name="_Toc217043970"/>
      <w:bookmarkStart w:id="165" w:name="_Toc217907938"/>
      <w:bookmarkStart w:id="166" w:name="_Toc217914438"/>
      <w:r>
        <w:rPr>
          <w:rFonts w:eastAsia="Calibri"/>
          <w:b/>
          <w:color w:val="4C4747"/>
          <w:szCs w:val="24"/>
        </w:rPr>
        <w:t>Nivel de cumplimiento acceso a la informaci</w:t>
      </w:r>
      <w:r>
        <w:rPr>
          <w:rFonts w:eastAsia="Calibri"/>
          <w:b/>
          <w:color w:val="4C4747"/>
          <w:szCs w:val="24"/>
        </w:rPr>
        <w:t>ón</w:t>
      </w:r>
      <w:bookmarkEnd w:id="164"/>
      <w:bookmarkEnd w:id="165"/>
      <w:bookmarkEnd w:id="166"/>
    </w:p>
    <w:p w:rsidR="00184CAB" w:rsidRDefault="002B1930">
      <w:pPr>
        <w:spacing w:line="360" w:lineRule="auto"/>
        <w:jc w:val="both"/>
        <w:rPr>
          <w:color w:val="4C4747"/>
          <w:lang w:val="es-DO"/>
        </w:rPr>
      </w:pPr>
      <w:r>
        <w:rPr>
          <w:color w:val="4C4747"/>
          <w:lang w:val="es-DO"/>
        </w:rPr>
        <w:t xml:space="preserve">Durante el periodo anual 2025, el Ministerio Administrativo de la Presidencia recibió un total de ochenta y cuatro (84) solicitudes de libre acceso a la información pública los cuales fueron respondidos dentro de los plazos establecidos por la norma en </w:t>
      </w:r>
      <w:r>
        <w:rPr>
          <w:color w:val="4C4747"/>
          <w:lang w:val="es-DO"/>
        </w:rPr>
        <w:t xml:space="preserve">vigencia. </w:t>
      </w:r>
    </w:p>
    <w:tbl>
      <w:tblPr>
        <w:tblW w:w="7915" w:type="dxa"/>
        <w:tblInd w:w="-5" w:type="dxa"/>
        <w:tblLayout w:type="fixed"/>
        <w:tblCellMar>
          <w:left w:w="10" w:type="dxa"/>
          <w:right w:w="10" w:type="dxa"/>
        </w:tblCellMar>
        <w:tblLook w:val="0000" w:firstRow="0" w:lastRow="0" w:firstColumn="0" w:lastColumn="0" w:noHBand="0" w:noVBand="0"/>
      </w:tblPr>
      <w:tblGrid>
        <w:gridCol w:w="1276"/>
        <w:gridCol w:w="1276"/>
        <w:gridCol w:w="1235"/>
        <w:gridCol w:w="1465"/>
        <w:gridCol w:w="1291"/>
        <w:gridCol w:w="1372"/>
      </w:tblGrid>
      <w:tr w:rsidR="00184CAB">
        <w:tblPrEx>
          <w:tblCellMar>
            <w:top w:w="0" w:type="dxa"/>
            <w:bottom w:w="0" w:type="dxa"/>
          </w:tblCellMar>
        </w:tblPrEx>
        <w:trPr>
          <w:trHeight w:val="277"/>
        </w:trPr>
        <w:tc>
          <w:tcPr>
            <w:tcW w:w="7915" w:type="dxa"/>
            <w:gridSpan w:val="6"/>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jc w:val="center"/>
              <w:rPr>
                <w:b/>
                <w:color w:val="FFFFFF"/>
                <w:sz w:val="19"/>
                <w:szCs w:val="19"/>
              </w:rPr>
            </w:pPr>
            <w:bookmarkStart w:id="167" w:name="_Hlk215646848"/>
            <w:r>
              <w:rPr>
                <w:b/>
                <w:color w:val="FFFFFF"/>
                <w:sz w:val="19"/>
                <w:szCs w:val="19"/>
              </w:rPr>
              <w:t>Tabla no. 42 sobre relación de Estadísticas de Gestión de servicios durante el periodo enero-noviembre 2025</w:t>
            </w:r>
          </w:p>
        </w:tc>
      </w:tr>
      <w:tr w:rsidR="00184CAB">
        <w:tblPrEx>
          <w:tblCellMar>
            <w:top w:w="0" w:type="dxa"/>
            <w:bottom w:w="0" w:type="dxa"/>
          </w:tblCellMar>
        </w:tblPrEx>
        <w:trPr>
          <w:trHeight w:val="884"/>
        </w:trPr>
        <w:tc>
          <w:tcPr>
            <w:tcW w:w="1276"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Medio de Solicitud</w:t>
            </w:r>
          </w:p>
        </w:tc>
        <w:tc>
          <w:tcPr>
            <w:tcW w:w="1276"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Recibidas</w:t>
            </w:r>
          </w:p>
        </w:tc>
        <w:tc>
          <w:tcPr>
            <w:tcW w:w="123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Respondidas</w:t>
            </w:r>
          </w:p>
        </w:tc>
        <w:tc>
          <w:tcPr>
            <w:tcW w:w="146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Transferidas</w:t>
            </w:r>
          </w:p>
        </w:tc>
        <w:tc>
          <w:tcPr>
            <w:tcW w:w="1291"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Pendientes</w:t>
            </w:r>
          </w:p>
        </w:tc>
        <w:tc>
          <w:tcPr>
            <w:tcW w:w="1372"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Rechazadas</w:t>
            </w:r>
          </w:p>
        </w:tc>
      </w:tr>
      <w:tr w:rsidR="00184CAB">
        <w:tblPrEx>
          <w:tblCellMar>
            <w:top w:w="0" w:type="dxa"/>
            <w:bottom w:w="0" w:type="dxa"/>
          </w:tblCellMar>
        </w:tblPrEx>
        <w:trPr>
          <w:trHeight w:val="27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Físicas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11</w:t>
            </w:r>
          </w:p>
        </w:tc>
        <w:tc>
          <w:tcPr>
            <w:tcW w:w="1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10</w:t>
            </w:r>
          </w:p>
        </w:tc>
        <w:tc>
          <w:tcPr>
            <w:tcW w:w="12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0</w:t>
            </w:r>
          </w:p>
        </w:tc>
      </w:tr>
      <w:tr w:rsidR="00184CAB">
        <w:tblPrEx>
          <w:tblCellMar>
            <w:top w:w="0" w:type="dxa"/>
            <w:bottom w:w="0" w:type="dxa"/>
          </w:tblCellMar>
        </w:tblPrEx>
        <w:trPr>
          <w:trHeight w:val="482"/>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Portal SAIP</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72</w:t>
            </w:r>
          </w:p>
        </w:tc>
        <w:tc>
          <w:tcPr>
            <w:tcW w:w="1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53</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19</w:t>
            </w:r>
          </w:p>
        </w:tc>
        <w:tc>
          <w:tcPr>
            <w:tcW w:w="12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1</w:t>
            </w:r>
          </w:p>
        </w:tc>
      </w:tr>
      <w:tr w:rsidR="00184CAB">
        <w:tblPrEx>
          <w:tblCellMar>
            <w:top w:w="0" w:type="dxa"/>
            <w:bottom w:w="0" w:type="dxa"/>
          </w:tblCellMar>
        </w:tblPrEx>
        <w:trPr>
          <w:trHeight w:val="27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311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3</w:t>
            </w:r>
          </w:p>
        </w:tc>
        <w:tc>
          <w:tcPr>
            <w:tcW w:w="1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0</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2</w:t>
            </w:r>
          </w:p>
        </w:tc>
        <w:tc>
          <w:tcPr>
            <w:tcW w:w="12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0</w:t>
            </w:r>
          </w:p>
        </w:tc>
      </w:tr>
      <w:tr w:rsidR="00184CAB">
        <w:tblPrEx>
          <w:tblCellMar>
            <w:top w:w="0" w:type="dxa"/>
            <w:bottom w:w="0" w:type="dxa"/>
          </w:tblCellMar>
        </w:tblPrEx>
        <w:trPr>
          <w:trHeight w:val="27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84CAB" w:rsidRDefault="002B1930">
            <w:pPr>
              <w:spacing w:after="0" w:line="240" w:lineRule="auto"/>
              <w:jc w:val="center"/>
              <w:rPr>
                <w:color w:val="4C4747"/>
                <w:sz w:val="19"/>
                <w:szCs w:val="19"/>
              </w:rPr>
            </w:pPr>
            <w:r>
              <w:rPr>
                <w:color w:val="4C4747"/>
                <w:sz w:val="19"/>
                <w:szCs w:val="19"/>
              </w:rPr>
              <w:t>Otra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0</w:t>
            </w:r>
          </w:p>
        </w:tc>
        <w:tc>
          <w:tcPr>
            <w:tcW w:w="1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0</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0</w:t>
            </w:r>
          </w:p>
        </w:tc>
        <w:tc>
          <w:tcPr>
            <w:tcW w:w="12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0</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jc w:val="center"/>
              <w:rPr>
                <w:color w:val="4C4747"/>
                <w:sz w:val="19"/>
                <w:szCs w:val="19"/>
              </w:rPr>
            </w:pPr>
            <w:r>
              <w:rPr>
                <w:color w:val="4C4747"/>
                <w:sz w:val="19"/>
                <w:szCs w:val="19"/>
              </w:rPr>
              <w:t>0</w:t>
            </w:r>
          </w:p>
        </w:tc>
      </w:tr>
      <w:tr w:rsidR="00184CAB">
        <w:tblPrEx>
          <w:tblCellMar>
            <w:top w:w="0" w:type="dxa"/>
            <w:bottom w:w="0" w:type="dxa"/>
          </w:tblCellMar>
        </w:tblPrEx>
        <w:trPr>
          <w:trHeight w:val="284"/>
        </w:trPr>
        <w:tc>
          <w:tcPr>
            <w:tcW w:w="1276"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tcPr>
          <w:p w:rsidR="00184CAB" w:rsidRDefault="002B1930">
            <w:pPr>
              <w:spacing w:after="0" w:line="240" w:lineRule="auto"/>
              <w:rPr>
                <w:b/>
                <w:color w:val="FFFFFF"/>
                <w:sz w:val="19"/>
                <w:szCs w:val="19"/>
              </w:rPr>
            </w:pPr>
            <w:r>
              <w:rPr>
                <w:b/>
                <w:color w:val="FFFFFF"/>
                <w:sz w:val="19"/>
                <w:szCs w:val="19"/>
              </w:rPr>
              <w:t>Total</w:t>
            </w:r>
          </w:p>
        </w:tc>
        <w:tc>
          <w:tcPr>
            <w:tcW w:w="1276"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86</w:t>
            </w:r>
          </w:p>
        </w:tc>
        <w:tc>
          <w:tcPr>
            <w:tcW w:w="123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54</w:t>
            </w:r>
          </w:p>
        </w:tc>
        <w:tc>
          <w:tcPr>
            <w:tcW w:w="146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31</w:t>
            </w:r>
          </w:p>
        </w:tc>
        <w:tc>
          <w:tcPr>
            <w:tcW w:w="1291"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1</w:t>
            </w:r>
          </w:p>
        </w:tc>
        <w:tc>
          <w:tcPr>
            <w:tcW w:w="1372"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rsidR="00184CAB" w:rsidRDefault="002B1930">
            <w:pPr>
              <w:spacing w:after="0" w:line="240" w:lineRule="auto"/>
              <w:jc w:val="center"/>
              <w:rPr>
                <w:b/>
                <w:color w:val="FFFFFF"/>
                <w:sz w:val="19"/>
                <w:szCs w:val="19"/>
              </w:rPr>
            </w:pPr>
            <w:r>
              <w:rPr>
                <w:b/>
                <w:color w:val="FFFFFF"/>
                <w:sz w:val="19"/>
                <w:szCs w:val="19"/>
              </w:rPr>
              <w:t>1</w:t>
            </w:r>
          </w:p>
        </w:tc>
      </w:tr>
    </w:tbl>
    <w:bookmarkEnd w:id="167"/>
    <w:p w:rsidR="00184CAB" w:rsidRDefault="002B1930">
      <w:pPr>
        <w:spacing w:line="240" w:lineRule="auto"/>
        <w:jc w:val="both"/>
        <w:rPr>
          <w:i/>
          <w:color w:val="4C4747"/>
          <w:sz w:val="18"/>
          <w:szCs w:val="18"/>
        </w:rPr>
      </w:pPr>
      <w:r>
        <w:rPr>
          <w:i/>
          <w:color w:val="4C4747"/>
          <w:sz w:val="18"/>
          <w:szCs w:val="18"/>
        </w:rPr>
        <w:t>Fuente: Datos provenientes del informe anual de la Oficina de Libre Acceso a la Información.</w:t>
      </w:r>
    </w:p>
    <w:p w:rsidR="00184CAB" w:rsidRDefault="00184CAB">
      <w:pPr>
        <w:autoSpaceDE w:val="0"/>
        <w:spacing w:line="360" w:lineRule="auto"/>
        <w:jc w:val="both"/>
        <w:rPr>
          <w:b/>
          <w:color w:val="4B4747"/>
        </w:rPr>
      </w:pPr>
    </w:p>
    <w:p w:rsidR="00184CAB" w:rsidRDefault="002B1930">
      <w:pPr>
        <w:autoSpaceDE w:val="0"/>
        <w:spacing w:line="360" w:lineRule="auto"/>
        <w:jc w:val="both"/>
        <w:rPr>
          <w:b/>
          <w:color w:val="4B4747"/>
        </w:rPr>
      </w:pPr>
      <w:r>
        <w:rPr>
          <w:b/>
          <w:color w:val="4B4747"/>
        </w:rPr>
        <w:t>Proyecciones para cierre de año:</w:t>
      </w:r>
    </w:p>
    <w:p w:rsidR="00184CAB" w:rsidRDefault="002B1930">
      <w:pPr>
        <w:spacing w:line="360" w:lineRule="auto"/>
        <w:jc w:val="both"/>
        <w:rPr>
          <w:color w:val="4C4747"/>
          <w:lang w:val="es-DO"/>
        </w:rPr>
      </w:pPr>
      <w:r>
        <w:rPr>
          <w:color w:val="4C4747"/>
          <w:lang w:val="es-DO"/>
        </w:rPr>
        <w:t xml:space="preserve">Gracias al trabajo articulado del equipo, se logró incrementar la calificación </w:t>
      </w:r>
      <w:r>
        <w:rPr>
          <w:color w:val="4C4747"/>
          <w:lang w:val="es-DO"/>
        </w:rPr>
        <w:t xml:space="preserve">institucional en materia de transparencia, alcanzando a partir de febrero puntuaciones superiores a 99.79 puntos. </w:t>
      </w:r>
    </w:p>
    <w:p w:rsidR="00184CAB" w:rsidRDefault="002B1930">
      <w:pPr>
        <w:spacing w:line="360" w:lineRule="auto"/>
        <w:jc w:val="both"/>
        <w:rPr>
          <w:color w:val="4C4747"/>
          <w:lang w:val="es-DO"/>
        </w:rPr>
      </w:pPr>
      <w:r>
        <w:rPr>
          <w:color w:val="4C4747"/>
          <w:lang w:val="es-DO"/>
        </w:rPr>
        <w:t xml:space="preserve">Este logro fue posible mediante la actualización, estandarización y optimización del portal de transparencia, el cumplimiento del 100% en el </w:t>
      </w:r>
      <w:r>
        <w:rPr>
          <w:color w:val="4C4747"/>
          <w:lang w:val="es-DO"/>
        </w:rPr>
        <w:t>Portal de Datos Abiertos, así como la mejora en la calidad y claridad de las informaciones publicadas para facilitar su comprensión por parte de la ciudadanía.</w:t>
      </w:r>
    </w:p>
    <w:p w:rsidR="00184CAB" w:rsidRDefault="002B1930">
      <w:pPr>
        <w:spacing w:line="360" w:lineRule="auto"/>
        <w:jc w:val="both"/>
        <w:rPr>
          <w:color w:val="4C4747"/>
          <w:lang w:val="es-DO"/>
        </w:rPr>
      </w:pPr>
      <w:r>
        <w:rPr>
          <w:color w:val="4C4747"/>
          <w:lang w:val="es-DO"/>
        </w:rPr>
        <w:lastRenderedPageBreak/>
        <w:t xml:space="preserve">Al cierre de diciembre se proyecta que se mantenga la puntuación de 99.79 puntos. </w:t>
      </w:r>
    </w:p>
    <w:p w:rsidR="00184CAB" w:rsidRDefault="002B1930">
      <w:pPr>
        <w:pStyle w:val="Ttulo2"/>
        <w:numPr>
          <w:ilvl w:val="1"/>
          <w:numId w:val="37"/>
        </w:numPr>
        <w:spacing w:line="360" w:lineRule="auto"/>
        <w:rPr>
          <w:rFonts w:eastAsia="Calibri"/>
          <w:b/>
          <w:color w:val="4C4747"/>
          <w:szCs w:val="24"/>
        </w:rPr>
      </w:pPr>
      <w:bookmarkStart w:id="168" w:name="_Toc217043971"/>
      <w:bookmarkStart w:id="169" w:name="_Toc217907939"/>
      <w:bookmarkStart w:id="170" w:name="_Toc217914439"/>
      <w:r>
        <w:rPr>
          <w:rFonts w:eastAsia="Calibri"/>
          <w:b/>
          <w:color w:val="4C4747"/>
          <w:szCs w:val="24"/>
        </w:rPr>
        <w:t xml:space="preserve">Resultados </w:t>
      </w:r>
      <w:r>
        <w:rPr>
          <w:rFonts w:eastAsia="Calibri"/>
          <w:b/>
          <w:color w:val="4C4747"/>
          <w:szCs w:val="24"/>
        </w:rPr>
        <w:t>sistemas de quejas, reclamos y sugerencias</w:t>
      </w:r>
      <w:bookmarkEnd w:id="168"/>
      <w:bookmarkEnd w:id="169"/>
      <w:bookmarkEnd w:id="170"/>
    </w:p>
    <w:p w:rsidR="00184CAB" w:rsidRDefault="002B1930">
      <w:pPr>
        <w:spacing w:line="360" w:lineRule="auto"/>
        <w:jc w:val="both"/>
        <w:rPr>
          <w:color w:val="4C4747"/>
          <w:lang w:val="es-DO"/>
        </w:rPr>
      </w:pPr>
      <w:r>
        <w:rPr>
          <w:color w:val="4C4747"/>
          <w:lang w:val="es-DO"/>
        </w:rPr>
        <w:t>El Ministerio Administrativo de la Presidencia forma parte del Sistema de Atención Ciudadana 3-1-1, plataforma que facilita el registro de denuncias, quejas, sugerencias y reclamaciones de manera ágil, accesible y</w:t>
      </w:r>
      <w:r>
        <w:rPr>
          <w:color w:val="4C4747"/>
          <w:lang w:val="es-DO"/>
        </w:rPr>
        <w:t xml:space="preserve"> centralizada. Esta articulación permite fortalecer la atención ciudadana y mejorar la gestión institucional. Entre enero y noviembre de 2025, a través de este sistema se recibieron tres (3) solicitudes, todas atendidas y tramitadas en su totalidad de mane</w:t>
      </w:r>
      <w:r>
        <w:rPr>
          <w:color w:val="4C4747"/>
          <w:lang w:val="es-DO"/>
        </w:rPr>
        <w:t>ra oportuna.</w:t>
      </w:r>
    </w:p>
    <w:p w:rsidR="00184CAB" w:rsidRDefault="002B1930">
      <w:pPr>
        <w:autoSpaceDE w:val="0"/>
        <w:spacing w:line="360" w:lineRule="auto"/>
        <w:jc w:val="both"/>
        <w:rPr>
          <w:b/>
          <w:color w:val="4B4747"/>
        </w:rPr>
      </w:pPr>
      <w:r>
        <w:rPr>
          <w:b/>
          <w:color w:val="4B4747"/>
        </w:rPr>
        <w:t>Proyecciones para cierre de año:</w:t>
      </w:r>
    </w:p>
    <w:p w:rsidR="00184CAB" w:rsidRDefault="002B1930">
      <w:pPr>
        <w:spacing w:line="360" w:lineRule="auto"/>
        <w:jc w:val="both"/>
        <w:rPr>
          <w:color w:val="4C4747"/>
          <w:lang w:val="es-DO"/>
        </w:rPr>
      </w:pPr>
      <w:r>
        <w:rPr>
          <w:color w:val="4C4747"/>
          <w:lang w:val="es-DO"/>
        </w:rPr>
        <w:t xml:space="preserve">En base a la tendencia de años anteriores, no se proyecta para el mes de diciembre la recepción de quejas, reclamos y sugerencias, sin embargo, la dirección se mantiene atenta y a la disposición de dar el </w:t>
      </w:r>
      <w:r>
        <w:rPr>
          <w:color w:val="4C4747"/>
          <w:lang w:val="es-DO"/>
        </w:rPr>
        <w:t>servicio requerido a la mayor brevedad posible.</w:t>
      </w:r>
    </w:p>
    <w:p w:rsidR="00184CAB" w:rsidRDefault="00184CAB">
      <w:pPr>
        <w:spacing w:line="360" w:lineRule="auto"/>
        <w:jc w:val="both"/>
        <w:rPr>
          <w:color w:val="4C4747"/>
          <w:lang w:val="es-DO"/>
        </w:rPr>
      </w:pPr>
    </w:p>
    <w:p w:rsidR="00184CAB" w:rsidRDefault="002B1930">
      <w:pPr>
        <w:pStyle w:val="Ttulo2"/>
        <w:numPr>
          <w:ilvl w:val="1"/>
          <w:numId w:val="37"/>
        </w:numPr>
        <w:spacing w:line="360" w:lineRule="auto"/>
        <w:jc w:val="both"/>
        <w:rPr>
          <w:rFonts w:eastAsia="Calibri"/>
          <w:b/>
          <w:color w:val="4C4747"/>
          <w:szCs w:val="24"/>
        </w:rPr>
      </w:pPr>
      <w:bookmarkStart w:id="171" w:name="_Toc217043972"/>
      <w:bookmarkStart w:id="172" w:name="_Toc217907940"/>
      <w:bookmarkStart w:id="173" w:name="_Toc217914440"/>
      <w:r>
        <w:rPr>
          <w:rFonts w:eastAsia="Calibri"/>
          <w:b/>
          <w:color w:val="4C4747"/>
          <w:szCs w:val="24"/>
        </w:rPr>
        <w:t>Resultados de mediciones del portal de transparencia</w:t>
      </w:r>
      <w:bookmarkEnd w:id="171"/>
      <w:bookmarkEnd w:id="172"/>
      <w:bookmarkEnd w:id="173"/>
    </w:p>
    <w:p w:rsidR="00184CAB" w:rsidRDefault="002B1930">
      <w:pPr>
        <w:spacing w:line="360" w:lineRule="auto"/>
        <w:jc w:val="both"/>
      </w:pPr>
      <w:r>
        <w:rPr>
          <w:color w:val="4C4747"/>
        </w:rPr>
        <w:t xml:space="preserve">Conforme lo establecido en la Resolución DIGEIG 002-2021 de la Dirección General de Ética e Integridad Gubernamental, durante el año 2025, </w:t>
      </w:r>
      <w:r>
        <w:rPr>
          <w:color w:val="4C4747"/>
          <w:lang w:val="es-DO"/>
        </w:rPr>
        <w:t>se logró increm</w:t>
      </w:r>
      <w:r>
        <w:rPr>
          <w:color w:val="4C4747"/>
          <w:lang w:val="es-DO"/>
        </w:rPr>
        <w:t xml:space="preserve">entar la calificación institucional en materia de transparencia, alcanzando a partir de febrero puntuaciones superiores a 99.79 puntos. </w:t>
      </w:r>
    </w:p>
    <w:p w:rsidR="00184CAB" w:rsidRDefault="00184CAB">
      <w:pPr>
        <w:spacing w:line="360" w:lineRule="auto"/>
        <w:jc w:val="both"/>
        <w:rPr>
          <w:color w:val="4C4747"/>
          <w:lang w:val="es-DO"/>
        </w:rPr>
      </w:pPr>
    </w:p>
    <w:p w:rsidR="00184CAB" w:rsidRDefault="00184CAB">
      <w:pPr>
        <w:spacing w:line="360" w:lineRule="auto"/>
        <w:jc w:val="both"/>
        <w:rPr>
          <w:color w:val="4C4747"/>
          <w:shd w:val="clear" w:color="auto" w:fill="00FF00"/>
          <w:lang w:val="es-DO"/>
        </w:rPr>
      </w:pPr>
    </w:p>
    <w:p w:rsidR="00184CAB" w:rsidRDefault="00184CAB">
      <w:pPr>
        <w:spacing w:line="360" w:lineRule="auto"/>
        <w:jc w:val="both"/>
        <w:rPr>
          <w:color w:val="4C4747"/>
          <w:shd w:val="clear" w:color="auto" w:fill="00FF00"/>
          <w:lang w:val="es-DO"/>
        </w:rPr>
      </w:pPr>
    </w:p>
    <w:p w:rsidR="00184CAB" w:rsidRDefault="002B1930">
      <w:pPr>
        <w:pStyle w:val="Ttulo1"/>
        <w:rPr>
          <w:color w:val="4C4747"/>
          <w:sz w:val="24"/>
          <w:szCs w:val="24"/>
        </w:rPr>
      </w:pPr>
      <w:bookmarkStart w:id="174" w:name="_Toc217043973"/>
      <w:bookmarkStart w:id="175" w:name="_Toc217907941"/>
      <w:bookmarkStart w:id="176" w:name="_Toc217914441"/>
      <w:r>
        <w:rPr>
          <w:color w:val="4C4747"/>
          <w:sz w:val="24"/>
          <w:szCs w:val="24"/>
        </w:rPr>
        <w:lastRenderedPageBreak/>
        <w:t>PROYECCIONES DE PRÓXIMO AÑO</w:t>
      </w:r>
      <w:bookmarkEnd w:id="174"/>
      <w:bookmarkEnd w:id="175"/>
      <w:bookmarkEnd w:id="176"/>
    </w:p>
    <w:p w:rsidR="00184CAB" w:rsidRDefault="002B1930">
      <w:pPr>
        <w:spacing w:line="360" w:lineRule="auto"/>
        <w:jc w:val="both"/>
      </w:pPr>
      <w:r>
        <w:rPr>
          <w:noProof/>
          <w:color w:val="4C4747"/>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23189</wp:posOffset>
                </wp:positionV>
                <wp:extent cx="462915" cy="0"/>
                <wp:effectExtent l="0" t="19050" r="32385" b="19050"/>
                <wp:wrapNone/>
                <wp:docPr id="62" name="Straight Connector 14"/>
                <wp:cNvGraphicFramePr/>
                <a:graphic xmlns:a="http://schemas.openxmlformats.org/drawingml/2006/main">
                  <a:graphicData uri="http://schemas.microsoft.com/office/word/2010/wordprocessingShape">
                    <wps:wsp>
                      <wps:cNvCnPr/>
                      <wps:spPr>
                        <a:xfrm>
                          <a:off x="0" y="0"/>
                          <a:ext cx="462915" cy="0"/>
                        </a:xfrm>
                        <a:prstGeom prst="straightConnector1">
                          <a:avLst/>
                        </a:prstGeom>
                        <a:noFill/>
                        <a:ln w="28575" cap="flat">
                          <a:solidFill>
                            <a:srgbClr val="EE2A24"/>
                          </a:solidFill>
                          <a:prstDash val="solid"/>
                          <a:miter/>
                        </a:ln>
                      </wps:spPr>
                      <wps:bodyPr/>
                    </wps:wsp>
                  </a:graphicData>
                </a:graphic>
              </wp:anchor>
            </w:drawing>
          </mc:Choice>
          <mc:Fallback>
            <w:pict>
              <v:shape w14:anchorId="4C9A824F" id="Straight Connector 14" o:spid="_x0000_s1026" type="#_x0000_t32" style="position:absolute;margin-left:0;margin-top:1.85pt;width:36.45pt;height:0;z-index:25167257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hntAEAAFMDAAAOAAAAZHJzL2Uyb0RvYy54bWysU8tu2zAQvBfIPxC817KExE0Fy0FhJ70U&#10;rYG0H0BTpESAL+wylv33XdKOk7S3IBdS5O7M7gxXy7uDs2yvAE3wHa9nc86Ul6E3fuj4n98Pn285&#10;wyR8L2zwquNHhfxudfVpOcVWNWEMtlfAiMRjO8WOjynFtqpQjsoJnIWoPAV1ACcSHWGoehATsTtb&#10;NfP5opoC9BGCVIh0uzkF+arwa61k+qU1qsRsx6m3VFYo6y6v1Wop2gFEHI08tyHe0YUTxlPRC9VG&#10;JMGewPxH5YyEgEGnmQyuClobqYoGUlPP/1HzOIqoihYyB+PFJvw4WvlzvwVm+o4vGs68cPRGjwmE&#10;GcbE1sF7cjAAq6+zU1PElgBrv4XzCeMWsuyDBpd3EsQOxd3jxV11SEzS5fWi+VrfcCafQ9ULLgKm&#10;7yo4lj86jucOLg3UxVyx/4GJKhPwGZCL+vBgrC0vaT2bOt7c3nzJhQQNlLYiFTAGa/qcmCEIw25t&#10;ge0FzcX9ffOtKQKJ+E1arrIROJ7ySug0Mc4klT0ggPW0ZWdOXuSvXeiPxaJyTy9XEs9Tlkfj9bmg&#10;X/6F1V8AAAD//wMAUEsDBBQABgAIAAAAIQCHma7m2gAAAAMBAAAPAAAAZHJzL2Rvd25yZXYueG1s&#10;TI/BTsMwEETvSP0Haytxo04bgUkap6oqlSOCUAn15sRLEhGvI9ttA1+P4VKOoxnNvCk2kxnYGZ3v&#10;LUlYLhJgSI3VPbUSDm/7u0dgPijSarCEEr7Qw6ac3RQq1/ZCr3iuQstiCflcSehCGHPOfdOhUX5h&#10;R6TofVhnVIjStVw7dYnlZuCrJHngRvUUFzo14q7D5rM6GQl8+VztD+8iy15S8eS+6/skFUcpb+fT&#10;dg0s4BSuYfjFj+hQRqbankh7NkiIR4KEVACLplhlwOo/ycuC/2cvfwAAAP//AwBQSwECLQAUAAYA&#10;CAAAACEAtoM4kv4AAADhAQAAEwAAAAAAAAAAAAAAAAAAAAAAW0NvbnRlbnRfVHlwZXNdLnhtbFBL&#10;AQItABQABgAIAAAAIQA4/SH/1gAAAJQBAAALAAAAAAAAAAAAAAAAAC8BAABfcmVscy8ucmVsc1BL&#10;AQItABQABgAIAAAAIQC+oihntAEAAFMDAAAOAAAAAAAAAAAAAAAAAC4CAABkcnMvZTJvRG9jLnht&#10;bFBLAQItABQABgAIAAAAIQCHma7m2gAAAAMBAAAPAAAAAAAAAAAAAAAAAA4EAABkcnMvZG93bnJl&#10;di54bWxQSwUGAAAAAAQABADzAAAAFQUAAAAA&#10;" strokecolor="#ee2a24" strokeweight="2.25pt">
                <v:stroke joinstyle="miter"/>
                <w10:wrap anchorx="margin"/>
              </v:shape>
            </w:pict>
          </mc:Fallback>
        </mc:AlternateContent>
      </w:r>
    </w:p>
    <w:p w:rsidR="00184CAB" w:rsidRDefault="00184CAB">
      <w:pPr>
        <w:spacing w:line="360" w:lineRule="auto"/>
        <w:rPr>
          <w:b/>
          <w:color w:val="4C4747"/>
          <w:lang w:val="es-DO"/>
        </w:rPr>
      </w:pPr>
    </w:p>
    <w:p w:rsidR="00184CAB" w:rsidRDefault="002B1930">
      <w:pPr>
        <w:pStyle w:val="Ttulo2"/>
        <w:jc w:val="center"/>
      </w:pPr>
      <w:bookmarkStart w:id="177" w:name="_Toc217907942"/>
      <w:bookmarkStart w:id="178" w:name="_Toc217914442"/>
      <w:r>
        <w:rPr>
          <w:noProof/>
          <w:color w:val="4C4747"/>
          <w:szCs w:val="24"/>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342442</wp:posOffset>
                </wp:positionV>
                <wp:extent cx="462915" cy="0"/>
                <wp:effectExtent l="0" t="19050" r="32385" b="19050"/>
                <wp:wrapNone/>
                <wp:docPr id="63" name="Straight Connector 14"/>
                <wp:cNvGraphicFramePr/>
                <a:graphic xmlns:a="http://schemas.openxmlformats.org/drawingml/2006/main">
                  <a:graphicData uri="http://schemas.microsoft.com/office/word/2010/wordprocessingShape">
                    <wps:wsp>
                      <wps:cNvCnPr/>
                      <wps:spPr>
                        <a:xfrm>
                          <a:off x="0" y="0"/>
                          <a:ext cx="462915" cy="0"/>
                        </a:xfrm>
                        <a:prstGeom prst="straightConnector1">
                          <a:avLst/>
                        </a:prstGeom>
                        <a:noFill/>
                        <a:ln w="28575" cap="flat">
                          <a:solidFill>
                            <a:srgbClr val="EE2A24"/>
                          </a:solidFill>
                          <a:prstDash val="solid"/>
                          <a:miter/>
                        </a:ln>
                      </wps:spPr>
                      <wps:bodyPr/>
                    </wps:wsp>
                  </a:graphicData>
                </a:graphic>
              </wp:anchor>
            </w:drawing>
          </mc:Choice>
          <mc:Fallback>
            <w:pict>
              <v:shape w14:anchorId="3376C85A" id="Straight Connector 14" o:spid="_x0000_s1026" type="#_x0000_t32" style="position:absolute;margin-left:0;margin-top:26.95pt;width:36.45pt;height:0;z-index:25168691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akTtAEAAFMDAAAOAAAAZHJzL2Uyb0RvYy54bWysU8tu2zAQvBfIPxC817LUxE0Fy0FhJ70U&#10;rYG0H0BTpESAL+wylv33WdKOk6a3ohdS5O7M7gxXy7uDs2yvAE3wHa9nc86Ul6E3fuj4718PH285&#10;wyR8L2zwquNHhfxudfVhOcVWNWEMtlfAiMRjO8WOjynFtqpQjsoJnIWoPAV1ACcSHWGoehATsTtb&#10;NfP5opoC9BGCVIh0uzkF+arwa61k+qk1qsRsx6m3VFYo6y6v1Wop2gFEHI08tyH+oQsnjKeiF6qN&#10;SII9gfmLyhkJAYNOMxlcFbQ2UhUNpKaev1PzOIqoihYyB+PFJvx/tPLHfgvM9B1ffOLMC0dv9JhA&#10;mGFMbB28JwcDsPo6OzVFbAmw9ls4nzBuIcs+aHB5J0HsUNw9XtxVh8QkXV4vmi/1DWfyJVS94iJg&#10;+qaCY/mj43ju4NJAXcwV+++YqDIBXwC5qA8PxtryktazqePN7c3nXEjQQGkrUgFjsKbPiRmCMOzW&#10;Fthe0Fzc3zdfmyKQiP9Iy1U2AsdTXgmdJsaZpLIHBLCetuzMyYv8tQv9sVhU7unlSuJ5yvJovD0X&#10;9Ou/sHoGAAD//wMAUEsDBBQABgAIAAAAIQCvsr2m2wAAAAUBAAAPAAAAZHJzL2Rvd25yZXYueG1s&#10;TI9BS8NAEIXvgv9hGcGb3bShxsRsigj1WDQWxNsmOybB7GzY3baxv94RD3p6PN7w3jflZrajOKIP&#10;gyMFy0UCAql1ZqBOwf51e3MHIkRNRo+OUMEXBthUlxelLow70Qse69gJLqFQaAV9jFMhZWh7tDos&#10;3ITE2YfzVke2vpPG6xOX21GukuRWWj0QL/R6wsce28/6YBXI5a7e7t+yPH9Osyd/btZJmr0rdX01&#10;P9yDiDjHv2P4wWd0qJipcQcyQYwK+JGoYJ3mIDjNVqzNr5dVKf/TV98AAAD//wMAUEsBAi0AFAAG&#10;AAgAAAAhALaDOJL+AAAA4QEAABMAAAAAAAAAAAAAAAAAAAAAAFtDb250ZW50X1R5cGVzXS54bWxQ&#10;SwECLQAUAAYACAAAACEAOP0h/9YAAACUAQAACwAAAAAAAAAAAAAAAAAvAQAAX3JlbHMvLnJlbHNQ&#10;SwECLQAUAAYACAAAACEA0pWpE7QBAABTAwAADgAAAAAAAAAAAAAAAAAuAgAAZHJzL2Uyb0RvYy54&#10;bWxQSwECLQAUAAYACAAAACEAr7K9ptsAAAAFAQAADwAAAAAAAAAAAAAAAAAOBAAAZHJzL2Rvd25y&#10;ZXYueG1sUEsFBgAAAAAEAAQA8wAAABYFAAAAAA==&#10;" strokecolor="#ee2a24" strokeweight="2.25pt">
                <v:stroke joinstyle="miter"/>
                <w10:wrap anchorx="margin"/>
              </v:shape>
            </w:pict>
          </mc:Fallback>
        </mc:AlternateContent>
      </w:r>
      <w:r>
        <w:rPr>
          <w:b/>
          <w:color w:val="4C4747"/>
          <w:szCs w:val="24"/>
          <w:lang w:val="es-DO"/>
        </w:rPr>
        <w:t>PROYECCIONES DE ÁREAS MISIONALES</w:t>
      </w:r>
      <w:bookmarkEnd w:id="177"/>
      <w:bookmarkEnd w:id="178"/>
    </w:p>
    <w:p w:rsidR="00184CAB" w:rsidRDefault="00184CAB">
      <w:pPr>
        <w:spacing w:line="360" w:lineRule="auto"/>
        <w:jc w:val="center"/>
        <w:rPr>
          <w:b/>
          <w:bCs/>
          <w:color w:val="4C4747"/>
        </w:rPr>
      </w:pPr>
    </w:p>
    <w:tbl>
      <w:tblPr>
        <w:tblW w:w="7933" w:type="dxa"/>
        <w:tblCellMar>
          <w:left w:w="10" w:type="dxa"/>
          <w:right w:w="10" w:type="dxa"/>
        </w:tblCellMar>
        <w:tblLook w:val="0000" w:firstRow="0" w:lastRow="0" w:firstColumn="0" w:lastColumn="0" w:noHBand="0" w:noVBand="0"/>
      </w:tblPr>
      <w:tblGrid>
        <w:gridCol w:w="2276"/>
        <w:gridCol w:w="5657"/>
      </w:tblGrid>
      <w:tr w:rsidR="00184CAB">
        <w:tblPrEx>
          <w:tblCellMar>
            <w:top w:w="0" w:type="dxa"/>
            <w:bottom w:w="0" w:type="dxa"/>
          </w:tblCellMar>
        </w:tblPrEx>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360" w:lineRule="auto"/>
            </w:pPr>
            <w:r>
              <w:rPr>
                <w:b/>
                <w:color w:val="4B4747"/>
                <w:lang w:val="es-DO"/>
              </w:rPr>
              <w:t>Departamento de Archivo Central de la Presidencia</w:t>
            </w:r>
          </w:p>
        </w:tc>
        <w:tc>
          <w:tcPr>
            <w:tcW w:w="5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pStyle w:val="Prrafodelista"/>
              <w:numPr>
                <w:ilvl w:val="0"/>
                <w:numId w:val="38"/>
              </w:numPr>
              <w:spacing w:after="0" w:line="360" w:lineRule="auto"/>
              <w:jc w:val="both"/>
            </w:pPr>
            <w:r>
              <w:rPr>
                <w:b/>
                <w:bCs/>
                <w:color w:val="4B4747"/>
              </w:rPr>
              <w:t xml:space="preserve">Talleres de capacitación en gestión archivística: </w:t>
            </w:r>
            <w:r>
              <w:rPr>
                <w:bCs/>
                <w:color w:val="4B4747"/>
              </w:rPr>
              <w:t>Programaremos talleres de capacitación para las áreas, tanto internas como fuera de la institución con la finalidad de lograr el completo manejo de los documentos en los archivos de gestión involucrados.</w:t>
            </w:r>
            <w:r>
              <w:rPr>
                <w:b/>
                <w:bCs/>
                <w:color w:val="4B4747"/>
                <w:lang w:val="es-DO"/>
              </w:rPr>
              <w:t xml:space="preserve"> </w:t>
            </w:r>
          </w:p>
          <w:p w:rsidR="00184CAB" w:rsidRDefault="002B1930">
            <w:pPr>
              <w:pStyle w:val="Prrafodelista"/>
              <w:numPr>
                <w:ilvl w:val="0"/>
                <w:numId w:val="38"/>
              </w:numPr>
              <w:spacing w:after="0" w:line="360" w:lineRule="auto"/>
              <w:jc w:val="both"/>
            </w:pPr>
            <w:r>
              <w:rPr>
                <w:b/>
                <w:bCs/>
                <w:color w:val="4B4747"/>
                <w:lang w:val="es-DO"/>
              </w:rPr>
              <w:t>E</w:t>
            </w:r>
            <w:r>
              <w:rPr>
                <w:b/>
                <w:bCs/>
                <w:color w:val="4B4747"/>
                <w:lang w:val="es-DO"/>
              </w:rPr>
              <w:t>stablecimiento de Series Documentales:</w:t>
            </w:r>
            <w:r>
              <w:rPr>
                <w:color w:val="4B4747"/>
                <w:lang w:val="es-DO"/>
              </w:rPr>
              <w:t xml:space="preserve"> </w:t>
            </w:r>
            <w:r>
              <w:rPr>
                <w:color w:val="4B4747"/>
              </w:rPr>
              <w:t>A ejecutarse</w:t>
            </w:r>
            <w:r>
              <w:rPr>
                <w:color w:val="4B4747"/>
                <w:lang w:val="es-DO"/>
              </w:rPr>
              <w:t xml:space="preserve"> </w:t>
            </w:r>
            <w:r>
              <w:rPr>
                <w:bCs/>
                <w:color w:val="4B4747"/>
                <w:lang w:val="es-DO"/>
              </w:rPr>
              <w:t>en todas las áreas productoras de documentos para una producción documental trazable y mejora de la operatividad en los procesos de gestión archivística.</w:t>
            </w:r>
          </w:p>
        </w:tc>
      </w:tr>
      <w:tr w:rsidR="00184CAB">
        <w:tblPrEx>
          <w:tblCellMar>
            <w:top w:w="0" w:type="dxa"/>
            <w:bottom w:w="0" w:type="dxa"/>
          </w:tblCellMar>
        </w:tblPrEx>
        <w:trPr>
          <w:trHeight w:val="2259"/>
        </w:trPr>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360" w:lineRule="auto"/>
              <w:rPr>
                <w:b/>
                <w:color w:val="4B4747"/>
                <w:lang w:val="es-DO"/>
              </w:rPr>
            </w:pPr>
            <w:r>
              <w:rPr>
                <w:b/>
                <w:color w:val="4B4747"/>
                <w:lang w:val="es-DO"/>
              </w:rPr>
              <w:t>Departamento de Recepción de Visitantes</w:t>
            </w:r>
          </w:p>
        </w:tc>
        <w:tc>
          <w:tcPr>
            <w:tcW w:w="5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360" w:lineRule="auto"/>
              <w:jc w:val="both"/>
            </w:pPr>
            <w:r>
              <w:rPr>
                <w:b/>
                <w:color w:val="4B4747"/>
                <w:lang w:val="es-DO"/>
              </w:rPr>
              <w:t>Readecuación Integral del espacio de recepción</w:t>
            </w:r>
            <w:r>
              <w:rPr>
                <w:color w:val="4B4747"/>
                <w:lang w:val="es-DO"/>
              </w:rPr>
              <w:t>: Esta intervención contempla la incorporación de nuevo mobiliario y la habilitación de un punto especializado de atención para personas con discapacidad física, alineado con estándares de accesibilidad y atenc</w:t>
            </w:r>
            <w:r>
              <w:rPr>
                <w:color w:val="4B4747"/>
                <w:lang w:val="es-DO"/>
              </w:rPr>
              <w:t>ión ciudadana de calidad.</w:t>
            </w:r>
          </w:p>
        </w:tc>
      </w:tr>
      <w:tr w:rsidR="00184CAB">
        <w:tblPrEx>
          <w:tblCellMar>
            <w:top w:w="0" w:type="dxa"/>
            <w:bottom w:w="0" w:type="dxa"/>
          </w:tblCellMar>
        </w:tblPrEx>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360" w:lineRule="auto"/>
              <w:rPr>
                <w:b/>
                <w:color w:val="4B4747"/>
              </w:rPr>
            </w:pPr>
            <w:r>
              <w:rPr>
                <w:b/>
                <w:color w:val="4B4747"/>
              </w:rPr>
              <w:t>Departamento de Edecanes</w:t>
            </w:r>
          </w:p>
        </w:tc>
        <w:tc>
          <w:tcPr>
            <w:tcW w:w="5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pStyle w:val="Prrafodelista"/>
              <w:numPr>
                <w:ilvl w:val="0"/>
                <w:numId w:val="39"/>
              </w:numPr>
              <w:spacing w:after="0" w:line="360" w:lineRule="auto"/>
              <w:jc w:val="both"/>
            </w:pPr>
            <w:r>
              <w:rPr>
                <w:b/>
                <w:color w:val="4B4747"/>
              </w:rPr>
              <w:t xml:space="preserve">Creación de alianzas con las embajadas, empresas operadoras turísticas y centros educativos especializados en la enseñanza de </w:t>
            </w:r>
            <w:r>
              <w:rPr>
                <w:b/>
                <w:color w:val="4B4747"/>
              </w:rPr>
              <w:lastRenderedPageBreak/>
              <w:t xml:space="preserve">idiomas extranjeros </w:t>
            </w:r>
            <w:r>
              <w:rPr>
                <w:color w:val="4B4747"/>
              </w:rPr>
              <w:t xml:space="preserve">con el objetivo de incrementar la participación de la </w:t>
            </w:r>
            <w:r>
              <w:rPr>
                <w:color w:val="4B4747"/>
              </w:rPr>
              <w:t>ciudadanía, turistas y otros grupos de interés en los recorridos históricos-culturales del Palacio Nacional.</w:t>
            </w:r>
            <w:r>
              <w:rPr>
                <w:b/>
                <w:color w:val="4B4747"/>
              </w:rPr>
              <w:t xml:space="preserve"> </w:t>
            </w:r>
          </w:p>
          <w:p w:rsidR="00184CAB" w:rsidRDefault="002B1930">
            <w:pPr>
              <w:pStyle w:val="Prrafodelista"/>
              <w:numPr>
                <w:ilvl w:val="0"/>
                <w:numId w:val="39"/>
              </w:numPr>
              <w:spacing w:after="0" w:line="360" w:lineRule="auto"/>
              <w:jc w:val="both"/>
              <w:rPr>
                <w:b/>
                <w:color w:val="4B4747"/>
              </w:rPr>
            </w:pPr>
            <w:r>
              <w:rPr>
                <w:b/>
                <w:color w:val="4B4747"/>
              </w:rPr>
              <w:t xml:space="preserve">Creación de página web para encuesta de satisfacción del servicio de recorridos históricos-culturales. </w:t>
            </w:r>
          </w:p>
          <w:p w:rsidR="00184CAB" w:rsidRDefault="002B1930">
            <w:pPr>
              <w:pStyle w:val="Prrafodelista"/>
              <w:numPr>
                <w:ilvl w:val="0"/>
                <w:numId w:val="39"/>
              </w:numPr>
              <w:spacing w:after="0" w:line="360" w:lineRule="auto"/>
              <w:jc w:val="both"/>
            </w:pPr>
            <w:r>
              <w:rPr>
                <w:b/>
                <w:color w:val="4B4747"/>
              </w:rPr>
              <w:t>Proyecto de Automatización Integrada del R</w:t>
            </w:r>
            <w:r>
              <w:rPr>
                <w:b/>
                <w:color w:val="4B4747"/>
              </w:rPr>
              <w:t>egistro de Visitantes</w:t>
            </w:r>
            <w:r>
              <w:rPr>
                <w:color w:val="4B4747"/>
              </w:rPr>
              <w:t>, iniciativa estratégica destinada a la reducción total de tiempos de registro, mitigación de errores operativos y eliminación de procesos basados en documentación impresa.</w:t>
            </w:r>
          </w:p>
        </w:tc>
      </w:tr>
      <w:tr w:rsidR="00184CAB">
        <w:tblPrEx>
          <w:tblCellMar>
            <w:top w:w="0" w:type="dxa"/>
            <w:bottom w:w="0" w:type="dxa"/>
          </w:tblCellMar>
        </w:tblPrEx>
        <w:tc>
          <w:tcPr>
            <w:tcW w:w="2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360" w:lineRule="auto"/>
              <w:rPr>
                <w:b/>
                <w:color w:val="4B4747"/>
              </w:rPr>
            </w:pPr>
            <w:r>
              <w:rPr>
                <w:b/>
                <w:color w:val="4B4747"/>
              </w:rPr>
              <w:lastRenderedPageBreak/>
              <w:t>Departamento de Correspondencia</w:t>
            </w:r>
          </w:p>
        </w:tc>
        <w:tc>
          <w:tcPr>
            <w:tcW w:w="5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360" w:lineRule="auto"/>
              <w:jc w:val="both"/>
            </w:pPr>
            <w:r>
              <w:rPr>
                <w:b/>
                <w:color w:val="4B4747"/>
                <w:lang w:val="es-DO"/>
              </w:rPr>
              <w:t xml:space="preserve">Fortalecimiento del servicio </w:t>
            </w:r>
            <w:r>
              <w:rPr>
                <w:b/>
                <w:color w:val="4B4747"/>
                <w:lang w:val="es-DO"/>
              </w:rPr>
              <w:t xml:space="preserve">de atención ciudadana: </w:t>
            </w:r>
            <w:r>
              <w:rPr>
                <w:color w:val="4B4747"/>
                <w:lang w:val="es-DO"/>
              </w:rPr>
              <w:t xml:space="preserve">Introducir herramientas de </w:t>
            </w:r>
            <w:r>
              <w:rPr>
                <w:bCs/>
                <w:color w:val="4B4747"/>
                <w:lang w:val="es-DO"/>
              </w:rPr>
              <w:t>auto consulta</w:t>
            </w:r>
            <w:r>
              <w:rPr>
                <w:color w:val="4B4747"/>
                <w:lang w:val="es-DO"/>
              </w:rPr>
              <w:t xml:space="preserve"> como código QR para validar el estatus de correspondencias, Impulsar la actualización del Sistema TRANSDOC-SIGOB hacia una versión más actualizada, Diseñar y poner en marcha </w:t>
            </w:r>
            <w:r>
              <w:rPr>
                <w:bCs/>
                <w:color w:val="4B4747"/>
                <w:lang w:val="es-DO"/>
              </w:rPr>
              <w:t>guías digitales, v</w:t>
            </w:r>
            <w:r>
              <w:rPr>
                <w:bCs/>
                <w:color w:val="4B4747"/>
                <w:lang w:val="es-DO"/>
              </w:rPr>
              <w:t>ideos instructivos y sesiones virtuales</w:t>
            </w:r>
            <w:r>
              <w:rPr>
                <w:color w:val="4B4747"/>
                <w:lang w:val="es-DO"/>
              </w:rPr>
              <w:t xml:space="preserve"> de refuerzo para usuarios de TRANSDOC-SIGOB.</w:t>
            </w:r>
          </w:p>
        </w:tc>
      </w:tr>
    </w:tbl>
    <w:p w:rsidR="00184CAB" w:rsidRDefault="00184CAB">
      <w:pPr>
        <w:spacing w:line="360" w:lineRule="auto"/>
        <w:jc w:val="both"/>
        <w:rPr>
          <w:b/>
          <w:color w:val="4C4747"/>
        </w:rPr>
      </w:pPr>
    </w:p>
    <w:p w:rsidR="00184CAB" w:rsidRDefault="00184CAB">
      <w:pPr>
        <w:spacing w:line="360" w:lineRule="auto"/>
        <w:jc w:val="both"/>
        <w:rPr>
          <w:b/>
          <w:color w:val="4C4747"/>
          <w:lang w:val="es-DO"/>
        </w:rPr>
      </w:pPr>
    </w:p>
    <w:p w:rsidR="00184CAB" w:rsidRDefault="00184CAB">
      <w:pPr>
        <w:spacing w:line="360" w:lineRule="auto"/>
        <w:jc w:val="both"/>
        <w:rPr>
          <w:b/>
          <w:color w:val="4C4747"/>
          <w:lang w:val="es-DO"/>
        </w:rPr>
      </w:pPr>
    </w:p>
    <w:p w:rsidR="00184CAB" w:rsidRDefault="00184CAB">
      <w:pPr>
        <w:spacing w:line="360" w:lineRule="auto"/>
        <w:jc w:val="both"/>
        <w:rPr>
          <w:b/>
          <w:color w:val="4C4747"/>
          <w:lang w:val="es-DO"/>
        </w:rPr>
      </w:pPr>
    </w:p>
    <w:p w:rsidR="00184CAB" w:rsidRDefault="00184CAB">
      <w:pPr>
        <w:spacing w:line="360" w:lineRule="auto"/>
        <w:jc w:val="both"/>
        <w:rPr>
          <w:b/>
          <w:color w:val="4C4747"/>
          <w:lang w:val="es-DO"/>
        </w:rPr>
      </w:pPr>
    </w:p>
    <w:p w:rsidR="00184CAB" w:rsidRDefault="002B1930">
      <w:pPr>
        <w:pStyle w:val="Ttulo2"/>
        <w:jc w:val="center"/>
        <w:rPr>
          <w:b/>
          <w:color w:val="4C4747"/>
          <w:szCs w:val="24"/>
          <w:lang w:val="es-DO"/>
        </w:rPr>
      </w:pPr>
      <w:bookmarkStart w:id="179" w:name="_Toc217907943"/>
      <w:bookmarkStart w:id="180" w:name="_Toc217914443"/>
      <w:r>
        <w:rPr>
          <w:b/>
          <w:color w:val="4C4747"/>
          <w:szCs w:val="24"/>
          <w:lang w:val="es-DO"/>
        </w:rPr>
        <w:lastRenderedPageBreak/>
        <w:t>PROYECCIONES DE ÁREAS TRANSVERSALES Y</w:t>
      </w:r>
      <w:bookmarkEnd w:id="179"/>
      <w:bookmarkEnd w:id="180"/>
      <w:r>
        <w:rPr>
          <w:b/>
          <w:color w:val="4C4747"/>
          <w:szCs w:val="24"/>
          <w:lang w:val="es-DO"/>
        </w:rPr>
        <w:t xml:space="preserve"> </w:t>
      </w:r>
    </w:p>
    <w:p w:rsidR="00184CAB" w:rsidRDefault="002B1930">
      <w:pPr>
        <w:pStyle w:val="Ttulo2"/>
        <w:jc w:val="center"/>
      </w:pPr>
      <w:bookmarkStart w:id="181" w:name="_Toc217907944"/>
      <w:bookmarkStart w:id="182" w:name="_Toc217914444"/>
      <w:r>
        <w:rPr>
          <w:b/>
          <w:color w:val="4C4747"/>
          <w:szCs w:val="24"/>
          <w:lang w:val="es-DO"/>
        </w:rPr>
        <w:t>UNIDADES DE APOYO</w:t>
      </w:r>
      <w:bookmarkEnd w:id="181"/>
      <w:bookmarkEnd w:id="182"/>
    </w:p>
    <w:p w:rsidR="00184CAB" w:rsidRDefault="002B1930">
      <w:pPr>
        <w:spacing w:line="360" w:lineRule="auto"/>
        <w:jc w:val="center"/>
      </w:pPr>
      <w:r>
        <w:rPr>
          <w:noProof/>
          <w:color w:val="4C4747"/>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24661</wp:posOffset>
                </wp:positionV>
                <wp:extent cx="462915" cy="0"/>
                <wp:effectExtent l="0" t="19050" r="32385" b="19050"/>
                <wp:wrapNone/>
                <wp:docPr id="64" name="Straight Connector 14"/>
                <wp:cNvGraphicFramePr/>
                <a:graphic xmlns:a="http://schemas.openxmlformats.org/drawingml/2006/main">
                  <a:graphicData uri="http://schemas.microsoft.com/office/word/2010/wordprocessingShape">
                    <wps:wsp>
                      <wps:cNvCnPr/>
                      <wps:spPr>
                        <a:xfrm>
                          <a:off x="0" y="0"/>
                          <a:ext cx="462915" cy="0"/>
                        </a:xfrm>
                        <a:prstGeom prst="straightConnector1">
                          <a:avLst/>
                        </a:prstGeom>
                        <a:noFill/>
                        <a:ln w="28575" cap="flat">
                          <a:solidFill>
                            <a:srgbClr val="EE2A24"/>
                          </a:solidFill>
                          <a:prstDash val="solid"/>
                          <a:miter/>
                        </a:ln>
                      </wps:spPr>
                      <wps:bodyPr/>
                    </wps:wsp>
                  </a:graphicData>
                </a:graphic>
              </wp:anchor>
            </w:drawing>
          </mc:Choice>
          <mc:Fallback>
            <w:pict>
              <v:shape w14:anchorId="66718D9F" id="Straight Connector 14" o:spid="_x0000_s1026" type="#_x0000_t32" style="position:absolute;margin-left:0;margin-top:1.95pt;width:36.45pt;height:0;z-index:25168896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1+HtAEAAFMDAAAOAAAAZHJzL2Uyb0RvYy54bWysU8tu2zAQvBfoPxC817IEx00Fy0FhJ70E&#10;rYG0H0BTpESAL+wylv33WdKO07S3ohdS5O7M7gxXq7ujs+ygAE3wHa9nc86Ul6E3fuj4r58Pn245&#10;wyR8L2zwquMnhfxu/fHDaoqtasIYbK+AEYnHdoodH1OKbVWhHJUTOAtReQrqAE4kOsJQ9SAmYne2&#10;aubzZTUF6CMEqRDpdnsO8nXh11rJ9ENrVInZjlNvqaxQ1n1eq/VKtAOIOBp5aUP8QxdOGE9Fr1Rb&#10;kQR7BvMXlTMSAgadZjK4KmhtpCoaSE09/0PN0yiiKlrIHIxXm/D/0crvhx0w03d8ueDMC0dv9JRA&#10;mGFMbBO8JwcDsHqRnZoitgTY+B1cThh3kGUfNbi8kyB2LO6eru6qY2KSLhfL5kt9w5l8DVVvuAiY&#10;vqngWP7oOF46uDZQF3PF4RETVSbgKyAX9eHBWFte0no2dby5vfmcCwkaKG1FKmAM1vQ5MUMQhv3G&#10;AjsImov7++ZrUwQS8bu0XGUrcDznldB5YpxJKntAAOtpy86cvchf+9CfikXlnl6uJF6mLI/G7+eC&#10;fvsX1i8AAAD//wMAUEsDBBQABgAIAAAAIQBU5r1W2gAAAAMBAAAPAAAAZHJzL2Rvd25yZXYueG1s&#10;TI9BS8NAEIXvgv9hGcGb3bRBY9Jsigj1KBoL0tsmOybB7GzY3bbRX+/opZ4ejze89025me0ojujD&#10;4EjBcpGAQGqdGahTsHvb3tyDCFGT0aMjVPCFATbV5UWpC+NO9IrHOnaCSygUWkEf41RIGdoerQ4L&#10;NyFx9uG81ZGt76Tx+sTldpSrJLmTVg/EC72e8LHH9rM+WAVy+Vxvd+9Znr+k2ZP/bm6TNNsrdX01&#10;P6xBRJzj+Rh+8RkdKmZq3IFMEKMCfiQqSHMQHGYr1ubPyqqU/9mrHwAAAP//AwBQSwECLQAUAAYA&#10;CAAAACEAtoM4kv4AAADhAQAAEwAAAAAAAAAAAAAAAAAAAAAAW0NvbnRlbnRfVHlwZXNdLnhtbFBL&#10;AQItABQABgAIAAAAIQA4/SH/1gAAAJQBAAALAAAAAAAAAAAAAAAAAC8BAABfcmVscy8ucmVsc1BL&#10;AQItABQABgAIAAAAIQCXF1+HtAEAAFMDAAAOAAAAAAAAAAAAAAAAAC4CAABkcnMvZTJvRG9jLnht&#10;bFBLAQItABQABgAIAAAAIQBU5r1W2gAAAAMBAAAPAAAAAAAAAAAAAAAAAA4EAABkcnMvZG93bnJl&#10;di54bWxQSwUGAAAAAAQABADzAAAAFQUAAAAA&#10;" strokecolor="#ee2a24" strokeweight="2.25pt">
                <v:stroke joinstyle="miter"/>
                <w10:wrap anchorx="margin"/>
              </v:shape>
            </w:pict>
          </mc:Fallback>
        </mc:AlternateContent>
      </w:r>
    </w:p>
    <w:tbl>
      <w:tblPr>
        <w:tblW w:w="7910" w:type="dxa"/>
        <w:tblCellMar>
          <w:left w:w="10" w:type="dxa"/>
          <w:right w:w="10" w:type="dxa"/>
        </w:tblCellMar>
        <w:tblLook w:val="0000" w:firstRow="0" w:lastRow="0" w:firstColumn="0" w:lastColumn="0" w:noHBand="0" w:noVBand="0"/>
      </w:tblPr>
      <w:tblGrid>
        <w:gridCol w:w="2176"/>
        <w:gridCol w:w="5734"/>
      </w:tblGrid>
      <w:tr w:rsidR="00184CAB">
        <w:tblPrEx>
          <w:tblCellMar>
            <w:top w:w="0" w:type="dxa"/>
            <w:bottom w:w="0" w:type="dxa"/>
          </w:tblCellMar>
        </w:tblPrEx>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360" w:lineRule="auto"/>
              <w:rPr>
                <w:b/>
                <w:color w:val="4B4747"/>
              </w:rPr>
            </w:pPr>
            <w:r>
              <w:rPr>
                <w:b/>
                <w:color w:val="4B4747"/>
              </w:rPr>
              <w:t>Dirección de Comunicaciones</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pStyle w:val="Prrafodelista"/>
              <w:numPr>
                <w:ilvl w:val="0"/>
                <w:numId w:val="40"/>
              </w:numPr>
              <w:spacing w:after="0" w:line="360" w:lineRule="auto"/>
              <w:jc w:val="both"/>
            </w:pPr>
            <w:r>
              <w:rPr>
                <w:b/>
                <w:color w:val="4B4747"/>
              </w:rPr>
              <w:t xml:space="preserve">Implementación de un </w:t>
            </w:r>
            <w:r>
              <w:rPr>
                <w:b/>
                <w:bCs/>
                <w:color w:val="4B4747"/>
              </w:rPr>
              <w:t>plan integral de comunicación interna</w:t>
            </w:r>
            <w:r>
              <w:rPr>
                <w:b/>
                <w:color w:val="4B4747"/>
              </w:rPr>
              <w:t>:</w:t>
            </w:r>
            <w:r>
              <w:rPr>
                <w:color w:val="4B4747"/>
              </w:rPr>
              <w:t xml:space="preserve"> orientado a </w:t>
            </w:r>
            <w:r>
              <w:rPr>
                <w:color w:val="4B4747"/>
              </w:rPr>
              <w:t xml:space="preserve">mejorar la coordinación entre áreas, la circulación de información y la transparencia en la toma de decisiones. </w:t>
            </w:r>
          </w:p>
          <w:p w:rsidR="00184CAB" w:rsidRDefault="002B1930">
            <w:pPr>
              <w:pStyle w:val="Prrafodelista"/>
              <w:numPr>
                <w:ilvl w:val="0"/>
                <w:numId w:val="40"/>
              </w:numPr>
              <w:spacing w:after="0" w:line="360" w:lineRule="auto"/>
              <w:jc w:val="both"/>
            </w:pPr>
            <w:r>
              <w:rPr>
                <w:b/>
                <w:color w:val="4B4747"/>
              </w:rPr>
              <w:t>Se priorizará el uso de plataformas colaborativas y boletines internos mensuales</w:t>
            </w:r>
            <w:r>
              <w:rPr>
                <w:color w:val="4B4747"/>
              </w:rPr>
              <w:t xml:space="preserve"> que permitan mantener a todo el personal informado sobre avanc</w:t>
            </w:r>
            <w:r>
              <w:rPr>
                <w:color w:val="4B4747"/>
              </w:rPr>
              <w:t>es institucionales, indicadores clave y eventos relevantes.</w:t>
            </w:r>
            <w:r>
              <w:rPr>
                <w:b/>
                <w:color w:val="4B4747"/>
              </w:rPr>
              <w:t xml:space="preserve"> </w:t>
            </w:r>
          </w:p>
          <w:p w:rsidR="00184CAB" w:rsidRDefault="002B1930">
            <w:pPr>
              <w:pStyle w:val="Prrafodelista"/>
              <w:numPr>
                <w:ilvl w:val="0"/>
                <w:numId w:val="40"/>
              </w:numPr>
              <w:spacing w:after="0" w:line="360" w:lineRule="auto"/>
              <w:jc w:val="both"/>
            </w:pPr>
            <w:r>
              <w:rPr>
                <w:b/>
                <w:color w:val="4B4747"/>
              </w:rPr>
              <w:t xml:space="preserve">Se impulsarán diversas </w:t>
            </w:r>
            <w:r>
              <w:rPr>
                <w:b/>
                <w:bCs/>
                <w:color w:val="4B4747"/>
              </w:rPr>
              <w:t>campañas informativas</w:t>
            </w:r>
            <w:r>
              <w:rPr>
                <w:b/>
                <w:color w:val="4B4747"/>
              </w:rPr>
              <w:t xml:space="preserve"> dirigidas a públicos externos estratégicos:</w:t>
            </w:r>
            <w:r>
              <w:rPr>
                <w:color w:val="4B4747"/>
              </w:rPr>
              <w:t xml:space="preserve"> Estas campañas buscarán resaltar los logros del ministerio, promover los valores institucionales y consoli</w:t>
            </w:r>
            <w:r>
              <w:rPr>
                <w:color w:val="4B4747"/>
              </w:rPr>
              <w:t>dar una imagen de innovación, eficiencia y responsabilidad.</w:t>
            </w:r>
            <w:r>
              <w:rPr>
                <w:b/>
                <w:color w:val="4B4747"/>
              </w:rPr>
              <w:t xml:space="preserve"> </w:t>
            </w:r>
          </w:p>
          <w:p w:rsidR="00184CAB" w:rsidRDefault="002B1930">
            <w:pPr>
              <w:pStyle w:val="Prrafodelista"/>
              <w:numPr>
                <w:ilvl w:val="0"/>
                <w:numId w:val="40"/>
              </w:numPr>
              <w:spacing w:after="0" w:line="360" w:lineRule="auto"/>
              <w:jc w:val="both"/>
            </w:pPr>
            <w:r>
              <w:rPr>
                <w:b/>
                <w:color w:val="4B4747"/>
              </w:rPr>
              <w:t>Se contempla el desarrollo de contenidos multimedia, el fortalecimiento de la presencia digital</w:t>
            </w:r>
            <w:r>
              <w:rPr>
                <w:color w:val="4B4747"/>
              </w:rPr>
              <w:t xml:space="preserve"> y la implementación de estrategias de comunicación basadas en datos para optimizar el alcance y la </w:t>
            </w:r>
            <w:r>
              <w:rPr>
                <w:color w:val="4B4747"/>
              </w:rPr>
              <w:t>efectividad.</w:t>
            </w:r>
            <w:r>
              <w:rPr>
                <w:b/>
                <w:color w:val="4B4747"/>
                <w:lang w:val="es-ES"/>
              </w:rPr>
              <w:t xml:space="preserve"> </w:t>
            </w:r>
          </w:p>
          <w:p w:rsidR="00184CAB" w:rsidRDefault="002B1930">
            <w:pPr>
              <w:pStyle w:val="Prrafodelista"/>
              <w:numPr>
                <w:ilvl w:val="0"/>
                <w:numId w:val="40"/>
              </w:numPr>
              <w:spacing w:after="0" w:line="360" w:lineRule="auto"/>
              <w:jc w:val="both"/>
            </w:pPr>
            <w:r>
              <w:rPr>
                <w:b/>
                <w:color w:val="4B4747"/>
                <w:lang w:val="es-ES"/>
              </w:rPr>
              <w:t xml:space="preserve">Se prevé la realización de estrategias informativas orientadas a la </w:t>
            </w:r>
            <w:r>
              <w:rPr>
                <w:b/>
                <w:color w:val="4B4747"/>
                <w:lang w:val="es-ES"/>
              </w:rPr>
              <w:lastRenderedPageBreak/>
              <w:t>ciudadanía</w:t>
            </w:r>
            <w:r>
              <w:rPr>
                <w:color w:val="4B4747"/>
                <w:lang w:val="es-ES"/>
              </w:rPr>
              <w:t>: con el fin de aumentar la comprensión sobre los servicios que ofrece la institución. Esto incluirá la producción de material audiovisual, cápsulas informativas, t</w:t>
            </w:r>
            <w:r>
              <w:rPr>
                <w:color w:val="4B4747"/>
                <w:lang w:val="es-ES"/>
              </w:rPr>
              <w:t>ransmisiones en vivo y espacios de diálogo que fomenten la participación y la transparencia.</w:t>
            </w:r>
          </w:p>
        </w:tc>
      </w:tr>
      <w:tr w:rsidR="00184CAB">
        <w:tblPrEx>
          <w:tblCellMar>
            <w:top w:w="0" w:type="dxa"/>
            <w:bottom w:w="0" w:type="dxa"/>
          </w:tblCellMar>
        </w:tblPrEx>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360" w:lineRule="auto"/>
              <w:rPr>
                <w:b/>
                <w:color w:val="4B4747"/>
              </w:rPr>
            </w:pPr>
            <w:r>
              <w:rPr>
                <w:b/>
                <w:color w:val="4B4747"/>
              </w:rPr>
              <w:lastRenderedPageBreak/>
              <w:t>Dirección Administrativa</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360" w:lineRule="auto"/>
              <w:jc w:val="both"/>
            </w:pPr>
            <w:r>
              <w:rPr>
                <w:b/>
                <w:color w:val="4B4747"/>
              </w:rPr>
              <w:t>Generación Constante de Estadísticas:</w:t>
            </w:r>
            <w:r>
              <w:rPr>
                <w:color w:val="4B4747"/>
              </w:rPr>
              <w:t xml:space="preserve"> Como parte de las metas de la Dirección Administrativa, se prevé implementar un sistema continuo de</w:t>
            </w:r>
            <w:r>
              <w:rPr>
                <w:color w:val="4B4747"/>
              </w:rPr>
              <w:t xml:space="preserve"> generación de estadísticas en áreas estratégicas. </w:t>
            </w:r>
          </w:p>
        </w:tc>
      </w:tr>
      <w:tr w:rsidR="00184CAB">
        <w:tblPrEx>
          <w:tblCellMar>
            <w:top w:w="0" w:type="dxa"/>
            <w:bottom w:w="0" w:type="dxa"/>
          </w:tblCellMar>
        </w:tblPrEx>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360" w:lineRule="auto"/>
            </w:pPr>
            <w:r>
              <w:rPr>
                <w:b/>
                <w:color w:val="4B4747"/>
              </w:rPr>
              <w:t>Departamento de Transportación</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360" w:lineRule="auto"/>
              <w:jc w:val="both"/>
            </w:pPr>
            <w:r>
              <w:rPr>
                <w:b/>
                <w:color w:val="4B4747"/>
              </w:rPr>
              <w:t>Reestructuración del Taller Mecánico de Transporte:</w:t>
            </w:r>
            <w:r>
              <w:rPr>
                <w:color w:val="4B4747"/>
              </w:rPr>
              <w:t xml:space="preserve"> Con el fin de fortalecer la operatividad y la eficiencia en la gestión de la flota de vehículos, se tiene proyectada una</w:t>
            </w:r>
            <w:r>
              <w:rPr>
                <w:color w:val="4B4747"/>
              </w:rPr>
              <w:t xml:space="preserve"> reestructuración completa del taller mecánico del Departamento de Transportación. </w:t>
            </w:r>
          </w:p>
        </w:tc>
      </w:tr>
      <w:tr w:rsidR="00184CAB">
        <w:tblPrEx>
          <w:tblCellMar>
            <w:top w:w="0" w:type="dxa"/>
            <w:bottom w:w="0" w:type="dxa"/>
          </w:tblCellMar>
        </w:tblPrEx>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360" w:lineRule="auto"/>
              <w:rPr>
                <w:b/>
                <w:color w:val="4B4747"/>
                <w:lang w:val="es-DO"/>
              </w:rPr>
            </w:pPr>
            <w:r>
              <w:rPr>
                <w:b/>
                <w:color w:val="4B4747"/>
                <w:lang w:val="es-DO"/>
              </w:rPr>
              <w:t>Dirección de Transformación Digital</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pStyle w:val="Prrafodelista"/>
              <w:numPr>
                <w:ilvl w:val="0"/>
                <w:numId w:val="41"/>
              </w:numPr>
              <w:spacing w:after="0" w:line="360" w:lineRule="auto"/>
              <w:jc w:val="both"/>
              <w:rPr>
                <w:color w:val="4B4747"/>
                <w:lang w:val="es-DO"/>
              </w:rPr>
            </w:pPr>
            <w:r>
              <w:rPr>
                <w:color w:val="4B4747"/>
                <w:lang w:val="es-DO"/>
              </w:rPr>
              <w:t xml:space="preserve">Renovación y actualización de la infraestructura telefónica del Palacio Nacional. </w:t>
            </w:r>
          </w:p>
          <w:p w:rsidR="00184CAB" w:rsidRDefault="002B1930">
            <w:pPr>
              <w:pStyle w:val="Prrafodelista"/>
              <w:numPr>
                <w:ilvl w:val="0"/>
                <w:numId w:val="41"/>
              </w:numPr>
              <w:spacing w:after="0" w:line="360" w:lineRule="auto"/>
              <w:jc w:val="both"/>
              <w:rPr>
                <w:color w:val="4B4747"/>
                <w:lang w:val="es-DO"/>
              </w:rPr>
            </w:pPr>
            <w:r>
              <w:rPr>
                <w:color w:val="4B4747"/>
                <w:lang w:val="es-DO"/>
              </w:rPr>
              <w:t>Renovación y ampliación de la plataforma de respaldo</w:t>
            </w:r>
            <w:r>
              <w:rPr>
                <w:color w:val="4B4747"/>
                <w:lang w:val="es-DO"/>
              </w:rPr>
              <w:t xml:space="preserve"> y replicación de máquinas virtuales. </w:t>
            </w:r>
          </w:p>
          <w:p w:rsidR="00184CAB" w:rsidRDefault="002B1930">
            <w:pPr>
              <w:pStyle w:val="Prrafodelista"/>
              <w:numPr>
                <w:ilvl w:val="0"/>
                <w:numId w:val="41"/>
              </w:numPr>
              <w:spacing w:after="0" w:line="360" w:lineRule="auto"/>
              <w:jc w:val="both"/>
              <w:rPr>
                <w:color w:val="4B4747"/>
                <w:lang w:val="es-DO"/>
              </w:rPr>
            </w:pPr>
            <w:r>
              <w:rPr>
                <w:color w:val="4B4747"/>
                <w:lang w:val="es-DO"/>
              </w:rPr>
              <w:t xml:space="preserve">Modernización tecnológica de las Villas Presidenciales. </w:t>
            </w:r>
          </w:p>
          <w:p w:rsidR="00184CAB" w:rsidRDefault="002B1930">
            <w:pPr>
              <w:pStyle w:val="Prrafodelista"/>
              <w:numPr>
                <w:ilvl w:val="0"/>
                <w:numId w:val="41"/>
              </w:numPr>
              <w:spacing w:after="0" w:line="360" w:lineRule="auto"/>
              <w:jc w:val="both"/>
              <w:rPr>
                <w:color w:val="4B4747"/>
                <w:lang w:val="es-DO"/>
              </w:rPr>
            </w:pPr>
            <w:r>
              <w:rPr>
                <w:color w:val="4B4747"/>
                <w:lang w:val="es-DO"/>
              </w:rPr>
              <w:t xml:space="preserve">Actualización y fortalecimiento del Data Center del Palacio Nacional. </w:t>
            </w:r>
          </w:p>
          <w:p w:rsidR="00184CAB" w:rsidRDefault="002B1930">
            <w:pPr>
              <w:pStyle w:val="Prrafodelista"/>
              <w:numPr>
                <w:ilvl w:val="0"/>
                <w:numId w:val="41"/>
              </w:numPr>
              <w:spacing w:after="0" w:line="360" w:lineRule="auto"/>
              <w:jc w:val="both"/>
            </w:pPr>
            <w:r>
              <w:rPr>
                <w:color w:val="4B4747"/>
                <w:lang w:val="es-DO"/>
              </w:rPr>
              <w:lastRenderedPageBreak/>
              <w:t xml:space="preserve">Puesta en marcha del proyecto de replicación hacia el </w:t>
            </w:r>
            <w:proofErr w:type="spellStart"/>
            <w:r>
              <w:rPr>
                <w:color w:val="4B4747"/>
                <w:lang w:val="es-DO"/>
              </w:rPr>
              <w:t>Site</w:t>
            </w:r>
            <w:proofErr w:type="spellEnd"/>
            <w:r>
              <w:rPr>
                <w:color w:val="4B4747"/>
                <w:lang w:val="es-DO"/>
              </w:rPr>
              <w:t xml:space="preserve"> de Recuperación ante </w:t>
            </w:r>
            <w:r>
              <w:rPr>
                <w:color w:val="4B4747"/>
                <w:lang w:val="es-DO"/>
              </w:rPr>
              <w:t>Desastres.</w:t>
            </w:r>
            <w:r>
              <w:rPr>
                <w:b/>
                <w:color w:val="4B4747"/>
                <w:lang w:val="es-DO"/>
              </w:rPr>
              <w:t xml:space="preserve"> </w:t>
            </w:r>
          </w:p>
          <w:p w:rsidR="00184CAB" w:rsidRDefault="002B1930">
            <w:pPr>
              <w:pStyle w:val="Prrafodelista"/>
              <w:numPr>
                <w:ilvl w:val="0"/>
                <w:numId w:val="41"/>
              </w:numPr>
              <w:spacing w:after="0" w:line="360" w:lineRule="auto"/>
              <w:jc w:val="both"/>
            </w:pPr>
            <w:r>
              <w:rPr>
                <w:b/>
                <w:color w:val="4B4747"/>
                <w:lang w:val="es-DO"/>
              </w:rPr>
              <w:t xml:space="preserve">Certificación ISO 27001- </w:t>
            </w:r>
            <w:r>
              <w:rPr>
                <w:b/>
                <w:color w:val="4B4747"/>
              </w:rPr>
              <w:t>Seguridad de la Información</w:t>
            </w:r>
            <w:r>
              <w:rPr>
                <w:b/>
                <w:color w:val="4B4747"/>
                <w:lang w:val="es-DO"/>
              </w:rPr>
              <w:t>:</w:t>
            </w:r>
            <w:r>
              <w:rPr>
                <w:color w:val="4B4747"/>
                <w:lang w:val="es-DO"/>
              </w:rPr>
              <w:t xml:space="preserve"> </w:t>
            </w:r>
            <w:r>
              <w:rPr>
                <w:color w:val="4B4747"/>
              </w:rPr>
              <w:t xml:space="preserve">Se prevé para el año 2026 el inicio formal del proceso de implementación de la Norma ISO 27001, mediante la contratación de asesoría técnica especializada, a fin de robustecer el sistema de </w:t>
            </w:r>
            <w:r>
              <w:rPr>
                <w:color w:val="4B4747"/>
              </w:rPr>
              <w:t>seguridad de la información institucional.</w:t>
            </w:r>
          </w:p>
        </w:tc>
      </w:tr>
      <w:tr w:rsidR="00184CAB">
        <w:tblPrEx>
          <w:tblCellMar>
            <w:top w:w="0" w:type="dxa"/>
            <w:bottom w:w="0" w:type="dxa"/>
          </w:tblCellMar>
        </w:tblPrEx>
        <w:tc>
          <w:tcPr>
            <w:tcW w:w="2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spacing w:after="0" w:line="240" w:lineRule="auto"/>
              <w:rPr>
                <w:b/>
                <w:color w:val="4B4747"/>
              </w:rPr>
            </w:pPr>
            <w:r>
              <w:rPr>
                <w:b/>
                <w:color w:val="4B4747"/>
              </w:rPr>
              <w:lastRenderedPageBreak/>
              <w:t>Dirección de Planificación y Desarrollo</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84CAB" w:rsidRDefault="002B1930">
            <w:pPr>
              <w:pStyle w:val="Prrafodelista"/>
              <w:numPr>
                <w:ilvl w:val="0"/>
                <w:numId w:val="42"/>
              </w:numPr>
              <w:spacing w:after="0" w:line="360" w:lineRule="auto"/>
              <w:jc w:val="both"/>
              <w:rPr>
                <w:color w:val="4B4747"/>
              </w:rPr>
            </w:pPr>
            <w:r>
              <w:rPr>
                <w:color w:val="4B4747"/>
              </w:rPr>
              <w:t>Automatización de evaluaciones de Planificación Operativa Anual a través del sistema de carga y evidencia.</w:t>
            </w:r>
          </w:p>
          <w:p w:rsidR="00184CAB" w:rsidRDefault="002B1930">
            <w:pPr>
              <w:pStyle w:val="Prrafodelista"/>
              <w:numPr>
                <w:ilvl w:val="0"/>
                <w:numId w:val="42"/>
              </w:numPr>
              <w:spacing w:after="0" w:line="360" w:lineRule="auto"/>
              <w:jc w:val="both"/>
              <w:rPr>
                <w:color w:val="4B4747"/>
              </w:rPr>
            </w:pPr>
            <w:r>
              <w:rPr>
                <w:color w:val="4B4747"/>
              </w:rPr>
              <w:t xml:space="preserve">Creación de plantillas de formulación de Plan Anual de Compras y </w:t>
            </w:r>
            <w:r>
              <w:rPr>
                <w:color w:val="4B4747"/>
              </w:rPr>
              <w:t>Contrataciones y Presupuesto de conformidad a los cumplimientos de la Contraloría General de la República.</w:t>
            </w:r>
          </w:p>
          <w:p w:rsidR="00184CAB" w:rsidRDefault="002B1930">
            <w:pPr>
              <w:pStyle w:val="Prrafodelista"/>
              <w:numPr>
                <w:ilvl w:val="0"/>
                <w:numId w:val="42"/>
              </w:numPr>
              <w:spacing w:after="0" w:line="360" w:lineRule="auto"/>
              <w:jc w:val="both"/>
              <w:rPr>
                <w:color w:val="4B4747"/>
              </w:rPr>
            </w:pPr>
            <w:r>
              <w:rPr>
                <w:color w:val="4B4747"/>
              </w:rPr>
              <w:t>Fortalecer la plataforma estratégica MAPRE.</w:t>
            </w:r>
          </w:p>
          <w:p w:rsidR="00184CAB" w:rsidRDefault="002B1930">
            <w:pPr>
              <w:pStyle w:val="Prrafodelista"/>
              <w:numPr>
                <w:ilvl w:val="0"/>
                <w:numId w:val="42"/>
              </w:numPr>
              <w:spacing w:after="0" w:line="360" w:lineRule="auto"/>
              <w:jc w:val="both"/>
              <w:rPr>
                <w:color w:val="4B4747"/>
              </w:rPr>
            </w:pPr>
            <w:r>
              <w:rPr>
                <w:color w:val="4B4747"/>
              </w:rPr>
              <w:t>Crear mesas técnicas de trabajo con enlaces de las áreas.</w:t>
            </w:r>
          </w:p>
          <w:p w:rsidR="00184CAB" w:rsidRDefault="002B1930">
            <w:pPr>
              <w:pStyle w:val="Prrafodelista"/>
              <w:numPr>
                <w:ilvl w:val="0"/>
                <w:numId w:val="42"/>
              </w:numPr>
              <w:spacing w:after="0" w:line="360" w:lineRule="auto"/>
              <w:jc w:val="both"/>
              <w:rPr>
                <w:color w:val="4B4747"/>
              </w:rPr>
            </w:pPr>
            <w:r>
              <w:rPr>
                <w:color w:val="4B4747"/>
              </w:rPr>
              <w:t>Ejecución de la Encuesta de Satisfacción Ciudad</w:t>
            </w:r>
            <w:r>
              <w:rPr>
                <w:color w:val="4B4747"/>
              </w:rPr>
              <w:t>ana.</w:t>
            </w:r>
          </w:p>
          <w:p w:rsidR="00184CAB" w:rsidRDefault="002B1930">
            <w:pPr>
              <w:pStyle w:val="Prrafodelista"/>
              <w:numPr>
                <w:ilvl w:val="0"/>
                <w:numId w:val="42"/>
              </w:numPr>
              <w:spacing w:after="0" w:line="360" w:lineRule="auto"/>
              <w:jc w:val="both"/>
              <w:rPr>
                <w:color w:val="4B4747"/>
              </w:rPr>
            </w:pPr>
            <w:r>
              <w:rPr>
                <w:color w:val="4B4747"/>
              </w:rPr>
              <w:t xml:space="preserve">Creación de Política de Género e inclusión para el fortalecimiento de las bases de género e inclusión institucional y la sensibilización a través de </w:t>
            </w:r>
            <w:r>
              <w:rPr>
                <w:color w:val="4B4747"/>
              </w:rPr>
              <w:lastRenderedPageBreak/>
              <w:t>actividades de formación en todos los grupos ocupacionales.</w:t>
            </w:r>
          </w:p>
          <w:p w:rsidR="00184CAB" w:rsidRDefault="002B1930">
            <w:pPr>
              <w:pStyle w:val="Prrafodelista"/>
              <w:numPr>
                <w:ilvl w:val="0"/>
                <w:numId w:val="42"/>
              </w:numPr>
              <w:spacing w:after="0" w:line="360" w:lineRule="auto"/>
              <w:jc w:val="both"/>
              <w:rPr>
                <w:color w:val="4B4747"/>
              </w:rPr>
            </w:pPr>
            <w:r>
              <w:rPr>
                <w:color w:val="4B4747"/>
              </w:rPr>
              <w:t xml:space="preserve">Creación del Comité de transversalización </w:t>
            </w:r>
            <w:r>
              <w:rPr>
                <w:color w:val="4B4747"/>
              </w:rPr>
              <w:t>de Género.</w:t>
            </w:r>
          </w:p>
          <w:p w:rsidR="00184CAB" w:rsidRDefault="002B1930">
            <w:pPr>
              <w:pStyle w:val="Prrafodelista"/>
              <w:numPr>
                <w:ilvl w:val="0"/>
                <w:numId w:val="42"/>
              </w:numPr>
              <w:spacing w:after="0" w:line="360" w:lineRule="auto"/>
              <w:jc w:val="both"/>
              <w:rPr>
                <w:color w:val="4B4747"/>
              </w:rPr>
            </w:pPr>
            <w:r>
              <w:rPr>
                <w:color w:val="4B4747"/>
              </w:rPr>
              <w:t>Creación de política y protocolo de acoso laboral y sexual.</w:t>
            </w:r>
          </w:p>
          <w:p w:rsidR="00184CAB" w:rsidRDefault="002B1930">
            <w:pPr>
              <w:pStyle w:val="Prrafodelista"/>
              <w:numPr>
                <w:ilvl w:val="0"/>
                <w:numId w:val="42"/>
              </w:numPr>
              <w:spacing w:after="0" w:line="360" w:lineRule="auto"/>
              <w:jc w:val="both"/>
              <w:rPr>
                <w:color w:val="4B4747"/>
              </w:rPr>
            </w:pPr>
            <w:r>
              <w:rPr>
                <w:color w:val="4B4747"/>
              </w:rPr>
              <w:t xml:space="preserve"> Implementación de la Norma ISO 9001:2025 </w:t>
            </w:r>
          </w:p>
          <w:p w:rsidR="00184CAB" w:rsidRDefault="002B1930">
            <w:pPr>
              <w:pStyle w:val="Prrafodelista"/>
              <w:numPr>
                <w:ilvl w:val="0"/>
                <w:numId w:val="42"/>
              </w:numPr>
              <w:spacing w:after="0" w:line="360" w:lineRule="auto"/>
              <w:jc w:val="both"/>
              <w:rPr>
                <w:color w:val="4B4747"/>
              </w:rPr>
            </w:pPr>
            <w:r>
              <w:rPr>
                <w:color w:val="4B4747"/>
              </w:rPr>
              <w:t xml:space="preserve"> Implementación del Manual de Organización y Funciones (MOF)</w:t>
            </w:r>
          </w:p>
        </w:tc>
      </w:tr>
    </w:tbl>
    <w:p w:rsidR="00000000" w:rsidRDefault="002B1930">
      <w:pPr>
        <w:sectPr w:rsidR="00000000">
          <w:headerReference w:type="default" r:id="rId70"/>
          <w:footerReference w:type="default" r:id="rId71"/>
          <w:pgSz w:w="12240" w:h="15840"/>
          <w:pgMar w:top="1440" w:right="2160" w:bottom="1440" w:left="2160" w:header="720" w:footer="720" w:gutter="0"/>
          <w:cols w:space="720"/>
        </w:sectPr>
      </w:pPr>
    </w:p>
    <w:p w:rsidR="00184CAB" w:rsidRDefault="002B1930">
      <w:pPr>
        <w:pStyle w:val="Ttulo1"/>
        <w:rPr>
          <w:color w:val="4C4747"/>
          <w:sz w:val="24"/>
          <w:szCs w:val="24"/>
        </w:rPr>
      </w:pPr>
      <w:bookmarkStart w:id="183" w:name="_Toc117160677"/>
      <w:bookmarkStart w:id="184" w:name="_Toc217043974"/>
      <w:bookmarkStart w:id="185" w:name="_Toc217907945"/>
      <w:bookmarkStart w:id="186" w:name="_Toc217914445"/>
      <w:r>
        <w:rPr>
          <w:color w:val="4C4747"/>
          <w:sz w:val="24"/>
          <w:szCs w:val="24"/>
        </w:rPr>
        <w:lastRenderedPageBreak/>
        <w:t>ANEXOS</w:t>
      </w:r>
      <w:bookmarkEnd w:id="183"/>
      <w:bookmarkEnd w:id="184"/>
      <w:bookmarkEnd w:id="185"/>
      <w:bookmarkEnd w:id="186"/>
      <w:r>
        <w:rPr>
          <w:color w:val="4C4747"/>
          <w:sz w:val="24"/>
          <w:szCs w:val="24"/>
        </w:rPr>
        <w:t xml:space="preserve"> </w:t>
      </w:r>
    </w:p>
    <w:p w:rsidR="00184CAB" w:rsidRDefault="002B1930">
      <w:pPr>
        <w:spacing w:line="360" w:lineRule="auto"/>
        <w:jc w:val="both"/>
      </w:pPr>
      <w:r>
        <w:rPr>
          <w:noProof/>
          <w:color w:val="4C4747"/>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25703</wp:posOffset>
                </wp:positionV>
                <wp:extent cx="462915" cy="0"/>
                <wp:effectExtent l="0" t="19050" r="32385" b="19050"/>
                <wp:wrapNone/>
                <wp:docPr id="65" name="Straight Connector 12"/>
                <wp:cNvGraphicFramePr/>
                <a:graphic xmlns:a="http://schemas.openxmlformats.org/drawingml/2006/main">
                  <a:graphicData uri="http://schemas.microsoft.com/office/word/2010/wordprocessingShape">
                    <wps:wsp>
                      <wps:cNvCnPr/>
                      <wps:spPr>
                        <a:xfrm>
                          <a:off x="0" y="0"/>
                          <a:ext cx="462915" cy="0"/>
                        </a:xfrm>
                        <a:prstGeom prst="straightConnector1">
                          <a:avLst/>
                        </a:prstGeom>
                        <a:noFill/>
                        <a:ln w="28575" cap="flat">
                          <a:solidFill>
                            <a:srgbClr val="EE2A24"/>
                          </a:solidFill>
                          <a:prstDash val="solid"/>
                          <a:miter/>
                        </a:ln>
                      </wps:spPr>
                      <wps:bodyPr/>
                    </wps:wsp>
                  </a:graphicData>
                </a:graphic>
              </wp:anchor>
            </w:drawing>
          </mc:Choice>
          <mc:Fallback>
            <w:pict>
              <v:shape w14:anchorId="68F169AE" id="Straight Connector 12" o:spid="_x0000_s1026" type="#_x0000_t32" style="position:absolute;margin-left:0;margin-top:2pt;width:36.45pt;height:0;z-index:25165824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sltAEAAFMDAAAOAAAAZHJzL2Uyb0RvYy54bWysU8tu2zAQvBfIPxC817KExE0Fy0FhJ70U&#10;rYG0H0BTpESAL+wylv33XdKOk7S3IBdS5O7M7gxXy7uDs2yvAE3wHa9nc86Ul6E3fuj4n98Pn285&#10;wyR8L2zwquNHhfxudfVpOcVWNWEMtlfAiMRjO8WOjynFtqpQjsoJnIWoPAV1ACcSHWGoehATsTtb&#10;NfP5opoC9BGCVIh0uzkF+arwa61k+qU1qsRsx6m3VFYo6y6v1Wop2gFEHI08tyHe0YUTxlPRC9VG&#10;JMGewPxH5YyEgEGnmQyuClobqYoGUlPP/1HzOIqoihYyB+PFJvw4WvlzvwVm+o4vbjjzwtEbPSYQ&#10;ZhgTWwfvycEArG6yU1PElgBrv4XzCeMWsuyDBpd3EsQOxd3jxV11SEzS5fWi+VpTEfkcql5wETB9&#10;V8Gx/NFxPHdwaaAu5or9D0xUmYDPgFzUhwdjbXlJ69nU8eb25ksuJGigtBWpgDFY0+fEDEEYdmsL&#10;bC9oLu7vm2/NdRZIxG/ScpWNwPGUV0KniXEmqewBAaynLTtz8iJ/7UJ/LBaVe3q5kniesjwar88F&#10;/fIvrP4CAAD//wMAUEsDBBQABgAIAAAAIQBmbhKx2gAAAAMBAAAPAAAAZHJzL2Rvd25yZXYueG1s&#10;TI/BTsMwEETvSP0Haytxo05bICSNUyGkckQQKiFuTrwkUeN1ZLtt4OtZuMBpNJrVzNtiO9lBnNCH&#10;3pGC5SIBgdQ401OrYP+6u7oDEaImowdHqOATA2zL2UWhc+PO9IKnKraCSyjkWkEX45hLGZoOrQ4L&#10;NyJx9uG81ZGtb6Xx+szldpCrJLmVVvfEC50e8aHD5lAdrQK5fKp2+7c0y57X6aP/qm+Sdfqu1OV8&#10;ut+AiDjFv2P4wWd0KJmpdkcyQQwK+JGo4JqFw3SVgah/rSwL+Z+9/AYAAP//AwBQSwECLQAUAAYA&#10;CAAAACEAtoM4kv4AAADhAQAAEwAAAAAAAAAAAAAAAAAAAAAAW0NvbnRlbnRfVHlwZXNdLnhtbFBL&#10;AQItABQABgAIAAAAIQA4/SH/1gAAAJQBAAALAAAAAAAAAAAAAAAAAC8BAABfcmVscy8ucmVsc1BL&#10;AQItABQABgAIAAAAIQCp0KsltAEAAFMDAAAOAAAAAAAAAAAAAAAAAC4CAABkcnMvZTJvRG9jLnht&#10;bFBLAQItABQABgAIAAAAIQBmbhKx2gAAAAMBAAAPAAAAAAAAAAAAAAAAAA4EAABkcnMvZG93bnJl&#10;di54bWxQSwUGAAAAAAQABADzAAAAFQUAAAAA&#10;" strokecolor="#ee2a24" strokeweight="2.25pt">
                <v:stroke joinstyle="miter"/>
                <w10:wrap anchorx="margin"/>
              </v:shape>
            </w:pict>
          </mc:Fallback>
        </mc:AlternateContent>
      </w:r>
    </w:p>
    <w:p w:rsidR="00184CAB" w:rsidRDefault="002B1930">
      <w:pPr>
        <w:spacing w:line="360" w:lineRule="auto"/>
        <w:jc w:val="center"/>
        <w:rPr>
          <w:color w:val="4C4747"/>
        </w:rPr>
      </w:pPr>
      <w:r>
        <w:rPr>
          <w:color w:val="4C4747"/>
        </w:rPr>
        <w:t>Memoria Institucional 2025</w:t>
      </w:r>
    </w:p>
    <w:p w:rsidR="00184CAB" w:rsidRDefault="002B1930">
      <w:pPr>
        <w:pStyle w:val="Prrafodelista"/>
        <w:numPr>
          <w:ilvl w:val="0"/>
          <w:numId w:val="43"/>
        </w:numPr>
        <w:spacing w:line="360" w:lineRule="auto"/>
        <w:jc w:val="both"/>
        <w:rPr>
          <w:b/>
          <w:color w:val="4C4747"/>
        </w:rPr>
      </w:pPr>
      <w:bookmarkStart w:id="187" w:name="_Toc217043975"/>
      <w:r>
        <w:rPr>
          <w:b/>
          <w:color w:val="4C4747"/>
        </w:rPr>
        <w:t>Matriz de Gestión Presupuestaria Anual.</w:t>
      </w:r>
      <w:bookmarkEnd w:id="187"/>
    </w:p>
    <w:p w:rsidR="00184CAB" w:rsidRDefault="002B1930">
      <w:pPr>
        <w:jc w:val="both"/>
        <w:rPr>
          <w:color w:val="4C4747"/>
        </w:rPr>
      </w:pPr>
      <w:r>
        <w:rPr>
          <w:color w:val="4C4747"/>
        </w:rPr>
        <w:t>Los datos que se presentan en la siguiente matriz corresponden al periodo enero-noviembre 2025. Debido al comportamiento operativo de la institución durante la segunda semana de diciembre, no se registran operaciones financieras, por lo que se espera que e</w:t>
      </w:r>
      <w:r>
        <w:rPr>
          <w:color w:val="4C4747"/>
        </w:rPr>
        <w:t>l cierre de diciembre concluya con un incremento muy leve con respecto al cierre de noviembre.</w:t>
      </w:r>
    </w:p>
    <w:p w:rsidR="00184CAB" w:rsidRDefault="00184CAB">
      <w:pPr>
        <w:jc w:val="both"/>
        <w:rPr>
          <w:color w:val="4C4747"/>
        </w:rPr>
      </w:pPr>
    </w:p>
    <w:tbl>
      <w:tblPr>
        <w:tblW w:w="13315" w:type="dxa"/>
        <w:tblCellMar>
          <w:left w:w="10" w:type="dxa"/>
          <w:right w:w="10" w:type="dxa"/>
        </w:tblCellMar>
        <w:tblLook w:val="0000" w:firstRow="0" w:lastRow="0" w:firstColumn="0" w:lastColumn="0" w:noHBand="0" w:noVBand="0"/>
      </w:tblPr>
      <w:tblGrid>
        <w:gridCol w:w="1567"/>
        <w:gridCol w:w="2835"/>
        <w:gridCol w:w="2280"/>
        <w:gridCol w:w="2397"/>
        <w:gridCol w:w="1560"/>
        <w:gridCol w:w="1275"/>
        <w:gridCol w:w="1514"/>
      </w:tblGrid>
      <w:tr w:rsidR="00184CAB">
        <w:tblPrEx>
          <w:tblCellMar>
            <w:top w:w="0" w:type="dxa"/>
            <w:bottom w:w="0" w:type="dxa"/>
          </w:tblCellMar>
        </w:tblPrEx>
        <w:trPr>
          <w:trHeight w:val="410"/>
          <w:tblHeader/>
        </w:trPr>
        <w:tc>
          <w:tcPr>
            <w:tcW w:w="1567" w:type="dxa"/>
            <w:tcBorders>
              <w:top w:val="single" w:sz="8" w:space="0" w:color="000000"/>
              <w:left w:val="single" w:sz="8" w:space="0" w:color="000000"/>
              <w:bottom w:val="single" w:sz="8" w:space="0" w:color="000000"/>
              <w:right w:val="single" w:sz="8" w:space="0" w:color="000000"/>
            </w:tcBorders>
            <w:shd w:val="clear" w:color="auto" w:fill="002060"/>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b/>
                <w:bCs/>
                <w:color w:val="FFFFFF"/>
                <w:sz w:val="19"/>
                <w:szCs w:val="19"/>
                <w:lang w:val="es-ES_tradnl"/>
              </w:rPr>
              <w:t>Código Programa / Subprograma</w:t>
            </w:r>
          </w:p>
        </w:tc>
        <w:tc>
          <w:tcPr>
            <w:tcW w:w="2835" w:type="dxa"/>
            <w:tcBorders>
              <w:top w:val="single" w:sz="8" w:space="0" w:color="000000"/>
              <w:bottom w:val="single" w:sz="8" w:space="0" w:color="000000"/>
              <w:right w:val="single" w:sz="8" w:space="0" w:color="000000"/>
            </w:tcBorders>
            <w:shd w:val="clear" w:color="auto" w:fill="002060"/>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b/>
                <w:bCs/>
                <w:color w:val="FFFFFF"/>
                <w:sz w:val="19"/>
                <w:szCs w:val="19"/>
                <w:lang w:val="es-ES_tradnl"/>
              </w:rPr>
              <w:t>Nombre del Programa</w:t>
            </w:r>
          </w:p>
        </w:tc>
        <w:tc>
          <w:tcPr>
            <w:tcW w:w="2280" w:type="dxa"/>
            <w:tcBorders>
              <w:top w:val="single" w:sz="8" w:space="0" w:color="000000"/>
              <w:bottom w:val="single" w:sz="8" w:space="0" w:color="000000"/>
              <w:right w:val="single" w:sz="8" w:space="0" w:color="000000"/>
            </w:tcBorders>
            <w:shd w:val="clear" w:color="auto" w:fill="002060"/>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b/>
                <w:bCs/>
                <w:color w:val="FFFFFF"/>
                <w:sz w:val="19"/>
                <w:szCs w:val="19"/>
                <w:lang w:val="es-ES_tradnl"/>
              </w:rPr>
              <w:t>Asignación presupuestaria 2025 (RD$)</w:t>
            </w:r>
          </w:p>
        </w:tc>
        <w:tc>
          <w:tcPr>
            <w:tcW w:w="2397" w:type="dxa"/>
            <w:tcBorders>
              <w:top w:val="single" w:sz="8" w:space="0" w:color="000000"/>
              <w:bottom w:val="single" w:sz="8" w:space="0" w:color="000000"/>
              <w:right w:val="single" w:sz="8" w:space="0" w:color="000000"/>
            </w:tcBorders>
            <w:shd w:val="clear" w:color="auto" w:fill="002060"/>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b/>
                <w:bCs/>
                <w:color w:val="FFFFFF"/>
                <w:sz w:val="19"/>
                <w:szCs w:val="19"/>
                <w:lang w:val="es-ES_tradnl"/>
              </w:rPr>
              <w:t>Ejecución a noviembre 2025 (RD$)</w:t>
            </w:r>
          </w:p>
        </w:tc>
        <w:tc>
          <w:tcPr>
            <w:tcW w:w="1560" w:type="dxa"/>
            <w:tcBorders>
              <w:top w:val="single" w:sz="8" w:space="0" w:color="000000"/>
              <w:bottom w:val="single" w:sz="8" w:space="0" w:color="000000"/>
              <w:right w:val="single" w:sz="8" w:space="0" w:color="000000"/>
            </w:tcBorders>
            <w:shd w:val="clear" w:color="auto" w:fill="002060"/>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b/>
                <w:bCs/>
                <w:color w:val="FFFFFF"/>
                <w:sz w:val="19"/>
                <w:szCs w:val="19"/>
                <w:lang w:val="es-ES_tradnl"/>
              </w:rPr>
              <w:t>Cantidad de Productos Generados por Prog</w:t>
            </w:r>
            <w:r>
              <w:rPr>
                <w:rFonts w:ascii="Times New Roman" w:hAnsi="Times New Roman" w:cs="Times New Roman"/>
                <w:b/>
                <w:bCs/>
                <w:color w:val="FFFFFF"/>
                <w:sz w:val="19"/>
                <w:szCs w:val="19"/>
                <w:lang w:val="es-ES_tradnl"/>
              </w:rPr>
              <w:t>rama</w:t>
            </w:r>
          </w:p>
        </w:tc>
        <w:tc>
          <w:tcPr>
            <w:tcW w:w="1275" w:type="dxa"/>
            <w:tcBorders>
              <w:top w:val="single" w:sz="8" w:space="0" w:color="000000"/>
              <w:bottom w:val="single" w:sz="8" w:space="0" w:color="000000"/>
              <w:right w:val="single" w:sz="8" w:space="0" w:color="000000"/>
            </w:tcBorders>
            <w:shd w:val="clear" w:color="auto" w:fill="002060"/>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b/>
                <w:bCs/>
                <w:color w:val="FFFFFF"/>
                <w:sz w:val="19"/>
                <w:szCs w:val="19"/>
                <w:lang w:val="es-ES_tradnl"/>
              </w:rPr>
              <w:t>Índice de Ejecución %</w:t>
            </w:r>
          </w:p>
        </w:tc>
        <w:tc>
          <w:tcPr>
            <w:tcW w:w="1514" w:type="dxa"/>
            <w:tcBorders>
              <w:top w:val="single" w:sz="8" w:space="0" w:color="000000"/>
              <w:bottom w:val="single" w:sz="8" w:space="0" w:color="000000"/>
              <w:right w:val="single" w:sz="8" w:space="0" w:color="000000"/>
            </w:tcBorders>
            <w:shd w:val="clear" w:color="auto" w:fill="002060"/>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b/>
                <w:bCs/>
                <w:color w:val="FFFFFF"/>
                <w:sz w:val="19"/>
                <w:szCs w:val="19"/>
                <w:lang w:val="es-ES_tradnl"/>
              </w:rPr>
              <w:t>Participación ejecución por programa</w:t>
            </w:r>
          </w:p>
        </w:tc>
      </w:tr>
      <w:tr w:rsidR="00184CAB">
        <w:tblPrEx>
          <w:tblCellMar>
            <w:top w:w="0" w:type="dxa"/>
            <w:bottom w:w="0" w:type="dxa"/>
          </w:tblCellMar>
        </w:tblPrEx>
        <w:trPr>
          <w:trHeight w:val="132"/>
        </w:trPr>
        <w:tc>
          <w:tcPr>
            <w:tcW w:w="1567"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1</w:t>
            </w:r>
          </w:p>
        </w:tc>
        <w:tc>
          <w:tcPr>
            <w:tcW w:w="2835"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Actividades Centrales</w:t>
            </w:r>
          </w:p>
        </w:tc>
        <w:tc>
          <w:tcPr>
            <w:tcW w:w="2280"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2,914,036,627.97</w:t>
            </w:r>
          </w:p>
        </w:tc>
        <w:tc>
          <w:tcPr>
            <w:tcW w:w="2397"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1,730,770,640.12</w:t>
            </w:r>
          </w:p>
        </w:tc>
        <w:tc>
          <w:tcPr>
            <w:tcW w:w="1560"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N/A</w:t>
            </w:r>
          </w:p>
        </w:tc>
        <w:tc>
          <w:tcPr>
            <w:tcW w:w="1275"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59.39</w:t>
            </w:r>
          </w:p>
        </w:tc>
        <w:tc>
          <w:tcPr>
            <w:tcW w:w="1514"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24%</w:t>
            </w:r>
          </w:p>
        </w:tc>
      </w:tr>
      <w:tr w:rsidR="00184CAB">
        <w:tblPrEx>
          <w:tblCellMar>
            <w:top w:w="0" w:type="dxa"/>
            <w:bottom w:w="0" w:type="dxa"/>
          </w:tblCellMar>
        </w:tblPrEx>
        <w:trPr>
          <w:trHeight w:val="323"/>
        </w:trPr>
        <w:tc>
          <w:tcPr>
            <w:tcW w:w="1567"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11</w:t>
            </w:r>
          </w:p>
        </w:tc>
        <w:tc>
          <w:tcPr>
            <w:tcW w:w="2835"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Fondo a cargo del Poder Ejecutivo</w:t>
            </w:r>
          </w:p>
        </w:tc>
        <w:tc>
          <w:tcPr>
            <w:tcW w:w="2280"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6,647,993,656.00</w:t>
            </w:r>
          </w:p>
        </w:tc>
        <w:tc>
          <w:tcPr>
            <w:tcW w:w="2397"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6,402,980,104.14</w:t>
            </w:r>
          </w:p>
        </w:tc>
        <w:tc>
          <w:tcPr>
            <w:tcW w:w="1560"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N/A</w:t>
            </w:r>
          </w:p>
        </w:tc>
        <w:tc>
          <w:tcPr>
            <w:tcW w:w="1275"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96.31</w:t>
            </w:r>
          </w:p>
        </w:tc>
        <w:tc>
          <w:tcPr>
            <w:tcW w:w="1514"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55%</w:t>
            </w:r>
          </w:p>
        </w:tc>
      </w:tr>
      <w:tr w:rsidR="00184CAB">
        <w:tblPrEx>
          <w:tblCellMar>
            <w:top w:w="0" w:type="dxa"/>
            <w:bottom w:w="0" w:type="dxa"/>
          </w:tblCellMar>
        </w:tblPrEx>
        <w:trPr>
          <w:trHeight w:val="208"/>
        </w:trPr>
        <w:tc>
          <w:tcPr>
            <w:tcW w:w="1567"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98</w:t>
            </w:r>
          </w:p>
        </w:tc>
        <w:tc>
          <w:tcPr>
            <w:tcW w:w="2835"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 xml:space="preserve">Administración de </w:t>
            </w:r>
            <w:r>
              <w:rPr>
                <w:rFonts w:ascii="Times New Roman" w:hAnsi="Times New Roman" w:cs="Times New Roman"/>
                <w:color w:val="4B4747"/>
                <w:sz w:val="19"/>
                <w:szCs w:val="19"/>
              </w:rPr>
              <w:t>contribuciones especiales</w:t>
            </w:r>
          </w:p>
        </w:tc>
        <w:tc>
          <w:tcPr>
            <w:tcW w:w="2280"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2,172,318,105.79</w:t>
            </w:r>
          </w:p>
        </w:tc>
        <w:tc>
          <w:tcPr>
            <w:tcW w:w="2397"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1,833,752,786.32</w:t>
            </w:r>
          </w:p>
        </w:tc>
        <w:tc>
          <w:tcPr>
            <w:tcW w:w="1560"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N/A</w:t>
            </w:r>
          </w:p>
        </w:tc>
        <w:tc>
          <w:tcPr>
            <w:tcW w:w="1275"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84.41</w:t>
            </w:r>
          </w:p>
        </w:tc>
        <w:tc>
          <w:tcPr>
            <w:tcW w:w="1514"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18%</w:t>
            </w:r>
          </w:p>
        </w:tc>
      </w:tr>
      <w:tr w:rsidR="00184CAB">
        <w:tblPrEx>
          <w:tblCellMar>
            <w:top w:w="0" w:type="dxa"/>
            <w:bottom w:w="0" w:type="dxa"/>
          </w:tblCellMar>
        </w:tblPrEx>
        <w:trPr>
          <w:trHeight w:val="587"/>
        </w:trPr>
        <w:tc>
          <w:tcPr>
            <w:tcW w:w="1567"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99</w:t>
            </w:r>
          </w:p>
        </w:tc>
        <w:tc>
          <w:tcPr>
            <w:tcW w:w="2835"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Administración de activos, pasivos y transferencias</w:t>
            </w:r>
          </w:p>
        </w:tc>
        <w:tc>
          <w:tcPr>
            <w:tcW w:w="2280"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253,484,861.50</w:t>
            </w:r>
          </w:p>
        </w:tc>
        <w:tc>
          <w:tcPr>
            <w:tcW w:w="2397"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224,271,528.27</w:t>
            </w:r>
          </w:p>
        </w:tc>
        <w:tc>
          <w:tcPr>
            <w:tcW w:w="1560"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N/A</w:t>
            </w:r>
          </w:p>
        </w:tc>
        <w:tc>
          <w:tcPr>
            <w:tcW w:w="1275"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88.48</w:t>
            </w:r>
          </w:p>
        </w:tc>
        <w:tc>
          <w:tcPr>
            <w:tcW w:w="1514" w:type="dxa"/>
            <w:tcBorders>
              <w:bottom w:val="single" w:sz="8" w:space="0" w:color="000000"/>
              <w:right w:val="single" w:sz="8" w:space="0" w:color="000000"/>
            </w:tcBorders>
            <w:shd w:val="clear" w:color="auto" w:fill="auto"/>
            <w:noWrap/>
            <w:tcMar>
              <w:top w:w="0" w:type="dxa"/>
              <w:left w:w="70" w:type="dxa"/>
              <w:bottom w:w="0" w:type="dxa"/>
              <w:right w:w="70" w:type="dxa"/>
            </w:tcMar>
            <w:vAlign w:val="center"/>
          </w:tcPr>
          <w:p w:rsidR="00184CAB" w:rsidRDefault="002B1930">
            <w:pPr>
              <w:pStyle w:val="xxmsonormal"/>
              <w:spacing w:line="360" w:lineRule="auto"/>
              <w:jc w:val="center"/>
            </w:pPr>
            <w:r>
              <w:rPr>
                <w:rFonts w:ascii="Times New Roman" w:hAnsi="Times New Roman" w:cs="Times New Roman"/>
                <w:color w:val="4B4747"/>
                <w:sz w:val="19"/>
                <w:szCs w:val="19"/>
              </w:rPr>
              <w:t>2%</w:t>
            </w:r>
          </w:p>
        </w:tc>
      </w:tr>
      <w:tr w:rsidR="00184CAB">
        <w:tblPrEx>
          <w:tblCellMar>
            <w:top w:w="0" w:type="dxa"/>
            <w:bottom w:w="0" w:type="dxa"/>
          </w:tblCellMar>
        </w:tblPrEx>
        <w:trPr>
          <w:trHeight w:val="132"/>
        </w:trPr>
        <w:tc>
          <w:tcPr>
            <w:tcW w:w="1567" w:type="dxa"/>
            <w:tcBorders>
              <w:top w:val="single" w:sz="8" w:space="0" w:color="000000"/>
              <w:left w:val="single" w:sz="8" w:space="0" w:color="000000"/>
              <w:bottom w:val="single" w:sz="8" w:space="0" w:color="000000"/>
              <w:right w:val="single" w:sz="8" w:space="0" w:color="000000"/>
            </w:tcBorders>
            <w:shd w:val="clear" w:color="auto" w:fill="002060"/>
            <w:noWrap/>
            <w:tcMar>
              <w:top w:w="0" w:type="dxa"/>
              <w:left w:w="70" w:type="dxa"/>
              <w:bottom w:w="0" w:type="dxa"/>
              <w:right w:w="70" w:type="dxa"/>
            </w:tcMar>
            <w:vAlign w:val="center"/>
          </w:tcPr>
          <w:p w:rsidR="00184CAB" w:rsidRDefault="00184CAB">
            <w:pPr>
              <w:jc w:val="center"/>
              <w:rPr>
                <w:b/>
                <w:color w:val="FFFFFF"/>
                <w:sz w:val="19"/>
                <w:szCs w:val="19"/>
              </w:rPr>
            </w:pPr>
          </w:p>
        </w:tc>
        <w:tc>
          <w:tcPr>
            <w:tcW w:w="2835" w:type="dxa"/>
            <w:tcBorders>
              <w:top w:val="single" w:sz="8" w:space="0" w:color="000000"/>
              <w:bottom w:val="single" w:sz="8" w:space="0" w:color="000000"/>
              <w:right w:val="single" w:sz="8" w:space="0" w:color="000000"/>
            </w:tcBorders>
            <w:shd w:val="clear" w:color="auto" w:fill="002060"/>
            <w:noWrap/>
            <w:tcMar>
              <w:top w:w="0" w:type="dxa"/>
              <w:left w:w="70" w:type="dxa"/>
              <w:bottom w:w="0" w:type="dxa"/>
              <w:right w:w="70" w:type="dxa"/>
            </w:tcMar>
            <w:vAlign w:val="center"/>
          </w:tcPr>
          <w:p w:rsidR="00184CAB" w:rsidRDefault="002B1930">
            <w:pPr>
              <w:jc w:val="center"/>
              <w:rPr>
                <w:b/>
                <w:color w:val="FFFFFF"/>
                <w:sz w:val="19"/>
                <w:szCs w:val="19"/>
              </w:rPr>
            </w:pPr>
            <w:r>
              <w:rPr>
                <w:b/>
                <w:color w:val="FFFFFF"/>
                <w:sz w:val="19"/>
                <w:szCs w:val="19"/>
              </w:rPr>
              <w:t>Totales</w:t>
            </w:r>
          </w:p>
        </w:tc>
        <w:tc>
          <w:tcPr>
            <w:tcW w:w="2280" w:type="dxa"/>
            <w:tcBorders>
              <w:top w:val="single" w:sz="8" w:space="0" w:color="000000"/>
              <w:bottom w:val="single" w:sz="8" w:space="0" w:color="000000"/>
              <w:right w:val="single" w:sz="8" w:space="0" w:color="000000"/>
            </w:tcBorders>
            <w:shd w:val="clear" w:color="auto" w:fill="002060"/>
            <w:noWrap/>
            <w:tcMar>
              <w:top w:w="0" w:type="dxa"/>
              <w:left w:w="70" w:type="dxa"/>
              <w:bottom w:w="0" w:type="dxa"/>
              <w:right w:w="70" w:type="dxa"/>
            </w:tcMar>
            <w:vAlign w:val="center"/>
          </w:tcPr>
          <w:p w:rsidR="00184CAB" w:rsidRDefault="002B1930">
            <w:pPr>
              <w:jc w:val="center"/>
              <w:rPr>
                <w:b/>
                <w:color w:val="FFFFFF"/>
                <w:sz w:val="19"/>
                <w:szCs w:val="19"/>
              </w:rPr>
            </w:pPr>
            <w:r>
              <w:rPr>
                <w:b/>
                <w:color w:val="FFFFFF"/>
                <w:sz w:val="19"/>
                <w:szCs w:val="19"/>
              </w:rPr>
              <w:t>11,987,833,251.26</w:t>
            </w:r>
          </w:p>
        </w:tc>
        <w:tc>
          <w:tcPr>
            <w:tcW w:w="2397" w:type="dxa"/>
            <w:tcBorders>
              <w:top w:val="single" w:sz="8" w:space="0" w:color="000000"/>
              <w:bottom w:val="single" w:sz="8" w:space="0" w:color="000000"/>
              <w:right w:val="single" w:sz="8" w:space="0" w:color="000000"/>
            </w:tcBorders>
            <w:shd w:val="clear" w:color="auto" w:fill="002060"/>
            <w:noWrap/>
            <w:tcMar>
              <w:top w:w="0" w:type="dxa"/>
              <w:left w:w="70" w:type="dxa"/>
              <w:bottom w:w="0" w:type="dxa"/>
              <w:right w:w="70" w:type="dxa"/>
            </w:tcMar>
            <w:vAlign w:val="center"/>
          </w:tcPr>
          <w:p w:rsidR="00184CAB" w:rsidRDefault="002B1930">
            <w:pPr>
              <w:jc w:val="center"/>
              <w:rPr>
                <w:b/>
                <w:color w:val="FFFFFF"/>
                <w:sz w:val="19"/>
                <w:szCs w:val="19"/>
              </w:rPr>
            </w:pPr>
            <w:r>
              <w:rPr>
                <w:b/>
                <w:color w:val="FFFFFF"/>
                <w:sz w:val="19"/>
                <w:szCs w:val="19"/>
              </w:rPr>
              <w:t>10,191,775,058.85</w:t>
            </w:r>
          </w:p>
        </w:tc>
        <w:tc>
          <w:tcPr>
            <w:tcW w:w="1560" w:type="dxa"/>
            <w:tcBorders>
              <w:bottom w:val="single" w:sz="8" w:space="0" w:color="000000"/>
              <w:right w:val="single" w:sz="8" w:space="0" w:color="000000"/>
            </w:tcBorders>
            <w:shd w:val="clear" w:color="auto" w:fill="002060"/>
            <w:noWrap/>
            <w:tcMar>
              <w:top w:w="0" w:type="dxa"/>
              <w:left w:w="70" w:type="dxa"/>
              <w:bottom w:w="0" w:type="dxa"/>
              <w:right w:w="70" w:type="dxa"/>
            </w:tcMar>
            <w:vAlign w:val="center"/>
          </w:tcPr>
          <w:p w:rsidR="00184CAB" w:rsidRDefault="002B1930">
            <w:pPr>
              <w:jc w:val="center"/>
              <w:rPr>
                <w:b/>
                <w:color w:val="FFFFFF"/>
                <w:sz w:val="19"/>
                <w:szCs w:val="19"/>
              </w:rPr>
            </w:pPr>
            <w:r>
              <w:rPr>
                <w:b/>
                <w:color w:val="FFFFFF"/>
                <w:sz w:val="19"/>
                <w:szCs w:val="19"/>
              </w:rPr>
              <w:t>N/A</w:t>
            </w:r>
          </w:p>
        </w:tc>
        <w:tc>
          <w:tcPr>
            <w:tcW w:w="1275" w:type="dxa"/>
            <w:tcBorders>
              <w:top w:val="single" w:sz="8" w:space="0" w:color="000000"/>
              <w:bottom w:val="single" w:sz="8" w:space="0" w:color="000000"/>
              <w:right w:val="single" w:sz="8" w:space="0" w:color="000000"/>
            </w:tcBorders>
            <w:shd w:val="clear" w:color="auto" w:fill="002060"/>
            <w:noWrap/>
            <w:tcMar>
              <w:top w:w="0" w:type="dxa"/>
              <w:left w:w="70" w:type="dxa"/>
              <w:bottom w:w="0" w:type="dxa"/>
              <w:right w:w="70" w:type="dxa"/>
            </w:tcMar>
            <w:vAlign w:val="center"/>
          </w:tcPr>
          <w:p w:rsidR="00184CAB" w:rsidRDefault="002B1930">
            <w:pPr>
              <w:jc w:val="center"/>
              <w:rPr>
                <w:b/>
                <w:color w:val="FFFFFF"/>
                <w:sz w:val="19"/>
                <w:szCs w:val="19"/>
              </w:rPr>
            </w:pPr>
            <w:r>
              <w:rPr>
                <w:b/>
                <w:color w:val="FFFFFF"/>
                <w:sz w:val="19"/>
                <w:szCs w:val="19"/>
              </w:rPr>
              <w:t>%85.01</w:t>
            </w:r>
          </w:p>
        </w:tc>
        <w:tc>
          <w:tcPr>
            <w:tcW w:w="1514" w:type="dxa"/>
            <w:tcBorders>
              <w:bottom w:val="single" w:sz="8" w:space="0" w:color="000000"/>
              <w:right w:val="single" w:sz="8" w:space="0" w:color="000000"/>
            </w:tcBorders>
            <w:shd w:val="clear" w:color="auto" w:fill="002060"/>
            <w:noWrap/>
            <w:tcMar>
              <w:top w:w="0" w:type="dxa"/>
              <w:left w:w="70" w:type="dxa"/>
              <w:bottom w:w="0" w:type="dxa"/>
              <w:right w:w="70" w:type="dxa"/>
            </w:tcMar>
            <w:vAlign w:val="center"/>
          </w:tcPr>
          <w:p w:rsidR="00184CAB" w:rsidRDefault="002B1930">
            <w:pPr>
              <w:jc w:val="center"/>
              <w:rPr>
                <w:b/>
                <w:color w:val="FFFFFF"/>
                <w:sz w:val="19"/>
                <w:szCs w:val="19"/>
              </w:rPr>
            </w:pPr>
            <w:r>
              <w:rPr>
                <w:b/>
                <w:color w:val="FFFFFF"/>
                <w:sz w:val="19"/>
                <w:szCs w:val="19"/>
              </w:rPr>
              <w:t>%100</w:t>
            </w:r>
          </w:p>
        </w:tc>
      </w:tr>
    </w:tbl>
    <w:p w:rsidR="00184CAB" w:rsidRDefault="002B1930">
      <w:pPr>
        <w:spacing w:line="360" w:lineRule="auto"/>
        <w:jc w:val="both"/>
        <w:rPr>
          <w:i/>
          <w:color w:val="4C4747"/>
        </w:rPr>
      </w:pPr>
      <w:r>
        <w:rPr>
          <w:i/>
          <w:color w:val="4C4747"/>
        </w:rPr>
        <w:t xml:space="preserve">Fuente: Dirección </w:t>
      </w:r>
      <w:r>
        <w:rPr>
          <w:i/>
          <w:color w:val="4C4747"/>
        </w:rPr>
        <w:t>Financiera, Ministerio Administrativo de la Presidencia (MAPRE)</w:t>
      </w:r>
      <w:bookmarkStart w:id="188" w:name="_Toc217043976"/>
    </w:p>
    <w:p w:rsidR="00184CAB" w:rsidRDefault="00184CAB">
      <w:pPr>
        <w:spacing w:line="360" w:lineRule="auto"/>
        <w:jc w:val="both"/>
        <w:rPr>
          <w:i/>
          <w:color w:val="4C4747"/>
        </w:rPr>
      </w:pPr>
    </w:p>
    <w:p w:rsidR="00184CAB" w:rsidRDefault="00184CAB">
      <w:pPr>
        <w:spacing w:line="360" w:lineRule="auto"/>
        <w:jc w:val="both"/>
        <w:rPr>
          <w:i/>
          <w:color w:val="4C4747"/>
        </w:rPr>
      </w:pPr>
    </w:p>
    <w:p w:rsidR="00184CAB" w:rsidRDefault="00184CAB">
      <w:pPr>
        <w:spacing w:line="360" w:lineRule="auto"/>
        <w:jc w:val="both"/>
        <w:rPr>
          <w:i/>
          <w:color w:val="4C4747"/>
        </w:rPr>
      </w:pPr>
    </w:p>
    <w:p w:rsidR="00184CAB" w:rsidRDefault="00184CAB">
      <w:pPr>
        <w:spacing w:line="360" w:lineRule="auto"/>
        <w:jc w:val="both"/>
        <w:rPr>
          <w:i/>
          <w:color w:val="4C4747"/>
        </w:rPr>
      </w:pPr>
    </w:p>
    <w:p w:rsidR="00184CAB" w:rsidRDefault="00184CAB">
      <w:pPr>
        <w:spacing w:line="360" w:lineRule="auto"/>
        <w:jc w:val="both"/>
        <w:rPr>
          <w:i/>
          <w:color w:val="4C4747"/>
        </w:rPr>
      </w:pPr>
    </w:p>
    <w:p w:rsidR="00184CAB" w:rsidRDefault="00184CAB">
      <w:pPr>
        <w:spacing w:line="360" w:lineRule="auto"/>
        <w:jc w:val="both"/>
        <w:rPr>
          <w:i/>
          <w:color w:val="4C4747"/>
        </w:rPr>
      </w:pPr>
    </w:p>
    <w:p w:rsidR="00184CAB" w:rsidRDefault="00184CAB">
      <w:pPr>
        <w:spacing w:line="360" w:lineRule="auto"/>
        <w:jc w:val="both"/>
        <w:rPr>
          <w:i/>
          <w:color w:val="4C4747"/>
        </w:rPr>
      </w:pPr>
    </w:p>
    <w:p w:rsidR="00184CAB" w:rsidRDefault="00184CAB">
      <w:pPr>
        <w:spacing w:line="360" w:lineRule="auto"/>
        <w:jc w:val="both"/>
        <w:rPr>
          <w:i/>
          <w:color w:val="4C4747"/>
        </w:rPr>
      </w:pPr>
    </w:p>
    <w:p w:rsidR="00184CAB" w:rsidRDefault="00184CAB">
      <w:pPr>
        <w:spacing w:line="360" w:lineRule="auto"/>
        <w:jc w:val="both"/>
        <w:rPr>
          <w:i/>
          <w:color w:val="4C4747"/>
        </w:rPr>
      </w:pPr>
    </w:p>
    <w:p w:rsidR="00184CAB" w:rsidRDefault="002B1930">
      <w:pPr>
        <w:pStyle w:val="Prrafodelista"/>
        <w:numPr>
          <w:ilvl w:val="0"/>
          <w:numId w:val="43"/>
        </w:numPr>
        <w:spacing w:line="360" w:lineRule="auto"/>
        <w:jc w:val="both"/>
        <w:rPr>
          <w:b/>
          <w:color w:val="4C4747"/>
        </w:rPr>
      </w:pPr>
      <w:r>
        <w:rPr>
          <w:b/>
          <w:color w:val="4C4747"/>
        </w:rPr>
        <w:lastRenderedPageBreak/>
        <w:t>Matriz de Principales indicadores del POA.</w:t>
      </w:r>
      <w:bookmarkEnd w:id="188"/>
    </w:p>
    <w:p w:rsidR="00184CAB" w:rsidRDefault="00184CAB">
      <w:pPr>
        <w:tabs>
          <w:tab w:val="left" w:pos="8013"/>
        </w:tabs>
        <w:spacing w:line="360" w:lineRule="auto"/>
        <w:jc w:val="both"/>
        <w:rPr>
          <w:i/>
          <w:color w:val="4C4747"/>
        </w:rPr>
      </w:pPr>
    </w:p>
    <w:tbl>
      <w:tblPr>
        <w:tblW w:w="14020" w:type="dxa"/>
        <w:jc w:val="center"/>
        <w:tblLayout w:type="fixed"/>
        <w:tblCellMar>
          <w:left w:w="10" w:type="dxa"/>
          <w:right w:w="10" w:type="dxa"/>
        </w:tblCellMar>
        <w:tblLook w:val="0000" w:firstRow="0" w:lastRow="0" w:firstColumn="0" w:lastColumn="0" w:noHBand="0" w:noVBand="0"/>
      </w:tblPr>
      <w:tblGrid>
        <w:gridCol w:w="993"/>
        <w:gridCol w:w="1842"/>
        <w:gridCol w:w="1555"/>
        <w:gridCol w:w="2126"/>
        <w:gridCol w:w="1276"/>
        <w:gridCol w:w="1701"/>
        <w:gridCol w:w="1692"/>
        <w:gridCol w:w="1701"/>
        <w:gridCol w:w="1134"/>
      </w:tblGrid>
      <w:tr w:rsidR="00184CAB">
        <w:tblPrEx>
          <w:tblCellMar>
            <w:top w:w="0" w:type="dxa"/>
            <w:bottom w:w="0" w:type="dxa"/>
          </w:tblCellMar>
        </w:tblPrEx>
        <w:trPr>
          <w:trHeight w:val="930"/>
          <w:tblHeade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line="360" w:lineRule="auto"/>
              <w:jc w:val="center"/>
              <w:rPr>
                <w:b/>
                <w:color w:val="FFFFFF"/>
                <w:sz w:val="18"/>
                <w:szCs w:val="18"/>
              </w:rPr>
            </w:pPr>
            <w:bookmarkStart w:id="189" w:name="_Hlk216981438"/>
            <w:r>
              <w:rPr>
                <w:b/>
                <w:color w:val="FFFFFF"/>
                <w:sz w:val="18"/>
                <w:szCs w:val="18"/>
              </w:rPr>
              <w:t>No.</w:t>
            </w:r>
          </w:p>
        </w:tc>
        <w:tc>
          <w:tcPr>
            <w:tcW w:w="1842" w:type="dxa"/>
            <w:tcBorders>
              <w:top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line="360" w:lineRule="auto"/>
              <w:jc w:val="center"/>
              <w:rPr>
                <w:b/>
                <w:color w:val="FFFFFF"/>
                <w:sz w:val="18"/>
                <w:szCs w:val="18"/>
              </w:rPr>
            </w:pPr>
            <w:r>
              <w:rPr>
                <w:b/>
                <w:color w:val="FFFFFF"/>
                <w:sz w:val="18"/>
                <w:szCs w:val="18"/>
              </w:rPr>
              <w:t>Área</w:t>
            </w:r>
          </w:p>
        </w:tc>
        <w:tc>
          <w:tcPr>
            <w:tcW w:w="1555" w:type="dxa"/>
            <w:tcBorders>
              <w:top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line="360" w:lineRule="auto"/>
              <w:jc w:val="center"/>
              <w:rPr>
                <w:b/>
                <w:color w:val="FFFFFF"/>
                <w:sz w:val="18"/>
                <w:szCs w:val="18"/>
              </w:rPr>
            </w:pPr>
            <w:r>
              <w:rPr>
                <w:b/>
                <w:color w:val="FFFFFF"/>
                <w:sz w:val="18"/>
                <w:szCs w:val="18"/>
              </w:rPr>
              <w:t>Producto</w:t>
            </w:r>
          </w:p>
        </w:tc>
        <w:tc>
          <w:tcPr>
            <w:tcW w:w="2126" w:type="dxa"/>
            <w:tcBorders>
              <w:top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line="360" w:lineRule="auto"/>
              <w:jc w:val="center"/>
              <w:rPr>
                <w:b/>
                <w:color w:val="FFFFFF"/>
                <w:sz w:val="18"/>
                <w:szCs w:val="18"/>
              </w:rPr>
            </w:pPr>
            <w:r>
              <w:rPr>
                <w:b/>
                <w:color w:val="FFFFFF"/>
                <w:sz w:val="18"/>
                <w:szCs w:val="18"/>
              </w:rPr>
              <w:t>Nombre del indicador</w:t>
            </w:r>
          </w:p>
        </w:tc>
        <w:tc>
          <w:tcPr>
            <w:tcW w:w="1276" w:type="dxa"/>
            <w:tcBorders>
              <w:top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line="360" w:lineRule="auto"/>
              <w:jc w:val="center"/>
              <w:rPr>
                <w:b/>
                <w:color w:val="FFFFFF"/>
                <w:sz w:val="18"/>
                <w:szCs w:val="18"/>
              </w:rPr>
            </w:pPr>
            <w:r>
              <w:rPr>
                <w:b/>
                <w:color w:val="FFFFFF"/>
                <w:sz w:val="18"/>
                <w:szCs w:val="18"/>
              </w:rPr>
              <w:t>Frecuencia</w:t>
            </w:r>
          </w:p>
        </w:tc>
        <w:tc>
          <w:tcPr>
            <w:tcW w:w="1701" w:type="dxa"/>
            <w:tcBorders>
              <w:top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line="360" w:lineRule="auto"/>
              <w:jc w:val="center"/>
              <w:rPr>
                <w:b/>
                <w:color w:val="FFFFFF"/>
                <w:sz w:val="18"/>
                <w:szCs w:val="18"/>
              </w:rPr>
            </w:pPr>
            <w:r>
              <w:rPr>
                <w:b/>
                <w:color w:val="FFFFFF"/>
                <w:sz w:val="18"/>
                <w:szCs w:val="18"/>
              </w:rPr>
              <w:t>Línea base</w:t>
            </w:r>
          </w:p>
        </w:tc>
        <w:tc>
          <w:tcPr>
            <w:tcW w:w="1692" w:type="dxa"/>
            <w:tcBorders>
              <w:top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line="360" w:lineRule="auto"/>
              <w:jc w:val="center"/>
              <w:rPr>
                <w:b/>
                <w:color w:val="FFFFFF"/>
                <w:sz w:val="18"/>
                <w:szCs w:val="18"/>
              </w:rPr>
            </w:pPr>
            <w:r>
              <w:rPr>
                <w:b/>
                <w:color w:val="FFFFFF"/>
                <w:sz w:val="18"/>
                <w:szCs w:val="18"/>
              </w:rPr>
              <w:t>Meta</w:t>
            </w:r>
          </w:p>
        </w:tc>
        <w:tc>
          <w:tcPr>
            <w:tcW w:w="1701" w:type="dxa"/>
            <w:tcBorders>
              <w:top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line="360" w:lineRule="auto"/>
              <w:jc w:val="center"/>
              <w:rPr>
                <w:b/>
                <w:color w:val="FFFFFF"/>
                <w:sz w:val="18"/>
                <w:szCs w:val="18"/>
              </w:rPr>
            </w:pPr>
            <w:r>
              <w:rPr>
                <w:b/>
                <w:color w:val="FFFFFF"/>
                <w:sz w:val="18"/>
                <w:szCs w:val="18"/>
              </w:rPr>
              <w:t>Resultado</w:t>
            </w:r>
          </w:p>
        </w:tc>
        <w:tc>
          <w:tcPr>
            <w:tcW w:w="1134" w:type="dxa"/>
            <w:tcBorders>
              <w:top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tcPr>
          <w:p w:rsidR="00184CAB" w:rsidRDefault="002B1930">
            <w:pPr>
              <w:spacing w:line="360" w:lineRule="auto"/>
              <w:jc w:val="center"/>
              <w:rPr>
                <w:b/>
                <w:color w:val="FFFFFF"/>
                <w:sz w:val="18"/>
                <w:szCs w:val="18"/>
              </w:rPr>
            </w:pPr>
            <w:r>
              <w:rPr>
                <w:b/>
                <w:color w:val="FFFFFF"/>
                <w:sz w:val="18"/>
                <w:szCs w:val="18"/>
              </w:rPr>
              <w:t>% de avance</w:t>
            </w:r>
          </w:p>
        </w:tc>
      </w:tr>
      <w:tr w:rsidR="00184CAB">
        <w:tblPrEx>
          <w:tblCellMar>
            <w:top w:w="0" w:type="dxa"/>
            <w:bottom w:w="0" w:type="dxa"/>
          </w:tblCellMar>
        </w:tblPrEx>
        <w:trPr>
          <w:trHeight w:val="1875"/>
          <w:jc w:val="center"/>
        </w:trPr>
        <w:tc>
          <w:tcPr>
            <w:tcW w:w="993"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sz w:val="18"/>
                <w:szCs w:val="18"/>
              </w:rPr>
            </w:pPr>
            <w:r>
              <w:rPr>
                <w:sz w:val="18"/>
                <w:szCs w:val="18"/>
              </w:rPr>
              <w:t>1</w:t>
            </w:r>
          </w:p>
        </w:tc>
        <w:tc>
          <w:tcPr>
            <w:tcW w:w="184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 xml:space="preserve">Viceministerio de Innovación, Transparencia y </w:t>
            </w:r>
            <w:r>
              <w:rPr>
                <w:color w:val="4B4747"/>
                <w:sz w:val="18"/>
                <w:szCs w:val="18"/>
              </w:rPr>
              <w:t>Atención Ciudadana</w:t>
            </w:r>
          </w:p>
        </w:tc>
        <w:tc>
          <w:tcPr>
            <w:tcW w:w="1555"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Premio Nacional a la Innovación Pública</w:t>
            </w:r>
          </w:p>
        </w:tc>
        <w:tc>
          <w:tcPr>
            <w:tcW w:w="2126"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Premio lanzado y clausurado con ceremonia de premiación</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Anual</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2020-2024</w:t>
            </w:r>
            <w:r>
              <w:rPr>
                <w:color w:val="4B4747"/>
                <w:sz w:val="18"/>
                <w:szCs w:val="18"/>
              </w:rPr>
              <w:br/>
            </w:r>
            <w:r>
              <w:rPr>
                <w:color w:val="4B4747"/>
                <w:sz w:val="18"/>
                <w:szCs w:val="18"/>
              </w:rPr>
              <w:t>(1)</w:t>
            </w:r>
          </w:p>
        </w:tc>
        <w:tc>
          <w:tcPr>
            <w:tcW w:w="16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r>
      <w:tr w:rsidR="00184CAB">
        <w:tblPrEx>
          <w:tblCellMar>
            <w:top w:w="0" w:type="dxa"/>
            <w:bottom w:w="0" w:type="dxa"/>
          </w:tblCellMar>
        </w:tblPrEx>
        <w:trPr>
          <w:trHeight w:val="1722"/>
          <w:jc w:val="center"/>
        </w:trPr>
        <w:tc>
          <w:tcPr>
            <w:tcW w:w="993"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sz w:val="18"/>
                <w:szCs w:val="18"/>
              </w:rPr>
            </w:pPr>
            <w:r>
              <w:rPr>
                <w:sz w:val="18"/>
                <w:szCs w:val="18"/>
              </w:rPr>
              <w:t>2</w:t>
            </w:r>
          </w:p>
        </w:tc>
        <w:tc>
          <w:tcPr>
            <w:tcW w:w="184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Dirección de Ingeniería</w:t>
            </w:r>
          </w:p>
        </w:tc>
        <w:tc>
          <w:tcPr>
            <w:tcW w:w="1555"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Recertificación sostenibilidad 3R's</w:t>
            </w:r>
          </w:p>
        </w:tc>
        <w:tc>
          <w:tcPr>
            <w:tcW w:w="2126"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 xml:space="preserve">Cumplimiento de los requisitos de la </w:t>
            </w:r>
            <w:r>
              <w:rPr>
                <w:color w:val="4B4747"/>
                <w:sz w:val="18"/>
                <w:szCs w:val="18"/>
              </w:rPr>
              <w:t>certificación 3R`s.</w:t>
            </w:r>
          </w:p>
        </w:tc>
        <w:tc>
          <w:tcPr>
            <w:tcW w:w="1276"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Anual</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2020-2024</w:t>
            </w:r>
            <w:r>
              <w:rPr>
                <w:color w:val="4B4747"/>
                <w:sz w:val="18"/>
                <w:szCs w:val="18"/>
              </w:rPr>
              <w:br/>
            </w:r>
            <w:r>
              <w:rPr>
                <w:color w:val="4B4747"/>
                <w:sz w:val="18"/>
                <w:szCs w:val="18"/>
              </w:rPr>
              <w:t>(90%)</w:t>
            </w:r>
          </w:p>
        </w:tc>
        <w:tc>
          <w:tcPr>
            <w:tcW w:w="16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90%</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r>
      <w:tr w:rsidR="00184CAB">
        <w:tblPrEx>
          <w:tblCellMar>
            <w:top w:w="0" w:type="dxa"/>
            <w:bottom w:w="0" w:type="dxa"/>
          </w:tblCellMar>
        </w:tblPrEx>
        <w:trPr>
          <w:trHeight w:val="1200"/>
          <w:jc w:val="center"/>
        </w:trPr>
        <w:tc>
          <w:tcPr>
            <w:tcW w:w="993"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sz w:val="18"/>
                <w:szCs w:val="18"/>
              </w:rPr>
            </w:pPr>
            <w:r>
              <w:rPr>
                <w:sz w:val="18"/>
                <w:szCs w:val="18"/>
              </w:rPr>
              <w:t>3</w:t>
            </w:r>
          </w:p>
        </w:tc>
        <w:tc>
          <w:tcPr>
            <w:tcW w:w="184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Dirección de Planificación y Desarrollo</w:t>
            </w:r>
          </w:p>
        </w:tc>
        <w:tc>
          <w:tcPr>
            <w:tcW w:w="1555"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Documentación Institucional</w:t>
            </w:r>
          </w:p>
        </w:tc>
        <w:tc>
          <w:tcPr>
            <w:tcW w:w="2126"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 de políticas y procedimientos difundidas.</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Trimestral</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Año 2023</w:t>
            </w:r>
            <w:r>
              <w:rPr>
                <w:color w:val="4B4747"/>
                <w:sz w:val="18"/>
                <w:szCs w:val="18"/>
              </w:rPr>
              <w:br/>
            </w:r>
            <w:r>
              <w:rPr>
                <w:color w:val="4B4747"/>
                <w:sz w:val="18"/>
                <w:szCs w:val="18"/>
              </w:rPr>
              <w:t xml:space="preserve"> (30 documentaciones institucionales)</w:t>
            </w:r>
          </w:p>
        </w:tc>
        <w:tc>
          <w:tcPr>
            <w:tcW w:w="16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 xml:space="preserve">36 documentaciones </w:t>
            </w:r>
            <w:r>
              <w:rPr>
                <w:color w:val="4B4747"/>
                <w:sz w:val="18"/>
                <w:szCs w:val="18"/>
              </w:rPr>
              <w:t>institucionales manuales</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109 documentaciones institucionales</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pPr>
            <w:r>
              <w:rPr>
                <w:color w:val="4B4747"/>
                <w:sz w:val="18"/>
                <w:szCs w:val="18"/>
              </w:rPr>
              <w:t>100%</w:t>
            </w:r>
          </w:p>
        </w:tc>
      </w:tr>
      <w:tr w:rsidR="00184CAB">
        <w:tblPrEx>
          <w:tblCellMar>
            <w:top w:w="0" w:type="dxa"/>
            <w:bottom w:w="0" w:type="dxa"/>
          </w:tblCellMar>
        </w:tblPrEx>
        <w:trPr>
          <w:trHeight w:val="747"/>
          <w:jc w:val="center"/>
        </w:trPr>
        <w:tc>
          <w:tcPr>
            <w:tcW w:w="993"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sz w:val="18"/>
                <w:szCs w:val="18"/>
              </w:rPr>
            </w:pPr>
            <w:r>
              <w:rPr>
                <w:sz w:val="18"/>
                <w:szCs w:val="18"/>
              </w:rPr>
              <w:lastRenderedPageBreak/>
              <w:t>4</w:t>
            </w:r>
          </w:p>
        </w:tc>
        <w:tc>
          <w:tcPr>
            <w:tcW w:w="184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Dirección de Planificación y Desarrollo</w:t>
            </w:r>
          </w:p>
        </w:tc>
        <w:tc>
          <w:tcPr>
            <w:tcW w:w="1555"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pPr>
            <w:r>
              <w:rPr>
                <w:color w:val="4B4747"/>
                <w:sz w:val="18"/>
                <w:szCs w:val="18"/>
              </w:rPr>
              <w:t>Manual de Procedimientos Misionales</w:t>
            </w:r>
          </w:p>
        </w:tc>
        <w:tc>
          <w:tcPr>
            <w:tcW w:w="2126"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pPr>
            <w:r>
              <w:rPr>
                <w:color w:val="4B4747"/>
                <w:sz w:val="18"/>
                <w:szCs w:val="18"/>
              </w:rPr>
              <w:t>Manual de Procedimientos Misionales Aprobado</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pPr>
            <w:r>
              <w:rPr>
                <w:color w:val="4B4747"/>
                <w:sz w:val="18"/>
                <w:szCs w:val="18"/>
              </w:rPr>
              <w:t>N/A</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pPr>
            <w:r>
              <w:rPr>
                <w:color w:val="4B4747"/>
                <w:sz w:val="18"/>
                <w:szCs w:val="18"/>
              </w:rPr>
              <w:t>N/A</w:t>
            </w:r>
          </w:p>
        </w:tc>
        <w:tc>
          <w:tcPr>
            <w:tcW w:w="16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pPr>
            <w:r>
              <w:rPr>
                <w:color w:val="4B4747"/>
                <w:sz w:val="18"/>
                <w:szCs w:val="18"/>
              </w:rPr>
              <w:t>100%</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pPr>
            <w:r>
              <w:rPr>
                <w:color w:val="4B4747"/>
                <w:sz w:val="18"/>
                <w:szCs w:val="18"/>
              </w:rPr>
              <w:t>100%</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pPr>
            <w:r>
              <w:rPr>
                <w:color w:val="4B4747"/>
                <w:sz w:val="18"/>
                <w:szCs w:val="18"/>
              </w:rPr>
              <w:t>100%</w:t>
            </w:r>
          </w:p>
        </w:tc>
      </w:tr>
      <w:tr w:rsidR="00184CAB">
        <w:tblPrEx>
          <w:tblCellMar>
            <w:top w:w="0" w:type="dxa"/>
            <w:bottom w:w="0" w:type="dxa"/>
          </w:tblCellMar>
        </w:tblPrEx>
        <w:trPr>
          <w:trHeight w:val="1007"/>
          <w:jc w:val="center"/>
        </w:trPr>
        <w:tc>
          <w:tcPr>
            <w:tcW w:w="993"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sz w:val="18"/>
                <w:szCs w:val="18"/>
              </w:rPr>
            </w:pPr>
            <w:r>
              <w:rPr>
                <w:sz w:val="18"/>
                <w:szCs w:val="18"/>
              </w:rPr>
              <w:t>5</w:t>
            </w:r>
          </w:p>
        </w:tc>
        <w:tc>
          <w:tcPr>
            <w:tcW w:w="184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Dirección de Planificación y Desarrollo</w:t>
            </w:r>
          </w:p>
        </w:tc>
        <w:tc>
          <w:tcPr>
            <w:tcW w:w="1555"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pPr>
            <w:r>
              <w:rPr>
                <w:color w:val="4B4747"/>
                <w:sz w:val="18"/>
                <w:szCs w:val="18"/>
              </w:rPr>
              <w:t>Autodiagnóstico CAF</w:t>
            </w:r>
          </w:p>
        </w:tc>
        <w:tc>
          <w:tcPr>
            <w:tcW w:w="2126"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pPr>
            <w:r>
              <w:rPr>
                <w:color w:val="4B4747"/>
                <w:sz w:val="18"/>
                <w:szCs w:val="18"/>
              </w:rPr>
              <w:t>Porcentaje de avance del órgano rector.</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pPr>
            <w:r>
              <w:rPr>
                <w:color w:val="4B4747"/>
                <w:sz w:val="18"/>
                <w:szCs w:val="18"/>
              </w:rPr>
              <w:t>Anual</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pPr>
            <w:r>
              <w:rPr>
                <w:color w:val="4B4747"/>
                <w:sz w:val="18"/>
                <w:szCs w:val="18"/>
              </w:rPr>
              <w:t>N/A</w:t>
            </w:r>
          </w:p>
        </w:tc>
        <w:tc>
          <w:tcPr>
            <w:tcW w:w="16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pPr>
            <w:r>
              <w:rPr>
                <w:color w:val="4B4747"/>
                <w:sz w:val="18"/>
                <w:szCs w:val="18"/>
              </w:rPr>
              <w:t>100%</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pPr>
            <w:r>
              <w:rPr>
                <w:color w:val="4B4747"/>
                <w:sz w:val="18"/>
                <w:szCs w:val="18"/>
              </w:rPr>
              <w:t>100%</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pPr>
            <w:r>
              <w:rPr>
                <w:color w:val="4B4747"/>
                <w:sz w:val="18"/>
                <w:szCs w:val="18"/>
              </w:rPr>
              <w:t>100%</w:t>
            </w:r>
          </w:p>
        </w:tc>
      </w:tr>
      <w:tr w:rsidR="00184CAB">
        <w:tblPrEx>
          <w:tblCellMar>
            <w:top w:w="0" w:type="dxa"/>
            <w:bottom w:w="0" w:type="dxa"/>
          </w:tblCellMar>
        </w:tblPrEx>
        <w:trPr>
          <w:trHeight w:val="1007"/>
          <w:jc w:val="center"/>
        </w:trPr>
        <w:tc>
          <w:tcPr>
            <w:tcW w:w="993"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sz w:val="18"/>
                <w:szCs w:val="18"/>
              </w:rPr>
            </w:pPr>
            <w:r>
              <w:rPr>
                <w:sz w:val="18"/>
                <w:szCs w:val="18"/>
              </w:rPr>
              <w:t>6</w:t>
            </w:r>
          </w:p>
        </w:tc>
        <w:tc>
          <w:tcPr>
            <w:tcW w:w="184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Dirección de Planificación y Desarrollo</w:t>
            </w:r>
          </w:p>
        </w:tc>
        <w:tc>
          <w:tcPr>
            <w:tcW w:w="1555"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Formulación Plan Estratégico Institucional (PEI)</w:t>
            </w:r>
          </w:p>
        </w:tc>
        <w:tc>
          <w:tcPr>
            <w:tcW w:w="2126"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Mejora en la eficiencia de procesos</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Cuatrienal</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2024</w:t>
            </w:r>
          </w:p>
          <w:p w:rsidR="00184CAB" w:rsidRDefault="002B1930">
            <w:pPr>
              <w:spacing w:line="360" w:lineRule="auto"/>
              <w:jc w:val="center"/>
              <w:rPr>
                <w:color w:val="4B4747"/>
                <w:sz w:val="18"/>
                <w:szCs w:val="18"/>
              </w:rPr>
            </w:pPr>
            <w:r>
              <w:rPr>
                <w:color w:val="4B4747"/>
                <w:sz w:val="18"/>
                <w:szCs w:val="18"/>
              </w:rPr>
              <w:t>100%</w:t>
            </w:r>
          </w:p>
        </w:tc>
        <w:tc>
          <w:tcPr>
            <w:tcW w:w="16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r>
      <w:tr w:rsidR="00184CAB">
        <w:tblPrEx>
          <w:tblCellMar>
            <w:top w:w="0" w:type="dxa"/>
            <w:bottom w:w="0" w:type="dxa"/>
          </w:tblCellMar>
        </w:tblPrEx>
        <w:trPr>
          <w:trHeight w:val="1007"/>
          <w:jc w:val="center"/>
        </w:trPr>
        <w:tc>
          <w:tcPr>
            <w:tcW w:w="993"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sz w:val="18"/>
                <w:szCs w:val="18"/>
              </w:rPr>
            </w:pPr>
            <w:r>
              <w:rPr>
                <w:sz w:val="18"/>
                <w:szCs w:val="18"/>
              </w:rPr>
              <w:t>7</w:t>
            </w:r>
          </w:p>
        </w:tc>
        <w:tc>
          <w:tcPr>
            <w:tcW w:w="184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Dirección de Planificación y Desarrollo</w:t>
            </w:r>
          </w:p>
        </w:tc>
        <w:tc>
          <w:tcPr>
            <w:tcW w:w="1555"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Formulación del Plan anual de compras y contrataciones (PACC)</w:t>
            </w:r>
          </w:p>
        </w:tc>
        <w:tc>
          <w:tcPr>
            <w:tcW w:w="2126"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Nivel de alineación con presupuesto - Porcentaje de avance</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Anual</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2024</w:t>
            </w:r>
          </w:p>
          <w:p w:rsidR="00184CAB" w:rsidRDefault="002B1930">
            <w:pPr>
              <w:spacing w:line="360" w:lineRule="auto"/>
              <w:jc w:val="center"/>
              <w:rPr>
                <w:color w:val="4B4747"/>
                <w:sz w:val="18"/>
                <w:szCs w:val="18"/>
              </w:rPr>
            </w:pPr>
            <w:r>
              <w:rPr>
                <w:color w:val="4B4747"/>
                <w:sz w:val="18"/>
                <w:szCs w:val="18"/>
              </w:rPr>
              <w:t>100%</w:t>
            </w:r>
          </w:p>
        </w:tc>
        <w:tc>
          <w:tcPr>
            <w:tcW w:w="16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r>
      <w:tr w:rsidR="00184CAB">
        <w:tblPrEx>
          <w:tblCellMar>
            <w:top w:w="0" w:type="dxa"/>
            <w:bottom w:w="0" w:type="dxa"/>
          </w:tblCellMar>
        </w:tblPrEx>
        <w:trPr>
          <w:trHeight w:val="1007"/>
          <w:jc w:val="center"/>
        </w:trPr>
        <w:tc>
          <w:tcPr>
            <w:tcW w:w="993"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sz w:val="18"/>
                <w:szCs w:val="18"/>
              </w:rPr>
            </w:pPr>
            <w:r>
              <w:rPr>
                <w:sz w:val="18"/>
                <w:szCs w:val="18"/>
              </w:rPr>
              <w:lastRenderedPageBreak/>
              <w:t>8</w:t>
            </w:r>
          </w:p>
        </w:tc>
        <w:tc>
          <w:tcPr>
            <w:tcW w:w="184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Dirección de Planificación y Desarrollo</w:t>
            </w:r>
          </w:p>
        </w:tc>
        <w:tc>
          <w:tcPr>
            <w:tcW w:w="1555"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 xml:space="preserve">Formulación Plan </w:t>
            </w:r>
            <w:r>
              <w:rPr>
                <w:color w:val="4B4747"/>
                <w:sz w:val="18"/>
                <w:szCs w:val="18"/>
              </w:rPr>
              <w:t>Operativo Anual (POA)</w:t>
            </w:r>
          </w:p>
        </w:tc>
        <w:tc>
          <w:tcPr>
            <w:tcW w:w="2126"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Nivel de alineación con Plan Estratégico Institucional MAPRE</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Anual</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2024</w:t>
            </w:r>
          </w:p>
          <w:p w:rsidR="00184CAB" w:rsidRDefault="002B1930">
            <w:pPr>
              <w:spacing w:line="360" w:lineRule="auto"/>
              <w:jc w:val="center"/>
              <w:rPr>
                <w:color w:val="4B4747"/>
                <w:sz w:val="18"/>
                <w:szCs w:val="18"/>
              </w:rPr>
            </w:pPr>
            <w:r>
              <w:rPr>
                <w:color w:val="4B4747"/>
                <w:sz w:val="18"/>
                <w:szCs w:val="18"/>
              </w:rPr>
              <w:t>100%</w:t>
            </w:r>
          </w:p>
        </w:tc>
        <w:tc>
          <w:tcPr>
            <w:tcW w:w="16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r>
      <w:tr w:rsidR="00184CAB">
        <w:tblPrEx>
          <w:tblCellMar>
            <w:top w:w="0" w:type="dxa"/>
            <w:bottom w:w="0" w:type="dxa"/>
          </w:tblCellMar>
        </w:tblPrEx>
        <w:trPr>
          <w:trHeight w:val="1208"/>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sz w:val="18"/>
                <w:szCs w:val="18"/>
              </w:rPr>
            </w:pPr>
            <w:r>
              <w:rPr>
                <w:sz w:val="18"/>
                <w:szCs w:val="18"/>
              </w:rPr>
              <w:t>9</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Dirección de Recursos Humanos</w:t>
            </w: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pPr>
            <w:r>
              <w:rPr>
                <w:color w:val="4B4747"/>
                <w:sz w:val="18"/>
                <w:szCs w:val="18"/>
              </w:rPr>
              <w:t>Encuesta de Clima Laboral</w:t>
            </w:r>
          </w:p>
        </w:tc>
        <w:tc>
          <w:tcPr>
            <w:tcW w:w="212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pPr>
            <w:r>
              <w:rPr>
                <w:color w:val="4B4747"/>
                <w:sz w:val="18"/>
                <w:szCs w:val="18"/>
              </w:rPr>
              <w:t>Índice de satisfacción de los colaboradores internos.</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pPr>
            <w:r>
              <w:rPr>
                <w:color w:val="4B4747"/>
                <w:sz w:val="18"/>
                <w:szCs w:val="18"/>
              </w:rPr>
              <w:t>Anual</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pPr>
            <w:r>
              <w:rPr>
                <w:color w:val="4B4747"/>
                <w:sz w:val="18"/>
                <w:szCs w:val="18"/>
              </w:rPr>
              <w:t>2020-2024</w:t>
            </w:r>
          </w:p>
        </w:tc>
        <w:tc>
          <w:tcPr>
            <w:tcW w:w="16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pPr>
            <w:r>
              <w:rPr>
                <w:color w:val="4B4747"/>
                <w:sz w:val="18"/>
                <w:szCs w:val="18"/>
              </w:rPr>
              <w:t xml:space="preserve">Encuesta de </w:t>
            </w:r>
            <w:r>
              <w:rPr>
                <w:color w:val="4B4747"/>
                <w:sz w:val="18"/>
                <w:szCs w:val="18"/>
              </w:rPr>
              <w:t>Clima Laboral</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pPr>
            <w:r>
              <w:rPr>
                <w:color w:val="4B4747"/>
                <w:sz w:val="18"/>
                <w:szCs w:val="18"/>
              </w:rPr>
              <w:t>Índice de satisfacción de los colaboradores internos.</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pPr>
            <w:r>
              <w:rPr>
                <w:color w:val="4B4747"/>
                <w:sz w:val="18"/>
                <w:szCs w:val="18"/>
              </w:rPr>
              <w:t>Anual</w:t>
            </w:r>
          </w:p>
        </w:tc>
      </w:tr>
      <w:tr w:rsidR="00184CAB">
        <w:tblPrEx>
          <w:tblCellMar>
            <w:top w:w="0" w:type="dxa"/>
            <w:bottom w:w="0" w:type="dxa"/>
          </w:tblCellMar>
        </w:tblPrEx>
        <w:trPr>
          <w:trHeight w:val="615"/>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sz w:val="18"/>
                <w:szCs w:val="18"/>
              </w:rPr>
            </w:pPr>
            <w:r>
              <w:rPr>
                <w:sz w:val="18"/>
                <w:szCs w:val="18"/>
              </w:rPr>
              <w:t>10</w:t>
            </w:r>
          </w:p>
        </w:tc>
        <w:tc>
          <w:tcPr>
            <w:tcW w:w="1842" w:type="dxa"/>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Dirección de Tecnología.</w:t>
            </w:r>
          </w:p>
        </w:tc>
        <w:tc>
          <w:tcPr>
            <w:tcW w:w="155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Sistema de Videovigilancia CCTV.</w:t>
            </w:r>
          </w:p>
        </w:tc>
        <w:tc>
          <w:tcPr>
            <w:tcW w:w="2126"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 de avance del proyecto.</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Trimestral</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2020-2024</w:t>
            </w:r>
            <w:r>
              <w:rPr>
                <w:color w:val="4B4747"/>
                <w:sz w:val="18"/>
                <w:szCs w:val="18"/>
              </w:rPr>
              <w:br/>
            </w:r>
            <w:r>
              <w:rPr>
                <w:color w:val="4B4747"/>
                <w:sz w:val="18"/>
                <w:szCs w:val="18"/>
              </w:rPr>
              <w:t>(70%)</w:t>
            </w:r>
          </w:p>
        </w:tc>
        <w:tc>
          <w:tcPr>
            <w:tcW w:w="16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r>
      <w:tr w:rsidR="00184CAB">
        <w:tblPrEx>
          <w:tblCellMar>
            <w:top w:w="0" w:type="dxa"/>
            <w:bottom w:w="0" w:type="dxa"/>
          </w:tblCellMar>
        </w:tblPrEx>
        <w:trPr>
          <w:trHeight w:val="464"/>
          <w:jc w:val="center"/>
        </w:trPr>
        <w:tc>
          <w:tcPr>
            <w:tcW w:w="993"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sz w:val="18"/>
                <w:szCs w:val="18"/>
              </w:rPr>
            </w:pPr>
            <w:r>
              <w:rPr>
                <w:sz w:val="18"/>
                <w:szCs w:val="18"/>
              </w:rPr>
              <w:t>11</w:t>
            </w:r>
          </w:p>
        </w:tc>
        <w:tc>
          <w:tcPr>
            <w:tcW w:w="184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Oficina de Acceso a la Información</w:t>
            </w:r>
          </w:p>
        </w:tc>
        <w:tc>
          <w:tcPr>
            <w:tcW w:w="1555"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pPr>
            <w:r>
              <w:rPr>
                <w:color w:val="4B4747"/>
                <w:sz w:val="18"/>
                <w:szCs w:val="18"/>
              </w:rPr>
              <w:t>Disponibilidad y actualización de la información pública.</w:t>
            </w:r>
          </w:p>
        </w:tc>
        <w:tc>
          <w:tcPr>
            <w:tcW w:w="2126"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pPr>
            <w:r>
              <w:rPr>
                <w:color w:val="4B4747"/>
                <w:sz w:val="18"/>
                <w:szCs w:val="18"/>
              </w:rPr>
              <w:t>Índice de disponibilidad y actualización de información publica</w:t>
            </w:r>
          </w:p>
        </w:tc>
        <w:tc>
          <w:tcPr>
            <w:tcW w:w="1276"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Trimestral</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2020-2024</w:t>
            </w:r>
            <w:r>
              <w:rPr>
                <w:color w:val="4B4747"/>
                <w:sz w:val="18"/>
                <w:szCs w:val="18"/>
              </w:rPr>
              <w:br/>
            </w:r>
            <w:r>
              <w:rPr>
                <w:color w:val="4B4747"/>
                <w:sz w:val="18"/>
                <w:szCs w:val="18"/>
              </w:rPr>
              <w:t xml:space="preserve"> (100%)</w:t>
            </w:r>
          </w:p>
        </w:tc>
        <w:tc>
          <w:tcPr>
            <w:tcW w:w="1692"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c>
          <w:tcPr>
            <w:tcW w:w="113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r>
      <w:tr w:rsidR="00184CAB">
        <w:tblPrEx>
          <w:tblCellMar>
            <w:top w:w="0" w:type="dxa"/>
            <w:bottom w:w="0" w:type="dxa"/>
          </w:tblCellMar>
        </w:tblPrEx>
        <w:trPr>
          <w:trHeight w:val="269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sz w:val="18"/>
                <w:szCs w:val="18"/>
              </w:rPr>
            </w:pPr>
            <w:r>
              <w:rPr>
                <w:sz w:val="18"/>
                <w:szCs w:val="18"/>
              </w:rPr>
              <w:lastRenderedPageBreak/>
              <w:t>12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Dirección de Innovación, Transparencia y Atención Ciudadana</w:t>
            </w: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pPr>
            <w:r>
              <w:rPr>
                <w:color w:val="4B4747"/>
                <w:sz w:val="18"/>
                <w:szCs w:val="18"/>
              </w:rPr>
              <w:t xml:space="preserve">Gestión y coordinación de </w:t>
            </w:r>
            <w:r>
              <w:rPr>
                <w:color w:val="4B4747"/>
                <w:sz w:val="18"/>
                <w:szCs w:val="18"/>
              </w:rPr>
              <w:t>recorridos Histórico-Culturales Externos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pPr>
            <w:r>
              <w:rPr>
                <w:color w:val="4B4747"/>
                <w:sz w:val="18"/>
                <w:szCs w:val="18"/>
              </w:rPr>
              <w:t>Índice de solicitud de recorridos recibidos vs. cantidad recorridos realizados (por categoría) y el tiempo de respuesta a las solicitudes.</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Trimestral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2020-2024</w:t>
            </w:r>
            <w:r>
              <w:rPr>
                <w:color w:val="4B4747"/>
                <w:sz w:val="18"/>
                <w:szCs w:val="18"/>
              </w:rPr>
              <w:br/>
            </w:r>
            <w:r>
              <w:rPr>
                <w:color w:val="4B4747"/>
                <w:sz w:val="18"/>
                <w:szCs w:val="18"/>
              </w:rPr>
              <w:t xml:space="preserve"> (100%)</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r>
      <w:tr w:rsidR="00184CAB">
        <w:tblPrEx>
          <w:tblCellMar>
            <w:top w:w="0" w:type="dxa"/>
            <w:bottom w:w="0" w:type="dxa"/>
          </w:tblCellMar>
        </w:tblPrEx>
        <w:trPr>
          <w:trHeight w:val="1035"/>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sz w:val="18"/>
                <w:szCs w:val="18"/>
              </w:rPr>
            </w:pPr>
            <w:r>
              <w:rPr>
                <w:sz w:val="18"/>
                <w:szCs w:val="18"/>
              </w:rPr>
              <w:t>13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Dirección de Ingeniería</w:t>
            </w: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Agua</w:t>
            </w:r>
            <w:r>
              <w:rPr>
                <w:color w:val="4B4747"/>
                <w:sz w:val="18"/>
                <w:szCs w:val="18"/>
              </w:rPr>
              <w:t xml:space="preserve"> ahorrada en litros.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Eficiencia en el uso de agua en sistemas y redes de distribución de agua y su aplicación final en sistema de riego.</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Trimestral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2018</w:t>
            </w:r>
          </w:p>
          <w:p w:rsidR="00184CAB" w:rsidRDefault="002B1930">
            <w:pPr>
              <w:spacing w:line="360" w:lineRule="auto"/>
              <w:jc w:val="center"/>
            </w:pPr>
            <w:r>
              <w:rPr>
                <w:color w:val="4B4747"/>
                <w:sz w:val="18"/>
                <w:szCs w:val="18"/>
              </w:rPr>
              <w:t xml:space="preserve">(ahorrados 1,815,750 </w:t>
            </w:r>
            <w:r>
              <w:rPr>
                <w:color w:val="4B4747"/>
                <w:sz w:val="18"/>
                <w:szCs w:val="18"/>
                <w:lang w:val="es-DO"/>
              </w:rPr>
              <w:t>litros de agua potable</w:t>
            </w:r>
            <w:r>
              <w:rPr>
                <w:color w:val="4B4747"/>
                <w:sz w:val="18"/>
                <w:szCs w:val="18"/>
              </w:rPr>
              <w:t>)</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8,215,290 Litros ahorrados</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100%</w:t>
            </w:r>
          </w:p>
        </w:tc>
      </w:tr>
      <w:tr w:rsidR="00184CAB">
        <w:tblPrEx>
          <w:tblCellMar>
            <w:top w:w="0" w:type="dxa"/>
            <w:bottom w:w="0" w:type="dxa"/>
          </w:tblCellMar>
        </w:tblPrEx>
        <w:trPr>
          <w:trHeight w:val="1035"/>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sz w:val="18"/>
                <w:szCs w:val="18"/>
              </w:rPr>
            </w:pPr>
            <w:r>
              <w:rPr>
                <w:sz w:val="18"/>
                <w:szCs w:val="18"/>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 xml:space="preserve">Dirección de </w:t>
            </w:r>
            <w:r>
              <w:rPr>
                <w:color w:val="4B4747"/>
                <w:sz w:val="18"/>
                <w:szCs w:val="18"/>
              </w:rPr>
              <w:t>Ingeniería</w:t>
            </w: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Reducción de usos de papel y cartón.</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Minimizar cambios en el ecosistema por la tala de árboles.</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Trimestral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pPr>
            <w:r>
              <w:rPr>
                <w:color w:val="4B4747"/>
                <w:sz w:val="18"/>
                <w:szCs w:val="18"/>
              </w:rPr>
              <w:t xml:space="preserve">2018 (reducción de producción 6,725 </w:t>
            </w:r>
            <w:r>
              <w:rPr>
                <w:color w:val="4B4747"/>
                <w:sz w:val="18"/>
                <w:szCs w:val="18"/>
                <w:lang w:val="es-DO"/>
              </w:rPr>
              <w:t>kilos de papel y cartón</w:t>
            </w:r>
            <w:r>
              <w:rPr>
                <w:color w:val="4B4747"/>
                <w:sz w:val="18"/>
                <w:szCs w:val="18"/>
              </w:rPr>
              <w:t>)</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90%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pPr>
            <w:r>
              <w:rPr>
                <w:color w:val="4B4747"/>
                <w:sz w:val="18"/>
                <w:szCs w:val="18"/>
                <w:lang w:val="es-DO"/>
              </w:rPr>
              <w:t>1,623 kilos de papel y cartón producidos</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84.29%</w:t>
            </w:r>
          </w:p>
        </w:tc>
      </w:tr>
      <w:tr w:rsidR="00184CAB">
        <w:tblPrEx>
          <w:tblCellMar>
            <w:top w:w="0" w:type="dxa"/>
            <w:bottom w:w="0" w:type="dxa"/>
          </w:tblCellMar>
        </w:tblPrEx>
        <w:trPr>
          <w:trHeight w:val="1035"/>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sz w:val="18"/>
                <w:szCs w:val="18"/>
              </w:rPr>
            </w:pPr>
            <w:r>
              <w:rPr>
                <w:sz w:val="18"/>
                <w:szCs w:val="18"/>
              </w:rPr>
              <w:lastRenderedPageBreak/>
              <w:t>15</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 xml:space="preserve">Dirección de </w:t>
            </w:r>
            <w:r>
              <w:rPr>
                <w:color w:val="4B4747"/>
                <w:sz w:val="18"/>
                <w:szCs w:val="18"/>
              </w:rPr>
              <w:t>Ingeniería</w:t>
            </w: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 xml:space="preserve">Ahorro de energía </w:t>
            </w:r>
            <w:proofErr w:type="spellStart"/>
            <w:r>
              <w:rPr>
                <w:color w:val="4B4747"/>
                <w:sz w:val="18"/>
                <w:szCs w:val="18"/>
              </w:rPr>
              <w:t>KwHr</w:t>
            </w:r>
            <w:proofErr w:type="spellEnd"/>
            <w:r>
              <w:rPr>
                <w:color w:val="4B4747"/>
                <w:sz w:val="18"/>
                <w:szCs w:val="18"/>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Uso eficiente del sistema eléctrico.</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Mensual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 xml:space="preserve">2021 </w:t>
            </w:r>
          </w:p>
          <w:p w:rsidR="00184CAB" w:rsidRDefault="002B1930">
            <w:pPr>
              <w:spacing w:line="360" w:lineRule="auto"/>
              <w:jc w:val="center"/>
              <w:rPr>
                <w:color w:val="4B4747"/>
                <w:sz w:val="18"/>
                <w:szCs w:val="18"/>
              </w:rPr>
            </w:pPr>
            <w:r>
              <w:rPr>
                <w:color w:val="4B4747"/>
                <w:sz w:val="18"/>
                <w:szCs w:val="18"/>
              </w:rPr>
              <w:t xml:space="preserve">(4,764 </w:t>
            </w:r>
            <w:proofErr w:type="spellStart"/>
            <w:r>
              <w:rPr>
                <w:color w:val="4B4747"/>
                <w:sz w:val="18"/>
                <w:szCs w:val="18"/>
              </w:rPr>
              <w:t>KwHr</w:t>
            </w:r>
            <w:proofErr w:type="spellEnd"/>
            <w:r>
              <w:rPr>
                <w:color w:val="4B4747"/>
                <w:sz w:val="18"/>
                <w:szCs w:val="18"/>
              </w:rPr>
              <w:t xml:space="preserve"> ahorrados)</w:t>
            </w:r>
          </w:p>
        </w:tc>
        <w:tc>
          <w:tcPr>
            <w:tcW w:w="16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90%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pPr>
            <w:r>
              <w:rPr>
                <w:color w:val="4B4747"/>
                <w:sz w:val="18"/>
                <w:szCs w:val="18"/>
                <w:lang w:val="es-DO"/>
              </w:rPr>
              <w:t>11,361.00</w:t>
            </w:r>
            <w:proofErr w:type="spellStart"/>
            <w:r>
              <w:rPr>
                <w:color w:val="4B4747"/>
                <w:sz w:val="18"/>
                <w:szCs w:val="18"/>
              </w:rPr>
              <w:t>KwHr</w:t>
            </w:r>
            <w:proofErr w:type="spellEnd"/>
            <w:r>
              <w:rPr>
                <w:color w:val="4B4747"/>
                <w:sz w:val="18"/>
                <w:szCs w:val="18"/>
              </w:rPr>
              <w:t xml:space="preserve"> ahorrados</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184CAB" w:rsidRDefault="002B1930">
            <w:pPr>
              <w:spacing w:line="360" w:lineRule="auto"/>
              <w:jc w:val="center"/>
              <w:rPr>
                <w:color w:val="4B4747"/>
                <w:sz w:val="18"/>
                <w:szCs w:val="18"/>
              </w:rPr>
            </w:pPr>
            <w:r>
              <w:rPr>
                <w:color w:val="4B4747"/>
                <w:sz w:val="18"/>
                <w:szCs w:val="18"/>
              </w:rPr>
              <w:t>264.97 %</w:t>
            </w:r>
          </w:p>
        </w:tc>
      </w:tr>
    </w:tbl>
    <w:bookmarkEnd w:id="189"/>
    <w:p w:rsidR="00184CAB" w:rsidRDefault="002B1930">
      <w:pPr>
        <w:tabs>
          <w:tab w:val="left" w:pos="8013"/>
        </w:tabs>
        <w:spacing w:line="360" w:lineRule="auto"/>
        <w:jc w:val="both"/>
        <w:sectPr w:rsidR="00184CAB">
          <w:headerReference w:type="default" r:id="rId72"/>
          <w:footerReference w:type="default" r:id="rId73"/>
          <w:pgSz w:w="15840" w:h="12240" w:orient="landscape"/>
          <w:pgMar w:top="2160" w:right="1440" w:bottom="2160" w:left="1440" w:header="720" w:footer="720" w:gutter="0"/>
          <w:cols w:space="720"/>
        </w:sectPr>
      </w:pPr>
      <w:r>
        <w:rPr>
          <w:i/>
          <w:color w:val="4C4747"/>
          <w:sz w:val="18"/>
          <w:szCs w:val="18"/>
        </w:rPr>
        <w:t xml:space="preserve">Fuente: Informe de la Dirección de Planificación y Desarrollo correspondiente al periodo anual 2025, </w:t>
      </w:r>
      <w:r>
        <w:rPr>
          <w:i/>
          <w:color w:val="4C4747"/>
          <w:sz w:val="18"/>
          <w:szCs w:val="18"/>
        </w:rPr>
        <w:t>Ministerio Administrativo de la Presidencia (MAPRE)</w:t>
      </w:r>
    </w:p>
    <w:p w:rsidR="00184CAB" w:rsidRDefault="00184CAB">
      <w:pPr>
        <w:tabs>
          <w:tab w:val="left" w:pos="8013"/>
        </w:tabs>
        <w:spacing w:line="360" w:lineRule="auto"/>
        <w:jc w:val="both"/>
        <w:rPr>
          <w:b/>
          <w:color w:val="4C4747"/>
        </w:rPr>
      </w:pPr>
    </w:p>
    <w:p w:rsidR="00184CAB" w:rsidRDefault="002B1930">
      <w:pPr>
        <w:pStyle w:val="Prrafodelista"/>
        <w:numPr>
          <w:ilvl w:val="0"/>
          <w:numId w:val="43"/>
        </w:numPr>
        <w:spacing w:line="360" w:lineRule="auto"/>
        <w:jc w:val="both"/>
        <w:rPr>
          <w:b/>
          <w:color w:val="4C4747"/>
        </w:rPr>
      </w:pPr>
      <w:bookmarkStart w:id="190" w:name="_Toc217043977"/>
      <w:r>
        <w:rPr>
          <w:b/>
          <w:color w:val="4C4747"/>
        </w:rPr>
        <w:t>Resumen del Plan de Compras y Contrataciones.</w:t>
      </w:r>
      <w:bookmarkEnd w:id="190"/>
    </w:p>
    <w:tbl>
      <w:tblPr>
        <w:tblW w:w="6512" w:type="dxa"/>
        <w:jc w:val="center"/>
        <w:tblCellMar>
          <w:left w:w="10" w:type="dxa"/>
          <w:right w:w="10" w:type="dxa"/>
        </w:tblCellMar>
        <w:tblLook w:val="0000" w:firstRow="0" w:lastRow="0" w:firstColumn="0" w:lastColumn="0" w:noHBand="0" w:noVBand="0"/>
      </w:tblPr>
      <w:tblGrid>
        <w:gridCol w:w="3256"/>
        <w:gridCol w:w="3256"/>
      </w:tblGrid>
      <w:tr w:rsidR="00184CAB">
        <w:tblPrEx>
          <w:tblCellMar>
            <w:top w:w="0" w:type="dxa"/>
            <w:bottom w:w="0" w:type="dxa"/>
          </w:tblCellMar>
        </w:tblPrEx>
        <w:trPr>
          <w:jc w:val="center"/>
        </w:trPr>
        <w:tc>
          <w:tcPr>
            <w:tcW w:w="6512" w:type="dxa"/>
            <w:gridSpan w:val="2"/>
            <w:shd w:val="clear" w:color="auto" w:fill="D9D9D9"/>
            <w:tcMar>
              <w:top w:w="0" w:type="dxa"/>
              <w:left w:w="108" w:type="dxa"/>
              <w:bottom w:w="0" w:type="dxa"/>
              <w:right w:w="108" w:type="dxa"/>
            </w:tcMar>
          </w:tcPr>
          <w:p w:rsidR="00184CAB" w:rsidRDefault="002B1930">
            <w:pPr>
              <w:spacing w:after="0" w:line="360" w:lineRule="auto"/>
              <w:jc w:val="center"/>
              <w:rPr>
                <w:b/>
                <w:color w:val="4B4747"/>
              </w:rPr>
            </w:pPr>
            <w:bookmarkStart w:id="191" w:name="_Hlk214636036"/>
            <w:r>
              <w:rPr>
                <w:b/>
                <w:color w:val="4B4747"/>
              </w:rPr>
              <w:t>DATOS DE CABECERA PACC</w:t>
            </w:r>
          </w:p>
        </w:tc>
      </w:tr>
      <w:tr w:rsidR="00184CAB">
        <w:tblPrEx>
          <w:tblCellMar>
            <w:top w:w="0" w:type="dxa"/>
            <w:bottom w:w="0" w:type="dxa"/>
          </w:tblCellMar>
        </w:tblPrEx>
        <w:trPr>
          <w:jc w:val="center"/>
        </w:trPr>
        <w:tc>
          <w:tcPr>
            <w:tcW w:w="3256" w:type="dxa"/>
            <w:tcBorders>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rPr>
                <w:b/>
                <w:color w:val="4B4747"/>
              </w:rPr>
            </w:pPr>
            <w:r>
              <w:rPr>
                <w:b/>
                <w:color w:val="4B4747"/>
              </w:rPr>
              <w:t>Monto estimado total</w:t>
            </w:r>
          </w:p>
        </w:tc>
        <w:tc>
          <w:tcPr>
            <w:tcW w:w="3256" w:type="dxa"/>
            <w:tcBorders>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RD$4,613,591,184.30</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rPr>
                <w:b/>
                <w:color w:val="4B4747"/>
              </w:rPr>
            </w:pPr>
            <w:r>
              <w:rPr>
                <w:b/>
                <w:color w:val="4B4747"/>
              </w:rPr>
              <w:t>Monto total contratado</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345</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Cantidad de procesos registrados</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0201</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 xml:space="preserve">Capítulo </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01</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lang w:val="es-ES"/>
              </w:rPr>
            </w:pPr>
            <w:r>
              <w:rPr>
                <w:b/>
                <w:color w:val="4B4747"/>
                <w:lang w:val="es-ES"/>
              </w:rPr>
              <w:t xml:space="preserve">Sub </w:t>
            </w:r>
            <w:r>
              <w:rPr>
                <w:b/>
                <w:color w:val="4B4747"/>
                <w:lang w:val="es-ES"/>
              </w:rPr>
              <w:t xml:space="preserve">capítulo </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0001</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Unidad ejecutora</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Ministerio Administrativo de la Presidencia</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 xml:space="preserve">Unidad de compra </w:t>
            </w:r>
          </w:p>
          <w:p w:rsidR="00184CAB" w:rsidRDefault="00184CAB">
            <w:pPr>
              <w:spacing w:after="0" w:line="360" w:lineRule="auto"/>
              <w:jc w:val="both"/>
              <w:rPr>
                <w:b/>
                <w:color w:val="4B4747"/>
              </w:rPr>
            </w:pP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2025</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Año fiscal</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N/A</w:t>
            </w:r>
          </w:p>
        </w:tc>
      </w:tr>
      <w:tr w:rsidR="00184CAB">
        <w:tblPrEx>
          <w:tblCellMar>
            <w:top w:w="0" w:type="dxa"/>
            <w:bottom w:w="0" w:type="dxa"/>
          </w:tblCellMar>
        </w:tblPrEx>
        <w:trPr>
          <w:jc w:val="center"/>
        </w:trPr>
        <w:tc>
          <w:tcPr>
            <w:tcW w:w="3256" w:type="dxa"/>
            <w:tcBorders>
              <w:top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Fecha Aprobación</w:t>
            </w:r>
          </w:p>
        </w:tc>
        <w:tc>
          <w:tcPr>
            <w:tcW w:w="3256" w:type="dxa"/>
            <w:tcBorders>
              <w:top w:val="single" w:sz="4" w:space="0" w:color="BFBFBF"/>
              <w:lef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RD$4,613,591,184.30</w:t>
            </w:r>
          </w:p>
        </w:tc>
      </w:tr>
      <w:tr w:rsidR="00184CAB">
        <w:tblPrEx>
          <w:tblCellMar>
            <w:top w:w="0" w:type="dxa"/>
            <w:bottom w:w="0" w:type="dxa"/>
          </w:tblCellMar>
        </w:tblPrEx>
        <w:trPr>
          <w:trHeight w:val="509"/>
          <w:jc w:val="center"/>
        </w:trPr>
        <w:tc>
          <w:tcPr>
            <w:tcW w:w="6512" w:type="dxa"/>
            <w:gridSpan w:val="2"/>
            <w:tcBorders>
              <w:top w:val="single" w:sz="4" w:space="0" w:color="BFBFBF"/>
              <w:bottom w:val="single" w:sz="4" w:space="0" w:color="BFBFBF"/>
            </w:tcBorders>
            <w:shd w:val="clear" w:color="auto" w:fill="D9D9D9"/>
            <w:tcMar>
              <w:top w:w="0" w:type="dxa"/>
              <w:left w:w="108" w:type="dxa"/>
              <w:bottom w:w="0" w:type="dxa"/>
              <w:right w:w="108" w:type="dxa"/>
            </w:tcMar>
          </w:tcPr>
          <w:p w:rsidR="00184CAB" w:rsidRDefault="002B1930">
            <w:pPr>
              <w:spacing w:after="0" w:line="360" w:lineRule="auto"/>
              <w:jc w:val="center"/>
              <w:rPr>
                <w:b/>
                <w:color w:val="4B4747"/>
              </w:rPr>
            </w:pPr>
            <w:r>
              <w:rPr>
                <w:b/>
                <w:color w:val="4B4747"/>
              </w:rPr>
              <w:t>MONTOS ESTIMADOS SEGÚN OBJETO DE CONTRATACIÓN</w:t>
            </w:r>
          </w:p>
        </w:tc>
      </w:tr>
      <w:tr w:rsidR="00184CAB">
        <w:tblPrEx>
          <w:tblCellMar>
            <w:top w:w="0" w:type="dxa"/>
            <w:bottom w:w="0" w:type="dxa"/>
          </w:tblCellMar>
        </w:tblPrEx>
        <w:trPr>
          <w:jc w:val="center"/>
        </w:trPr>
        <w:tc>
          <w:tcPr>
            <w:tcW w:w="3256" w:type="dxa"/>
            <w:tcBorders>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Bienes</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vAlign w:val="center"/>
          </w:tcPr>
          <w:p w:rsidR="00184CAB" w:rsidRDefault="002B1930">
            <w:pPr>
              <w:spacing w:after="0" w:line="360" w:lineRule="auto"/>
              <w:jc w:val="right"/>
            </w:pPr>
            <w:r>
              <w:rPr>
                <w:color w:val="4B4747"/>
                <w:lang w:eastAsia="es-DO"/>
              </w:rPr>
              <w:t>RD$1,844,417,275.46</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Obras</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vAlign w:val="center"/>
          </w:tcPr>
          <w:p w:rsidR="00184CAB" w:rsidRDefault="002B1930">
            <w:pPr>
              <w:spacing w:after="0" w:line="360" w:lineRule="auto"/>
              <w:jc w:val="right"/>
            </w:pPr>
            <w:r>
              <w:rPr>
                <w:color w:val="4B4747"/>
                <w:lang w:eastAsia="es-DO"/>
              </w:rPr>
              <w:t>RD$5,533,787.51</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Servicios</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vAlign w:val="center"/>
          </w:tcPr>
          <w:p w:rsidR="00184CAB" w:rsidRDefault="002B1930">
            <w:pPr>
              <w:spacing w:after="0" w:line="360" w:lineRule="auto"/>
              <w:jc w:val="right"/>
            </w:pPr>
            <w:r>
              <w:rPr>
                <w:color w:val="4B4747"/>
                <w:lang w:eastAsia="es-DO"/>
              </w:rPr>
              <w:t>RD$2,658,516,121.33</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Servicios: consultoría</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vAlign w:val="center"/>
          </w:tcPr>
          <w:p w:rsidR="00184CAB" w:rsidRDefault="002B1930">
            <w:pPr>
              <w:spacing w:after="0" w:line="360" w:lineRule="auto"/>
              <w:jc w:val="right"/>
            </w:pPr>
            <w:r>
              <w:rPr>
                <w:color w:val="4B4747"/>
                <w:lang w:eastAsia="es-DO"/>
              </w:rPr>
              <w:t>RD$105,124,000.00</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Servicios: Consultoría basada en la calidad de los servicios</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vAlign w:val="center"/>
          </w:tcPr>
          <w:p w:rsidR="00184CAB" w:rsidRDefault="002B1930">
            <w:pPr>
              <w:spacing w:after="0" w:line="360" w:lineRule="auto"/>
              <w:jc w:val="right"/>
            </w:pPr>
            <w:r>
              <w:rPr>
                <w:color w:val="4B4747"/>
                <w:lang w:eastAsia="es-DO"/>
              </w:rPr>
              <w:t>N/A</w:t>
            </w:r>
          </w:p>
        </w:tc>
      </w:tr>
      <w:tr w:rsidR="00184CAB">
        <w:tblPrEx>
          <w:tblCellMar>
            <w:top w:w="0" w:type="dxa"/>
            <w:bottom w:w="0" w:type="dxa"/>
          </w:tblCellMar>
        </w:tblPrEx>
        <w:trPr>
          <w:jc w:val="center"/>
        </w:trPr>
        <w:tc>
          <w:tcPr>
            <w:tcW w:w="6512" w:type="dxa"/>
            <w:gridSpan w:val="2"/>
            <w:tcBorders>
              <w:top w:val="single" w:sz="4" w:space="0" w:color="BFBFBF"/>
              <w:bottom w:val="single" w:sz="4" w:space="0" w:color="BFBFBF"/>
            </w:tcBorders>
            <w:shd w:val="clear" w:color="auto" w:fill="D9D9D9"/>
            <w:tcMar>
              <w:top w:w="0" w:type="dxa"/>
              <w:left w:w="108" w:type="dxa"/>
              <w:bottom w:w="0" w:type="dxa"/>
              <w:right w:w="108" w:type="dxa"/>
            </w:tcMar>
          </w:tcPr>
          <w:p w:rsidR="00184CAB" w:rsidRDefault="002B1930">
            <w:pPr>
              <w:spacing w:after="0" w:line="360" w:lineRule="auto"/>
              <w:jc w:val="center"/>
              <w:rPr>
                <w:b/>
                <w:color w:val="4B4747"/>
              </w:rPr>
            </w:pPr>
            <w:r>
              <w:rPr>
                <w:b/>
                <w:color w:val="4B4747"/>
              </w:rPr>
              <w:t>MONTOS ESTIMADOS SEGÚN OBJETO DE CONTRATACIÓN</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lang w:val="es-ES"/>
              </w:rPr>
            </w:pPr>
            <w:r>
              <w:rPr>
                <w:b/>
                <w:color w:val="4B4747"/>
                <w:lang w:val="es-ES"/>
              </w:rPr>
              <w:t>MiPymes</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RD$3,352,732.94</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lang w:val="es-ES"/>
              </w:rPr>
            </w:pPr>
            <w:r>
              <w:rPr>
                <w:b/>
                <w:color w:val="4B4747"/>
                <w:lang w:val="es-ES"/>
              </w:rPr>
              <w:lastRenderedPageBreak/>
              <w:t>MiPymes mujer</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N/A</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lang w:val="es-ES"/>
              </w:rPr>
            </w:pPr>
            <w:r>
              <w:rPr>
                <w:b/>
                <w:color w:val="4B4747"/>
                <w:lang w:val="es-ES"/>
              </w:rPr>
              <w:t>No MiPymes</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RD$4,610,238,451.36</w:t>
            </w:r>
          </w:p>
        </w:tc>
      </w:tr>
      <w:tr w:rsidR="00184CAB">
        <w:tblPrEx>
          <w:tblCellMar>
            <w:top w:w="0" w:type="dxa"/>
            <w:bottom w:w="0" w:type="dxa"/>
          </w:tblCellMar>
        </w:tblPrEx>
        <w:trPr>
          <w:jc w:val="center"/>
        </w:trPr>
        <w:tc>
          <w:tcPr>
            <w:tcW w:w="6512" w:type="dxa"/>
            <w:gridSpan w:val="2"/>
            <w:tcBorders>
              <w:top w:val="single" w:sz="4" w:space="0" w:color="BFBFBF"/>
              <w:bottom w:val="single" w:sz="4" w:space="0" w:color="BFBFBF"/>
            </w:tcBorders>
            <w:shd w:val="clear" w:color="auto" w:fill="D9D9D9"/>
            <w:tcMar>
              <w:top w:w="0" w:type="dxa"/>
              <w:left w:w="108" w:type="dxa"/>
              <w:bottom w:w="0" w:type="dxa"/>
              <w:right w:w="108" w:type="dxa"/>
            </w:tcMar>
          </w:tcPr>
          <w:p w:rsidR="00184CAB" w:rsidRDefault="002B1930">
            <w:pPr>
              <w:spacing w:after="0" w:line="360" w:lineRule="auto"/>
              <w:jc w:val="center"/>
              <w:rPr>
                <w:b/>
                <w:color w:val="4B4747"/>
              </w:rPr>
            </w:pPr>
            <w:r>
              <w:rPr>
                <w:b/>
                <w:color w:val="4B4747"/>
              </w:rPr>
              <w:t>MONTOS ESTIMADOS SEGÚN TIPO DE PROCEDIMIENTO</w:t>
            </w:r>
          </w:p>
        </w:tc>
      </w:tr>
      <w:tr w:rsidR="00184CAB">
        <w:tblPrEx>
          <w:tblCellMar>
            <w:top w:w="0" w:type="dxa"/>
            <w:bottom w:w="0" w:type="dxa"/>
          </w:tblCellMar>
        </w:tblPrEx>
        <w:trPr>
          <w:jc w:val="center"/>
        </w:trPr>
        <w:tc>
          <w:tcPr>
            <w:tcW w:w="3256" w:type="dxa"/>
            <w:tcBorders>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Compras por debajo del umbral</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RD$27,360,827.26</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Compra menor</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RD$255,880,535.98</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Comparación de precios</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RD$2,123,677,901.82</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Licitación pública</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RD$970,528,286.13</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 xml:space="preserve">Licitación pública </w:t>
            </w:r>
            <w:r>
              <w:rPr>
                <w:b/>
                <w:color w:val="4B4747"/>
              </w:rPr>
              <w:t>internacional</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N/A</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Licitación restringida</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N/A</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Sorteo de obras</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N/A</w:t>
            </w:r>
          </w:p>
        </w:tc>
      </w:tr>
      <w:tr w:rsidR="00184CAB">
        <w:tblPrEx>
          <w:tblCellMar>
            <w:top w:w="0" w:type="dxa"/>
            <w:bottom w:w="0" w:type="dxa"/>
          </w:tblCellMar>
        </w:tblPrEx>
        <w:trPr>
          <w:jc w:val="center"/>
        </w:trPr>
        <w:tc>
          <w:tcPr>
            <w:tcW w:w="3256" w:type="dxa"/>
            <w:tcBorders>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rPr>
                <w:b/>
                <w:color w:val="4B4747"/>
              </w:rPr>
            </w:pPr>
            <w:r>
              <w:rPr>
                <w:b/>
                <w:color w:val="4B4747"/>
              </w:rPr>
              <w:t>Subasta inversa</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RD$970,300,000.00</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rPr>
                <w:b/>
                <w:color w:val="4B4747"/>
              </w:rPr>
            </w:pPr>
            <w:r>
              <w:rPr>
                <w:b/>
                <w:color w:val="4B4747"/>
              </w:rPr>
              <w:t>Excepción Bienes o servicios con exclusividad</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RD$2,000,000.00</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rPr>
                <w:b/>
                <w:color w:val="4B4747"/>
              </w:rPr>
            </w:pPr>
            <w:r>
              <w:rPr>
                <w:b/>
                <w:color w:val="4B4747"/>
              </w:rPr>
              <w:t>Excepción Construcción, instalación o adquisición de oficinas para el servicio exterior</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N/A</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rPr>
                <w:b/>
                <w:color w:val="4B4747"/>
              </w:rPr>
            </w:pPr>
            <w:r>
              <w:rPr>
                <w:b/>
                <w:color w:val="4B4747"/>
              </w:rPr>
              <w:t>Excepción Contratación de publicidad a través de medios de comunicación social</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RD$3,335,167.20</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 xml:space="preserve">Excepción obras científicas, técnicas, artísticas, o restauración </w:t>
            </w:r>
            <w:r>
              <w:rPr>
                <w:b/>
                <w:color w:val="4B4747"/>
              </w:rPr>
              <w:lastRenderedPageBreak/>
              <w:t>de monumentos históricos</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lastRenderedPageBreak/>
              <w:t>RD$28,946,798.40</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Excepción proveedor único</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RD$3,827,880.00</w:t>
            </w:r>
          </w:p>
        </w:tc>
      </w:tr>
      <w:tr w:rsidR="00184CAB">
        <w:tblPrEx>
          <w:tblCellMar>
            <w:top w:w="0" w:type="dxa"/>
            <w:bottom w:w="0" w:type="dxa"/>
          </w:tblCellMar>
        </w:tblPrEx>
        <w:trPr>
          <w:jc w:val="center"/>
        </w:trPr>
        <w:tc>
          <w:tcPr>
            <w:tcW w:w="3256" w:type="dxa"/>
            <w:tcBorders>
              <w:top w:val="single" w:sz="4" w:space="0" w:color="BFBFBF"/>
              <w:bottom w:val="single" w:sz="4" w:space="0" w:color="BFBFBF"/>
              <w:right w:val="single" w:sz="4" w:space="0" w:color="FFFFFF"/>
            </w:tcBorders>
            <w:shd w:val="clear" w:color="auto" w:fill="auto"/>
            <w:tcMar>
              <w:top w:w="0" w:type="dxa"/>
              <w:left w:w="108" w:type="dxa"/>
              <w:bottom w:w="0" w:type="dxa"/>
              <w:right w:w="108" w:type="dxa"/>
            </w:tcMar>
          </w:tcPr>
          <w:p w:rsidR="00184CAB" w:rsidRDefault="002B1930">
            <w:pPr>
              <w:spacing w:after="0" w:line="360" w:lineRule="auto"/>
              <w:jc w:val="both"/>
              <w:rPr>
                <w:b/>
                <w:color w:val="4B4747"/>
              </w:rPr>
            </w:pPr>
            <w:r>
              <w:rPr>
                <w:b/>
                <w:color w:val="4B4747"/>
              </w:rPr>
              <w:t>Excepción Rescisión de contratos cuyas terminaciones no exceda el 40% del monto total del proyecto, obra o servicio</w:t>
            </w:r>
          </w:p>
        </w:tc>
        <w:tc>
          <w:tcPr>
            <w:tcW w:w="3256" w:type="dxa"/>
            <w:tcBorders>
              <w:top w:val="single" w:sz="4" w:space="0" w:color="BFBFBF"/>
              <w:left w:val="single" w:sz="4" w:space="0" w:color="FFFFFF"/>
              <w:bottom w:val="single" w:sz="4" w:space="0" w:color="BFBFBF"/>
            </w:tcBorders>
            <w:shd w:val="clear" w:color="auto" w:fill="auto"/>
            <w:tcMar>
              <w:top w:w="0" w:type="dxa"/>
              <w:left w:w="108" w:type="dxa"/>
              <w:bottom w:w="0" w:type="dxa"/>
              <w:right w:w="108" w:type="dxa"/>
            </w:tcMar>
          </w:tcPr>
          <w:p w:rsidR="00184CAB" w:rsidRDefault="002B1930">
            <w:pPr>
              <w:spacing w:after="0" w:line="360" w:lineRule="auto"/>
              <w:jc w:val="right"/>
            </w:pPr>
            <w:r>
              <w:rPr>
                <w:color w:val="4B4747"/>
              </w:rPr>
              <w:t>N/A</w:t>
            </w:r>
          </w:p>
        </w:tc>
      </w:tr>
      <w:tr w:rsidR="00184CAB">
        <w:tblPrEx>
          <w:tblCellMar>
            <w:top w:w="0" w:type="dxa"/>
            <w:bottom w:w="0" w:type="dxa"/>
          </w:tblCellMar>
        </w:tblPrEx>
        <w:trPr>
          <w:trHeight w:val="565"/>
          <w:jc w:val="center"/>
        </w:trPr>
        <w:tc>
          <w:tcPr>
            <w:tcW w:w="6512" w:type="dxa"/>
            <w:gridSpan w:val="2"/>
            <w:tcBorders>
              <w:top w:val="single" w:sz="4" w:space="0" w:color="BFBFBF"/>
              <w:bottom w:val="single" w:sz="4" w:space="0" w:color="BFBFBF"/>
            </w:tcBorders>
            <w:shd w:val="clear" w:color="auto" w:fill="auto"/>
            <w:tcMar>
              <w:top w:w="0" w:type="dxa"/>
              <w:left w:w="108" w:type="dxa"/>
              <w:bottom w:w="0" w:type="dxa"/>
              <w:right w:w="108" w:type="dxa"/>
            </w:tcMar>
            <w:vAlign w:val="bottom"/>
          </w:tcPr>
          <w:p w:rsidR="00184CAB" w:rsidRDefault="002B1930">
            <w:pPr>
              <w:spacing w:after="0" w:line="360" w:lineRule="auto"/>
            </w:pPr>
            <w:r>
              <w:rPr>
                <w:b/>
                <w:i/>
                <w:color w:val="4B4747"/>
                <w:sz w:val="18"/>
                <w:szCs w:val="18"/>
              </w:rPr>
              <w:t>Fuente: Ministerio Administrativo de la Presidencia, 2025</w:t>
            </w:r>
          </w:p>
        </w:tc>
      </w:tr>
      <w:bookmarkEnd w:id="24"/>
      <w:bookmarkEnd w:id="25"/>
      <w:bookmarkEnd w:id="191"/>
    </w:tbl>
    <w:p w:rsidR="00184CAB" w:rsidRDefault="00184CAB">
      <w:pPr>
        <w:spacing w:line="360" w:lineRule="auto"/>
        <w:jc w:val="both"/>
        <w:rPr>
          <w:color w:val="4C4747"/>
        </w:rPr>
      </w:pPr>
    </w:p>
    <w:p w:rsidR="00184CAB" w:rsidRDefault="00184CAB">
      <w:pPr>
        <w:rPr>
          <w:color w:val="4C4747"/>
        </w:rPr>
        <w:sectPr w:rsidR="00184CAB">
          <w:headerReference w:type="default" r:id="rId74"/>
          <w:footerReference w:type="default" r:id="rId75"/>
          <w:pgSz w:w="12240" w:h="15840"/>
          <w:pgMar w:top="1440" w:right="2160" w:bottom="1440" w:left="2160" w:header="720" w:footer="720" w:gutter="0"/>
          <w:cols w:space="720"/>
        </w:sectPr>
      </w:pPr>
      <w:bookmarkStart w:id="192" w:name="_Toc217043978"/>
    </w:p>
    <w:p w:rsidR="00184CAB" w:rsidRDefault="002B1930">
      <w:pPr>
        <w:pStyle w:val="Prrafodelista"/>
        <w:numPr>
          <w:ilvl w:val="0"/>
          <w:numId w:val="43"/>
        </w:numPr>
        <w:spacing w:line="360" w:lineRule="auto"/>
        <w:jc w:val="both"/>
        <w:rPr>
          <w:b/>
          <w:color w:val="4C4747"/>
        </w:rPr>
      </w:pPr>
      <w:r>
        <w:rPr>
          <w:b/>
          <w:color w:val="4C4747"/>
        </w:rPr>
        <w:lastRenderedPageBreak/>
        <w:t>Matriz de logros relevantes (Datos cuantitativos)</w:t>
      </w:r>
      <w:bookmarkEnd w:id="192"/>
      <w:r>
        <w:rPr>
          <w:b/>
          <w:color w:val="4C4747"/>
        </w:rPr>
        <w:t>.</w:t>
      </w:r>
    </w:p>
    <w:tbl>
      <w:tblPr>
        <w:tblW w:w="13033" w:type="dxa"/>
        <w:tblLayout w:type="fixed"/>
        <w:tblCellMar>
          <w:left w:w="10" w:type="dxa"/>
          <w:right w:w="10" w:type="dxa"/>
        </w:tblCellMar>
        <w:tblLook w:val="0000" w:firstRow="0" w:lastRow="0" w:firstColumn="0" w:lastColumn="0" w:noHBand="0" w:noVBand="0"/>
      </w:tblPr>
      <w:tblGrid>
        <w:gridCol w:w="1993"/>
        <w:gridCol w:w="693"/>
        <w:gridCol w:w="708"/>
        <w:gridCol w:w="1171"/>
        <w:gridCol w:w="580"/>
        <w:gridCol w:w="562"/>
        <w:gridCol w:w="1001"/>
        <w:gridCol w:w="583"/>
        <w:gridCol w:w="715"/>
        <w:gridCol w:w="988"/>
        <w:gridCol w:w="1000"/>
        <w:gridCol w:w="1197"/>
        <w:gridCol w:w="992"/>
        <w:gridCol w:w="850"/>
      </w:tblGrid>
      <w:tr w:rsidR="00184CAB">
        <w:tblPrEx>
          <w:tblCellMar>
            <w:top w:w="0" w:type="dxa"/>
            <w:bottom w:w="0" w:type="dxa"/>
          </w:tblCellMar>
        </w:tblPrEx>
        <w:trPr>
          <w:trHeight w:val="41"/>
          <w:tblHeader/>
        </w:trPr>
        <w:tc>
          <w:tcPr>
            <w:tcW w:w="1993" w:type="dxa"/>
            <w:tcBorders>
              <w:top w:val="single" w:sz="6" w:space="0" w:color="000000"/>
              <w:left w:val="single" w:sz="6" w:space="0" w:color="000000"/>
              <w:bottom w:val="single" w:sz="6" w:space="0" w:color="000000"/>
              <w:right w:val="single" w:sz="6" w:space="0" w:color="000000"/>
            </w:tcBorders>
            <w:shd w:val="clear" w:color="auto" w:fill="002060"/>
            <w:tcMar>
              <w:top w:w="0" w:type="dxa"/>
              <w:left w:w="0" w:type="dxa"/>
              <w:bottom w:w="0" w:type="dxa"/>
              <w:right w:w="0" w:type="dxa"/>
            </w:tcMar>
            <w:vAlign w:val="center"/>
          </w:tcPr>
          <w:p w:rsidR="00184CAB" w:rsidRDefault="002B1930">
            <w:pPr>
              <w:spacing w:after="0" w:line="240" w:lineRule="auto"/>
              <w:jc w:val="center"/>
            </w:pPr>
            <w:r>
              <w:rPr>
                <w:rFonts w:eastAsia="Times New Roman"/>
                <w:b/>
                <w:bCs/>
                <w:color w:val="FFFFFF"/>
                <w:spacing w:val="0"/>
                <w:sz w:val="19"/>
                <w:szCs w:val="19"/>
                <w:lang w:val="es-ES" w:eastAsia="es-DO"/>
              </w:rPr>
              <w:t>Producto / servicio</w:t>
            </w:r>
            <w:r>
              <w:rPr>
                <w:rFonts w:eastAsia="Times New Roman"/>
                <w:color w:val="FFFFFF"/>
                <w:spacing w:val="0"/>
                <w:sz w:val="19"/>
                <w:szCs w:val="19"/>
                <w:lang w:val="es-DO" w:eastAsia="es-DO"/>
              </w:rPr>
              <w:t> </w:t>
            </w:r>
          </w:p>
        </w:tc>
        <w:tc>
          <w:tcPr>
            <w:tcW w:w="693" w:type="dxa"/>
            <w:tcBorders>
              <w:top w:val="single" w:sz="6" w:space="0" w:color="000000"/>
              <w:left w:val="single" w:sz="6" w:space="0" w:color="000000"/>
              <w:bottom w:val="single" w:sz="6" w:space="0" w:color="000000"/>
              <w:right w:val="single" w:sz="6" w:space="0" w:color="000000"/>
            </w:tcBorders>
            <w:shd w:val="clear" w:color="auto" w:fill="002060"/>
            <w:tcMar>
              <w:top w:w="0" w:type="dxa"/>
              <w:left w:w="0" w:type="dxa"/>
              <w:bottom w:w="0" w:type="dxa"/>
              <w:right w:w="0" w:type="dxa"/>
            </w:tcMar>
            <w:vAlign w:val="center"/>
          </w:tcPr>
          <w:p w:rsidR="00184CAB" w:rsidRDefault="002B1930">
            <w:pPr>
              <w:spacing w:after="0" w:line="240" w:lineRule="auto"/>
              <w:jc w:val="center"/>
            </w:pPr>
            <w:r>
              <w:rPr>
                <w:rFonts w:eastAsia="Times New Roman"/>
                <w:b/>
                <w:bCs/>
                <w:color w:val="FFFFFF"/>
                <w:spacing w:val="0"/>
                <w:sz w:val="19"/>
                <w:szCs w:val="19"/>
                <w:lang w:val="es-ES" w:eastAsia="es-DO"/>
              </w:rPr>
              <w:t>Enero</w:t>
            </w:r>
            <w:r>
              <w:rPr>
                <w:rFonts w:eastAsia="Times New Roman"/>
                <w:color w:val="FFFFFF"/>
                <w:spacing w:val="0"/>
                <w:sz w:val="19"/>
                <w:szCs w:val="19"/>
                <w:lang w:val="es-DO" w:eastAsia="es-DO"/>
              </w:rPr>
              <w:t> </w:t>
            </w:r>
          </w:p>
        </w:tc>
        <w:tc>
          <w:tcPr>
            <w:tcW w:w="708" w:type="dxa"/>
            <w:tcBorders>
              <w:top w:val="single" w:sz="6" w:space="0" w:color="000000"/>
              <w:left w:val="single" w:sz="6" w:space="0" w:color="000000"/>
              <w:bottom w:val="single" w:sz="6" w:space="0" w:color="000000"/>
              <w:right w:val="single" w:sz="6" w:space="0" w:color="000000"/>
            </w:tcBorders>
            <w:shd w:val="clear" w:color="auto" w:fill="002060"/>
            <w:tcMar>
              <w:top w:w="0" w:type="dxa"/>
              <w:left w:w="0" w:type="dxa"/>
              <w:bottom w:w="0" w:type="dxa"/>
              <w:right w:w="0" w:type="dxa"/>
            </w:tcMar>
            <w:vAlign w:val="center"/>
          </w:tcPr>
          <w:p w:rsidR="00184CAB" w:rsidRDefault="002B1930">
            <w:pPr>
              <w:spacing w:after="0" w:line="240" w:lineRule="auto"/>
              <w:jc w:val="center"/>
            </w:pPr>
            <w:r>
              <w:rPr>
                <w:rFonts w:eastAsia="Times New Roman"/>
                <w:b/>
                <w:bCs/>
                <w:color w:val="FFFFFF"/>
                <w:spacing w:val="0"/>
                <w:sz w:val="19"/>
                <w:szCs w:val="19"/>
                <w:lang w:val="es-ES" w:eastAsia="es-DO"/>
              </w:rPr>
              <w:t>Febrero</w:t>
            </w:r>
            <w:r>
              <w:rPr>
                <w:rFonts w:eastAsia="Times New Roman"/>
                <w:color w:val="FFFFFF"/>
                <w:spacing w:val="0"/>
                <w:sz w:val="19"/>
                <w:szCs w:val="19"/>
                <w:lang w:val="es-DO" w:eastAsia="es-DO"/>
              </w:rPr>
              <w:t> </w:t>
            </w:r>
          </w:p>
        </w:tc>
        <w:tc>
          <w:tcPr>
            <w:tcW w:w="1171" w:type="dxa"/>
            <w:tcBorders>
              <w:top w:val="single" w:sz="6" w:space="0" w:color="000000"/>
              <w:left w:val="single" w:sz="6" w:space="0" w:color="000000"/>
              <w:bottom w:val="single" w:sz="6" w:space="0" w:color="000000"/>
              <w:right w:val="single" w:sz="6" w:space="0" w:color="000000"/>
            </w:tcBorders>
            <w:shd w:val="clear" w:color="auto" w:fill="002060"/>
            <w:tcMar>
              <w:top w:w="0" w:type="dxa"/>
              <w:left w:w="0" w:type="dxa"/>
              <w:bottom w:w="0" w:type="dxa"/>
              <w:right w:w="0" w:type="dxa"/>
            </w:tcMar>
            <w:vAlign w:val="center"/>
          </w:tcPr>
          <w:p w:rsidR="00184CAB" w:rsidRDefault="002B1930">
            <w:pPr>
              <w:spacing w:after="0" w:line="240" w:lineRule="auto"/>
              <w:jc w:val="center"/>
            </w:pPr>
            <w:r>
              <w:rPr>
                <w:rFonts w:eastAsia="Times New Roman"/>
                <w:b/>
                <w:bCs/>
                <w:color w:val="FFFFFF"/>
                <w:spacing w:val="0"/>
                <w:sz w:val="19"/>
                <w:szCs w:val="19"/>
                <w:lang w:val="es-ES" w:eastAsia="es-DO"/>
              </w:rPr>
              <w:t>Marzo</w:t>
            </w:r>
            <w:r>
              <w:rPr>
                <w:rFonts w:eastAsia="Times New Roman"/>
                <w:color w:val="FFFFFF"/>
                <w:spacing w:val="0"/>
                <w:sz w:val="19"/>
                <w:szCs w:val="19"/>
                <w:lang w:val="es-DO" w:eastAsia="es-DO"/>
              </w:rPr>
              <w:t> </w:t>
            </w:r>
          </w:p>
        </w:tc>
        <w:tc>
          <w:tcPr>
            <w:tcW w:w="580" w:type="dxa"/>
            <w:tcBorders>
              <w:top w:val="single" w:sz="6" w:space="0" w:color="000000"/>
              <w:left w:val="single" w:sz="6" w:space="0" w:color="000000"/>
              <w:bottom w:val="single" w:sz="6" w:space="0" w:color="000000"/>
              <w:right w:val="single" w:sz="6" w:space="0" w:color="000000"/>
            </w:tcBorders>
            <w:shd w:val="clear" w:color="auto" w:fill="002060"/>
            <w:tcMar>
              <w:top w:w="0" w:type="dxa"/>
              <w:left w:w="0" w:type="dxa"/>
              <w:bottom w:w="0" w:type="dxa"/>
              <w:right w:w="0" w:type="dxa"/>
            </w:tcMar>
            <w:vAlign w:val="center"/>
          </w:tcPr>
          <w:p w:rsidR="00184CAB" w:rsidRDefault="002B1930">
            <w:pPr>
              <w:spacing w:after="0" w:line="240" w:lineRule="auto"/>
              <w:jc w:val="center"/>
            </w:pPr>
            <w:r>
              <w:rPr>
                <w:rFonts w:eastAsia="Times New Roman"/>
                <w:b/>
                <w:bCs/>
                <w:color w:val="FFFFFF"/>
                <w:spacing w:val="0"/>
                <w:sz w:val="19"/>
                <w:szCs w:val="19"/>
                <w:lang w:val="es-ES" w:eastAsia="es-DO"/>
              </w:rPr>
              <w:t>Abril</w:t>
            </w:r>
            <w:r>
              <w:rPr>
                <w:rFonts w:eastAsia="Times New Roman"/>
                <w:color w:val="FFFFFF"/>
                <w:spacing w:val="0"/>
                <w:sz w:val="19"/>
                <w:szCs w:val="19"/>
                <w:lang w:val="es-DO" w:eastAsia="es-DO"/>
              </w:rPr>
              <w:t> </w:t>
            </w:r>
          </w:p>
        </w:tc>
        <w:tc>
          <w:tcPr>
            <w:tcW w:w="562" w:type="dxa"/>
            <w:tcBorders>
              <w:top w:val="single" w:sz="6" w:space="0" w:color="000000"/>
              <w:left w:val="single" w:sz="6" w:space="0" w:color="000000"/>
              <w:bottom w:val="single" w:sz="6" w:space="0" w:color="000000"/>
              <w:right w:val="single" w:sz="6" w:space="0" w:color="000000"/>
            </w:tcBorders>
            <w:shd w:val="clear" w:color="auto" w:fill="002060"/>
            <w:tcMar>
              <w:top w:w="0" w:type="dxa"/>
              <w:left w:w="0" w:type="dxa"/>
              <w:bottom w:w="0" w:type="dxa"/>
              <w:right w:w="0" w:type="dxa"/>
            </w:tcMar>
            <w:vAlign w:val="center"/>
          </w:tcPr>
          <w:p w:rsidR="00184CAB" w:rsidRDefault="002B1930">
            <w:pPr>
              <w:spacing w:after="0" w:line="240" w:lineRule="auto"/>
              <w:jc w:val="center"/>
            </w:pPr>
            <w:r>
              <w:rPr>
                <w:rFonts w:eastAsia="Times New Roman"/>
                <w:b/>
                <w:bCs/>
                <w:color w:val="FFFFFF"/>
                <w:spacing w:val="0"/>
                <w:sz w:val="19"/>
                <w:szCs w:val="19"/>
                <w:lang w:val="es-ES" w:eastAsia="es-DO"/>
              </w:rPr>
              <w:t>Mayo</w:t>
            </w:r>
            <w:r>
              <w:rPr>
                <w:rFonts w:eastAsia="Times New Roman"/>
                <w:color w:val="FFFFFF"/>
                <w:spacing w:val="0"/>
                <w:sz w:val="19"/>
                <w:szCs w:val="19"/>
                <w:lang w:val="es-DO" w:eastAsia="es-DO"/>
              </w:rPr>
              <w:t> </w:t>
            </w:r>
          </w:p>
        </w:tc>
        <w:tc>
          <w:tcPr>
            <w:tcW w:w="1001" w:type="dxa"/>
            <w:tcBorders>
              <w:top w:val="single" w:sz="6" w:space="0" w:color="000000"/>
              <w:left w:val="single" w:sz="6" w:space="0" w:color="000000"/>
              <w:bottom w:val="single" w:sz="6" w:space="0" w:color="000000"/>
              <w:right w:val="single" w:sz="6" w:space="0" w:color="000000"/>
            </w:tcBorders>
            <w:shd w:val="clear" w:color="auto" w:fill="002060"/>
            <w:tcMar>
              <w:top w:w="0" w:type="dxa"/>
              <w:left w:w="0" w:type="dxa"/>
              <w:bottom w:w="0" w:type="dxa"/>
              <w:right w:w="0" w:type="dxa"/>
            </w:tcMar>
            <w:vAlign w:val="center"/>
          </w:tcPr>
          <w:p w:rsidR="00184CAB" w:rsidRDefault="002B1930">
            <w:pPr>
              <w:spacing w:after="0" w:line="240" w:lineRule="auto"/>
              <w:jc w:val="center"/>
            </w:pPr>
            <w:r>
              <w:rPr>
                <w:rFonts w:eastAsia="Times New Roman"/>
                <w:b/>
                <w:bCs/>
                <w:color w:val="FFFFFF"/>
                <w:spacing w:val="0"/>
                <w:sz w:val="19"/>
                <w:szCs w:val="19"/>
                <w:lang w:val="es-ES" w:eastAsia="es-DO"/>
              </w:rPr>
              <w:t>Junio</w:t>
            </w:r>
            <w:r>
              <w:rPr>
                <w:rFonts w:eastAsia="Times New Roman"/>
                <w:color w:val="FFFFFF"/>
                <w:spacing w:val="0"/>
                <w:sz w:val="19"/>
                <w:szCs w:val="19"/>
                <w:lang w:val="es-DO" w:eastAsia="es-DO"/>
              </w:rPr>
              <w:t> </w:t>
            </w:r>
          </w:p>
        </w:tc>
        <w:tc>
          <w:tcPr>
            <w:tcW w:w="583" w:type="dxa"/>
            <w:tcBorders>
              <w:top w:val="single" w:sz="6" w:space="0" w:color="000000"/>
              <w:left w:val="single" w:sz="6" w:space="0" w:color="000000"/>
              <w:bottom w:val="single" w:sz="6" w:space="0" w:color="000000"/>
              <w:right w:val="single" w:sz="6" w:space="0" w:color="000000"/>
            </w:tcBorders>
            <w:shd w:val="clear" w:color="auto" w:fill="002060"/>
            <w:tcMar>
              <w:top w:w="0" w:type="dxa"/>
              <w:left w:w="0" w:type="dxa"/>
              <w:bottom w:w="0" w:type="dxa"/>
              <w:right w:w="0" w:type="dxa"/>
            </w:tcMar>
            <w:vAlign w:val="center"/>
          </w:tcPr>
          <w:p w:rsidR="00184CAB" w:rsidRDefault="002B1930">
            <w:pPr>
              <w:spacing w:after="0" w:line="240" w:lineRule="auto"/>
              <w:jc w:val="center"/>
            </w:pPr>
            <w:r>
              <w:rPr>
                <w:rFonts w:eastAsia="Times New Roman"/>
                <w:b/>
                <w:bCs/>
                <w:color w:val="FFFFFF"/>
                <w:spacing w:val="0"/>
                <w:sz w:val="19"/>
                <w:szCs w:val="19"/>
                <w:lang w:val="es-ES" w:eastAsia="es-DO"/>
              </w:rPr>
              <w:t>Julio</w:t>
            </w:r>
            <w:r>
              <w:rPr>
                <w:rFonts w:eastAsia="Times New Roman"/>
                <w:color w:val="FFFFFF"/>
                <w:spacing w:val="0"/>
                <w:sz w:val="19"/>
                <w:szCs w:val="19"/>
                <w:lang w:val="es-DO" w:eastAsia="es-DO"/>
              </w:rPr>
              <w:t> </w:t>
            </w:r>
          </w:p>
        </w:tc>
        <w:tc>
          <w:tcPr>
            <w:tcW w:w="715" w:type="dxa"/>
            <w:tcBorders>
              <w:top w:val="single" w:sz="6" w:space="0" w:color="000000"/>
              <w:left w:val="single" w:sz="6" w:space="0" w:color="000000"/>
              <w:bottom w:val="single" w:sz="6" w:space="0" w:color="000000"/>
              <w:right w:val="single" w:sz="6" w:space="0" w:color="000000"/>
            </w:tcBorders>
            <w:shd w:val="clear" w:color="auto" w:fill="002060"/>
            <w:tcMar>
              <w:top w:w="0" w:type="dxa"/>
              <w:left w:w="0" w:type="dxa"/>
              <w:bottom w:w="0" w:type="dxa"/>
              <w:right w:w="0" w:type="dxa"/>
            </w:tcMar>
            <w:vAlign w:val="center"/>
          </w:tcPr>
          <w:p w:rsidR="00184CAB" w:rsidRDefault="002B1930">
            <w:pPr>
              <w:spacing w:after="0" w:line="240" w:lineRule="auto"/>
              <w:jc w:val="center"/>
            </w:pPr>
            <w:r>
              <w:rPr>
                <w:rFonts w:eastAsia="Times New Roman"/>
                <w:b/>
                <w:bCs/>
                <w:color w:val="FFFFFF"/>
                <w:spacing w:val="0"/>
                <w:sz w:val="19"/>
                <w:szCs w:val="19"/>
                <w:lang w:val="es-ES" w:eastAsia="es-DO"/>
              </w:rPr>
              <w:t>Agosto</w:t>
            </w:r>
            <w:r>
              <w:rPr>
                <w:rFonts w:eastAsia="Times New Roman"/>
                <w:color w:val="FFFFFF"/>
                <w:spacing w:val="0"/>
                <w:sz w:val="19"/>
                <w:szCs w:val="19"/>
                <w:lang w:val="es-DO" w:eastAsia="es-DO"/>
              </w:rPr>
              <w:t> </w:t>
            </w:r>
          </w:p>
        </w:tc>
        <w:tc>
          <w:tcPr>
            <w:tcW w:w="988" w:type="dxa"/>
            <w:tcBorders>
              <w:top w:val="single" w:sz="6" w:space="0" w:color="000000"/>
              <w:left w:val="single" w:sz="6" w:space="0" w:color="000000"/>
              <w:bottom w:val="single" w:sz="6" w:space="0" w:color="000000"/>
              <w:right w:val="single" w:sz="6" w:space="0" w:color="000000"/>
            </w:tcBorders>
            <w:shd w:val="clear" w:color="auto" w:fill="002060"/>
            <w:tcMar>
              <w:top w:w="0" w:type="dxa"/>
              <w:left w:w="0" w:type="dxa"/>
              <w:bottom w:w="0" w:type="dxa"/>
              <w:right w:w="0" w:type="dxa"/>
            </w:tcMar>
            <w:vAlign w:val="center"/>
          </w:tcPr>
          <w:p w:rsidR="00184CAB" w:rsidRDefault="002B1930">
            <w:pPr>
              <w:spacing w:after="0" w:line="240" w:lineRule="auto"/>
              <w:jc w:val="center"/>
            </w:pPr>
            <w:r>
              <w:rPr>
                <w:rFonts w:eastAsia="Times New Roman"/>
                <w:b/>
                <w:bCs/>
                <w:color w:val="FFFFFF"/>
                <w:spacing w:val="0"/>
                <w:sz w:val="19"/>
                <w:szCs w:val="19"/>
                <w:lang w:val="es-ES" w:eastAsia="es-DO"/>
              </w:rPr>
              <w:t>Septiembre</w:t>
            </w:r>
            <w:r>
              <w:rPr>
                <w:rFonts w:eastAsia="Times New Roman"/>
                <w:color w:val="FFFFFF"/>
                <w:spacing w:val="0"/>
                <w:sz w:val="19"/>
                <w:szCs w:val="19"/>
                <w:lang w:val="es-DO" w:eastAsia="es-DO"/>
              </w:rPr>
              <w:t> </w:t>
            </w:r>
          </w:p>
        </w:tc>
        <w:tc>
          <w:tcPr>
            <w:tcW w:w="1000" w:type="dxa"/>
            <w:tcBorders>
              <w:top w:val="single" w:sz="6" w:space="0" w:color="000000"/>
              <w:left w:val="single" w:sz="6" w:space="0" w:color="000000"/>
              <w:bottom w:val="single" w:sz="6" w:space="0" w:color="000000"/>
              <w:right w:val="single" w:sz="6" w:space="0" w:color="000000"/>
            </w:tcBorders>
            <w:shd w:val="clear" w:color="auto" w:fill="002060"/>
            <w:tcMar>
              <w:top w:w="0" w:type="dxa"/>
              <w:left w:w="0" w:type="dxa"/>
              <w:bottom w:w="0" w:type="dxa"/>
              <w:right w:w="0" w:type="dxa"/>
            </w:tcMar>
            <w:vAlign w:val="center"/>
          </w:tcPr>
          <w:p w:rsidR="00184CAB" w:rsidRDefault="002B1930">
            <w:pPr>
              <w:spacing w:after="0" w:line="240" w:lineRule="auto"/>
              <w:jc w:val="center"/>
            </w:pPr>
            <w:r>
              <w:rPr>
                <w:rFonts w:eastAsia="Times New Roman"/>
                <w:b/>
                <w:bCs/>
                <w:color w:val="FFFFFF"/>
                <w:spacing w:val="0"/>
                <w:sz w:val="19"/>
                <w:szCs w:val="19"/>
                <w:lang w:val="es-ES" w:eastAsia="es-DO"/>
              </w:rPr>
              <w:t>Octubre</w:t>
            </w:r>
            <w:r>
              <w:rPr>
                <w:rFonts w:eastAsia="Times New Roman"/>
                <w:color w:val="FFFFFF"/>
                <w:spacing w:val="0"/>
                <w:sz w:val="19"/>
                <w:szCs w:val="19"/>
                <w:lang w:val="es-DO" w:eastAsia="es-DO"/>
              </w:rPr>
              <w:t> </w:t>
            </w:r>
          </w:p>
        </w:tc>
        <w:tc>
          <w:tcPr>
            <w:tcW w:w="1197" w:type="dxa"/>
            <w:tcBorders>
              <w:top w:val="single" w:sz="6" w:space="0" w:color="000000"/>
              <w:left w:val="single" w:sz="6" w:space="0" w:color="000000"/>
              <w:bottom w:val="single" w:sz="6" w:space="0" w:color="000000"/>
              <w:right w:val="single" w:sz="6" w:space="0" w:color="000000"/>
            </w:tcBorders>
            <w:shd w:val="clear" w:color="auto" w:fill="002060"/>
            <w:tcMar>
              <w:top w:w="0" w:type="dxa"/>
              <w:left w:w="0" w:type="dxa"/>
              <w:bottom w:w="0" w:type="dxa"/>
              <w:right w:w="0" w:type="dxa"/>
            </w:tcMar>
            <w:vAlign w:val="center"/>
          </w:tcPr>
          <w:p w:rsidR="00184CAB" w:rsidRDefault="002B1930">
            <w:pPr>
              <w:spacing w:after="0" w:line="240" w:lineRule="auto"/>
              <w:jc w:val="center"/>
            </w:pPr>
            <w:r>
              <w:rPr>
                <w:rFonts w:eastAsia="Times New Roman"/>
                <w:b/>
                <w:bCs/>
                <w:color w:val="FFFFFF"/>
                <w:spacing w:val="0"/>
                <w:sz w:val="19"/>
                <w:szCs w:val="19"/>
                <w:lang w:val="es-ES" w:eastAsia="es-DO"/>
              </w:rPr>
              <w:t>Noviembre</w:t>
            </w:r>
            <w:r>
              <w:rPr>
                <w:rFonts w:eastAsia="Times New Roman"/>
                <w:color w:val="FFFFFF"/>
                <w:spacing w:val="0"/>
                <w:sz w:val="19"/>
                <w:szCs w:val="19"/>
                <w:lang w:val="es-DO" w:eastAsia="es-DO"/>
              </w:rPr>
              <w:t> </w:t>
            </w:r>
          </w:p>
        </w:tc>
        <w:tc>
          <w:tcPr>
            <w:tcW w:w="992" w:type="dxa"/>
            <w:tcBorders>
              <w:top w:val="single" w:sz="6" w:space="0" w:color="000000"/>
              <w:left w:val="single" w:sz="6" w:space="0" w:color="000000"/>
              <w:bottom w:val="single" w:sz="6" w:space="0" w:color="000000"/>
              <w:right w:val="single" w:sz="6" w:space="0" w:color="000000"/>
            </w:tcBorders>
            <w:shd w:val="clear" w:color="auto" w:fill="002060"/>
            <w:tcMar>
              <w:top w:w="0" w:type="dxa"/>
              <w:left w:w="0" w:type="dxa"/>
              <w:bottom w:w="0" w:type="dxa"/>
              <w:right w:w="0" w:type="dxa"/>
            </w:tcMar>
            <w:vAlign w:val="center"/>
          </w:tcPr>
          <w:p w:rsidR="00184CAB" w:rsidRDefault="002B1930">
            <w:pPr>
              <w:spacing w:after="0" w:line="240" w:lineRule="auto"/>
              <w:jc w:val="center"/>
            </w:pPr>
            <w:r>
              <w:rPr>
                <w:rFonts w:eastAsia="Times New Roman"/>
                <w:b/>
                <w:bCs/>
                <w:color w:val="FFFFFF"/>
                <w:spacing w:val="0"/>
                <w:sz w:val="19"/>
                <w:szCs w:val="19"/>
                <w:lang w:val="es-ES" w:eastAsia="es-DO"/>
              </w:rPr>
              <w:t>Diciembre</w:t>
            </w:r>
            <w:r>
              <w:rPr>
                <w:rFonts w:eastAsia="Times New Roman"/>
                <w:color w:val="FFFFFF"/>
                <w:spacing w:val="0"/>
                <w:sz w:val="19"/>
                <w:szCs w:val="19"/>
                <w:lang w:val="es-DO" w:eastAsia="es-DO"/>
              </w:rPr>
              <w:t> </w:t>
            </w:r>
          </w:p>
        </w:tc>
        <w:tc>
          <w:tcPr>
            <w:tcW w:w="850" w:type="dxa"/>
            <w:tcBorders>
              <w:top w:val="single" w:sz="6" w:space="0" w:color="000000"/>
              <w:left w:val="single" w:sz="6" w:space="0" w:color="000000"/>
              <w:bottom w:val="single" w:sz="6" w:space="0" w:color="000000"/>
              <w:right w:val="single" w:sz="6" w:space="0" w:color="000000"/>
            </w:tcBorders>
            <w:shd w:val="clear" w:color="auto" w:fill="002060"/>
            <w:tcMar>
              <w:top w:w="0" w:type="dxa"/>
              <w:left w:w="0" w:type="dxa"/>
              <w:bottom w:w="0" w:type="dxa"/>
              <w:right w:w="0" w:type="dxa"/>
            </w:tcMar>
            <w:vAlign w:val="center"/>
          </w:tcPr>
          <w:p w:rsidR="00184CAB" w:rsidRDefault="002B1930">
            <w:pPr>
              <w:spacing w:after="0" w:line="240" w:lineRule="auto"/>
              <w:jc w:val="center"/>
            </w:pPr>
            <w:r>
              <w:rPr>
                <w:rFonts w:eastAsia="Times New Roman"/>
                <w:b/>
                <w:bCs/>
                <w:color w:val="FFFFFF"/>
                <w:spacing w:val="0"/>
                <w:sz w:val="19"/>
                <w:szCs w:val="19"/>
                <w:lang w:val="es-ES" w:eastAsia="es-DO"/>
              </w:rPr>
              <w:t>Total </w:t>
            </w:r>
            <w:r>
              <w:rPr>
                <w:rFonts w:eastAsia="Times New Roman"/>
                <w:color w:val="FFFFFF"/>
                <w:spacing w:val="0"/>
                <w:sz w:val="19"/>
                <w:szCs w:val="19"/>
                <w:lang w:val="es-DO" w:eastAsia="es-DO"/>
              </w:rPr>
              <w:t> </w:t>
            </w:r>
          </w:p>
          <w:p w:rsidR="00184CAB" w:rsidRDefault="002B1930">
            <w:pPr>
              <w:spacing w:after="0" w:line="240" w:lineRule="auto"/>
              <w:jc w:val="center"/>
            </w:pPr>
            <w:r>
              <w:rPr>
                <w:rFonts w:eastAsia="Times New Roman"/>
                <w:b/>
                <w:bCs/>
                <w:color w:val="FFFFFF"/>
                <w:spacing w:val="0"/>
                <w:sz w:val="19"/>
                <w:szCs w:val="19"/>
                <w:lang w:val="es-ES" w:eastAsia="es-DO"/>
              </w:rPr>
              <w:t>año 2025</w:t>
            </w:r>
            <w:r>
              <w:rPr>
                <w:rFonts w:eastAsia="Times New Roman"/>
                <w:color w:val="FFFFFF"/>
                <w:spacing w:val="0"/>
                <w:sz w:val="19"/>
                <w:szCs w:val="19"/>
                <w:lang w:val="es-DO" w:eastAsia="es-DO"/>
              </w:rPr>
              <w:t> </w:t>
            </w:r>
          </w:p>
        </w:tc>
      </w:tr>
      <w:tr w:rsidR="00184CAB">
        <w:tblPrEx>
          <w:tblCellMar>
            <w:top w:w="0" w:type="dxa"/>
            <w:bottom w:w="0" w:type="dxa"/>
          </w:tblCellMar>
        </w:tblPrEx>
        <w:trPr>
          <w:trHeight w:val="48"/>
          <w:tblHeader/>
        </w:trPr>
        <w:tc>
          <w:tcPr>
            <w:tcW w:w="1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pPr>
            <w:r>
              <w:rPr>
                <w:rFonts w:eastAsia="Times New Roman"/>
                <w:color w:val="4B4747"/>
                <w:spacing w:val="0"/>
                <w:sz w:val="19"/>
                <w:szCs w:val="19"/>
                <w:lang w:val="es-DO" w:eastAsia="es-DO"/>
              </w:rPr>
              <w:t>Ejecución de las Subvenciones de los servicios de gestión social por tipo </w:t>
            </w:r>
          </w:p>
        </w:tc>
        <w:tc>
          <w:tcPr>
            <w:tcW w:w="6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117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pPr>
            <w:r>
              <w:rPr>
                <w:rFonts w:eastAsia="Times New Roman"/>
                <w:color w:val="4B4747"/>
                <w:spacing w:val="0"/>
                <w:sz w:val="19"/>
                <w:szCs w:val="19"/>
                <w:lang w:val="es-DO" w:eastAsia="es-DO"/>
              </w:rPr>
              <w:t>902</w:t>
            </w:r>
          </w:p>
        </w:tc>
        <w:tc>
          <w:tcPr>
            <w:tcW w:w="58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56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pPr>
            <w:r>
              <w:rPr>
                <w:rFonts w:eastAsia="Times New Roman"/>
                <w:color w:val="4B4747"/>
                <w:spacing w:val="0"/>
                <w:sz w:val="19"/>
                <w:szCs w:val="19"/>
                <w:lang w:val="es-DO" w:eastAsia="es-DO"/>
              </w:rPr>
              <w:t>902</w:t>
            </w:r>
          </w:p>
        </w:tc>
        <w:tc>
          <w:tcPr>
            <w:tcW w:w="58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98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pPr>
            <w:r>
              <w:rPr>
                <w:rFonts w:eastAsia="Times New Roman"/>
                <w:color w:val="4B4747"/>
                <w:spacing w:val="0"/>
                <w:sz w:val="19"/>
                <w:szCs w:val="19"/>
                <w:lang w:val="es-DO" w:eastAsia="es-DO"/>
              </w:rPr>
              <w:t>902</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pPr>
            <w:r>
              <w:rPr>
                <w:rFonts w:eastAsia="Times New Roman"/>
                <w:color w:val="4B4747"/>
                <w:spacing w:val="0"/>
                <w:sz w:val="19"/>
                <w:szCs w:val="19"/>
                <w:lang w:val="es-DO" w:eastAsia="es-DO"/>
              </w:rPr>
              <w:t>900</w:t>
            </w:r>
          </w:p>
        </w:tc>
        <w:tc>
          <w:tcPr>
            <w:tcW w:w="11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pPr>
            <w:r>
              <w:rPr>
                <w:rFonts w:eastAsia="Times New Roman"/>
                <w:color w:val="4B4747"/>
                <w:spacing w:val="0"/>
                <w:sz w:val="19"/>
                <w:szCs w:val="19"/>
                <w:lang w:val="es-DO" w:eastAsia="es-DO"/>
              </w:rPr>
              <w:t>3,606 personas beneficiadas </w:t>
            </w:r>
          </w:p>
        </w:tc>
      </w:tr>
      <w:tr w:rsidR="00184CAB">
        <w:tblPrEx>
          <w:tblCellMar>
            <w:top w:w="0" w:type="dxa"/>
            <w:bottom w:w="0" w:type="dxa"/>
          </w:tblCellMar>
        </w:tblPrEx>
        <w:trPr>
          <w:trHeight w:val="48"/>
          <w:tblHeader/>
        </w:trPr>
        <w:tc>
          <w:tcPr>
            <w:tcW w:w="1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pPr>
            <w:r>
              <w:rPr>
                <w:rFonts w:eastAsia="Times New Roman"/>
                <w:color w:val="4B4747"/>
                <w:spacing w:val="0"/>
                <w:sz w:val="19"/>
                <w:szCs w:val="19"/>
                <w:lang w:val="es-DO" w:eastAsia="es-DO"/>
              </w:rPr>
              <w:t>Inversión</w:t>
            </w:r>
          </w:p>
        </w:tc>
        <w:tc>
          <w:tcPr>
            <w:tcW w:w="6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117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RD$21,885,646.11</w:t>
            </w:r>
          </w:p>
        </w:tc>
        <w:tc>
          <w:tcPr>
            <w:tcW w:w="58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56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RD$21,885,646.11</w:t>
            </w:r>
          </w:p>
        </w:tc>
        <w:tc>
          <w:tcPr>
            <w:tcW w:w="58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98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RD$21,885,646.11</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RD$21,885,646.09</w:t>
            </w:r>
          </w:p>
        </w:tc>
        <w:tc>
          <w:tcPr>
            <w:tcW w:w="11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pPr>
            <w:r>
              <w:rPr>
                <w:rFonts w:eastAsia="Times New Roman"/>
                <w:color w:val="4B4747"/>
                <w:spacing w:val="0"/>
                <w:sz w:val="19"/>
                <w:szCs w:val="19"/>
                <w:lang w:val="es-DO" w:eastAsia="es-DO"/>
              </w:rPr>
              <w:t>RD$87,542,584.42 </w:t>
            </w:r>
          </w:p>
        </w:tc>
      </w:tr>
      <w:tr w:rsidR="00184CAB">
        <w:tblPrEx>
          <w:tblCellMar>
            <w:top w:w="0" w:type="dxa"/>
            <w:bottom w:w="0" w:type="dxa"/>
          </w:tblCellMar>
        </w:tblPrEx>
        <w:trPr>
          <w:trHeight w:val="48"/>
          <w:tblHeader/>
        </w:trPr>
        <w:tc>
          <w:tcPr>
            <w:tcW w:w="1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pPr>
            <w:r>
              <w:rPr>
                <w:rFonts w:eastAsia="Times New Roman"/>
                <w:bCs/>
                <w:color w:val="4B4747"/>
                <w:spacing w:val="0"/>
                <w:sz w:val="19"/>
                <w:szCs w:val="19"/>
                <w:lang w:eastAsia="es-DO"/>
              </w:rPr>
              <w:t>Tramitaciones de fondos y Certificaciones</w:t>
            </w:r>
          </w:p>
        </w:tc>
        <w:tc>
          <w:tcPr>
            <w:tcW w:w="6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117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37</w:t>
            </w:r>
          </w:p>
        </w:tc>
        <w:tc>
          <w:tcPr>
            <w:tcW w:w="58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56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132</w:t>
            </w:r>
          </w:p>
        </w:tc>
        <w:tc>
          <w:tcPr>
            <w:tcW w:w="58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98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90</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11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258 trasferencias fondos y certificaciones entregadas</w:t>
            </w:r>
          </w:p>
        </w:tc>
      </w:tr>
      <w:tr w:rsidR="00184CAB">
        <w:tblPrEx>
          <w:tblCellMar>
            <w:top w:w="0" w:type="dxa"/>
            <w:bottom w:w="0" w:type="dxa"/>
          </w:tblCellMar>
        </w:tblPrEx>
        <w:trPr>
          <w:trHeight w:val="48"/>
          <w:tblHeader/>
        </w:trPr>
        <w:tc>
          <w:tcPr>
            <w:tcW w:w="1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rPr>
                <w:rFonts w:eastAsia="Times New Roman"/>
                <w:color w:val="4B4747"/>
                <w:spacing w:val="0"/>
                <w:sz w:val="19"/>
                <w:szCs w:val="19"/>
                <w:lang w:val="es-DO" w:eastAsia="es-DO"/>
              </w:rPr>
            </w:pPr>
            <w:r>
              <w:rPr>
                <w:rFonts w:eastAsia="Times New Roman"/>
                <w:color w:val="4B4747"/>
                <w:spacing w:val="0"/>
                <w:sz w:val="19"/>
                <w:szCs w:val="19"/>
                <w:lang w:val="es-DO" w:eastAsia="es-DO"/>
              </w:rPr>
              <w:t>Inversión</w:t>
            </w:r>
          </w:p>
        </w:tc>
        <w:tc>
          <w:tcPr>
            <w:tcW w:w="6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117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rPr>
                <w:color w:val="4B4747"/>
                <w:sz w:val="19"/>
                <w:szCs w:val="19"/>
              </w:rPr>
            </w:pPr>
            <w:r>
              <w:rPr>
                <w:color w:val="4B4747"/>
                <w:sz w:val="19"/>
                <w:szCs w:val="19"/>
              </w:rPr>
              <w:t>RD$481,336,965.58</w:t>
            </w:r>
          </w:p>
        </w:tc>
        <w:tc>
          <w:tcPr>
            <w:tcW w:w="58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56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pPr>
            <w:r>
              <w:rPr>
                <w:bCs/>
                <w:color w:val="4B4747"/>
                <w:sz w:val="19"/>
                <w:szCs w:val="19"/>
              </w:rPr>
              <w:t>RD$ 1,000,939,963.22</w:t>
            </w:r>
          </w:p>
        </w:tc>
        <w:tc>
          <w:tcPr>
            <w:tcW w:w="58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98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pPr>
            <w:r>
              <w:rPr>
                <w:bCs/>
                <w:color w:val="4B4747"/>
                <w:sz w:val="19"/>
                <w:szCs w:val="19"/>
              </w:rPr>
              <w:t>RD$ 1,160,499,677.12</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11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pPr>
            <w:r>
              <w:rPr>
                <w:rFonts w:eastAsia="Times New Roman"/>
                <w:color w:val="4B4747"/>
                <w:spacing w:val="0"/>
                <w:sz w:val="19"/>
                <w:szCs w:val="19"/>
                <w:lang w:eastAsia="es-DO"/>
              </w:rPr>
              <w:t>RD$2,642,776,605.92</w:t>
            </w:r>
          </w:p>
        </w:tc>
      </w:tr>
      <w:tr w:rsidR="00184CAB">
        <w:tblPrEx>
          <w:tblCellMar>
            <w:top w:w="0" w:type="dxa"/>
            <w:bottom w:w="0" w:type="dxa"/>
          </w:tblCellMar>
        </w:tblPrEx>
        <w:trPr>
          <w:trHeight w:val="48"/>
          <w:tblHeader/>
        </w:trPr>
        <w:tc>
          <w:tcPr>
            <w:tcW w:w="1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rPr>
                <w:rFonts w:eastAsia="Times New Roman"/>
                <w:color w:val="4B4747"/>
                <w:spacing w:val="0"/>
                <w:sz w:val="19"/>
                <w:szCs w:val="19"/>
                <w:lang w:val="es-DO" w:eastAsia="es-DO"/>
              </w:rPr>
            </w:pPr>
            <w:r>
              <w:rPr>
                <w:rFonts w:eastAsia="Times New Roman"/>
                <w:color w:val="4B4747"/>
                <w:spacing w:val="0"/>
                <w:sz w:val="19"/>
                <w:szCs w:val="19"/>
                <w:lang w:val="es-DO" w:eastAsia="es-DO"/>
              </w:rPr>
              <w:t>Premios de Innovación</w:t>
            </w:r>
          </w:p>
        </w:tc>
        <w:tc>
          <w:tcPr>
            <w:tcW w:w="6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117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58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56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58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98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11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3 galardonados</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3 galardonados</w:t>
            </w:r>
          </w:p>
        </w:tc>
      </w:tr>
      <w:tr w:rsidR="00184CAB">
        <w:tblPrEx>
          <w:tblCellMar>
            <w:top w:w="0" w:type="dxa"/>
            <w:bottom w:w="0" w:type="dxa"/>
          </w:tblCellMar>
        </w:tblPrEx>
        <w:trPr>
          <w:trHeight w:val="48"/>
          <w:tblHeader/>
        </w:trPr>
        <w:tc>
          <w:tcPr>
            <w:tcW w:w="1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rPr>
                <w:rFonts w:eastAsia="Times New Roman"/>
                <w:color w:val="4B4747"/>
                <w:spacing w:val="0"/>
                <w:sz w:val="19"/>
                <w:szCs w:val="19"/>
                <w:lang w:val="es-DO" w:eastAsia="es-DO"/>
              </w:rPr>
            </w:pPr>
            <w:r>
              <w:rPr>
                <w:rFonts w:eastAsia="Times New Roman"/>
                <w:color w:val="4B4747"/>
                <w:spacing w:val="0"/>
                <w:sz w:val="19"/>
                <w:szCs w:val="19"/>
                <w:lang w:val="es-DO" w:eastAsia="es-DO"/>
              </w:rPr>
              <w:t>Inversión</w:t>
            </w:r>
          </w:p>
        </w:tc>
        <w:tc>
          <w:tcPr>
            <w:tcW w:w="6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117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RD$5,273,836.06</w:t>
            </w:r>
          </w:p>
        </w:tc>
        <w:tc>
          <w:tcPr>
            <w:tcW w:w="58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56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RD%3,440,564.59</w:t>
            </w:r>
          </w:p>
        </w:tc>
        <w:tc>
          <w:tcPr>
            <w:tcW w:w="58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98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RD$4,235,670.59</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11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RD$6,600,000.00</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color w:val="4B4747"/>
                <w:sz w:val="19"/>
                <w:szCs w:val="19"/>
              </w:rPr>
            </w:pPr>
            <w:r>
              <w:rPr>
                <w:color w:val="4B4747"/>
                <w:sz w:val="19"/>
                <w:szCs w:val="19"/>
              </w:rPr>
              <w:t>-</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jc w:val="center"/>
              <w:rPr>
                <w:rFonts w:eastAsia="Times New Roman"/>
                <w:color w:val="4B4747"/>
                <w:spacing w:val="0"/>
                <w:sz w:val="19"/>
                <w:szCs w:val="19"/>
                <w:lang w:val="es-DO" w:eastAsia="es-DO"/>
              </w:rPr>
            </w:pPr>
            <w:r>
              <w:rPr>
                <w:rFonts w:eastAsia="Times New Roman"/>
                <w:color w:val="4B4747"/>
                <w:spacing w:val="0"/>
                <w:sz w:val="19"/>
                <w:szCs w:val="19"/>
                <w:lang w:val="es-DO" w:eastAsia="es-DO"/>
              </w:rPr>
              <w:t>RD$19,550,071.24</w:t>
            </w:r>
          </w:p>
        </w:tc>
      </w:tr>
      <w:tr w:rsidR="00184CAB">
        <w:tblPrEx>
          <w:tblCellMar>
            <w:top w:w="0" w:type="dxa"/>
            <w:bottom w:w="0" w:type="dxa"/>
          </w:tblCellMar>
        </w:tblPrEx>
        <w:trPr>
          <w:trHeight w:val="48"/>
          <w:tblHeader/>
        </w:trPr>
        <w:tc>
          <w:tcPr>
            <w:tcW w:w="1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rPr>
                <w:rFonts w:eastAsia="Times New Roman"/>
                <w:color w:val="4B4747"/>
                <w:spacing w:val="0"/>
                <w:sz w:val="19"/>
                <w:szCs w:val="19"/>
                <w:lang w:val="es-DO" w:eastAsia="es-DO"/>
              </w:rPr>
            </w:pPr>
            <w:r>
              <w:rPr>
                <w:rFonts w:eastAsia="Times New Roman"/>
                <w:color w:val="4B4747"/>
                <w:spacing w:val="0"/>
                <w:sz w:val="19"/>
                <w:szCs w:val="19"/>
                <w:lang w:val="es-DO" w:eastAsia="es-DO"/>
              </w:rPr>
              <w:t xml:space="preserve">Cumplimiento de requerimientos </w:t>
            </w:r>
            <w:proofErr w:type="spellStart"/>
            <w:r>
              <w:rPr>
                <w:rFonts w:eastAsia="Times New Roman"/>
                <w:color w:val="4B4747"/>
                <w:spacing w:val="0"/>
                <w:sz w:val="19"/>
                <w:szCs w:val="19"/>
                <w:lang w:val="es-DO" w:eastAsia="es-DO"/>
              </w:rPr>
              <w:t>ITICge</w:t>
            </w:r>
            <w:proofErr w:type="spellEnd"/>
          </w:p>
        </w:tc>
        <w:tc>
          <w:tcPr>
            <w:tcW w:w="6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jc w:val="center"/>
              <w:rPr>
                <w:color w:val="4B4747"/>
                <w:sz w:val="19"/>
                <w:szCs w:val="19"/>
              </w:rPr>
            </w:pPr>
            <w:r>
              <w:rPr>
                <w:color w:val="4B4747"/>
                <w:sz w:val="19"/>
                <w:szCs w:val="19"/>
              </w:rPr>
              <w:t>8.33%</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jc w:val="center"/>
              <w:rPr>
                <w:color w:val="4B4747"/>
                <w:sz w:val="19"/>
                <w:szCs w:val="19"/>
              </w:rPr>
            </w:pPr>
            <w:r>
              <w:rPr>
                <w:color w:val="4B4747"/>
                <w:sz w:val="19"/>
                <w:szCs w:val="19"/>
              </w:rPr>
              <w:t>8.33%</w:t>
            </w:r>
          </w:p>
        </w:tc>
        <w:tc>
          <w:tcPr>
            <w:tcW w:w="117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jc w:val="center"/>
              <w:rPr>
                <w:color w:val="4B4747"/>
                <w:sz w:val="19"/>
                <w:szCs w:val="19"/>
              </w:rPr>
            </w:pPr>
            <w:r>
              <w:rPr>
                <w:color w:val="4B4747"/>
                <w:sz w:val="19"/>
                <w:szCs w:val="19"/>
              </w:rPr>
              <w:t>8.33%</w:t>
            </w:r>
          </w:p>
        </w:tc>
        <w:tc>
          <w:tcPr>
            <w:tcW w:w="58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jc w:val="center"/>
              <w:rPr>
                <w:color w:val="4B4747"/>
                <w:sz w:val="19"/>
                <w:szCs w:val="19"/>
              </w:rPr>
            </w:pPr>
            <w:r>
              <w:rPr>
                <w:color w:val="4B4747"/>
                <w:sz w:val="19"/>
                <w:szCs w:val="19"/>
              </w:rPr>
              <w:t>8.33%</w:t>
            </w:r>
          </w:p>
        </w:tc>
        <w:tc>
          <w:tcPr>
            <w:tcW w:w="56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jc w:val="center"/>
              <w:rPr>
                <w:color w:val="4B4747"/>
                <w:sz w:val="19"/>
                <w:szCs w:val="19"/>
              </w:rPr>
            </w:pPr>
            <w:r>
              <w:rPr>
                <w:color w:val="4B4747"/>
                <w:sz w:val="19"/>
                <w:szCs w:val="19"/>
              </w:rPr>
              <w:t>8.33%</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jc w:val="center"/>
              <w:rPr>
                <w:color w:val="4B4747"/>
                <w:sz w:val="19"/>
                <w:szCs w:val="19"/>
              </w:rPr>
            </w:pPr>
            <w:r>
              <w:rPr>
                <w:color w:val="4B4747"/>
                <w:sz w:val="19"/>
                <w:szCs w:val="19"/>
              </w:rPr>
              <w:t>8.33%</w:t>
            </w:r>
          </w:p>
        </w:tc>
        <w:tc>
          <w:tcPr>
            <w:tcW w:w="58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jc w:val="center"/>
              <w:rPr>
                <w:color w:val="4B4747"/>
                <w:sz w:val="19"/>
                <w:szCs w:val="19"/>
              </w:rPr>
            </w:pPr>
            <w:r>
              <w:rPr>
                <w:color w:val="4B4747"/>
                <w:sz w:val="19"/>
                <w:szCs w:val="19"/>
              </w:rPr>
              <w:t>8.33%</w:t>
            </w:r>
          </w:p>
        </w:tc>
        <w:tc>
          <w:tcPr>
            <w:tcW w:w="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jc w:val="center"/>
              <w:rPr>
                <w:color w:val="4B4747"/>
                <w:sz w:val="19"/>
                <w:szCs w:val="19"/>
              </w:rPr>
            </w:pPr>
            <w:r>
              <w:rPr>
                <w:color w:val="4B4747"/>
                <w:sz w:val="19"/>
                <w:szCs w:val="19"/>
              </w:rPr>
              <w:t>8.33%</w:t>
            </w:r>
          </w:p>
        </w:tc>
        <w:tc>
          <w:tcPr>
            <w:tcW w:w="98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jc w:val="center"/>
              <w:rPr>
                <w:color w:val="4B4747"/>
                <w:sz w:val="19"/>
                <w:szCs w:val="19"/>
              </w:rPr>
            </w:pPr>
            <w:r>
              <w:rPr>
                <w:color w:val="4B4747"/>
                <w:sz w:val="19"/>
                <w:szCs w:val="19"/>
              </w:rPr>
              <w:t>8.33%</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jc w:val="center"/>
              <w:rPr>
                <w:color w:val="4B4747"/>
                <w:sz w:val="19"/>
                <w:szCs w:val="19"/>
              </w:rPr>
            </w:pPr>
            <w:r>
              <w:rPr>
                <w:color w:val="4B4747"/>
                <w:sz w:val="19"/>
                <w:szCs w:val="19"/>
              </w:rPr>
              <w:t>8.33%</w:t>
            </w:r>
          </w:p>
        </w:tc>
        <w:tc>
          <w:tcPr>
            <w:tcW w:w="11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jc w:val="center"/>
              <w:rPr>
                <w:color w:val="4B4747"/>
                <w:sz w:val="19"/>
                <w:szCs w:val="19"/>
              </w:rPr>
            </w:pPr>
            <w:r>
              <w:rPr>
                <w:color w:val="4B4747"/>
                <w:sz w:val="19"/>
                <w:szCs w:val="19"/>
              </w:rPr>
              <w:t>8.33%</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jc w:val="center"/>
              <w:rPr>
                <w:color w:val="4B4747"/>
                <w:sz w:val="19"/>
                <w:szCs w:val="19"/>
              </w:rPr>
            </w:pPr>
            <w:r>
              <w:rPr>
                <w:color w:val="4B4747"/>
                <w:sz w:val="19"/>
                <w:szCs w:val="19"/>
              </w:rPr>
              <w:t>8.33%</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jc w:val="center"/>
              <w:rPr>
                <w:color w:val="4B4747"/>
                <w:sz w:val="19"/>
                <w:szCs w:val="19"/>
              </w:rPr>
            </w:pPr>
            <w:r>
              <w:rPr>
                <w:color w:val="4B4747"/>
                <w:sz w:val="19"/>
                <w:szCs w:val="19"/>
              </w:rPr>
              <w:t>100%</w:t>
            </w:r>
          </w:p>
        </w:tc>
      </w:tr>
      <w:tr w:rsidR="00184CAB">
        <w:tblPrEx>
          <w:tblCellMar>
            <w:top w:w="0" w:type="dxa"/>
            <w:bottom w:w="0" w:type="dxa"/>
          </w:tblCellMar>
        </w:tblPrEx>
        <w:trPr>
          <w:trHeight w:val="48"/>
          <w:tblHeader/>
        </w:trPr>
        <w:tc>
          <w:tcPr>
            <w:tcW w:w="1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after="0" w:line="240" w:lineRule="auto"/>
              <w:rPr>
                <w:rFonts w:eastAsia="Times New Roman"/>
                <w:color w:val="4B4747"/>
                <w:spacing w:val="0"/>
                <w:sz w:val="19"/>
                <w:szCs w:val="19"/>
                <w:lang w:val="es-DO" w:eastAsia="es-DO"/>
              </w:rPr>
            </w:pPr>
            <w:r>
              <w:rPr>
                <w:rFonts w:eastAsia="Times New Roman"/>
                <w:color w:val="4B4747"/>
                <w:spacing w:val="0"/>
                <w:sz w:val="19"/>
                <w:szCs w:val="19"/>
                <w:lang w:val="es-DO" w:eastAsia="es-DO"/>
              </w:rPr>
              <w:t>Inversión</w:t>
            </w:r>
          </w:p>
        </w:tc>
        <w:tc>
          <w:tcPr>
            <w:tcW w:w="6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jc w:val="center"/>
            </w:pPr>
            <w:r>
              <w:rPr>
                <w:color w:val="4B4747"/>
                <w:sz w:val="19"/>
                <w:szCs w:val="19"/>
              </w:rPr>
              <w:t>N/A</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N/A</w:t>
            </w:r>
          </w:p>
        </w:tc>
        <w:tc>
          <w:tcPr>
            <w:tcW w:w="117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N/A</w:t>
            </w:r>
          </w:p>
        </w:tc>
        <w:tc>
          <w:tcPr>
            <w:tcW w:w="58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N/A</w:t>
            </w:r>
          </w:p>
        </w:tc>
        <w:tc>
          <w:tcPr>
            <w:tcW w:w="56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N/A</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N/A</w:t>
            </w:r>
          </w:p>
        </w:tc>
        <w:tc>
          <w:tcPr>
            <w:tcW w:w="58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N/A</w:t>
            </w:r>
          </w:p>
        </w:tc>
        <w:tc>
          <w:tcPr>
            <w:tcW w:w="71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N/A</w:t>
            </w:r>
          </w:p>
        </w:tc>
        <w:tc>
          <w:tcPr>
            <w:tcW w:w="98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N/A</w:t>
            </w:r>
          </w:p>
        </w:tc>
        <w:tc>
          <w:tcPr>
            <w:tcW w:w="10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N/A</w:t>
            </w:r>
          </w:p>
        </w:tc>
        <w:tc>
          <w:tcPr>
            <w:tcW w:w="119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N/A</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N/A</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184CAB" w:rsidRDefault="002B1930">
            <w:pPr>
              <w:spacing w:line="240" w:lineRule="auto"/>
              <w:jc w:val="center"/>
              <w:rPr>
                <w:color w:val="4B4747"/>
                <w:sz w:val="19"/>
                <w:szCs w:val="19"/>
              </w:rPr>
            </w:pPr>
            <w:r>
              <w:rPr>
                <w:color w:val="4B4747"/>
                <w:sz w:val="19"/>
                <w:szCs w:val="19"/>
              </w:rPr>
              <w:t>N/A</w:t>
            </w:r>
          </w:p>
        </w:tc>
      </w:tr>
    </w:tbl>
    <w:p w:rsidR="00184CAB" w:rsidRDefault="002B1930">
      <w:pPr>
        <w:spacing w:after="0" w:line="240" w:lineRule="auto"/>
      </w:pPr>
      <w:r>
        <w:rPr>
          <w:i/>
          <w:color w:val="4B4747"/>
          <w:sz w:val="18"/>
          <w:szCs w:val="18"/>
        </w:rPr>
        <w:t xml:space="preserve">Fuente: Informes de gestión del </w:t>
      </w:r>
      <w:r>
        <w:rPr>
          <w:i/>
          <w:color w:val="4B4747"/>
          <w:sz w:val="18"/>
          <w:szCs w:val="18"/>
        </w:rPr>
        <w:t>Viceministerio de Gestión Social y Comunitaria 2025; Informe de gestión del Viceministerio de Innovación, Transparencia y Atención Ciudadana, Informe anual de la Dirección de Transformación Digital, 2025.</w:t>
      </w:r>
    </w:p>
    <w:sectPr w:rsidR="00184CAB">
      <w:headerReference w:type="default" r:id="rId76"/>
      <w:footerReference w:type="default" r:id="rId77"/>
      <w:pgSz w:w="15840" w:h="12240" w:orient="landscape"/>
      <w:pgMar w:top="2160" w:right="1440" w:bottom="21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1930" w:rsidRDefault="002B1930">
      <w:pPr>
        <w:spacing w:after="0" w:line="240" w:lineRule="auto"/>
      </w:pPr>
      <w:r>
        <w:separator/>
      </w:r>
    </w:p>
  </w:endnote>
  <w:endnote w:type="continuationSeparator" w:id="0">
    <w:p w:rsidR="002B1930" w:rsidRDefault="002B1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C09" w:rsidRDefault="002B1930">
    <w:pPr>
      <w:pBdr>
        <w:top w:val="single" w:sz="2" w:space="31" w:color="FFFFFF" w:shadow="1"/>
        <w:left w:val="single" w:sz="2" w:space="31" w:color="FFFFFF" w:shadow="1"/>
        <w:bottom w:val="single" w:sz="2" w:space="31" w:color="FFFFFF" w:shadow="1"/>
        <w:right w:val="single" w:sz="2" w:space="0" w:color="FFFFFF" w:shadow="1"/>
      </w:pBdr>
      <w:shd w:val="clear" w:color="auto" w:fill="FFFFFF"/>
      <w:tabs>
        <w:tab w:val="center" w:pos="4680"/>
        <w:tab w:val="right" w:pos="9360"/>
      </w:tabs>
      <w:spacing w:after="0" w:line="240" w:lineRule="auto"/>
    </w:pPr>
    <w:r>
      <w:t xml:space="preserve">                                               </w:t>
    </w:r>
    <w:r>
      <w:fldChar w:fldCharType="begin"/>
    </w:r>
    <w:r>
      <w:instrText xml:space="preserve"> PAGE </w:instrText>
    </w:r>
    <w:r>
      <w:fldChar w:fldCharType="separate"/>
    </w:r>
    <w:r>
      <w:t>4</w:t>
    </w:r>
    <w:r>
      <w:fldChar w:fldCharType="end"/>
    </w:r>
    <w:r>
      <w:rPr>
        <w:noProof/>
      </w:rPr>
      <w:drawing>
        <wp:anchor distT="0" distB="0" distL="114300" distR="114300" simplePos="0" relativeHeight="251659264" behindDoc="0" locked="0" layoutInCell="1" allowOverlap="1">
          <wp:simplePos x="0" y="0"/>
          <wp:positionH relativeFrom="column">
            <wp:posOffset>1016639</wp:posOffset>
          </wp:positionH>
          <wp:positionV relativeFrom="paragraph">
            <wp:posOffset>-460372</wp:posOffset>
          </wp:positionV>
          <wp:extent cx="2995931" cy="408307"/>
          <wp:effectExtent l="0" t="0" r="0" b="0"/>
          <wp:wrapTopAndBottom/>
          <wp:docPr id="1" name="image2.jp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995931" cy="408307"/>
                  </a:xfrm>
                  <a:prstGeom prst="rect">
                    <a:avLst/>
                  </a:prstGeom>
                  <a:noFill/>
                  <a:ln>
                    <a:noFill/>
                    <a:prstDash/>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C09" w:rsidRDefault="002B1930">
    <w:pPr>
      <w:pBdr>
        <w:top w:val="single" w:sz="2" w:space="31" w:color="FFFFFF" w:shadow="1"/>
        <w:left w:val="single" w:sz="2" w:space="31" w:color="FFFFFF" w:shadow="1"/>
        <w:bottom w:val="single" w:sz="2" w:space="31" w:color="FFFFFF" w:shadow="1"/>
        <w:right w:val="single" w:sz="2" w:space="0" w:color="FFFFFF" w:shadow="1"/>
      </w:pBdr>
      <w:shd w:val="clear" w:color="auto" w:fill="FFFFFF"/>
      <w:tabs>
        <w:tab w:val="center" w:pos="4680"/>
        <w:tab w:val="right" w:pos="9360"/>
      </w:tabs>
      <w:spacing w:after="0" w:line="240" w:lineRule="auto"/>
    </w:pPr>
    <w:r>
      <w:t xml:space="preserve">                                               </w:t>
    </w:r>
    <w:r>
      <w:fldChar w:fldCharType="begin"/>
    </w:r>
    <w:r>
      <w:instrText xml:space="preserve"> PAGE </w:instrText>
    </w:r>
    <w:r>
      <w:fldChar w:fldCharType="separate"/>
    </w:r>
    <w:r>
      <w:t>4</w:t>
    </w:r>
    <w:r>
      <w:fldChar w:fldCharType="end"/>
    </w:r>
    <w:r>
      <w:rPr>
        <w:noProof/>
      </w:rPr>
      <w:drawing>
        <wp:anchor distT="0" distB="0" distL="114300" distR="114300" simplePos="0" relativeHeight="251661312" behindDoc="0" locked="0" layoutInCell="1" allowOverlap="1">
          <wp:simplePos x="0" y="0"/>
          <wp:positionH relativeFrom="column">
            <wp:posOffset>1016639</wp:posOffset>
          </wp:positionH>
          <wp:positionV relativeFrom="paragraph">
            <wp:posOffset>-460372</wp:posOffset>
          </wp:positionV>
          <wp:extent cx="2995931" cy="408307"/>
          <wp:effectExtent l="0" t="0" r="0" b="0"/>
          <wp:wrapTopAndBottom/>
          <wp:docPr id="2" name="image2.jp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995931" cy="408307"/>
                  </a:xfrm>
                  <a:prstGeom prst="rect">
                    <a:avLst/>
                  </a:prstGeom>
                  <a:noFill/>
                  <a:ln>
                    <a:noFill/>
                    <a:prstDash/>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C09" w:rsidRDefault="002B1930">
    <w:pPr>
      <w:pBdr>
        <w:top w:val="single" w:sz="2" w:space="31" w:color="FFFFFF" w:shadow="1"/>
        <w:left w:val="single" w:sz="2" w:space="31" w:color="FFFFFF" w:shadow="1"/>
        <w:bottom w:val="single" w:sz="2" w:space="31" w:color="FFFFFF" w:shadow="1"/>
        <w:right w:val="single" w:sz="2" w:space="0" w:color="FFFFFF" w:shadow="1"/>
      </w:pBdr>
      <w:shd w:val="clear" w:color="auto" w:fill="FFFFFF"/>
      <w:tabs>
        <w:tab w:val="center" w:pos="4680"/>
        <w:tab w:val="right" w:pos="9360"/>
      </w:tabs>
      <w:spacing w:after="0" w:line="240" w:lineRule="auto"/>
    </w:pPr>
    <w:r>
      <w:t xml:space="preserve">                                               </w:t>
    </w:r>
    <w:r>
      <w:fldChar w:fldCharType="begin"/>
    </w:r>
    <w:r>
      <w:instrText xml:space="preserve"> PAGE </w:instrText>
    </w:r>
    <w:r>
      <w:fldChar w:fldCharType="separate"/>
    </w:r>
    <w:r>
      <w:t>4</w:t>
    </w:r>
    <w:r>
      <w:fldChar w:fldCharType="end"/>
    </w:r>
    <w:r>
      <w:rPr>
        <w:noProof/>
      </w:rPr>
      <w:drawing>
        <wp:anchor distT="0" distB="0" distL="114300" distR="114300" simplePos="0" relativeHeight="251663360" behindDoc="0" locked="0" layoutInCell="1" allowOverlap="1">
          <wp:simplePos x="0" y="0"/>
          <wp:positionH relativeFrom="column">
            <wp:posOffset>1016639</wp:posOffset>
          </wp:positionH>
          <wp:positionV relativeFrom="paragraph">
            <wp:posOffset>-460372</wp:posOffset>
          </wp:positionV>
          <wp:extent cx="2995931" cy="408307"/>
          <wp:effectExtent l="0" t="0" r="0" b="0"/>
          <wp:wrapTopAndBottom/>
          <wp:docPr id="3" name="image2.jp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995931" cy="408307"/>
                  </a:xfrm>
                  <a:prstGeom prst="rect">
                    <a:avLst/>
                  </a:prstGeom>
                  <a:noFill/>
                  <a:ln>
                    <a:noFill/>
                    <a:prstDash/>
                  </a:ln>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C09" w:rsidRDefault="002B1930">
    <w:pPr>
      <w:pBdr>
        <w:top w:val="single" w:sz="2" w:space="31" w:color="FFFFFF" w:shadow="1"/>
        <w:left w:val="single" w:sz="2" w:space="31" w:color="FFFFFF" w:shadow="1"/>
        <w:bottom w:val="single" w:sz="2" w:space="31" w:color="FFFFFF" w:shadow="1"/>
        <w:right w:val="single" w:sz="2" w:space="31" w:color="FFFFFF" w:shadow="1"/>
      </w:pBdr>
      <w:tabs>
        <w:tab w:val="center" w:pos="4680"/>
        <w:tab w:val="right" w:pos="9360"/>
      </w:tabs>
      <w:spacing w:after="0" w:line="240" w:lineRule="auto"/>
    </w:pPr>
    <w:r>
      <w:t xml:space="preserve">                                               </w:t>
    </w:r>
    <w:r>
      <w:fldChar w:fldCharType="begin"/>
    </w:r>
    <w:r>
      <w:instrText xml:space="preserve"> PAGE </w:instrText>
    </w:r>
    <w:r>
      <w:fldChar w:fldCharType="separate"/>
    </w:r>
    <w:r>
      <w:t>4</w:t>
    </w:r>
    <w:r>
      <w:fldChar w:fldCharType="end"/>
    </w:r>
    <w:r>
      <w:rPr>
        <w:noProof/>
      </w:rPr>
      <w:drawing>
        <wp:anchor distT="0" distB="0" distL="114300" distR="114300" simplePos="0" relativeHeight="251665408" behindDoc="0" locked="0" layoutInCell="1" allowOverlap="1">
          <wp:simplePos x="0" y="0"/>
          <wp:positionH relativeFrom="column">
            <wp:posOffset>1016639</wp:posOffset>
          </wp:positionH>
          <wp:positionV relativeFrom="paragraph">
            <wp:posOffset>-460372</wp:posOffset>
          </wp:positionV>
          <wp:extent cx="2995931" cy="408307"/>
          <wp:effectExtent l="0" t="0" r="0" b="0"/>
          <wp:wrapTopAndBottom/>
          <wp:docPr id="4" name="image2.jp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995931" cy="408307"/>
                  </a:xfrm>
                  <a:prstGeom prst="rect">
                    <a:avLst/>
                  </a:prstGeom>
                  <a:noFill/>
                  <a:ln>
                    <a:noFill/>
                    <a:prstDash/>
                  </a:ln>
                </pic:spPr>
              </pic:pic>
            </a:graphicData>
          </a:graphic>
        </wp:anchor>
      </w:drawing>
    </w:r>
  </w:p>
  <w:p w:rsidR="00A72C09" w:rsidRDefault="002B1930">
    <w:pPr>
      <w:pBdr>
        <w:top w:val="single" w:sz="2" w:space="31" w:color="FFFFFF" w:shadow="1"/>
        <w:left w:val="single" w:sz="2" w:space="31" w:color="FFFFFF" w:shadow="1"/>
        <w:bottom w:val="single" w:sz="2" w:space="31" w:color="FFFFFF" w:shadow="1"/>
        <w:right w:val="single" w:sz="2" w:space="31" w:color="FFFFFF" w:shadow="1"/>
      </w:pBdr>
      <w:tabs>
        <w:tab w:val="center" w:pos="4680"/>
        <w:tab w:val="right" w:pos="9360"/>
      </w:tabs>
      <w:spacing w:after="0" w:line="240" w:lineRule="auto"/>
      <w:rPr>
        <w:color w:val="595959"/>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C09" w:rsidRDefault="002B1930">
    <w:pPr>
      <w:pBdr>
        <w:top w:val="single" w:sz="2" w:space="31" w:color="FFFFFF" w:shadow="1"/>
        <w:left w:val="single" w:sz="2" w:space="31" w:color="FFFFFF" w:shadow="1"/>
        <w:bottom w:val="single" w:sz="2" w:space="31" w:color="FFFFFF" w:shadow="1"/>
        <w:right w:val="single" w:sz="2" w:space="31" w:color="FFFFFF" w:shadow="1"/>
      </w:pBdr>
      <w:tabs>
        <w:tab w:val="center" w:pos="4680"/>
        <w:tab w:val="right" w:pos="9360"/>
      </w:tabs>
      <w:spacing w:after="0" w:line="240" w:lineRule="auto"/>
    </w:pPr>
    <w:r>
      <w:rPr>
        <w:noProof/>
      </w:rPr>
      <w:drawing>
        <wp:anchor distT="0" distB="0" distL="114300" distR="114300" simplePos="0" relativeHeight="251667456" behindDoc="0" locked="0" layoutInCell="1" allowOverlap="1">
          <wp:simplePos x="0" y="0"/>
          <wp:positionH relativeFrom="column">
            <wp:posOffset>2150111</wp:posOffset>
          </wp:positionH>
          <wp:positionV relativeFrom="paragraph">
            <wp:posOffset>-412110</wp:posOffset>
          </wp:positionV>
          <wp:extent cx="2995931" cy="408307"/>
          <wp:effectExtent l="0" t="0" r="0" b="0"/>
          <wp:wrapTopAndBottom/>
          <wp:docPr id="5" name="image2.jp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995931" cy="408307"/>
                  </a:xfrm>
                  <a:prstGeom prst="rect">
                    <a:avLst/>
                  </a:prstGeom>
                  <a:noFill/>
                  <a:ln>
                    <a:noFill/>
                    <a:prstDash/>
                  </a:ln>
                </pic:spPr>
              </pic:pic>
            </a:graphicData>
          </a:graphic>
        </wp:anchor>
      </w:drawing>
    </w:r>
    <w:r>
      <w:t xml:space="preserve">                                               </w:t>
    </w:r>
    <w:r>
      <w:fldChar w:fldCharType="begin"/>
    </w:r>
    <w:r>
      <w:instrText xml:space="preserve"> PAGE </w:instrText>
    </w:r>
    <w:r>
      <w:fldChar w:fldCharType="separate"/>
    </w:r>
    <w:r>
      <w:t>4</w:t>
    </w:r>
    <w:r>
      <w:fldChar w:fldCharType="end"/>
    </w:r>
  </w:p>
  <w:p w:rsidR="00A72C09" w:rsidRDefault="002B1930">
    <w:pPr>
      <w:pBdr>
        <w:top w:val="single" w:sz="2" w:space="31" w:color="FFFFFF" w:shadow="1"/>
        <w:left w:val="single" w:sz="2" w:space="31" w:color="FFFFFF" w:shadow="1"/>
        <w:bottom w:val="single" w:sz="2" w:space="31" w:color="FFFFFF" w:shadow="1"/>
        <w:right w:val="single" w:sz="2" w:space="31" w:color="FFFFFF" w:shadow="1"/>
      </w:pBdr>
      <w:tabs>
        <w:tab w:val="center" w:pos="4680"/>
        <w:tab w:val="right" w:pos="9360"/>
      </w:tabs>
      <w:spacing w:after="0" w:line="240" w:lineRule="auto"/>
      <w:rPr>
        <w:color w:val="595959"/>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C09" w:rsidRDefault="002B1930">
    <w:pPr>
      <w:pStyle w:val="Piedepgina"/>
      <w:jc w:val="center"/>
    </w:pPr>
    <w:r>
      <w:rPr>
        <w:noProof/>
      </w:rPr>
      <w:drawing>
        <wp:anchor distT="0" distB="0" distL="114300" distR="114300" simplePos="0" relativeHeight="251669504" behindDoc="0" locked="0" layoutInCell="1" allowOverlap="1">
          <wp:simplePos x="0" y="0"/>
          <wp:positionH relativeFrom="column">
            <wp:posOffset>1060795</wp:posOffset>
          </wp:positionH>
          <wp:positionV relativeFrom="paragraph">
            <wp:posOffset>-121916</wp:posOffset>
          </wp:positionV>
          <wp:extent cx="2995931" cy="408307"/>
          <wp:effectExtent l="0" t="0" r="0" b="0"/>
          <wp:wrapSquare wrapText="bothSides"/>
          <wp:docPr id="6" name="Picture 55"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995931" cy="408307"/>
                  </a:xfrm>
                  <a:prstGeom prst="rect">
                    <a:avLst/>
                  </a:prstGeom>
                  <a:noFill/>
                  <a:ln>
                    <a:noFill/>
                    <a:prstDash/>
                  </a:ln>
                </pic:spPr>
              </pic:pic>
            </a:graphicData>
          </a:graphic>
        </wp:anchor>
      </w:drawing>
    </w:r>
  </w:p>
  <w:p w:rsidR="00A72C09" w:rsidRDefault="002B1930">
    <w:pPr>
      <w:pStyle w:val="Piedepgina"/>
      <w:jc w:val="center"/>
      <w:rPr>
        <w:color w:val="7F7F7F"/>
      </w:rPr>
    </w:pPr>
  </w:p>
  <w:p w:rsidR="00A72C09" w:rsidRDefault="002B1930">
    <w:pPr>
      <w:pStyle w:val="Piedepgina"/>
      <w:jc w:val="center"/>
    </w:pPr>
    <w:r>
      <w:rPr>
        <w:color w:val="7F7F7F"/>
      </w:rPr>
      <w:fldChar w:fldCharType="begin"/>
    </w:r>
    <w:r>
      <w:rPr>
        <w:color w:val="7F7F7F"/>
      </w:rPr>
      <w:instrText xml:space="preserve"> PAGE </w:instrText>
    </w:r>
    <w:r>
      <w:rPr>
        <w:color w:val="7F7F7F"/>
      </w:rPr>
      <w:fldChar w:fldCharType="separate"/>
    </w:r>
    <w:r>
      <w:rPr>
        <w:color w:val="7F7F7F"/>
      </w:rPr>
      <w:t>8</w:t>
    </w:r>
    <w:r>
      <w:rPr>
        <w:color w:val="7F7F7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C09" w:rsidRDefault="002B1930">
    <w:pPr>
      <w:pStyle w:val="Piedepgina"/>
      <w:jc w:val="center"/>
    </w:pPr>
    <w:r>
      <w:rPr>
        <w:noProof/>
      </w:rPr>
      <w:drawing>
        <wp:anchor distT="0" distB="0" distL="114300" distR="114300" simplePos="0" relativeHeight="251671552" behindDoc="0" locked="0" layoutInCell="1" allowOverlap="1">
          <wp:simplePos x="0" y="0"/>
          <wp:positionH relativeFrom="margin">
            <wp:align>center</wp:align>
          </wp:positionH>
          <wp:positionV relativeFrom="paragraph">
            <wp:posOffset>142682</wp:posOffset>
          </wp:positionV>
          <wp:extent cx="2995931" cy="408307"/>
          <wp:effectExtent l="0" t="0" r="0" b="0"/>
          <wp:wrapTight wrapText="bothSides">
            <wp:wrapPolygon edited="0">
              <wp:start x="0" y="0"/>
              <wp:lineTo x="0" y="20155"/>
              <wp:lineTo x="21426" y="20155"/>
              <wp:lineTo x="21426" y="0"/>
              <wp:lineTo x="0" y="0"/>
            </wp:wrapPolygon>
          </wp:wrapTight>
          <wp:docPr id="7" name="Picture 55"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995931" cy="408307"/>
                  </a:xfrm>
                  <a:prstGeom prst="rect">
                    <a:avLst/>
                  </a:prstGeom>
                  <a:noFill/>
                  <a:ln>
                    <a:noFill/>
                    <a:prstDash/>
                  </a:ln>
                </pic:spPr>
              </pic:pic>
            </a:graphicData>
          </a:graphic>
        </wp:anchor>
      </w:drawing>
    </w:r>
  </w:p>
  <w:p w:rsidR="00A72C09" w:rsidRDefault="002B1930">
    <w:pPr>
      <w:pStyle w:val="Piedepgina"/>
      <w:jc w:val="center"/>
      <w:rPr>
        <w:color w:val="7F7F7F"/>
      </w:rPr>
    </w:pPr>
  </w:p>
  <w:tbl>
    <w:tblPr>
      <w:tblW w:w="3617" w:type="dxa"/>
      <w:tblInd w:w="4680" w:type="dxa"/>
      <w:tblCellMar>
        <w:left w:w="10" w:type="dxa"/>
        <w:right w:w="10" w:type="dxa"/>
      </w:tblCellMar>
      <w:tblLook w:val="0000" w:firstRow="0" w:lastRow="0" w:firstColumn="0" w:lastColumn="0" w:noHBand="0" w:noVBand="0"/>
    </w:tblPr>
    <w:tblGrid>
      <w:gridCol w:w="3617"/>
    </w:tblGrid>
    <w:tr w:rsidR="00A72C09">
      <w:tblPrEx>
        <w:tblCellMar>
          <w:top w:w="0" w:type="dxa"/>
          <w:bottom w:w="0" w:type="dxa"/>
        </w:tblCellMar>
      </w:tblPrEx>
      <w:trPr>
        <w:trHeight w:val="606"/>
      </w:trPr>
      <w:tc>
        <w:tcPr>
          <w:tcW w:w="3617" w:type="dxa"/>
          <w:shd w:val="clear" w:color="auto" w:fill="auto"/>
          <w:tcMar>
            <w:top w:w="0" w:type="dxa"/>
            <w:left w:w="108" w:type="dxa"/>
            <w:bottom w:w="0" w:type="dxa"/>
            <w:right w:w="108" w:type="dxa"/>
          </w:tcMar>
          <w:vAlign w:val="center"/>
        </w:tcPr>
        <w:p w:rsidR="00A72C09" w:rsidRDefault="002B1930">
          <w:pPr>
            <w:pStyle w:val="Piedepgina"/>
            <w:jc w:val="center"/>
          </w:pPr>
          <w:r>
            <w:rPr>
              <w:color w:val="7F7F7F"/>
            </w:rPr>
            <w:fldChar w:fldCharType="begin"/>
          </w:r>
          <w:r>
            <w:rPr>
              <w:color w:val="7F7F7F"/>
            </w:rPr>
            <w:instrText xml:space="preserve"> PAGE </w:instrText>
          </w:r>
          <w:r>
            <w:rPr>
              <w:color w:val="7F7F7F"/>
            </w:rPr>
            <w:fldChar w:fldCharType="separate"/>
          </w:r>
          <w:r>
            <w:rPr>
              <w:color w:val="7F7F7F"/>
            </w:rPr>
            <w:t>111</w:t>
          </w:r>
          <w:r>
            <w:rPr>
              <w:color w:val="7F7F7F"/>
            </w:rPr>
            <w:fldChar w:fldCharType="end"/>
          </w:r>
        </w:p>
      </w:tc>
    </w:tr>
  </w:tbl>
  <w:p w:rsidR="00A72C09" w:rsidRDefault="002B1930">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C09" w:rsidRDefault="002B1930">
    <w:pPr>
      <w:pStyle w:val="Piedepgina"/>
      <w:jc w:val="center"/>
    </w:pPr>
    <w:r>
      <w:rPr>
        <w:noProof/>
      </w:rPr>
      <w:drawing>
        <wp:anchor distT="0" distB="0" distL="114300" distR="114300" simplePos="0" relativeHeight="251673600" behindDoc="0" locked="0" layoutInCell="1" allowOverlap="1">
          <wp:simplePos x="0" y="0"/>
          <wp:positionH relativeFrom="margin">
            <wp:align>center</wp:align>
          </wp:positionH>
          <wp:positionV relativeFrom="paragraph">
            <wp:posOffset>142682</wp:posOffset>
          </wp:positionV>
          <wp:extent cx="2995931" cy="408307"/>
          <wp:effectExtent l="0" t="0" r="0" b="0"/>
          <wp:wrapTight wrapText="bothSides">
            <wp:wrapPolygon edited="0">
              <wp:start x="0" y="0"/>
              <wp:lineTo x="0" y="20155"/>
              <wp:lineTo x="21426" y="20155"/>
              <wp:lineTo x="21426" y="0"/>
              <wp:lineTo x="0" y="0"/>
            </wp:wrapPolygon>
          </wp:wrapTight>
          <wp:docPr id="8" name="Picture 55"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995931" cy="408307"/>
                  </a:xfrm>
                  <a:prstGeom prst="rect">
                    <a:avLst/>
                  </a:prstGeom>
                  <a:noFill/>
                  <a:ln>
                    <a:noFill/>
                    <a:prstDash/>
                  </a:ln>
                </pic:spPr>
              </pic:pic>
            </a:graphicData>
          </a:graphic>
        </wp:anchor>
      </w:drawing>
    </w:r>
  </w:p>
  <w:p w:rsidR="00A72C09" w:rsidRDefault="002B1930">
    <w:pPr>
      <w:pStyle w:val="Piedepgina"/>
      <w:jc w:val="center"/>
      <w:rPr>
        <w:color w:val="7F7F7F"/>
      </w:rPr>
    </w:pPr>
  </w:p>
  <w:tbl>
    <w:tblPr>
      <w:tblW w:w="3617" w:type="dxa"/>
      <w:tblInd w:w="2156" w:type="dxa"/>
      <w:tblCellMar>
        <w:left w:w="10" w:type="dxa"/>
        <w:right w:w="10" w:type="dxa"/>
      </w:tblCellMar>
      <w:tblLook w:val="0000" w:firstRow="0" w:lastRow="0" w:firstColumn="0" w:lastColumn="0" w:noHBand="0" w:noVBand="0"/>
    </w:tblPr>
    <w:tblGrid>
      <w:gridCol w:w="3617"/>
    </w:tblGrid>
    <w:tr w:rsidR="00A72C09">
      <w:tblPrEx>
        <w:tblCellMar>
          <w:top w:w="0" w:type="dxa"/>
          <w:bottom w:w="0" w:type="dxa"/>
        </w:tblCellMar>
      </w:tblPrEx>
      <w:trPr>
        <w:trHeight w:val="606"/>
      </w:trPr>
      <w:tc>
        <w:tcPr>
          <w:tcW w:w="3617" w:type="dxa"/>
          <w:shd w:val="clear" w:color="auto" w:fill="auto"/>
          <w:tcMar>
            <w:top w:w="0" w:type="dxa"/>
            <w:left w:w="108" w:type="dxa"/>
            <w:bottom w:w="0" w:type="dxa"/>
            <w:right w:w="108" w:type="dxa"/>
          </w:tcMar>
          <w:vAlign w:val="center"/>
        </w:tcPr>
        <w:p w:rsidR="00A72C09" w:rsidRDefault="002B1930">
          <w:pPr>
            <w:pStyle w:val="Piedepgina"/>
            <w:jc w:val="center"/>
          </w:pPr>
          <w:r>
            <w:rPr>
              <w:color w:val="7F7F7F"/>
            </w:rPr>
            <w:fldChar w:fldCharType="begin"/>
          </w:r>
          <w:r>
            <w:rPr>
              <w:color w:val="7F7F7F"/>
            </w:rPr>
            <w:instrText xml:space="preserve"> PAGE </w:instrText>
          </w:r>
          <w:r>
            <w:rPr>
              <w:color w:val="7F7F7F"/>
            </w:rPr>
            <w:fldChar w:fldCharType="separate"/>
          </w:r>
          <w:r>
            <w:rPr>
              <w:color w:val="7F7F7F"/>
            </w:rPr>
            <w:t>111</w:t>
          </w:r>
          <w:r>
            <w:rPr>
              <w:color w:val="7F7F7F"/>
            </w:rPr>
            <w:fldChar w:fldCharType="end"/>
          </w:r>
        </w:p>
      </w:tc>
    </w:tr>
  </w:tbl>
  <w:p w:rsidR="00A72C09" w:rsidRDefault="002B1930">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C09" w:rsidRDefault="002B1930">
    <w:pPr>
      <w:pStyle w:val="Piedepgina"/>
      <w:jc w:val="center"/>
    </w:pPr>
    <w:r>
      <w:rPr>
        <w:noProof/>
      </w:rPr>
      <w:drawing>
        <wp:anchor distT="0" distB="0" distL="114300" distR="114300" simplePos="0" relativeHeight="251675648" behindDoc="0" locked="0" layoutInCell="1" allowOverlap="1">
          <wp:simplePos x="0" y="0"/>
          <wp:positionH relativeFrom="margin">
            <wp:align>center</wp:align>
          </wp:positionH>
          <wp:positionV relativeFrom="paragraph">
            <wp:posOffset>-51709</wp:posOffset>
          </wp:positionV>
          <wp:extent cx="2995931" cy="408307"/>
          <wp:effectExtent l="0" t="0" r="0" b="0"/>
          <wp:wrapSquare wrapText="bothSides"/>
          <wp:docPr id="9" name="Picture 55"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995931" cy="408307"/>
                  </a:xfrm>
                  <a:prstGeom prst="rect">
                    <a:avLst/>
                  </a:prstGeom>
                  <a:noFill/>
                  <a:ln>
                    <a:noFill/>
                    <a:prstDash/>
                  </a:ln>
                </pic:spPr>
              </pic:pic>
            </a:graphicData>
          </a:graphic>
        </wp:anchor>
      </w:drawing>
    </w:r>
  </w:p>
  <w:tbl>
    <w:tblPr>
      <w:tblW w:w="12950" w:type="dxa"/>
      <w:tblCellMar>
        <w:left w:w="10" w:type="dxa"/>
        <w:right w:w="10" w:type="dxa"/>
      </w:tblCellMar>
      <w:tblLook w:val="0000" w:firstRow="0" w:lastRow="0" w:firstColumn="0" w:lastColumn="0" w:noHBand="0" w:noVBand="0"/>
    </w:tblPr>
    <w:tblGrid>
      <w:gridCol w:w="12950"/>
    </w:tblGrid>
    <w:tr w:rsidR="00A72C09">
      <w:tblPrEx>
        <w:tblCellMar>
          <w:top w:w="0" w:type="dxa"/>
          <w:bottom w:w="0" w:type="dxa"/>
        </w:tblCellMar>
      </w:tblPrEx>
      <w:tc>
        <w:tcPr>
          <w:tcW w:w="12950" w:type="dxa"/>
          <w:shd w:val="clear" w:color="auto" w:fill="auto"/>
          <w:tcMar>
            <w:top w:w="0" w:type="dxa"/>
            <w:left w:w="108" w:type="dxa"/>
            <w:bottom w:w="0" w:type="dxa"/>
            <w:right w:w="108" w:type="dxa"/>
          </w:tcMar>
        </w:tcPr>
        <w:p w:rsidR="00A72C09" w:rsidRDefault="002B1930">
          <w:pPr>
            <w:pStyle w:val="Piedepgina"/>
            <w:tabs>
              <w:tab w:val="clear" w:pos="4680"/>
              <w:tab w:val="center" w:pos="7230"/>
            </w:tabs>
            <w:jc w:val="center"/>
          </w:pPr>
          <w:r>
            <w:rPr>
              <w:color w:val="7F7F7F"/>
            </w:rPr>
            <w:fldChar w:fldCharType="begin"/>
          </w:r>
          <w:r>
            <w:rPr>
              <w:color w:val="7F7F7F"/>
            </w:rPr>
            <w:instrText xml:space="preserve"> PAGE </w:instrText>
          </w:r>
          <w:r>
            <w:rPr>
              <w:color w:val="7F7F7F"/>
            </w:rPr>
            <w:fldChar w:fldCharType="separate"/>
          </w:r>
          <w:r>
            <w:rPr>
              <w:color w:val="7F7F7F"/>
            </w:rPr>
            <w:t>115</w:t>
          </w:r>
          <w:r>
            <w:rPr>
              <w:color w:val="7F7F7F"/>
            </w:rPr>
            <w:fldChar w:fldCharType="end"/>
          </w:r>
        </w:p>
      </w:tc>
    </w:tr>
  </w:tbl>
  <w:p w:rsidR="00A72C09" w:rsidRDefault="002B19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1930" w:rsidRDefault="002B1930">
      <w:pPr>
        <w:spacing w:after="0" w:line="240" w:lineRule="auto"/>
      </w:pPr>
      <w:r>
        <w:separator/>
      </w:r>
    </w:p>
  </w:footnote>
  <w:footnote w:type="continuationSeparator" w:id="0">
    <w:p w:rsidR="002B1930" w:rsidRDefault="002B1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C09" w:rsidRDefault="002B193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C09" w:rsidRDefault="002B193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C09" w:rsidRDefault="002B1930">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C09" w:rsidRDefault="002B193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01E3"/>
    <w:multiLevelType w:val="multilevel"/>
    <w:tmpl w:val="3DECF14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476390"/>
    <w:multiLevelType w:val="multilevel"/>
    <w:tmpl w:val="921CC6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B34E03"/>
    <w:multiLevelType w:val="multilevel"/>
    <w:tmpl w:val="30CA2FE0"/>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sz w:val="20"/>
      </w:rPr>
    </w:lvl>
    <w:lvl w:ilvl="2">
      <w:numFmt w:val="bullet"/>
      <w:lvlText w:val=""/>
      <w:lvlJc w:val="left"/>
      <w:pPr>
        <w:ind w:left="2520" w:hanging="360"/>
      </w:pPr>
      <w:rPr>
        <w:rFonts w:ascii="Wingdings" w:hAnsi="Wingdings"/>
        <w:sz w:val="20"/>
      </w:rPr>
    </w:lvl>
    <w:lvl w:ilvl="3">
      <w:numFmt w:val="bullet"/>
      <w:lvlText w:val=""/>
      <w:lvlJc w:val="left"/>
      <w:pPr>
        <w:ind w:left="3240" w:hanging="360"/>
      </w:pPr>
      <w:rPr>
        <w:rFonts w:ascii="Wingdings" w:hAnsi="Wingdings"/>
        <w:sz w:val="20"/>
      </w:rPr>
    </w:lvl>
    <w:lvl w:ilvl="4">
      <w:numFmt w:val="bullet"/>
      <w:lvlText w:val=""/>
      <w:lvlJc w:val="left"/>
      <w:pPr>
        <w:ind w:left="3960" w:hanging="360"/>
      </w:pPr>
      <w:rPr>
        <w:rFonts w:ascii="Wingdings" w:hAnsi="Wingdings"/>
        <w:sz w:val="20"/>
      </w:rPr>
    </w:lvl>
    <w:lvl w:ilvl="5">
      <w:numFmt w:val="bullet"/>
      <w:lvlText w:val=""/>
      <w:lvlJc w:val="left"/>
      <w:pPr>
        <w:ind w:left="4680" w:hanging="360"/>
      </w:pPr>
      <w:rPr>
        <w:rFonts w:ascii="Wingdings" w:hAnsi="Wingdings"/>
        <w:sz w:val="20"/>
      </w:rPr>
    </w:lvl>
    <w:lvl w:ilvl="6">
      <w:numFmt w:val="bullet"/>
      <w:lvlText w:val=""/>
      <w:lvlJc w:val="left"/>
      <w:pPr>
        <w:ind w:left="5400" w:hanging="360"/>
      </w:pPr>
      <w:rPr>
        <w:rFonts w:ascii="Wingdings" w:hAnsi="Wingdings"/>
        <w:sz w:val="20"/>
      </w:rPr>
    </w:lvl>
    <w:lvl w:ilvl="7">
      <w:numFmt w:val="bullet"/>
      <w:lvlText w:val=""/>
      <w:lvlJc w:val="left"/>
      <w:pPr>
        <w:ind w:left="6120" w:hanging="360"/>
      </w:pPr>
      <w:rPr>
        <w:rFonts w:ascii="Wingdings" w:hAnsi="Wingdings"/>
        <w:sz w:val="20"/>
      </w:rPr>
    </w:lvl>
    <w:lvl w:ilvl="8">
      <w:numFmt w:val="bullet"/>
      <w:lvlText w:val=""/>
      <w:lvlJc w:val="left"/>
      <w:pPr>
        <w:ind w:left="6840" w:hanging="360"/>
      </w:pPr>
      <w:rPr>
        <w:rFonts w:ascii="Wingdings" w:hAnsi="Wingdings"/>
        <w:sz w:val="20"/>
      </w:rPr>
    </w:lvl>
  </w:abstractNum>
  <w:abstractNum w:abstractNumId="3" w15:restartNumberingAfterBreak="0">
    <w:nsid w:val="10140E13"/>
    <w:multiLevelType w:val="multilevel"/>
    <w:tmpl w:val="409284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CF72C1"/>
    <w:multiLevelType w:val="multilevel"/>
    <w:tmpl w:val="4E4ADE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41471A4"/>
    <w:multiLevelType w:val="multilevel"/>
    <w:tmpl w:val="EC66AC9A"/>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sz w:val="20"/>
      </w:rPr>
    </w:lvl>
    <w:lvl w:ilvl="2">
      <w:numFmt w:val="bullet"/>
      <w:lvlText w:val=""/>
      <w:lvlJc w:val="left"/>
      <w:pPr>
        <w:ind w:left="2520" w:hanging="360"/>
      </w:pPr>
      <w:rPr>
        <w:rFonts w:ascii="Wingdings" w:hAnsi="Wingdings"/>
        <w:sz w:val="20"/>
      </w:rPr>
    </w:lvl>
    <w:lvl w:ilvl="3">
      <w:numFmt w:val="bullet"/>
      <w:lvlText w:val=""/>
      <w:lvlJc w:val="left"/>
      <w:pPr>
        <w:ind w:left="3240" w:hanging="360"/>
      </w:pPr>
      <w:rPr>
        <w:rFonts w:ascii="Wingdings" w:hAnsi="Wingdings"/>
        <w:sz w:val="20"/>
      </w:rPr>
    </w:lvl>
    <w:lvl w:ilvl="4">
      <w:numFmt w:val="bullet"/>
      <w:lvlText w:val=""/>
      <w:lvlJc w:val="left"/>
      <w:pPr>
        <w:ind w:left="3960" w:hanging="360"/>
      </w:pPr>
      <w:rPr>
        <w:rFonts w:ascii="Wingdings" w:hAnsi="Wingdings"/>
        <w:sz w:val="20"/>
      </w:rPr>
    </w:lvl>
    <w:lvl w:ilvl="5">
      <w:numFmt w:val="bullet"/>
      <w:lvlText w:val=""/>
      <w:lvlJc w:val="left"/>
      <w:pPr>
        <w:ind w:left="4680" w:hanging="360"/>
      </w:pPr>
      <w:rPr>
        <w:rFonts w:ascii="Wingdings" w:hAnsi="Wingdings"/>
        <w:sz w:val="20"/>
      </w:rPr>
    </w:lvl>
    <w:lvl w:ilvl="6">
      <w:numFmt w:val="bullet"/>
      <w:lvlText w:val=""/>
      <w:lvlJc w:val="left"/>
      <w:pPr>
        <w:ind w:left="5400" w:hanging="360"/>
      </w:pPr>
      <w:rPr>
        <w:rFonts w:ascii="Wingdings" w:hAnsi="Wingdings"/>
        <w:sz w:val="20"/>
      </w:rPr>
    </w:lvl>
    <w:lvl w:ilvl="7">
      <w:numFmt w:val="bullet"/>
      <w:lvlText w:val=""/>
      <w:lvlJc w:val="left"/>
      <w:pPr>
        <w:ind w:left="6120" w:hanging="360"/>
      </w:pPr>
      <w:rPr>
        <w:rFonts w:ascii="Wingdings" w:hAnsi="Wingdings"/>
        <w:sz w:val="20"/>
      </w:rPr>
    </w:lvl>
    <w:lvl w:ilvl="8">
      <w:numFmt w:val="bullet"/>
      <w:lvlText w:val=""/>
      <w:lvlJc w:val="left"/>
      <w:pPr>
        <w:ind w:left="6840" w:hanging="360"/>
      </w:pPr>
      <w:rPr>
        <w:rFonts w:ascii="Wingdings" w:hAnsi="Wingdings"/>
        <w:sz w:val="20"/>
      </w:rPr>
    </w:lvl>
  </w:abstractNum>
  <w:abstractNum w:abstractNumId="6" w15:restartNumberingAfterBreak="0">
    <w:nsid w:val="18290E1C"/>
    <w:multiLevelType w:val="multilevel"/>
    <w:tmpl w:val="DDB0256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1AB12998"/>
    <w:multiLevelType w:val="multilevel"/>
    <w:tmpl w:val="AF9204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BBB1797"/>
    <w:multiLevelType w:val="multilevel"/>
    <w:tmpl w:val="8264DD18"/>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sz w:val="20"/>
      </w:rPr>
    </w:lvl>
    <w:lvl w:ilvl="2">
      <w:numFmt w:val="bullet"/>
      <w:lvlText w:val=""/>
      <w:lvlJc w:val="left"/>
      <w:pPr>
        <w:ind w:left="2520" w:hanging="360"/>
      </w:pPr>
      <w:rPr>
        <w:rFonts w:ascii="Wingdings" w:hAnsi="Wingdings"/>
        <w:sz w:val="20"/>
      </w:rPr>
    </w:lvl>
    <w:lvl w:ilvl="3">
      <w:numFmt w:val="bullet"/>
      <w:lvlText w:val=""/>
      <w:lvlJc w:val="left"/>
      <w:pPr>
        <w:ind w:left="3240" w:hanging="360"/>
      </w:pPr>
      <w:rPr>
        <w:rFonts w:ascii="Wingdings" w:hAnsi="Wingdings"/>
        <w:sz w:val="20"/>
      </w:rPr>
    </w:lvl>
    <w:lvl w:ilvl="4">
      <w:numFmt w:val="bullet"/>
      <w:lvlText w:val=""/>
      <w:lvlJc w:val="left"/>
      <w:pPr>
        <w:ind w:left="3960" w:hanging="360"/>
      </w:pPr>
      <w:rPr>
        <w:rFonts w:ascii="Wingdings" w:hAnsi="Wingdings"/>
        <w:sz w:val="20"/>
      </w:rPr>
    </w:lvl>
    <w:lvl w:ilvl="5">
      <w:numFmt w:val="bullet"/>
      <w:lvlText w:val=""/>
      <w:lvlJc w:val="left"/>
      <w:pPr>
        <w:ind w:left="4680" w:hanging="360"/>
      </w:pPr>
      <w:rPr>
        <w:rFonts w:ascii="Wingdings" w:hAnsi="Wingdings"/>
        <w:sz w:val="20"/>
      </w:rPr>
    </w:lvl>
    <w:lvl w:ilvl="6">
      <w:numFmt w:val="bullet"/>
      <w:lvlText w:val=""/>
      <w:lvlJc w:val="left"/>
      <w:pPr>
        <w:ind w:left="5400" w:hanging="360"/>
      </w:pPr>
      <w:rPr>
        <w:rFonts w:ascii="Wingdings" w:hAnsi="Wingdings"/>
        <w:sz w:val="20"/>
      </w:rPr>
    </w:lvl>
    <w:lvl w:ilvl="7">
      <w:numFmt w:val="bullet"/>
      <w:lvlText w:val=""/>
      <w:lvlJc w:val="left"/>
      <w:pPr>
        <w:ind w:left="6120" w:hanging="360"/>
      </w:pPr>
      <w:rPr>
        <w:rFonts w:ascii="Wingdings" w:hAnsi="Wingdings"/>
        <w:sz w:val="20"/>
      </w:rPr>
    </w:lvl>
    <w:lvl w:ilvl="8">
      <w:numFmt w:val="bullet"/>
      <w:lvlText w:val=""/>
      <w:lvlJc w:val="left"/>
      <w:pPr>
        <w:ind w:left="6840" w:hanging="360"/>
      </w:pPr>
      <w:rPr>
        <w:rFonts w:ascii="Wingdings" w:hAnsi="Wingdings"/>
        <w:sz w:val="20"/>
      </w:rPr>
    </w:lvl>
  </w:abstractNum>
  <w:abstractNum w:abstractNumId="9" w15:restartNumberingAfterBreak="0">
    <w:nsid w:val="1C483B2D"/>
    <w:multiLevelType w:val="multilevel"/>
    <w:tmpl w:val="DEB42D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F3313A7"/>
    <w:multiLevelType w:val="multilevel"/>
    <w:tmpl w:val="3E443BBC"/>
    <w:lvl w:ilvl="0">
      <w:start w:val="3"/>
      <w:numFmt w:val="decimal"/>
      <w:lvlText w:val="%1."/>
      <w:lvlJc w:val="left"/>
      <w:pPr>
        <w:ind w:left="420" w:hanging="420"/>
      </w:pPr>
    </w:lvl>
    <w:lvl w:ilvl="1">
      <w:start w:val="1"/>
      <w:numFmt w:val="decimal"/>
      <w:lvlText w:val="%1.%2."/>
      <w:lvlJc w:val="left"/>
      <w:pPr>
        <w:ind w:left="1080" w:hanging="720"/>
      </w:pPr>
      <w:rPr>
        <w:b/>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1" w15:restartNumberingAfterBreak="0">
    <w:nsid w:val="1F536D37"/>
    <w:multiLevelType w:val="multilevel"/>
    <w:tmpl w:val="6D98D6EC"/>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sz w:val="20"/>
      </w:rPr>
    </w:lvl>
    <w:lvl w:ilvl="2">
      <w:numFmt w:val="bullet"/>
      <w:lvlText w:val=""/>
      <w:lvlJc w:val="left"/>
      <w:pPr>
        <w:ind w:left="2520" w:hanging="360"/>
      </w:pPr>
      <w:rPr>
        <w:rFonts w:ascii="Wingdings" w:hAnsi="Wingdings"/>
        <w:sz w:val="20"/>
      </w:rPr>
    </w:lvl>
    <w:lvl w:ilvl="3">
      <w:numFmt w:val="bullet"/>
      <w:lvlText w:val=""/>
      <w:lvlJc w:val="left"/>
      <w:pPr>
        <w:ind w:left="3240" w:hanging="360"/>
      </w:pPr>
      <w:rPr>
        <w:rFonts w:ascii="Wingdings" w:hAnsi="Wingdings"/>
        <w:sz w:val="20"/>
      </w:rPr>
    </w:lvl>
    <w:lvl w:ilvl="4">
      <w:numFmt w:val="bullet"/>
      <w:lvlText w:val=""/>
      <w:lvlJc w:val="left"/>
      <w:pPr>
        <w:ind w:left="3960" w:hanging="360"/>
      </w:pPr>
      <w:rPr>
        <w:rFonts w:ascii="Wingdings" w:hAnsi="Wingdings"/>
        <w:sz w:val="20"/>
      </w:rPr>
    </w:lvl>
    <w:lvl w:ilvl="5">
      <w:numFmt w:val="bullet"/>
      <w:lvlText w:val=""/>
      <w:lvlJc w:val="left"/>
      <w:pPr>
        <w:ind w:left="4680" w:hanging="360"/>
      </w:pPr>
      <w:rPr>
        <w:rFonts w:ascii="Wingdings" w:hAnsi="Wingdings"/>
        <w:sz w:val="20"/>
      </w:rPr>
    </w:lvl>
    <w:lvl w:ilvl="6">
      <w:numFmt w:val="bullet"/>
      <w:lvlText w:val=""/>
      <w:lvlJc w:val="left"/>
      <w:pPr>
        <w:ind w:left="5400" w:hanging="360"/>
      </w:pPr>
      <w:rPr>
        <w:rFonts w:ascii="Wingdings" w:hAnsi="Wingdings"/>
        <w:sz w:val="20"/>
      </w:rPr>
    </w:lvl>
    <w:lvl w:ilvl="7">
      <w:numFmt w:val="bullet"/>
      <w:lvlText w:val=""/>
      <w:lvlJc w:val="left"/>
      <w:pPr>
        <w:ind w:left="6120" w:hanging="360"/>
      </w:pPr>
      <w:rPr>
        <w:rFonts w:ascii="Wingdings" w:hAnsi="Wingdings"/>
        <w:sz w:val="20"/>
      </w:rPr>
    </w:lvl>
    <w:lvl w:ilvl="8">
      <w:numFmt w:val="bullet"/>
      <w:lvlText w:val=""/>
      <w:lvlJc w:val="left"/>
      <w:pPr>
        <w:ind w:left="6840" w:hanging="360"/>
      </w:pPr>
      <w:rPr>
        <w:rFonts w:ascii="Wingdings" w:hAnsi="Wingdings"/>
        <w:sz w:val="20"/>
      </w:rPr>
    </w:lvl>
  </w:abstractNum>
  <w:abstractNum w:abstractNumId="12" w15:restartNumberingAfterBreak="0">
    <w:nsid w:val="206158B4"/>
    <w:multiLevelType w:val="multilevel"/>
    <w:tmpl w:val="65866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19D34C0"/>
    <w:multiLevelType w:val="multilevel"/>
    <w:tmpl w:val="D95670B0"/>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sz w:val="20"/>
      </w:rPr>
    </w:lvl>
    <w:lvl w:ilvl="2">
      <w:numFmt w:val="bullet"/>
      <w:lvlText w:val=""/>
      <w:lvlJc w:val="left"/>
      <w:pPr>
        <w:ind w:left="2520" w:hanging="360"/>
      </w:pPr>
      <w:rPr>
        <w:rFonts w:ascii="Wingdings" w:hAnsi="Wingdings"/>
        <w:sz w:val="20"/>
      </w:rPr>
    </w:lvl>
    <w:lvl w:ilvl="3">
      <w:numFmt w:val="bullet"/>
      <w:lvlText w:val=""/>
      <w:lvlJc w:val="left"/>
      <w:pPr>
        <w:ind w:left="3240" w:hanging="360"/>
      </w:pPr>
      <w:rPr>
        <w:rFonts w:ascii="Wingdings" w:hAnsi="Wingdings"/>
        <w:sz w:val="20"/>
      </w:rPr>
    </w:lvl>
    <w:lvl w:ilvl="4">
      <w:numFmt w:val="bullet"/>
      <w:lvlText w:val=""/>
      <w:lvlJc w:val="left"/>
      <w:pPr>
        <w:ind w:left="3960" w:hanging="360"/>
      </w:pPr>
      <w:rPr>
        <w:rFonts w:ascii="Wingdings" w:hAnsi="Wingdings"/>
        <w:sz w:val="20"/>
      </w:rPr>
    </w:lvl>
    <w:lvl w:ilvl="5">
      <w:numFmt w:val="bullet"/>
      <w:lvlText w:val=""/>
      <w:lvlJc w:val="left"/>
      <w:pPr>
        <w:ind w:left="4680" w:hanging="360"/>
      </w:pPr>
      <w:rPr>
        <w:rFonts w:ascii="Wingdings" w:hAnsi="Wingdings"/>
        <w:sz w:val="20"/>
      </w:rPr>
    </w:lvl>
    <w:lvl w:ilvl="6">
      <w:numFmt w:val="bullet"/>
      <w:lvlText w:val=""/>
      <w:lvlJc w:val="left"/>
      <w:pPr>
        <w:ind w:left="5400" w:hanging="360"/>
      </w:pPr>
      <w:rPr>
        <w:rFonts w:ascii="Wingdings" w:hAnsi="Wingdings"/>
        <w:sz w:val="20"/>
      </w:rPr>
    </w:lvl>
    <w:lvl w:ilvl="7">
      <w:numFmt w:val="bullet"/>
      <w:lvlText w:val=""/>
      <w:lvlJc w:val="left"/>
      <w:pPr>
        <w:ind w:left="6120" w:hanging="360"/>
      </w:pPr>
      <w:rPr>
        <w:rFonts w:ascii="Wingdings" w:hAnsi="Wingdings"/>
        <w:sz w:val="20"/>
      </w:rPr>
    </w:lvl>
    <w:lvl w:ilvl="8">
      <w:numFmt w:val="bullet"/>
      <w:lvlText w:val=""/>
      <w:lvlJc w:val="left"/>
      <w:pPr>
        <w:ind w:left="6840" w:hanging="360"/>
      </w:pPr>
      <w:rPr>
        <w:rFonts w:ascii="Wingdings" w:hAnsi="Wingdings"/>
        <w:sz w:val="20"/>
      </w:rPr>
    </w:lvl>
  </w:abstractNum>
  <w:abstractNum w:abstractNumId="14" w15:restartNumberingAfterBreak="0">
    <w:nsid w:val="22891031"/>
    <w:multiLevelType w:val="multilevel"/>
    <w:tmpl w:val="AACE326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25735996"/>
    <w:multiLevelType w:val="multilevel"/>
    <w:tmpl w:val="40BA9452"/>
    <w:lvl w:ilvl="0">
      <w:start w:val="4"/>
      <w:numFmt w:val="decimal"/>
      <w:lvlText w:val="%1."/>
      <w:lvlJc w:val="left"/>
      <w:pPr>
        <w:ind w:left="420" w:hanging="420"/>
      </w:pPr>
    </w:lvl>
    <w:lvl w:ilvl="1">
      <w:start w:val="1"/>
      <w:numFmt w:val="decimal"/>
      <w:lvlText w:val="%1.%2."/>
      <w:lvlJc w:val="left"/>
      <w:pPr>
        <w:ind w:left="1003" w:hanging="720"/>
      </w:pPr>
      <w:rPr>
        <w:b/>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6" w15:restartNumberingAfterBreak="0">
    <w:nsid w:val="2AF23727"/>
    <w:multiLevelType w:val="multilevel"/>
    <w:tmpl w:val="403E1DC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F14449C"/>
    <w:multiLevelType w:val="multilevel"/>
    <w:tmpl w:val="D018E2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19E27DA"/>
    <w:multiLevelType w:val="multilevel"/>
    <w:tmpl w:val="1F9AC2A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15:restartNumberingAfterBreak="0">
    <w:nsid w:val="34AB2FF8"/>
    <w:multiLevelType w:val="multilevel"/>
    <w:tmpl w:val="02C0E4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68601AB"/>
    <w:multiLevelType w:val="multilevel"/>
    <w:tmpl w:val="3D5A0AB4"/>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A0E7946"/>
    <w:multiLevelType w:val="multilevel"/>
    <w:tmpl w:val="97FC11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E8C3C11"/>
    <w:multiLevelType w:val="multilevel"/>
    <w:tmpl w:val="2BA02878"/>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FE57815"/>
    <w:multiLevelType w:val="multilevel"/>
    <w:tmpl w:val="135626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4ACC2CA2"/>
    <w:multiLevelType w:val="multilevel"/>
    <w:tmpl w:val="18140C3E"/>
    <w:lvl w:ilvl="0">
      <w:numFmt w:val="bullet"/>
      <w:lvlText w:val=""/>
      <w:lvlJc w:val="left"/>
      <w:pPr>
        <w:ind w:left="644" w:hanging="360"/>
      </w:pPr>
      <w:rPr>
        <w:rFonts w:ascii="Symbol" w:hAnsi="Symbol"/>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25" w15:restartNumberingAfterBreak="0">
    <w:nsid w:val="4B320A11"/>
    <w:multiLevelType w:val="multilevel"/>
    <w:tmpl w:val="DFC8BF60"/>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sz w:val="20"/>
      </w:rPr>
    </w:lvl>
    <w:lvl w:ilvl="2">
      <w:numFmt w:val="bullet"/>
      <w:lvlText w:val=""/>
      <w:lvlJc w:val="left"/>
      <w:pPr>
        <w:ind w:left="2520" w:hanging="360"/>
      </w:pPr>
      <w:rPr>
        <w:rFonts w:ascii="Wingdings" w:hAnsi="Wingdings"/>
        <w:sz w:val="20"/>
      </w:rPr>
    </w:lvl>
    <w:lvl w:ilvl="3">
      <w:numFmt w:val="bullet"/>
      <w:lvlText w:val=""/>
      <w:lvlJc w:val="left"/>
      <w:pPr>
        <w:ind w:left="3240" w:hanging="360"/>
      </w:pPr>
      <w:rPr>
        <w:rFonts w:ascii="Wingdings" w:hAnsi="Wingdings"/>
        <w:sz w:val="20"/>
      </w:rPr>
    </w:lvl>
    <w:lvl w:ilvl="4">
      <w:numFmt w:val="bullet"/>
      <w:lvlText w:val=""/>
      <w:lvlJc w:val="left"/>
      <w:pPr>
        <w:ind w:left="3960" w:hanging="360"/>
      </w:pPr>
      <w:rPr>
        <w:rFonts w:ascii="Wingdings" w:hAnsi="Wingdings"/>
        <w:sz w:val="20"/>
      </w:rPr>
    </w:lvl>
    <w:lvl w:ilvl="5">
      <w:numFmt w:val="bullet"/>
      <w:lvlText w:val=""/>
      <w:lvlJc w:val="left"/>
      <w:pPr>
        <w:ind w:left="4680" w:hanging="360"/>
      </w:pPr>
      <w:rPr>
        <w:rFonts w:ascii="Wingdings" w:hAnsi="Wingdings"/>
        <w:sz w:val="20"/>
      </w:rPr>
    </w:lvl>
    <w:lvl w:ilvl="6">
      <w:numFmt w:val="bullet"/>
      <w:lvlText w:val=""/>
      <w:lvlJc w:val="left"/>
      <w:pPr>
        <w:ind w:left="5400" w:hanging="360"/>
      </w:pPr>
      <w:rPr>
        <w:rFonts w:ascii="Wingdings" w:hAnsi="Wingdings"/>
        <w:sz w:val="20"/>
      </w:rPr>
    </w:lvl>
    <w:lvl w:ilvl="7">
      <w:numFmt w:val="bullet"/>
      <w:lvlText w:val=""/>
      <w:lvlJc w:val="left"/>
      <w:pPr>
        <w:ind w:left="6120" w:hanging="360"/>
      </w:pPr>
      <w:rPr>
        <w:rFonts w:ascii="Wingdings" w:hAnsi="Wingdings"/>
        <w:sz w:val="20"/>
      </w:rPr>
    </w:lvl>
    <w:lvl w:ilvl="8">
      <w:numFmt w:val="bullet"/>
      <w:lvlText w:val=""/>
      <w:lvlJc w:val="left"/>
      <w:pPr>
        <w:ind w:left="6840" w:hanging="360"/>
      </w:pPr>
      <w:rPr>
        <w:rFonts w:ascii="Wingdings" w:hAnsi="Wingdings"/>
        <w:sz w:val="20"/>
      </w:rPr>
    </w:lvl>
  </w:abstractNum>
  <w:abstractNum w:abstractNumId="26" w15:restartNumberingAfterBreak="0">
    <w:nsid w:val="4B6C2F39"/>
    <w:multiLevelType w:val="multilevel"/>
    <w:tmpl w:val="C2A6CD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5FB510E"/>
    <w:multiLevelType w:val="multilevel"/>
    <w:tmpl w:val="9A90EE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15:restartNumberingAfterBreak="0">
    <w:nsid w:val="56960907"/>
    <w:multiLevelType w:val="multilevel"/>
    <w:tmpl w:val="23C8FE7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15:restartNumberingAfterBreak="0">
    <w:nsid w:val="5D38021A"/>
    <w:multiLevelType w:val="multilevel"/>
    <w:tmpl w:val="B1A8060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15:restartNumberingAfterBreak="0">
    <w:nsid w:val="5DE01BF8"/>
    <w:multiLevelType w:val="multilevel"/>
    <w:tmpl w:val="635E87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F394E16"/>
    <w:multiLevelType w:val="multilevel"/>
    <w:tmpl w:val="C548DF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0E447B4"/>
    <w:multiLevelType w:val="multilevel"/>
    <w:tmpl w:val="0CF2F98E"/>
    <w:lvl w:ilvl="0">
      <w:start w:val="1"/>
      <w:numFmt w:val="decimal"/>
      <w:lvlText w:val="%1."/>
      <w:lvlJc w:val="left"/>
      <w:pPr>
        <w:ind w:left="502" w:hanging="360"/>
      </w:pPr>
      <w:rPr>
        <w:rFonts w:cs="Times New Roman"/>
        <w:color w:val="000000"/>
        <w:sz w:val="22"/>
      </w:rPr>
    </w:lvl>
    <w:lvl w:ilvl="1">
      <w:start w:val="1"/>
      <w:numFmt w:val="lowerLetter"/>
      <w:lvlText w:val="%2."/>
      <w:lvlJc w:val="left"/>
      <w:pPr>
        <w:ind w:left="862" w:hanging="360"/>
      </w:pPr>
    </w:lvl>
    <w:lvl w:ilvl="2">
      <w:start w:val="1"/>
      <w:numFmt w:val="lowerRoman"/>
      <w:lvlText w:val="%3."/>
      <w:lvlJc w:val="right"/>
      <w:pPr>
        <w:ind w:left="1582" w:hanging="180"/>
      </w:pPr>
    </w:lvl>
    <w:lvl w:ilvl="3">
      <w:start w:val="1"/>
      <w:numFmt w:val="decimal"/>
      <w:lvlText w:val="%4."/>
      <w:lvlJc w:val="left"/>
      <w:pPr>
        <w:ind w:left="2302" w:hanging="360"/>
      </w:pPr>
    </w:lvl>
    <w:lvl w:ilvl="4">
      <w:start w:val="1"/>
      <w:numFmt w:val="lowerLetter"/>
      <w:lvlText w:val="%5."/>
      <w:lvlJc w:val="left"/>
      <w:pPr>
        <w:ind w:left="3022" w:hanging="360"/>
      </w:pPr>
    </w:lvl>
    <w:lvl w:ilvl="5">
      <w:start w:val="1"/>
      <w:numFmt w:val="lowerRoman"/>
      <w:lvlText w:val="%6."/>
      <w:lvlJc w:val="right"/>
      <w:pPr>
        <w:ind w:left="3742" w:hanging="180"/>
      </w:pPr>
    </w:lvl>
    <w:lvl w:ilvl="6">
      <w:start w:val="1"/>
      <w:numFmt w:val="decimal"/>
      <w:lvlText w:val="%7."/>
      <w:lvlJc w:val="left"/>
      <w:pPr>
        <w:ind w:left="4462" w:hanging="360"/>
      </w:pPr>
    </w:lvl>
    <w:lvl w:ilvl="7">
      <w:start w:val="1"/>
      <w:numFmt w:val="lowerLetter"/>
      <w:lvlText w:val="%8."/>
      <w:lvlJc w:val="left"/>
      <w:pPr>
        <w:ind w:left="5182" w:hanging="360"/>
      </w:pPr>
    </w:lvl>
    <w:lvl w:ilvl="8">
      <w:start w:val="1"/>
      <w:numFmt w:val="lowerRoman"/>
      <w:lvlText w:val="%9."/>
      <w:lvlJc w:val="right"/>
      <w:pPr>
        <w:ind w:left="5902" w:hanging="180"/>
      </w:pPr>
    </w:lvl>
  </w:abstractNum>
  <w:abstractNum w:abstractNumId="33" w15:restartNumberingAfterBreak="0">
    <w:nsid w:val="61EF4B1C"/>
    <w:multiLevelType w:val="multilevel"/>
    <w:tmpl w:val="5A4A2F9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4" w15:restartNumberingAfterBreak="0">
    <w:nsid w:val="640318BF"/>
    <w:multiLevelType w:val="multilevel"/>
    <w:tmpl w:val="11FAE62C"/>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sz w:val="20"/>
      </w:rPr>
    </w:lvl>
    <w:lvl w:ilvl="2">
      <w:numFmt w:val="bullet"/>
      <w:lvlText w:val=""/>
      <w:lvlJc w:val="left"/>
      <w:pPr>
        <w:ind w:left="2520" w:hanging="360"/>
      </w:pPr>
      <w:rPr>
        <w:rFonts w:ascii="Wingdings" w:hAnsi="Wingdings"/>
        <w:sz w:val="20"/>
      </w:rPr>
    </w:lvl>
    <w:lvl w:ilvl="3">
      <w:numFmt w:val="bullet"/>
      <w:lvlText w:val=""/>
      <w:lvlJc w:val="left"/>
      <w:pPr>
        <w:ind w:left="3240" w:hanging="360"/>
      </w:pPr>
      <w:rPr>
        <w:rFonts w:ascii="Wingdings" w:hAnsi="Wingdings"/>
        <w:sz w:val="20"/>
      </w:rPr>
    </w:lvl>
    <w:lvl w:ilvl="4">
      <w:numFmt w:val="bullet"/>
      <w:lvlText w:val=""/>
      <w:lvlJc w:val="left"/>
      <w:pPr>
        <w:ind w:left="3960" w:hanging="360"/>
      </w:pPr>
      <w:rPr>
        <w:rFonts w:ascii="Wingdings" w:hAnsi="Wingdings"/>
        <w:sz w:val="20"/>
      </w:rPr>
    </w:lvl>
    <w:lvl w:ilvl="5">
      <w:numFmt w:val="bullet"/>
      <w:lvlText w:val=""/>
      <w:lvlJc w:val="left"/>
      <w:pPr>
        <w:ind w:left="4680" w:hanging="360"/>
      </w:pPr>
      <w:rPr>
        <w:rFonts w:ascii="Wingdings" w:hAnsi="Wingdings"/>
        <w:sz w:val="20"/>
      </w:rPr>
    </w:lvl>
    <w:lvl w:ilvl="6">
      <w:numFmt w:val="bullet"/>
      <w:lvlText w:val=""/>
      <w:lvlJc w:val="left"/>
      <w:pPr>
        <w:ind w:left="5400" w:hanging="360"/>
      </w:pPr>
      <w:rPr>
        <w:rFonts w:ascii="Wingdings" w:hAnsi="Wingdings"/>
        <w:sz w:val="20"/>
      </w:rPr>
    </w:lvl>
    <w:lvl w:ilvl="7">
      <w:numFmt w:val="bullet"/>
      <w:lvlText w:val=""/>
      <w:lvlJc w:val="left"/>
      <w:pPr>
        <w:ind w:left="6120" w:hanging="360"/>
      </w:pPr>
      <w:rPr>
        <w:rFonts w:ascii="Wingdings" w:hAnsi="Wingdings"/>
        <w:sz w:val="20"/>
      </w:rPr>
    </w:lvl>
    <w:lvl w:ilvl="8">
      <w:numFmt w:val="bullet"/>
      <w:lvlText w:val=""/>
      <w:lvlJc w:val="left"/>
      <w:pPr>
        <w:ind w:left="6840" w:hanging="360"/>
      </w:pPr>
      <w:rPr>
        <w:rFonts w:ascii="Wingdings" w:hAnsi="Wingdings"/>
        <w:sz w:val="20"/>
      </w:rPr>
    </w:lvl>
  </w:abstractNum>
  <w:abstractNum w:abstractNumId="35" w15:restartNumberingAfterBreak="0">
    <w:nsid w:val="6CB4079F"/>
    <w:multiLevelType w:val="multilevel"/>
    <w:tmpl w:val="2176F8C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36" w15:restartNumberingAfterBreak="0">
    <w:nsid w:val="6DF061F1"/>
    <w:multiLevelType w:val="multilevel"/>
    <w:tmpl w:val="3A3C6C04"/>
    <w:lvl w:ilvl="0">
      <w:start w:val="4"/>
      <w:numFmt w:val="decimal"/>
      <w:lvlText w:val="%1."/>
      <w:lvlJc w:val="left"/>
      <w:pPr>
        <w:ind w:left="420" w:hanging="42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7" w15:restartNumberingAfterBreak="0">
    <w:nsid w:val="73706BCA"/>
    <w:multiLevelType w:val="multilevel"/>
    <w:tmpl w:val="C39496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7576053F"/>
    <w:multiLevelType w:val="multilevel"/>
    <w:tmpl w:val="06AEA3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A002A91"/>
    <w:multiLevelType w:val="multilevel"/>
    <w:tmpl w:val="58A40B8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0" w15:restartNumberingAfterBreak="0">
    <w:nsid w:val="7A4B6395"/>
    <w:multiLevelType w:val="multilevel"/>
    <w:tmpl w:val="348658DE"/>
    <w:lvl w:ilvl="0">
      <w:start w:val="2"/>
      <w:numFmt w:val="decimal"/>
      <w:lvlText w:val="%1."/>
      <w:lvlJc w:val="left"/>
      <w:pPr>
        <w:ind w:left="420" w:hanging="42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41" w15:restartNumberingAfterBreak="0">
    <w:nsid w:val="7A4D24AB"/>
    <w:multiLevelType w:val="multilevel"/>
    <w:tmpl w:val="B98C9F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7EC10A63"/>
    <w:multiLevelType w:val="multilevel"/>
    <w:tmpl w:val="56B280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2"/>
  </w:num>
  <w:num w:numId="2">
    <w:abstractNumId w:val="40"/>
  </w:num>
  <w:num w:numId="3">
    <w:abstractNumId w:val="26"/>
  </w:num>
  <w:num w:numId="4">
    <w:abstractNumId w:val="23"/>
  </w:num>
  <w:num w:numId="5">
    <w:abstractNumId w:val="10"/>
  </w:num>
  <w:num w:numId="6">
    <w:abstractNumId w:val="39"/>
  </w:num>
  <w:num w:numId="7">
    <w:abstractNumId w:val="33"/>
  </w:num>
  <w:num w:numId="8">
    <w:abstractNumId w:val="18"/>
  </w:num>
  <w:num w:numId="9">
    <w:abstractNumId w:val="6"/>
  </w:num>
  <w:num w:numId="10">
    <w:abstractNumId w:val="14"/>
  </w:num>
  <w:num w:numId="11">
    <w:abstractNumId w:val="20"/>
  </w:num>
  <w:num w:numId="12">
    <w:abstractNumId w:val="3"/>
  </w:num>
  <w:num w:numId="13">
    <w:abstractNumId w:val="13"/>
  </w:num>
  <w:num w:numId="14">
    <w:abstractNumId w:val="25"/>
  </w:num>
  <w:num w:numId="15">
    <w:abstractNumId w:val="8"/>
  </w:num>
  <w:num w:numId="16">
    <w:abstractNumId w:val="21"/>
  </w:num>
  <w:num w:numId="17">
    <w:abstractNumId w:val="42"/>
  </w:num>
  <w:num w:numId="18">
    <w:abstractNumId w:val="37"/>
  </w:num>
  <w:num w:numId="19">
    <w:abstractNumId w:val="38"/>
  </w:num>
  <w:num w:numId="20">
    <w:abstractNumId w:val="35"/>
  </w:num>
  <w:num w:numId="21">
    <w:abstractNumId w:val="34"/>
  </w:num>
  <w:num w:numId="22">
    <w:abstractNumId w:val="27"/>
  </w:num>
  <w:num w:numId="23">
    <w:abstractNumId w:val="15"/>
  </w:num>
  <w:num w:numId="24">
    <w:abstractNumId w:val="24"/>
  </w:num>
  <w:num w:numId="25">
    <w:abstractNumId w:val="41"/>
  </w:num>
  <w:num w:numId="26">
    <w:abstractNumId w:val="4"/>
  </w:num>
  <w:num w:numId="27">
    <w:abstractNumId w:val="5"/>
  </w:num>
  <w:num w:numId="28">
    <w:abstractNumId w:val="2"/>
  </w:num>
  <w:num w:numId="29">
    <w:abstractNumId w:val="7"/>
  </w:num>
  <w:num w:numId="30">
    <w:abstractNumId w:val="31"/>
  </w:num>
  <w:num w:numId="31">
    <w:abstractNumId w:val="11"/>
  </w:num>
  <w:num w:numId="32">
    <w:abstractNumId w:val="29"/>
  </w:num>
  <w:num w:numId="33">
    <w:abstractNumId w:val="28"/>
  </w:num>
  <w:num w:numId="34">
    <w:abstractNumId w:val="32"/>
  </w:num>
  <w:num w:numId="35">
    <w:abstractNumId w:val="16"/>
  </w:num>
  <w:num w:numId="36">
    <w:abstractNumId w:val="30"/>
  </w:num>
  <w:num w:numId="37">
    <w:abstractNumId w:val="36"/>
  </w:num>
  <w:num w:numId="38">
    <w:abstractNumId w:val="9"/>
  </w:num>
  <w:num w:numId="39">
    <w:abstractNumId w:val="19"/>
  </w:num>
  <w:num w:numId="40">
    <w:abstractNumId w:val="17"/>
  </w:num>
  <w:num w:numId="41">
    <w:abstractNumId w:val="1"/>
  </w:num>
  <w:num w:numId="42">
    <w:abstractNumId w:val="12"/>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84CAB"/>
    <w:rsid w:val="00184CAB"/>
    <w:rsid w:val="002B1930"/>
    <w:rsid w:val="00BC623B"/>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538181-20F6-4C61-9E52-3DAEBACFC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color w:val="767171"/>
        <w:spacing w:val="20"/>
        <w:sz w:val="24"/>
        <w:szCs w:val="24"/>
        <w:lang w:val="en-US"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lang w:val="es-ES_tradnl"/>
    </w:rPr>
  </w:style>
  <w:style w:type="paragraph" w:styleId="Ttulo1">
    <w:name w:val="heading 1"/>
    <w:basedOn w:val="Normal"/>
    <w:next w:val="Normal"/>
    <w:uiPriority w:val="9"/>
    <w:qFormat/>
    <w:pPr>
      <w:keepNext/>
      <w:keepLines/>
      <w:spacing w:before="240" w:after="0" w:line="360" w:lineRule="auto"/>
      <w:jc w:val="center"/>
      <w:outlineLvl w:val="0"/>
    </w:pPr>
    <w:rPr>
      <w:rFonts w:eastAsia="PMingLiU"/>
      <w:b/>
      <w:sz w:val="28"/>
      <w:szCs w:val="32"/>
    </w:rPr>
  </w:style>
  <w:style w:type="paragraph" w:styleId="Ttulo2">
    <w:name w:val="heading 2"/>
    <w:basedOn w:val="Normal"/>
    <w:next w:val="Normal"/>
    <w:uiPriority w:val="9"/>
    <w:unhideWhenUsed/>
    <w:qFormat/>
    <w:pPr>
      <w:keepNext/>
      <w:keepLines/>
      <w:spacing w:before="40" w:after="0"/>
      <w:outlineLvl w:val="1"/>
    </w:pPr>
    <w:rPr>
      <w:rFonts w:eastAsia="PMingLiU"/>
      <w:color w:val="595959"/>
      <w:szCs w:val="26"/>
    </w:rPr>
  </w:style>
  <w:style w:type="paragraph" w:styleId="Ttulo3">
    <w:name w:val="heading 3"/>
    <w:basedOn w:val="Normal"/>
    <w:next w:val="Normal"/>
    <w:uiPriority w:val="9"/>
    <w:semiHidden/>
    <w:unhideWhenUsed/>
    <w:qFormat/>
    <w:pPr>
      <w:keepNext/>
      <w:keepLines/>
      <w:spacing w:before="40" w:after="0"/>
      <w:outlineLvl w:val="2"/>
    </w:pPr>
    <w:rPr>
      <w:rFonts w:ascii="Calibri Light" w:eastAsia="PMingLiU" w:hAnsi="Calibri Light"/>
      <w:color w:val="1F376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680"/>
        <w:tab w:val="right" w:pos="9360"/>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680"/>
        <w:tab w:val="right" w:pos="9360"/>
      </w:tabs>
      <w:spacing w:after="0" w:line="240" w:lineRule="auto"/>
    </w:pPr>
  </w:style>
  <w:style w:type="character" w:customStyle="1" w:styleId="PiedepginaCar">
    <w:name w:val="Pie de página Car"/>
    <w:basedOn w:val="Fuentedeprrafopredeter"/>
  </w:style>
  <w:style w:type="paragraph" w:styleId="Sinespaciado">
    <w:name w:val="No Spacing"/>
    <w:pPr>
      <w:suppressAutoHyphens/>
      <w:spacing w:after="0" w:line="240" w:lineRule="auto"/>
    </w:pPr>
    <w:rPr>
      <w:color w:val="595959"/>
    </w:rPr>
  </w:style>
  <w:style w:type="character" w:customStyle="1" w:styleId="Ttulo1Car">
    <w:name w:val="Título 1 Car"/>
    <w:basedOn w:val="Fuentedeprrafopredeter"/>
    <w:rPr>
      <w:rFonts w:ascii="Times New Roman" w:eastAsia="PMingLiU" w:hAnsi="Times New Roman" w:cs="Times New Roman"/>
      <w:b/>
      <w:color w:val="767171"/>
      <w:sz w:val="28"/>
      <w:szCs w:val="32"/>
    </w:rPr>
  </w:style>
  <w:style w:type="paragraph" w:styleId="TtuloTDC">
    <w:name w:val="TOC Heading"/>
    <w:basedOn w:val="Ttulo1"/>
    <w:next w:val="Normal"/>
    <w:pPr>
      <w:spacing w:line="244" w:lineRule="auto"/>
      <w:jc w:val="left"/>
    </w:pPr>
    <w:rPr>
      <w:rFonts w:ascii="Calibri Light" w:hAnsi="Calibri Light"/>
      <w:b w:val="0"/>
      <w:color w:val="2F5496"/>
      <w:sz w:val="32"/>
    </w:rPr>
  </w:style>
  <w:style w:type="paragraph" w:styleId="TDC1">
    <w:name w:val="toc 1"/>
    <w:basedOn w:val="Normal"/>
    <w:next w:val="Normal"/>
    <w:autoRedefine/>
    <w:pPr>
      <w:spacing w:after="100"/>
    </w:pPr>
  </w:style>
  <w:style w:type="character" w:styleId="Hipervnculo">
    <w:name w:val="Hyperlink"/>
    <w:basedOn w:val="Fuentedeprrafopredeter"/>
    <w:rPr>
      <w:color w:val="0563C1"/>
      <w:u w:val="single"/>
    </w:rPr>
  </w:style>
  <w:style w:type="character" w:customStyle="1" w:styleId="Ttulo2Car">
    <w:name w:val="Título 2 Car"/>
    <w:basedOn w:val="Fuentedeprrafopredeter"/>
    <w:rPr>
      <w:rFonts w:eastAsia="PMingLiU" w:cs="Times New Roman"/>
      <w:color w:val="595959"/>
      <w:szCs w:val="26"/>
    </w:rPr>
  </w:style>
  <w:style w:type="paragraph" w:styleId="TDC2">
    <w:name w:val="toc 2"/>
    <w:basedOn w:val="Normal"/>
    <w:next w:val="Normal"/>
    <w:autoRedefine/>
    <w:pPr>
      <w:spacing w:after="100"/>
      <w:ind w:left="240"/>
    </w:pPr>
  </w:style>
  <w:style w:type="paragraph" w:styleId="Prrafodelista">
    <w:name w:val="List Paragraph"/>
    <w:basedOn w:val="Normal"/>
    <w:pPr>
      <w:ind w:left="720"/>
    </w:pPr>
  </w:style>
  <w:style w:type="paragraph" w:styleId="NormalWeb">
    <w:name w:val="Normal (Web)"/>
    <w:basedOn w:val="Normal"/>
    <w:pPr>
      <w:spacing w:before="100" w:after="100" w:line="240" w:lineRule="auto"/>
    </w:pPr>
    <w:rPr>
      <w:rFonts w:eastAsia="Times New Roman"/>
      <w:color w:val="auto"/>
      <w:spacing w:val="0"/>
      <w:lang w:val="es-DO" w:eastAsia="es-DO"/>
    </w:rPr>
  </w:style>
  <w:style w:type="character" w:styleId="Refdecomentario">
    <w:name w:val="annotation reference"/>
    <w:basedOn w:val="Fuentedeprrafopredeter"/>
    <w:rPr>
      <w:sz w:val="16"/>
      <w:szCs w:val="16"/>
    </w:rPr>
  </w:style>
  <w:style w:type="paragraph" w:styleId="Textocomentario">
    <w:name w:val="annotation text"/>
    <w:basedOn w:val="Normal"/>
    <w:pPr>
      <w:spacing w:line="240" w:lineRule="auto"/>
    </w:pPr>
    <w:rPr>
      <w:sz w:val="20"/>
      <w:szCs w:val="20"/>
    </w:rPr>
  </w:style>
  <w:style w:type="character" w:customStyle="1" w:styleId="TextocomentarioCar">
    <w:name w:val="Texto comentario Car"/>
    <w:basedOn w:val="Fuentedeprrafopredeter"/>
    <w:rPr>
      <w:sz w:val="20"/>
      <w:szCs w:val="20"/>
    </w:rPr>
  </w:style>
  <w:style w:type="paragraph" w:styleId="Asuntodelcomentario">
    <w:name w:val="annotation subject"/>
    <w:basedOn w:val="Textocomentario"/>
    <w:next w:val="Textocomentario"/>
    <w:rPr>
      <w:b/>
      <w:bCs/>
    </w:rPr>
  </w:style>
  <w:style w:type="character" w:customStyle="1" w:styleId="AsuntodelcomentarioCar">
    <w:name w:val="Asunto del comentario Car"/>
    <w:basedOn w:val="TextocomentarioCar"/>
    <w:rPr>
      <w:b/>
      <w:bCs/>
      <w:sz w:val="20"/>
      <w:szCs w:val="20"/>
    </w:rPr>
  </w:style>
  <w:style w:type="paragraph" w:styleId="Textodeglobo">
    <w:name w:val="Balloon Text"/>
    <w:basedOn w:val="Normal"/>
    <w:pPr>
      <w:spacing w:after="0" w:line="240" w:lineRule="auto"/>
    </w:pPr>
    <w:rPr>
      <w:rFonts w:ascii="Segoe UI" w:hAnsi="Segoe UI" w:cs="Segoe UI"/>
      <w:sz w:val="18"/>
      <w:szCs w:val="18"/>
    </w:rPr>
  </w:style>
  <w:style w:type="character" w:customStyle="1" w:styleId="TextodegloboCar">
    <w:name w:val="Texto de globo Car"/>
    <w:basedOn w:val="Fuentedeprrafopredeter"/>
    <w:rPr>
      <w:rFonts w:ascii="Segoe UI" w:hAnsi="Segoe UI" w:cs="Segoe UI"/>
      <w:sz w:val="18"/>
      <w:szCs w:val="18"/>
    </w:rPr>
  </w:style>
  <w:style w:type="character" w:styleId="Textoennegrita">
    <w:name w:val="Strong"/>
    <w:basedOn w:val="Fuentedeprrafopredeter"/>
    <w:rPr>
      <w:b/>
      <w:bCs/>
    </w:rPr>
  </w:style>
  <w:style w:type="paragraph" w:customStyle="1" w:styleId="TableParagraph">
    <w:name w:val="Table Paragraph"/>
    <w:basedOn w:val="Normal"/>
    <w:pPr>
      <w:widowControl w:val="0"/>
      <w:autoSpaceDE w:val="0"/>
      <w:spacing w:after="0" w:line="240" w:lineRule="auto"/>
    </w:pPr>
    <w:rPr>
      <w:rFonts w:eastAsia="Times New Roman"/>
      <w:color w:val="auto"/>
      <w:spacing w:val="0"/>
      <w:sz w:val="22"/>
      <w:szCs w:val="22"/>
      <w:lang w:val="es-ES"/>
    </w:rPr>
  </w:style>
  <w:style w:type="paragraph" w:customStyle="1" w:styleId="xxmsonormal">
    <w:name w:val="x_x_msonormal"/>
    <w:basedOn w:val="Normal"/>
    <w:pPr>
      <w:spacing w:after="0" w:line="240" w:lineRule="auto"/>
    </w:pPr>
    <w:rPr>
      <w:rFonts w:ascii="Calibri" w:hAnsi="Calibri" w:cs="Calibri"/>
      <w:color w:val="auto"/>
      <w:spacing w:val="0"/>
      <w:sz w:val="22"/>
      <w:szCs w:val="22"/>
      <w:lang w:val="es-DO" w:eastAsia="es-DO"/>
    </w:rPr>
  </w:style>
  <w:style w:type="character" w:customStyle="1" w:styleId="normaltextrun">
    <w:name w:val="normaltextrun"/>
    <w:basedOn w:val="Fuentedeprrafopredeter"/>
  </w:style>
  <w:style w:type="character" w:customStyle="1" w:styleId="eop">
    <w:name w:val="eop"/>
    <w:basedOn w:val="Fuentedeprrafopredeter"/>
  </w:style>
  <w:style w:type="paragraph" w:styleId="Textonotapie">
    <w:name w:val="footnote text"/>
    <w:basedOn w:val="Normal"/>
    <w:pPr>
      <w:spacing w:after="0" w:line="240" w:lineRule="auto"/>
    </w:pPr>
    <w:rPr>
      <w:rFonts w:eastAsia="Times New Roman"/>
      <w:color w:val="auto"/>
      <w:spacing w:val="0"/>
      <w:sz w:val="20"/>
      <w:szCs w:val="20"/>
      <w:lang w:val="es-ES" w:eastAsia="es-ES"/>
    </w:rPr>
  </w:style>
  <w:style w:type="character" w:customStyle="1" w:styleId="TextonotapieCar">
    <w:name w:val="Texto nota pie Car"/>
    <w:basedOn w:val="Fuentedeprrafopredeter"/>
    <w:rPr>
      <w:rFonts w:eastAsia="Times New Roman"/>
      <w:color w:val="auto"/>
      <w:spacing w:val="0"/>
      <w:sz w:val="20"/>
      <w:szCs w:val="20"/>
      <w:lang w:val="es-ES" w:eastAsia="es-ES"/>
    </w:rPr>
  </w:style>
  <w:style w:type="character" w:styleId="Refdenotaalpie">
    <w:name w:val="footnote reference"/>
    <w:basedOn w:val="Fuentedeprrafopredeter"/>
    <w:rPr>
      <w:position w:val="0"/>
      <w:vertAlign w:val="superscript"/>
    </w:rPr>
  </w:style>
  <w:style w:type="character" w:customStyle="1" w:styleId="Ttulo3Car">
    <w:name w:val="Título 3 Car"/>
    <w:basedOn w:val="Fuentedeprrafopredeter"/>
    <w:rPr>
      <w:rFonts w:ascii="Calibri Light" w:eastAsia="PMingLiU" w:hAnsi="Calibri Light" w:cs="Times New Roman"/>
      <w:color w:val="1F3763"/>
      <w:lang w:val="es-ES_tradnl"/>
    </w:rPr>
  </w:style>
  <w:style w:type="paragraph" w:styleId="TDC3">
    <w:name w:val="toc 3"/>
    <w:basedOn w:val="Normal"/>
    <w:next w:val="Normal"/>
    <w:autoRedefine/>
    <w:pPr>
      <w:spacing w:after="100"/>
      <w:ind w:left="480"/>
    </w:pPr>
  </w:style>
  <w:style w:type="paragraph" w:customStyle="1" w:styleId="paragraph">
    <w:name w:val="paragraph"/>
    <w:basedOn w:val="Normal"/>
    <w:pPr>
      <w:spacing w:before="100" w:after="100" w:line="240" w:lineRule="auto"/>
    </w:pPr>
    <w:rPr>
      <w:rFonts w:eastAsia="Times New Roman"/>
      <w:color w:val="auto"/>
      <w:spacing w:val="0"/>
      <w:lang w:val="es-DO" w:eastAsia="es-DO"/>
    </w:rPr>
  </w:style>
  <w:style w:type="paragraph" w:customStyle="1" w:styleId="xmsonormal">
    <w:name w:val="x_msonormal"/>
    <w:basedOn w:val="Normal"/>
    <w:pPr>
      <w:spacing w:after="0" w:line="240" w:lineRule="auto"/>
    </w:pPr>
    <w:rPr>
      <w:rFonts w:ascii="Calibri" w:hAnsi="Calibri" w:cs="Calibri"/>
      <w:color w:val="auto"/>
      <w:spacing w:val="0"/>
      <w:sz w:val="22"/>
      <w:szCs w:val="22"/>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_Toc217914418" TargetMode="External"/><Relationship Id="rId21" Type="http://schemas.openxmlformats.org/officeDocument/2006/relationships/hyperlink" Target="#_Toc217914413" TargetMode="External"/><Relationship Id="rId42" Type="http://schemas.openxmlformats.org/officeDocument/2006/relationships/hyperlink" Target="#_Toc217914434" TargetMode="External"/><Relationship Id="rId47" Type="http://schemas.openxmlformats.org/officeDocument/2006/relationships/hyperlink" Target="#_Toc217914439" TargetMode="External"/><Relationship Id="rId63" Type="http://schemas.openxmlformats.org/officeDocument/2006/relationships/chart" Target="charts/chart4.xml"/><Relationship Id="rId68" Type="http://schemas.openxmlformats.org/officeDocument/2006/relationships/image" Target="media/image13.png"/><Relationship Id="rId16" Type="http://schemas.openxmlformats.org/officeDocument/2006/relationships/hyperlink" Target="#_Toc217914408" TargetMode="External"/><Relationship Id="rId11" Type="http://schemas.openxmlformats.org/officeDocument/2006/relationships/image" Target="media/image5.png"/><Relationship Id="rId24" Type="http://schemas.openxmlformats.org/officeDocument/2006/relationships/hyperlink" Target="#_Toc217914416" TargetMode="External"/><Relationship Id="rId32" Type="http://schemas.openxmlformats.org/officeDocument/2006/relationships/hyperlink" Target="#_Toc217914424" TargetMode="External"/><Relationship Id="rId37" Type="http://schemas.openxmlformats.org/officeDocument/2006/relationships/hyperlink" Target="#_Toc217914429" TargetMode="External"/><Relationship Id="rId40" Type="http://schemas.openxmlformats.org/officeDocument/2006/relationships/hyperlink" Target="#_Toc217914432" TargetMode="External"/><Relationship Id="rId45" Type="http://schemas.openxmlformats.org/officeDocument/2006/relationships/hyperlink" Target="#_Toc217914437" TargetMode="External"/><Relationship Id="rId53" Type="http://schemas.openxmlformats.org/officeDocument/2006/relationships/hyperlink" Target="#_Toc217914445" TargetMode="External"/><Relationship Id="rId58" Type="http://schemas.openxmlformats.org/officeDocument/2006/relationships/image" Target="media/image8.png"/><Relationship Id="rId66" Type="http://schemas.openxmlformats.org/officeDocument/2006/relationships/image" Target="media/image11.png"/><Relationship Id="rId74" Type="http://schemas.openxmlformats.org/officeDocument/2006/relationships/header" Target="header3.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chart" Target="charts/chart2.xml"/><Relationship Id="rId19" Type="http://schemas.openxmlformats.org/officeDocument/2006/relationships/hyperlink" Target="#_Toc217914411" TargetMode="External"/><Relationship Id="rId14" Type="http://schemas.openxmlformats.org/officeDocument/2006/relationships/hyperlink" Target="#_Toc217914406" TargetMode="External"/><Relationship Id="rId22" Type="http://schemas.openxmlformats.org/officeDocument/2006/relationships/hyperlink" Target="#_Toc217914414" TargetMode="External"/><Relationship Id="rId27" Type="http://schemas.openxmlformats.org/officeDocument/2006/relationships/hyperlink" Target="#_Toc217914419" TargetMode="External"/><Relationship Id="rId30" Type="http://schemas.openxmlformats.org/officeDocument/2006/relationships/hyperlink" Target="#_Toc217914422" TargetMode="External"/><Relationship Id="rId35" Type="http://schemas.openxmlformats.org/officeDocument/2006/relationships/hyperlink" Target="#_Toc217914427" TargetMode="External"/><Relationship Id="rId43" Type="http://schemas.openxmlformats.org/officeDocument/2006/relationships/hyperlink" Target="#_Toc217914435" TargetMode="External"/><Relationship Id="rId48" Type="http://schemas.openxmlformats.org/officeDocument/2006/relationships/hyperlink" Target="#_Toc217914440" TargetMode="External"/><Relationship Id="rId56" Type="http://schemas.openxmlformats.org/officeDocument/2006/relationships/footer" Target="footer5.xml"/><Relationship Id="rId64" Type="http://schemas.openxmlformats.org/officeDocument/2006/relationships/chart" Target="charts/chart5.xml"/><Relationship Id="rId69" Type="http://schemas.openxmlformats.org/officeDocument/2006/relationships/image" Target="media/image14.png"/><Relationship Id="rId77" Type="http://schemas.openxmlformats.org/officeDocument/2006/relationships/footer" Target="footer9.xml"/><Relationship Id="rId8" Type="http://schemas.openxmlformats.org/officeDocument/2006/relationships/image" Target="media/image2.png"/><Relationship Id="rId51" Type="http://schemas.openxmlformats.org/officeDocument/2006/relationships/hyperlink" Target="#_Toc217914443" TargetMode="External"/><Relationship Id="rId72"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_Toc217914409" TargetMode="External"/><Relationship Id="rId25" Type="http://schemas.openxmlformats.org/officeDocument/2006/relationships/hyperlink" Target="#_Toc217914417" TargetMode="External"/><Relationship Id="rId33" Type="http://schemas.openxmlformats.org/officeDocument/2006/relationships/hyperlink" Target="#_Toc217914425" TargetMode="External"/><Relationship Id="rId38" Type="http://schemas.openxmlformats.org/officeDocument/2006/relationships/hyperlink" Target="#_Toc217914430" TargetMode="External"/><Relationship Id="rId46" Type="http://schemas.openxmlformats.org/officeDocument/2006/relationships/hyperlink" Target="#_Toc217914438" TargetMode="External"/><Relationship Id="rId59" Type="http://schemas.openxmlformats.org/officeDocument/2006/relationships/chart" Target="charts/chart1.xml"/><Relationship Id="rId67" Type="http://schemas.openxmlformats.org/officeDocument/2006/relationships/image" Target="media/image12.png"/><Relationship Id="rId20" Type="http://schemas.openxmlformats.org/officeDocument/2006/relationships/hyperlink" Target="#_Toc217914412" TargetMode="External"/><Relationship Id="rId41" Type="http://schemas.openxmlformats.org/officeDocument/2006/relationships/hyperlink" Target="#_Toc217914433" TargetMode="External"/><Relationship Id="rId54" Type="http://schemas.openxmlformats.org/officeDocument/2006/relationships/footer" Target="footer3.xml"/><Relationship Id="rId62" Type="http://schemas.openxmlformats.org/officeDocument/2006/relationships/chart" Target="charts/chart3.xml"/><Relationship Id="rId70" Type="http://schemas.openxmlformats.org/officeDocument/2006/relationships/header" Target="header1.xml"/><Relationship Id="rId75"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_Toc217914407" TargetMode="External"/><Relationship Id="rId23" Type="http://schemas.openxmlformats.org/officeDocument/2006/relationships/hyperlink" Target="#_Toc217914415" TargetMode="External"/><Relationship Id="rId28" Type="http://schemas.openxmlformats.org/officeDocument/2006/relationships/hyperlink" Target="#_Toc217914420" TargetMode="External"/><Relationship Id="rId36" Type="http://schemas.openxmlformats.org/officeDocument/2006/relationships/hyperlink" Target="#_Toc217914428" TargetMode="External"/><Relationship Id="rId49" Type="http://schemas.openxmlformats.org/officeDocument/2006/relationships/hyperlink" Target="#_Toc217914441" TargetMode="External"/><Relationship Id="rId57" Type="http://schemas.openxmlformats.org/officeDocument/2006/relationships/image" Target="media/image7.jpeg"/><Relationship Id="rId10" Type="http://schemas.openxmlformats.org/officeDocument/2006/relationships/image" Target="media/image4.png"/><Relationship Id="rId31" Type="http://schemas.openxmlformats.org/officeDocument/2006/relationships/hyperlink" Target="#_Toc217914423" TargetMode="External"/><Relationship Id="rId44" Type="http://schemas.openxmlformats.org/officeDocument/2006/relationships/hyperlink" Target="#_Toc217914436" TargetMode="External"/><Relationship Id="rId52" Type="http://schemas.openxmlformats.org/officeDocument/2006/relationships/hyperlink" Target="#_Toc217914444" TargetMode="External"/><Relationship Id="rId60" Type="http://schemas.openxmlformats.org/officeDocument/2006/relationships/image" Target="media/image9.png"/><Relationship Id="rId65" Type="http://schemas.openxmlformats.org/officeDocument/2006/relationships/image" Target="media/image10.png"/><Relationship Id="rId73" Type="http://schemas.openxmlformats.org/officeDocument/2006/relationships/footer" Target="footer7.xm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footer" Target="footer2.xml"/><Relationship Id="rId18" Type="http://schemas.openxmlformats.org/officeDocument/2006/relationships/hyperlink" Target="#_Toc217914410" TargetMode="External"/><Relationship Id="rId39" Type="http://schemas.openxmlformats.org/officeDocument/2006/relationships/hyperlink" Target="#_Toc217914431" TargetMode="External"/><Relationship Id="rId34" Type="http://schemas.openxmlformats.org/officeDocument/2006/relationships/hyperlink" Target="#_Toc217914426" TargetMode="External"/><Relationship Id="rId50" Type="http://schemas.openxmlformats.org/officeDocument/2006/relationships/hyperlink" Target="#_Toc217914442" TargetMode="External"/><Relationship Id="rId55" Type="http://schemas.openxmlformats.org/officeDocument/2006/relationships/footer" Target="footer4.xml"/><Relationship Id="rId76" Type="http://schemas.openxmlformats.org/officeDocument/2006/relationships/header" Target="header4.xml"/><Relationship Id="rId7" Type="http://schemas.openxmlformats.org/officeDocument/2006/relationships/image" Target="media/image1.png"/><Relationship Id="rId71" Type="http://schemas.openxmlformats.org/officeDocument/2006/relationships/footer" Target="footer6.xml"/><Relationship Id="rId2" Type="http://schemas.openxmlformats.org/officeDocument/2006/relationships/styles" Target="styles.xml"/><Relationship Id="rId29" Type="http://schemas.openxmlformats.org/officeDocument/2006/relationships/hyperlink" Target="#_Toc21791442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_rels/footer6.xml.rels><?xml version="1.0" encoding="UTF-8" standalone="yes"?>
<Relationships xmlns="http://schemas.openxmlformats.org/package/2006/relationships"><Relationship Id="rId1" Type="http://schemas.openxmlformats.org/officeDocument/2006/relationships/image" Target="media/image15.jpeg"/></Relationships>
</file>

<file path=word/_rels/footer7.xml.rels><?xml version="1.0" encoding="UTF-8" standalone="yes"?>
<Relationships xmlns="http://schemas.openxmlformats.org/package/2006/relationships"><Relationship Id="rId1" Type="http://schemas.openxmlformats.org/officeDocument/2006/relationships/image" Target="media/image15.jpeg"/></Relationships>
</file>

<file path=word/_rels/footer8.xml.rels><?xml version="1.0" encoding="UTF-8" standalone="yes"?>
<Relationships xmlns="http://schemas.openxmlformats.org/package/2006/relationships"><Relationship Id="rId1" Type="http://schemas.openxmlformats.org/officeDocument/2006/relationships/image" Target="media/image15.jpeg"/></Relationships>
</file>

<file path=word/_rels/footer9.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c:style val="2"/>
  <c:chart>
    <c:autoTitleDeleted val="1"/>
    <c:plotArea>
      <c:layout>
        <c:manualLayout>
          <c:xMode val="edge"/>
          <c:yMode val="edge"/>
          <c:x val="0"/>
          <c:y val="0"/>
          <c:w val="1"/>
          <c:h val="0.96886354508177586"/>
        </c:manualLayout>
      </c:layout>
      <c:barChart>
        <c:barDir val="col"/>
        <c:grouping val="clustered"/>
        <c:varyColors val="0"/>
        <c:ser>
          <c:idx val="0"/>
          <c:order val="0"/>
          <c:tx>
            <c:v/>
          </c:tx>
          <c:spPr>
            <a:solidFill>
              <a:srgbClr val="3B64AD"/>
            </a:solidFill>
            <a:ln>
              <a:noFill/>
            </a:ln>
          </c:spPr>
          <c:invertIfNegative val="0"/>
          <c:cat>
            <c:strLit>
              <c:ptCount val="2"/>
              <c:pt idx="0">
                <c:v>Mujeres</c:v>
              </c:pt>
              <c:pt idx="1">
                <c:v>Hombres</c:v>
              </c:pt>
            </c:strLit>
          </c:cat>
          <c:val>
            <c:numLit>
              <c:formatCode>General</c:formatCode>
              <c:ptCount val="2"/>
              <c:pt idx="0">
                <c:v>0.99999999999999978</c:v>
              </c:pt>
              <c:pt idx="1">
                <c:v>0.99999999999999978</c:v>
              </c:pt>
            </c:numLit>
          </c:val>
          <c:extLst>
            <c:ext xmlns:c16="http://schemas.microsoft.com/office/drawing/2014/chart" uri="{C3380CC4-5D6E-409C-BE32-E72D297353CC}">
              <c16:uniqueId val="{00000000-46FA-4A3B-A004-F57FBB8FB7CD}"/>
            </c:ext>
          </c:extLst>
        </c:ser>
        <c:dLbls>
          <c:showLegendKey val="0"/>
          <c:showVal val="0"/>
          <c:showCatName val="0"/>
          <c:showSerName val="0"/>
          <c:showPercent val="0"/>
          <c:showBubbleSize val="0"/>
        </c:dLbls>
        <c:gapWidth val="5"/>
        <c:overlap val="100"/>
        <c:axId val="1236871679"/>
        <c:axId val="1180183903"/>
      </c:barChart>
      <c:barChart>
        <c:barDir val="col"/>
        <c:grouping val="clustered"/>
        <c:varyColors val="0"/>
        <c:ser>
          <c:idx val="1"/>
          <c:order val="1"/>
          <c:tx>
            <c:v/>
          </c:tx>
          <c:spPr>
            <a:solidFill>
              <a:srgbClr val="EE2A24"/>
            </a:solidFill>
            <a:ln>
              <a:noFill/>
            </a:ln>
          </c:spPr>
          <c:invertIfNegative val="0"/>
          <c:dPt>
            <c:idx val="0"/>
            <c:invertIfNegative val="0"/>
            <c:bubble3D val="0"/>
            <c:extLst>
              <c:ext xmlns:c16="http://schemas.microsoft.com/office/drawing/2014/chart" uri="{C3380CC4-5D6E-409C-BE32-E72D297353CC}">
                <c16:uniqueId val="{00000000-3240-4E8B-B8F8-D25BEF487E03}"/>
              </c:ext>
            </c:extLst>
          </c:dPt>
          <c:dPt>
            <c:idx val="1"/>
            <c:invertIfNegative val="0"/>
            <c:bubble3D val="0"/>
            <c:spPr>
              <a:solidFill>
                <a:srgbClr val="002060"/>
              </a:solidFill>
              <a:ln>
                <a:noFill/>
              </a:ln>
            </c:spPr>
            <c:extLst>
              <c:ext xmlns:c16="http://schemas.microsoft.com/office/drawing/2014/chart" uri="{C3380CC4-5D6E-409C-BE32-E72D297353CC}">
                <c16:uniqueId val="{00000001-3240-4E8B-B8F8-D25BEF487E03}"/>
              </c:ext>
            </c:extLst>
          </c:dPt>
          <c:dLbls>
            <c:dLbl>
              <c:idx val="0"/>
              <c:layout>
                <c:manualLayout>
                  <c:xMode val="edge"/>
                  <c:yMode val="edge"/>
                  <c:x val="0.26444477548414558"/>
                  <c:y val="0.16976676847778371"/>
                </c:manualLayout>
              </c:layout>
              <c:tx>
                <c:rich>
                  <a:bodyPr/>
                  <a:lstStyle/>
                  <a:p>
                    <a:r>
                      <a:rPr lang="es-ES" sz="900" b="0" i="0" u="none" strike="noStrike" kern="1200" cap="none" spc="0" baseline="0">
                        <a:solidFill>
                          <a:srgbClr val="FFFFFF"/>
                        </a:solidFill>
                        <a:uFillTx/>
                        <a:latin typeface="Calibri"/>
                      </a:rPr>
                      <a:t>52%</a:t>
                    </a:r>
                  </a:p>
                </c:rich>
              </c:tx>
              <c:showLegendKey val="0"/>
              <c:showVal val="0"/>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3240-4E8B-B8F8-D25BEF487E03}"/>
                </c:ext>
              </c:extLst>
            </c:dLbl>
            <c:numFmt formatCode="0%"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s-ES" sz="900" b="0" i="0" u="none" strike="noStrike" kern="1200" baseline="0">
                    <a:solidFill>
                      <a:srgbClr val="FFFFFF"/>
                    </a:solidFill>
                    <a:latin typeface="Calibri"/>
                  </a:defRPr>
                </a:pPr>
                <a:endParaRPr lang="es-DO"/>
              </a:p>
            </c:txPr>
            <c:showLegendKey val="0"/>
            <c:showVal val="0"/>
            <c:showCatName val="0"/>
            <c:showSerName val="0"/>
            <c:showPercent val="0"/>
            <c:showBubbleSize val="0"/>
            <c:extLst>
              <c:ext xmlns:c15="http://schemas.microsoft.com/office/drawing/2012/chart" uri="{CE6537A1-D6FC-4f65-9D91-7224C49458BB}">
                <c15:showLeaderLines val="1"/>
              </c:ext>
            </c:extLst>
          </c:dLbls>
          <c:cat>
            <c:strLit>
              <c:ptCount val="2"/>
              <c:pt idx="0">
                <c:v>Mujeres</c:v>
              </c:pt>
              <c:pt idx="1">
                <c:v>Hombres</c:v>
              </c:pt>
            </c:strLit>
          </c:cat>
          <c:val>
            <c:numLit>
              <c:formatCode>General</c:formatCode>
              <c:ptCount val="2"/>
              <c:pt idx="0">
                <c:v>0.52</c:v>
              </c:pt>
              <c:pt idx="1">
                <c:v>0.48</c:v>
              </c:pt>
            </c:numLit>
          </c:val>
          <c:extLst>
            <c:ext xmlns:c16="http://schemas.microsoft.com/office/drawing/2014/chart" uri="{C3380CC4-5D6E-409C-BE32-E72D297353CC}">
              <c16:uniqueId val="{00000004-46FA-4A3B-A004-F57FBB8FB7CD}"/>
            </c:ext>
          </c:extLst>
        </c:ser>
        <c:dLbls>
          <c:showLegendKey val="0"/>
          <c:showVal val="0"/>
          <c:showCatName val="0"/>
          <c:showSerName val="0"/>
          <c:showPercent val="0"/>
          <c:showBubbleSize val="0"/>
        </c:dLbls>
        <c:gapWidth val="5"/>
        <c:overlap val="100"/>
        <c:axId val="1236880479"/>
        <c:axId val="1180188479"/>
      </c:barChart>
      <c:valAx>
        <c:axId val="1180183903"/>
        <c:scaling>
          <c:orientation val="minMax"/>
        </c:scaling>
        <c:delete val="0"/>
        <c:axPos val="l"/>
        <c:majorGridlines>
          <c:spPr>
            <a:ln w="9528" cap="flat">
              <a:solidFill>
                <a:srgbClr val="D9D9D9"/>
              </a:solidFill>
              <a:prstDash val="solid"/>
              <a:round/>
            </a:ln>
          </c:spPr>
        </c:majorGridlines>
        <c:numFmt formatCode="0%"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es-ES" sz="900" b="0" i="0" u="none" strike="noStrike" kern="1200" baseline="0">
                <a:solidFill>
                  <a:srgbClr val="595959"/>
                </a:solidFill>
                <a:latin typeface="Calibri"/>
              </a:defRPr>
            </a:pPr>
            <a:endParaRPr lang="es-DO"/>
          </a:p>
        </c:txPr>
        <c:crossAx val="1236871679"/>
        <c:crosses val="autoZero"/>
        <c:crossBetween val="between"/>
      </c:valAx>
      <c:catAx>
        <c:axId val="1236871679"/>
        <c:scaling>
          <c:orientation val="minMax"/>
        </c:scaling>
        <c:delete val="0"/>
        <c:axPos val="b"/>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900" b="0" i="0" u="none" strike="noStrike" kern="1200" baseline="0">
                <a:solidFill>
                  <a:srgbClr val="595959"/>
                </a:solidFill>
                <a:latin typeface="Calibri"/>
              </a:defRPr>
            </a:pPr>
            <a:endParaRPr lang="es-DO"/>
          </a:p>
        </c:txPr>
        <c:crossAx val="1180183903"/>
        <c:crosses val="autoZero"/>
        <c:auto val="1"/>
        <c:lblAlgn val="ctr"/>
        <c:lblOffset val="100"/>
        <c:noMultiLvlLbl val="0"/>
      </c:catAx>
      <c:valAx>
        <c:axId val="1180188479"/>
        <c:scaling>
          <c:orientation val="minMax"/>
        </c:scaling>
        <c:delete val="0"/>
        <c:axPos val="r"/>
        <c:numFmt formatCode="0%"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es-ES" sz="900" b="0" i="0" u="none" strike="noStrike" kern="1200" baseline="0">
                <a:solidFill>
                  <a:srgbClr val="595959"/>
                </a:solidFill>
                <a:latin typeface="Calibri"/>
              </a:defRPr>
            </a:pPr>
            <a:endParaRPr lang="es-DO"/>
          </a:p>
        </c:txPr>
        <c:crossAx val="1236880479"/>
        <c:crosses val="max"/>
        <c:crossBetween val="between"/>
      </c:valAx>
      <c:catAx>
        <c:axId val="1236880479"/>
        <c:scaling>
          <c:orientation val="minMax"/>
        </c:scaling>
        <c:delete val="1"/>
        <c:axPos val="b"/>
        <c:numFmt formatCode="General" sourceLinked="0"/>
        <c:majorTickMark val="none"/>
        <c:minorTickMark val="none"/>
        <c:tickLblPos val="nextTo"/>
        <c:crossAx val="1180188479"/>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defRPr>
      </a:pPr>
      <a:endParaRPr lang="es-D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c:style val="2"/>
  <c:chart>
    <c:autoTitleDeleted val="1"/>
    <c:plotArea>
      <c:layout>
        <c:manualLayout>
          <c:xMode val="edge"/>
          <c:yMode val="edge"/>
          <c:x val="0"/>
          <c:y val="0"/>
          <c:w val="1"/>
          <c:h val="0.71706637242318017"/>
        </c:manualLayout>
      </c:layout>
      <c:barChart>
        <c:barDir val="col"/>
        <c:grouping val="clustered"/>
        <c:varyColors val="0"/>
        <c:ser>
          <c:idx val="0"/>
          <c:order val="0"/>
          <c:tx>
            <c:v>Vacaciones no disfrutadas</c:v>
          </c:tx>
          <c:spPr>
            <a:solidFill>
              <a:srgbClr val="EE2A24"/>
            </a:solidFill>
            <a:ln>
              <a:noFill/>
            </a:ln>
            <a:effectLst>
              <a:outerShdw dist="19046" dir="5400000" algn="tl">
                <a:srgbClr val="000000">
                  <a:alpha val="63000"/>
                </a:srgbClr>
              </a:outerShdw>
            </a:effectLst>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s-ES" sz="700" b="0" i="0" u="none" strike="noStrike" kern="1200" baseline="0">
                    <a:solidFill>
                      <a:srgbClr val="44546A"/>
                    </a:solidFill>
                    <a:latin typeface="Times New Roman" pitchFamily="18"/>
                    <a:cs typeface="Times New Roman" pitchFamily="18"/>
                  </a:defRPr>
                </a:pPr>
                <a:endParaRPr lang="es-DO"/>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ext>
            </c:extLst>
          </c:dLbls>
          <c:cat>
            <c:strLit>
              <c:ptCount val="9"/>
              <c:pt idx="0">
                <c:v>FEBRERO</c:v>
              </c:pt>
              <c:pt idx="1">
                <c:v>MARZO</c:v>
              </c:pt>
              <c:pt idx="2">
                <c:v>ABRIL</c:v>
              </c:pt>
              <c:pt idx="3">
                <c:v>MAYO</c:v>
              </c:pt>
              <c:pt idx="4">
                <c:v>JUNIO</c:v>
              </c:pt>
              <c:pt idx="5">
                <c:v>JULIO</c:v>
              </c:pt>
              <c:pt idx="6">
                <c:v>AGOSTO</c:v>
              </c:pt>
              <c:pt idx="7">
                <c:v>SEPTIEMBRE</c:v>
              </c:pt>
              <c:pt idx="8">
                <c:v>OCTUBRE</c:v>
              </c:pt>
            </c:strLit>
          </c:cat>
          <c:val>
            <c:numLit>
              <c:formatCode>General</c:formatCode>
              <c:ptCount val="9"/>
              <c:pt idx="0">
                <c:v>2759116.7974157818</c:v>
              </c:pt>
              <c:pt idx="1">
                <c:v>1041777.1665897554</c:v>
              </c:pt>
              <c:pt idx="2">
                <c:v>1230671.4443931703</c:v>
              </c:pt>
              <c:pt idx="3">
                <c:v>573631.74896169803</c:v>
              </c:pt>
              <c:pt idx="4">
                <c:v>1236204.7106598986</c:v>
              </c:pt>
              <c:pt idx="5">
                <c:v>826573.60406091367</c:v>
              </c:pt>
              <c:pt idx="6">
                <c:v>283856.76049838483</c:v>
              </c:pt>
              <c:pt idx="7">
                <c:v>176557.45269958468</c:v>
              </c:pt>
              <c:pt idx="8">
                <c:v>342042.45500692195</c:v>
              </c:pt>
            </c:numLit>
          </c:val>
          <c:extLst>
            <c:ext xmlns:c16="http://schemas.microsoft.com/office/drawing/2014/chart" uri="{C3380CC4-5D6E-409C-BE32-E72D297353CC}">
              <c16:uniqueId val="{00000000-5736-411C-89FB-6989E735090C}"/>
            </c:ext>
          </c:extLst>
        </c:ser>
        <c:ser>
          <c:idx val="1"/>
          <c:order val="1"/>
          <c:tx>
            <c:v>Indemnización Económica</c:v>
          </c:tx>
          <c:spPr>
            <a:solidFill>
              <a:srgbClr val="002060"/>
            </a:solidFill>
            <a:ln>
              <a:noFill/>
            </a:ln>
            <a:effectLst>
              <a:outerShdw dist="19046" dir="5400000" algn="tl">
                <a:srgbClr val="000000">
                  <a:alpha val="63000"/>
                </a:srgbClr>
              </a:outerShdw>
            </a:effectLst>
          </c:spPr>
          <c:invertIfNegative val="0"/>
          <c:dPt>
            <c:idx val="0"/>
            <c:invertIfNegative val="0"/>
            <c:bubble3D val="0"/>
            <c:extLst>
              <c:ext xmlns:c16="http://schemas.microsoft.com/office/drawing/2014/chart" uri="{C3380CC4-5D6E-409C-BE32-E72D297353CC}">
                <c16:uniqueId val="{00000000-58C0-4440-B9D3-0EA0712DFEF4}"/>
              </c:ext>
            </c:extLst>
          </c:dPt>
          <c:dLbls>
            <c:dLbl>
              <c:idx val="0"/>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58C0-4440-B9D3-0EA0712DFEF4}"/>
                </c:ext>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s-ES" sz="700" b="0" i="0" u="none" strike="noStrike" kern="1200" baseline="0">
                    <a:solidFill>
                      <a:srgbClr val="44546A"/>
                    </a:solidFill>
                    <a:latin typeface="Times New Roman" pitchFamily="18"/>
                    <a:cs typeface="Times New Roman" pitchFamily="18"/>
                  </a:defRPr>
                </a:pPr>
                <a:endParaRPr lang="es-DO"/>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ext>
            </c:extLst>
          </c:dLbls>
          <c:cat>
            <c:strLit>
              <c:ptCount val="9"/>
              <c:pt idx="0">
                <c:v>FEBRERO</c:v>
              </c:pt>
              <c:pt idx="1">
                <c:v>MARZO</c:v>
              </c:pt>
              <c:pt idx="2">
                <c:v>ABRIL</c:v>
              </c:pt>
              <c:pt idx="3">
                <c:v>MAYO</c:v>
              </c:pt>
              <c:pt idx="4">
                <c:v>JUNIO</c:v>
              </c:pt>
              <c:pt idx="5">
                <c:v>JULIO</c:v>
              </c:pt>
              <c:pt idx="6">
                <c:v>AGOSTO</c:v>
              </c:pt>
              <c:pt idx="7">
                <c:v>SEPTIEMBRE</c:v>
              </c:pt>
              <c:pt idx="8">
                <c:v>OCTUBRE</c:v>
              </c:pt>
            </c:strLit>
          </c:cat>
          <c:val>
            <c:numLit>
              <c:formatCode>General</c:formatCode>
              <c:ptCount val="9"/>
              <c:pt idx="0">
                <c:v>440000</c:v>
              </c:pt>
              <c:pt idx="1">
                <c:v>361956.8</c:v>
              </c:pt>
              <c:pt idx="2">
                <c:v>172000</c:v>
              </c:pt>
              <c:pt idx="3">
                <c:v>80000</c:v>
              </c:pt>
              <c:pt idx="4">
                <c:v>213200</c:v>
              </c:pt>
              <c:pt idx="5">
                <c:v>180000</c:v>
              </c:pt>
              <c:pt idx="6">
                <c:v>136467.6</c:v>
              </c:pt>
              <c:pt idx="7">
                <c:v>30000</c:v>
              </c:pt>
              <c:pt idx="8">
                <c:v>0</c:v>
              </c:pt>
            </c:numLit>
          </c:val>
          <c:extLst>
            <c:ext xmlns:c16="http://schemas.microsoft.com/office/drawing/2014/chart" uri="{C3380CC4-5D6E-409C-BE32-E72D297353CC}">
              <c16:uniqueId val="{00000002-5736-411C-89FB-6989E735090C}"/>
            </c:ext>
          </c:extLst>
        </c:ser>
        <c:dLbls>
          <c:showLegendKey val="0"/>
          <c:showVal val="0"/>
          <c:showCatName val="0"/>
          <c:showSerName val="0"/>
          <c:showPercent val="0"/>
          <c:showBubbleSize val="0"/>
        </c:dLbls>
        <c:gapWidth val="100"/>
        <c:overlap val="-24"/>
        <c:axId val="1236869679"/>
        <c:axId val="1180190143"/>
      </c:barChart>
      <c:valAx>
        <c:axId val="1180190143"/>
        <c:scaling>
          <c:orientation val="minMax"/>
        </c:scaling>
        <c:delete val="0"/>
        <c:axPos val="l"/>
        <c:majorGridlines>
          <c:spPr>
            <a:ln w="9528" cap="flat">
              <a:solidFill>
                <a:srgbClr val="D9D9D9"/>
              </a:solidFill>
              <a:prstDash val="solid"/>
              <a:round/>
            </a:ln>
          </c:spPr>
        </c:majorGridlines>
        <c:numFmt formatCode="&quot; &quot;#,##0.00&quot; &quot;;&quot; (&quot;#,##0.00&quot;)&quot;;&quot; -&quot;00&quot; &quot;;&quot; &quot;"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es-ES" sz="700" b="0" i="0" u="none" strike="noStrike" kern="1200" baseline="0">
                <a:solidFill>
                  <a:srgbClr val="44546A"/>
                </a:solidFill>
                <a:latin typeface="Times New Roman" pitchFamily="18"/>
                <a:cs typeface="Times New Roman" pitchFamily="18"/>
              </a:defRPr>
            </a:pPr>
            <a:endParaRPr lang="es-DO"/>
          </a:p>
        </c:txPr>
        <c:crossAx val="1236869679"/>
        <c:crosses val="autoZero"/>
        <c:crossBetween val="between"/>
      </c:valAx>
      <c:catAx>
        <c:axId val="1236869679"/>
        <c:scaling>
          <c:orientation val="minMax"/>
        </c:scaling>
        <c:delete val="0"/>
        <c:axPos val="b"/>
        <c:numFmt formatCode="General" sourceLinked="0"/>
        <c:majorTickMark val="none"/>
        <c:minorTickMark val="none"/>
        <c:tickLblPos val="nextTo"/>
        <c:spPr>
          <a:noFill/>
          <a:ln w="12701"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700" b="0" i="0" u="none" strike="noStrike" kern="1200" baseline="0">
                <a:solidFill>
                  <a:srgbClr val="44546A"/>
                </a:solidFill>
                <a:latin typeface="Times New Roman" pitchFamily="18"/>
                <a:cs typeface="Times New Roman" pitchFamily="18"/>
              </a:defRPr>
            </a:pPr>
            <a:endParaRPr lang="es-DO"/>
          </a:p>
        </c:txPr>
        <c:crossAx val="1180190143"/>
        <c:crosses val="autoZero"/>
        <c:auto val="1"/>
        <c:lblAlgn val="ctr"/>
        <c:lblOffset val="100"/>
        <c:noMultiLvlLbl val="0"/>
      </c:catAx>
      <c:spPr>
        <a:noFill/>
        <a:ln>
          <a:noFill/>
        </a:ln>
      </c:spPr>
    </c:plotArea>
    <c:legend>
      <c:legendPos val="r"/>
      <c:layout>
        <c:manualLayout>
          <c:xMode val="edge"/>
          <c:yMode val="edge"/>
          <c:x val="0.25230326626589866"/>
          <c:y val="6.2794462417650604E-2"/>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s-ES" sz="700" b="0" i="0" u="none" strike="noStrike" kern="1200" baseline="0">
              <a:solidFill>
                <a:srgbClr val="44546A"/>
              </a:solidFill>
              <a:latin typeface="Times New Roman" pitchFamily="18"/>
              <a:cs typeface="Times New Roman" pitchFamily="18"/>
            </a:defRPr>
          </a:pPr>
          <a:endParaRPr lang="es-DO"/>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700" b="0" i="0" u="none" strike="noStrike" kern="1200" baseline="0">
          <a:solidFill>
            <a:srgbClr val="44546A"/>
          </a:solidFill>
          <a:latin typeface="Times New Roman" pitchFamily="18"/>
          <a:cs typeface="Times New Roman" pitchFamily="18"/>
        </a:defRPr>
      </a:pPr>
      <a:endParaRPr lang="es-D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c:style val="2"/>
  <c:chart>
    <c:autoTitleDeleted val="1"/>
    <c:plotArea>
      <c:layout/>
      <c:barChart>
        <c:barDir val="col"/>
        <c:grouping val="clustered"/>
        <c:varyColors val="0"/>
        <c:ser>
          <c:idx val="0"/>
          <c:order val="0"/>
          <c:tx>
            <c:v>Registro de pacientes</c:v>
          </c:tx>
          <c:spPr>
            <a:solidFill>
              <a:srgbClr val="EE2A24"/>
            </a:solidFill>
            <a:ln>
              <a:noFill/>
            </a:ln>
            <a:effectLst>
              <a:outerShdw dist="19046" dir="5400000" algn="tl">
                <a:srgbClr val="000000">
                  <a:alpha val="63000"/>
                </a:srgbClr>
              </a:outerShdw>
            </a:effectLst>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s-ES" sz="900" b="0" i="0" u="none" strike="noStrike" kern="1200" baseline="0">
                    <a:solidFill>
                      <a:srgbClr val="404040"/>
                    </a:solidFill>
                    <a:latin typeface="Calibri"/>
                  </a:defRPr>
                </a:pPr>
                <a:endParaRPr lang="es-DO"/>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ext>
            </c:extLst>
          </c:dLbls>
          <c:cat>
            <c:strLit>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Lit>
          </c:cat>
          <c:val>
            <c:numLit>
              <c:formatCode>General</c:formatCode>
              <c:ptCount val="11"/>
              <c:pt idx="0">
                <c:v>27</c:v>
              </c:pt>
              <c:pt idx="1">
                <c:v>33</c:v>
              </c:pt>
              <c:pt idx="2">
                <c:v>37</c:v>
              </c:pt>
              <c:pt idx="3">
                <c:v>67</c:v>
              </c:pt>
              <c:pt idx="4">
                <c:v>68</c:v>
              </c:pt>
              <c:pt idx="5">
                <c:v>111</c:v>
              </c:pt>
              <c:pt idx="6">
                <c:v>145</c:v>
              </c:pt>
              <c:pt idx="7">
                <c:v>100</c:v>
              </c:pt>
              <c:pt idx="8">
                <c:v>127</c:v>
              </c:pt>
              <c:pt idx="9">
                <c:v>57</c:v>
              </c:pt>
              <c:pt idx="10">
                <c:v>80</c:v>
              </c:pt>
            </c:numLit>
          </c:val>
          <c:extLst>
            <c:ext xmlns:c16="http://schemas.microsoft.com/office/drawing/2014/chart" uri="{C3380CC4-5D6E-409C-BE32-E72D297353CC}">
              <c16:uniqueId val="{00000000-FA66-492C-B0CD-38AE251D7291}"/>
            </c:ext>
          </c:extLst>
        </c:ser>
        <c:dLbls>
          <c:showLegendKey val="0"/>
          <c:showVal val="0"/>
          <c:showCatName val="0"/>
          <c:showSerName val="0"/>
          <c:showPercent val="0"/>
          <c:showBubbleSize val="0"/>
        </c:dLbls>
        <c:gapWidth val="100"/>
        <c:overlap val="-24"/>
        <c:axId val="1236884079"/>
        <c:axId val="1180187231"/>
      </c:barChart>
      <c:valAx>
        <c:axId val="1180187231"/>
        <c:scaling>
          <c:orientation val="minMax"/>
        </c:scaling>
        <c:delete val="0"/>
        <c:axPos val="l"/>
        <c:majorGridlines>
          <c:spPr>
            <a:ln w="9528" cap="flat">
              <a:solidFill>
                <a:srgbClr val="D9D9D9"/>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es-ES" sz="900" b="0" i="0" u="none" strike="noStrike" kern="1200" baseline="0">
                <a:solidFill>
                  <a:srgbClr val="595959"/>
                </a:solidFill>
                <a:latin typeface="Calibri"/>
              </a:defRPr>
            </a:pPr>
            <a:endParaRPr lang="es-DO"/>
          </a:p>
        </c:txPr>
        <c:crossAx val="1236884079"/>
        <c:crosses val="autoZero"/>
        <c:crossBetween val="between"/>
      </c:valAx>
      <c:catAx>
        <c:axId val="1236884079"/>
        <c:scaling>
          <c:orientation val="minMax"/>
        </c:scaling>
        <c:delete val="0"/>
        <c:axPos val="b"/>
        <c:numFmt formatCode="General" sourceLinked="0"/>
        <c:majorTickMark val="none"/>
        <c:minorTickMark val="none"/>
        <c:tickLblPos val="nextTo"/>
        <c:spPr>
          <a:noFill/>
          <a:ln w="12701"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900" b="0" i="0" u="none" strike="noStrike" kern="1200" baseline="0">
                <a:solidFill>
                  <a:srgbClr val="595959"/>
                </a:solidFill>
                <a:latin typeface="Calibri"/>
              </a:defRPr>
            </a:pPr>
            <a:endParaRPr lang="es-DO"/>
          </a:p>
        </c:txPr>
        <c:crossAx val="1180187231"/>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900" b="0" i="0" u="none" strike="noStrike" kern="1200" baseline="0">
          <a:solidFill>
            <a:srgbClr val="44546A"/>
          </a:solidFill>
          <a:latin typeface="Calibri"/>
        </a:defRPr>
      </a:pPr>
      <a:endParaRPr lang="es-D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c:style val="2"/>
  <c:chart>
    <c:autoTitleDeleted val="1"/>
    <c:plotArea>
      <c:layout/>
      <c:barChart>
        <c:barDir val="col"/>
        <c:grouping val="clustered"/>
        <c:varyColors val="0"/>
        <c:ser>
          <c:idx val="0"/>
          <c:order val="0"/>
          <c:tx>
            <c:v>Registro de pacientes</c:v>
          </c:tx>
          <c:spPr>
            <a:solidFill>
              <a:srgbClr val="EE2A24"/>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s-ES" sz="900" b="0" i="0" u="none" strike="noStrike" kern="1200" baseline="0">
                    <a:solidFill>
                      <a:srgbClr val="44546A"/>
                    </a:solidFill>
                    <a:latin typeface="Calibri"/>
                  </a:defRPr>
                </a:pPr>
                <a:endParaRPr lang="es-DO"/>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ext>
            </c:extLst>
          </c:dLbls>
          <c:cat>
            <c:strLit>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Lit>
          </c:cat>
          <c:val>
            <c:numLit>
              <c:formatCode>General</c:formatCode>
              <c:ptCount val="11"/>
              <c:pt idx="0">
                <c:v>141</c:v>
              </c:pt>
              <c:pt idx="1">
                <c:v>133</c:v>
              </c:pt>
              <c:pt idx="2">
                <c:v>143</c:v>
              </c:pt>
              <c:pt idx="3">
                <c:v>160</c:v>
              </c:pt>
              <c:pt idx="4">
                <c:v>92</c:v>
              </c:pt>
              <c:pt idx="5">
                <c:v>93</c:v>
              </c:pt>
              <c:pt idx="6">
                <c:v>155</c:v>
              </c:pt>
              <c:pt idx="7">
                <c:v>106</c:v>
              </c:pt>
              <c:pt idx="8">
                <c:v>157</c:v>
              </c:pt>
              <c:pt idx="9">
                <c:v>112</c:v>
              </c:pt>
              <c:pt idx="10">
                <c:v>98</c:v>
              </c:pt>
            </c:numLit>
          </c:val>
          <c:extLst>
            <c:ext xmlns:c16="http://schemas.microsoft.com/office/drawing/2014/chart" uri="{C3380CC4-5D6E-409C-BE32-E72D297353CC}">
              <c16:uniqueId val="{00000000-47BE-42B5-8D13-F27EB51E54DA}"/>
            </c:ext>
          </c:extLst>
        </c:ser>
        <c:dLbls>
          <c:showLegendKey val="0"/>
          <c:showVal val="0"/>
          <c:showCatName val="0"/>
          <c:showSerName val="0"/>
          <c:showPercent val="0"/>
          <c:showBubbleSize val="0"/>
        </c:dLbls>
        <c:gapWidth val="100"/>
        <c:overlap val="-24"/>
        <c:axId val="1236883279"/>
        <c:axId val="1180185983"/>
      </c:barChart>
      <c:valAx>
        <c:axId val="1180185983"/>
        <c:scaling>
          <c:orientation val="minMax"/>
        </c:scaling>
        <c:delete val="0"/>
        <c:axPos val="l"/>
        <c:majorGridlines>
          <c:spPr>
            <a:ln w="9528" cap="flat">
              <a:solidFill>
                <a:srgbClr val="E0E5EB"/>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es-ES" sz="900" b="0" i="0" u="none" strike="noStrike" kern="1200" baseline="0">
                <a:solidFill>
                  <a:srgbClr val="44546A"/>
                </a:solidFill>
                <a:latin typeface="Calibri"/>
              </a:defRPr>
            </a:pPr>
            <a:endParaRPr lang="es-DO"/>
          </a:p>
        </c:txPr>
        <c:crossAx val="1236883279"/>
        <c:crosses val="autoZero"/>
        <c:crossBetween val="between"/>
      </c:valAx>
      <c:catAx>
        <c:axId val="1236883279"/>
        <c:scaling>
          <c:orientation val="minMax"/>
        </c:scaling>
        <c:delete val="0"/>
        <c:axPos val="b"/>
        <c:numFmt formatCode="General" sourceLinked="0"/>
        <c:majorTickMark val="none"/>
        <c:minorTickMark val="none"/>
        <c:tickLblPos val="nextTo"/>
        <c:spPr>
          <a:noFill/>
          <a:ln w="9528" cap="flat">
            <a:solidFill>
              <a:srgbClr val="E0E5EB"/>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900" b="0" i="0" u="none" strike="noStrike" kern="1200" baseline="0">
                <a:solidFill>
                  <a:srgbClr val="44546A"/>
                </a:solidFill>
                <a:latin typeface="Calibri"/>
              </a:defRPr>
            </a:pPr>
            <a:endParaRPr lang="es-DO"/>
          </a:p>
        </c:txPr>
        <c:crossAx val="1180185983"/>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E0E5EB"/>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900" b="0" i="0" u="none" strike="noStrike" kern="1200" baseline="0">
          <a:solidFill>
            <a:srgbClr val="44546A"/>
          </a:solidFill>
          <a:latin typeface="Calibri"/>
        </a:defRPr>
      </a:pPr>
      <a:endParaRPr lang="es-D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c:style val="2"/>
  <c:chart>
    <c:autoTitleDeleted val="1"/>
    <c:plotArea>
      <c:layout/>
      <c:barChart>
        <c:barDir val="col"/>
        <c:grouping val="clustered"/>
        <c:varyColors val="0"/>
        <c:ser>
          <c:idx val="0"/>
          <c:order val="0"/>
          <c:tx>
            <c:v>Registro de Preempleo</c:v>
          </c:tx>
          <c:spPr>
            <a:solidFill>
              <a:srgbClr val="EE2A24"/>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s-ES" sz="900" b="0" i="0" u="none" strike="noStrike" kern="1200" baseline="0">
                    <a:solidFill>
                      <a:srgbClr val="44546A"/>
                    </a:solidFill>
                    <a:latin typeface="Calibri"/>
                  </a:defRPr>
                </a:pPr>
                <a:endParaRPr lang="es-DO"/>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ext>
            </c:extLst>
          </c:dLbls>
          <c:cat>
            <c:strLit>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Lit>
          </c:cat>
          <c:val>
            <c:numLit>
              <c:formatCode>General</c:formatCode>
              <c:ptCount val="11"/>
              <c:pt idx="0">
                <c:v>45</c:v>
              </c:pt>
              <c:pt idx="1">
                <c:v>35</c:v>
              </c:pt>
              <c:pt idx="2">
                <c:v>13</c:v>
              </c:pt>
              <c:pt idx="3">
                <c:v>31</c:v>
              </c:pt>
              <c:pt idx="4">
                <c:v>37</c:v>
              </c:pt>
              <c:pt idx="5">
                <c:v>38</c:v>
              </c:pt>
              <c:pt idx="6">
                <c:v>22</c:v>
              </c:pt>
              <c:pt idx="7">
                <c:v>15</c:v>
              </c:pt>
              <c:pt idx="8">
                <c:v>8</c:v>
              </c:pt>
              <c:pt idx="9">
                <c:v>4</c:v>
              </c:pt>
              <c:pt idx="10">
                <c:v>7</c:v>
              </c:pt>
            </c:numLit>
          </c:val>
          <c:extLst>
            <c:ext xmlns:c16="http://schemas.microsoft.com/office/drawing/2014/chart" uri="{C3380CC4-5D6E-409C-BE32-E72D297353CC}">
              <c16:uniqueId val="{00000000-C06B-45DF-9773-9E92D05DF892}"/>
            </c:ext>
          </c:extLst>
        </c:ser>
        <c:dLbls>
          <c:showLegendKey val="0"/>
          <c:showVal val="0"/>
          <c:showCatName val="0"/>
          <c:showSerName val="0"/>
          <c:showPercent val="0"/>
          <c:showBubbleSize val="0"/>
        </c:dLbls>
        <c:gapWidth val="100"/>
        <c:overlap val="-24"/>
        <c:axId val="1236872079"/>
        <c:axId val="1180184319"/>
      </c:barChart>
      <c:valAx>
        <c:axId val="1180184319"/>
        <c:scaling>
          <c:orientation val="minMax"/>
        </c:scaling>
        <c:delete val="0"/>
        <c:axPos val="l"/>
        <c:majorGridlines>
          <c:spPr>
            <a:ln w="9528" cap="flat">
              <a:solidFill>
                <a:srgbClr val="E0E5EB"/>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es-ES" sz="900" b="0" i="0" u="none" strike="noStrike" kern="1200" baseline="0">
                <a:solidFill>
                  <a:srgbClr val="44546A"/>
                </a:solidFill>
                <a:latin typeface="Calibri"/>
              </a:defRPr>
            </a:pPr>
            <a:endParaRPr lang="es-DO"/>
          </a:p>
        </c:txPr>
        <c:crossAx val="1236872079"/>
        <c:crosses val="autoZero"/>
        <c:crossBetween val="between"/>
      </c:valAx>
      <c:catAx>
        <c:axId val="1236872079"/>
        <c:scaling>
          <c:orientation val="minMax"/>
        </c:scaling>
        <c:delete val="0"/>
        <c:axPos val="b"/>
        <c:numFmt formatCode="General" sourceLinked="0"/>
        <c:majorTickMark val="none"/>
        <c:minorTickMark val="none"/>
        <c:tickLblPos val="nextTo"/>
        <c:spPr>
          <a:noFill/>
          <a:ln w="9528" cap="flat">
            <a:solidFill>
              <a:srgbClr val="E0E5EB"/>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900" b="0" i="0" u="none" strike="noStrike" kern="1200" baseline="0">
                <a:solidFill>
                  <a:srgbClr val="44546A"/>
                </a:solidFill>
                <a:latin typeface="Calibri"/>
              </a:defRPr>
            </a:pPr>
            <a:endParaRPr lang="es-DO"/>
          </a:p>
        </c:txPr>
        <c:crossAx val="1180184319"/>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E0E5EB"/>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900" b="0" i="0" u="none" strike="noStrike" kern="1200" baseline="0">
          <a:solidFill>
            <a:srgbClr val="44546A"/>
          </a:solidFill>
          <a:latin typeface="Calibri"/>
        </a:defRPr>
      </a:pPr>
      <a:endParaRPr lang="es-D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117</Pages>
  <Words>21354</Words>
  <Characters>117447</Characters>
  <Application>Microsoft Office Word</Application>
  <DocSecurity>0</DocSecurity>
  <Lines>978</Lines>
  <Paragraphs>277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dc:description/>
  <cp:lastModifiedBy>Anabelle Reynoso Adolphus</cp:lastModifiedBy>
  <cp:revision>2</cp:revision>
  <cp:lastPrinted>2025-12-19T19:06:00Z</cp:lastPrinted>
  <dcterms:created xsi:type="dcterms:W3CDTF">2025-12-29T19:35:00Z</dcterms:created>
  <dcterms:modified xsi:type="dcterms:W3CDTF">2025-12-29T19:35:00Z</dcterms:modified>
</cp:coreProperties>
</file>