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D811" w14:textId="0FFDAEF5" w:rsidR="002371C4" w:rsidRDefault="002371C4" w:rsidP="008D7F4E">
      <w:pPr>
        <w:rPr>
          <w:lang w:val="es-DO"/>
        </w:rPr>
      </w:pPr>
      <w:bookmarkStart w:id="0" w:name="_Hlk218763914"/>
      <w:bookmarkEnd w:id="0"/>
    </w:p>
    <w:p w14:paraId="2514A924" w14:textId="67D053CA" w:rsidR="008D7F4E" w:rsidRPr="002B4451" w:rsidRDefault="008D7F4E" w:rsidP="008D7F4E">
      <w:pPr>
        <w:rPr>
          <w:lang w:val="es-DO"/>
        </w:rPr>
      </w:pPr>
    </w:p>
    <w:p w14:paraId="24A9A258" w14:textId="3E2B5F8C" w:rsidR="008D7F4E" w:rsidRPr="002B4451" w:rsidRDefault="0042139E" w:rsidP="00801B69">
      <w:pPr>
        <w:jc w:val="center"/>
        <w:rPr>
          <w:lang w:val="es-DO"/>
        </w:rPr>
      </w:pPr>
      <w:r w:rsidRPr="002B4451">
        <w:rPr>
          <w:noProof/>
          <w:lang w:val="es-DO" w:eastAsia="es-DO"/>
        </w:rPr>
        <w:drawing>
          <wp:inline distT="0" distB="0" distL="0" distR="0" wp14:anchorId="3F0A51DA" wp14:editId="34ACDB4F">
            <wp:extent cx="1280160" cy="12077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inline>
        </w:drawing>
      </w:r>
    </w:p>
    <w:p w14:paraId="4CA56016" w14:textId="77777777" w:rsidR="00801B69" w:rsidRDefault="00801B69" w:rsidP="008A296A">
      <w:pPr>
        <w:jc w:val="center"/>
        <w:rPr>
          <w:lang w:val="es-DO"/>
        </w:rPr>
      </w:pPr>
      <w:r w:rsidRPr="002B4451">
        <w:rPr>
          <w:noProof/>
          <w:lang w:val="es-DO" w:eastAsia="es-DO"/>
        </w:rPr>
        <mc:AlternateContent>
          <mc:Choice Requires="wps">
            <w:drawing>
              <wp:inline distT="0" distB="0" distL="0" distR="0" wp14:anchorId="3692660A" wp14:editId="296159D6">
                <wp:extent cx="1884680" cy="177165"/>
                <wp:effectExtent l="0" t="0" r="0" b="0"/>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5FB27161" w14:textId="77777777" w:rsidR="00801B69" w:rsidRPr="005C548C" w:rsidRDefault="00801B69" w:rsidP="00801B69">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inline>
            </w:drawing>
          </mc:Choice>
          <mc:Fallback>
            <w:pict>
              <v:shapetype w14:anchorId="3692660A" id="_x0000_t202" coordsize="21600,21600" o:spt="202" path="m,l,21600r21600,l21600,xe">
                <v:stroke joinstyle="miter"/>
                <v:path gradientshapeok="t" o:connecttype="rect"/>
              </v:shapetype>
              <v:shape id="object 6" o:spid="_x0000_s1026" type="#_x0000_t202" style="width:148.4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" filled="f" stroked="f">
                <v:textbox inset="0,1pt,0,0">
                  <w:txbxContent>
                    <w:p w14:paraId="5FB27161" w14:textId="77777777" w:rsidR="00801B69" w:rsidRPr="005C548C" w:rsidRDefault="00801B69" w:rsidP="00801B69">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anchorlock/>
              </v:shape>
            </w:pict>
          </mc:Fallback>
        </mc:AlternateContent>
      </w:r>
      <w:bookmarkStart w:id="1" w:name="_Hlk86404256"/>
      <w:bookmarkEnd w:id="1"/>
    </w:p>
    <w:p w14:paraId="3B8B4AB0" w14:textId="77777777" w:rsidR="00801B69" w:rsidRDefault="00801B69" w:rsidP="008A296A">
      <w:pPr>
        <w:jc w:val="center"/>
        <w:rPr>
          <w:lang w:val="es-DO"/>
        </w:rPr>
      </w:pPr>
    </w:p>
    <w:p w14:paraId="17FEE609" w14:textId="77777777" w:rsidR="00801B69" w:rsidRDefault="00801B69" w:rsidP="008A296A">
      <w:pPr>
        <w:jc w:val="center"/>
        <w:rPr>
          <w:lang w:val="es-DO"/>
        </w:rPr>
      </w:pPr>
    </w:p>
    <w:p w14:paraId="276692C4" w14:textId="77777777" w:rsidR="00801B69" w:rsidRDefault="00801B69" w:rsidP="008A296A">
      <w:pPr>
        <w:jc w:val="center"/>
        <w:rPr>
          <w:lang w:val="es-DO"/>
        </w:rPr>
      </w:pPr>
    </w:p>
    <w:p w14:paraId="34990FAF" w14:textId="28CBA430" w:rsidR="008D7F4E" w:rsidRPr="002B4451" w:rsidRDefault="00801B69" w:rsidP="00801B69">
      <w:pPr>
        <w:spacing w:after="0" w:line="276" w:lineRule="auto"/>
        <w:jc w:val="center"/>
        <w:rPr>
          <w:lang w:val="es-DO"/>
        </w:rPr>
      </w:pPr>
      <w:r w:rsidRPr="002B4451">
        <w:rPr>
          <w:noProof/>
          <w:lang w:val="es-DO" w:eastAsia="es-DO"/>
        </w:rPr>
        <mc:AlternateContent>
          <mc:Choice Requires="wps">
            <w:drawing>
              <wp:inline distT="0" distB="0" distL="0" distR="0" wp14:anchorId="3423E460" wp14:editId="33745ABC">
                <wp:extent cx="3407334" cy="846161"/>
                <wp:effectExtent l="0" t="0" r="0" b="0"/>
                <wp:docPr id="4" name="object 4"/>
                <wp:cNvGraphicFramePr/>
                <a:graphic xmlns:a="http://schemas.openxmlformats.org/drawingml/2006/main">
                  <a:graphicData uri="http://schemas.microsoft.com/office/word/2010/wordprocessingShape">
                    <wps:wsp>
                      <wps:cNvSpPr txBox="1"/>
                      <wps:spPr>
                        <a:xfrm>
                          <a:off x="0" y="0"/>
                          <a:ext cx="3407334" cy="846161"/>
                        </a:xfrm>
                        <a:prstGeom prst="rect">
                          <a:avLst/>
                        </a:prstGeom>
                      </wps:spPr>
                      <wps:txbx>
                        <w:txbxContent>
                          <w:p w14:paraId="2BC42689" w14:textId="77777777" w:rsidR="00801B69" w:rsidRDefault="00801B69" w:rsidP="00801B69">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1F0715FC" w14:textId="77777777" w:rsidR="00801B69" w:rsidRDefault="00801B69" w:rsidP="00801B69">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DE33192" w14:textId="77777777" w:rsidR="00801B69" w:rsidRPr="00801B69" w:rsidRDefault="00801B69" w:rsidP="00801B69">
                            <w:pPr>
                              <w:spacing w:after="0"/>
                              <w:jc w:val="center"/>
                              <w:rPr>
                                <w:b/>
                                <w:bCs/>
                                <w:color w:val="D5B788"/>
                                <w:spacing w:val="60"/>
                                <w:kern w:val="24"/>
                                <w:sz w:val="20"/>
                                <w:szCs w:val="20"/>
                                <w:lang w:val="es-DO"/>
                              </w:rPr>
                            </w:pPr>
                          </w:p>
                        </w:txbxContent>
                      </wps:txbx>
                      <wps:bodyPr vert="horz" wrap="square" lIns="0" tIns="17145" rIns="0" bIns="0" rtlCol="0">
                        <a:noAutofit/>
                      </wps:bodyPr>
                    </wps:wsp>
                  </a:graphicData>
                </a:graphic>
              </wp:inline>
            </w:drawing>
          </mc:Choice>
          <mc:Fallback>
            <w:pict>
              <v:shape w14:anchorId="3423E460" id="object 4" o:spid="_x0000_s1027" type="#_x0000_t202" style="width:268.3pt;height: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" filled="f" stroked="f">
                <v:textbox inset="0,1.35pt,0,0">
                  <w:txbxContent>
                    <w:p w14:paraId="2BC42689" w14:textId="77777777" w:rsidR="00801B69" w:rsidRDefault="00801B69" w:rsidP="00801B69">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1F0715FC" w14:textId="77777777" w:rsidR="00801B69" w:rsidRDefault="00801B69" w:rsidP="00801B69">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DE33192" w14:textId="77777777" w:rsidR="00801B69" w:rsidRPr="00801B69" w:rsidRDefault="00801B69" w:rsidP="00801B69">
                      <w:pPr>
                        <w:spacing w:after="0"/>
                        <w:jc w:val="center"/>
                        <w:rPr>
                          <w:b/>
                          <w:bCs/>
                          <w:color w:val="D5B788"/>
                          <w:spacing w:val="60"/>
                          <w:kern w:val="24"/>
                          <w:sz w:val="20"/>
                          <w:szCs w:val="20"/>
                          <w:lang w:val="es-DO"/>
                        </w:rPr>
                      </w:pPr>
                    </w:p>
                  </w:txbxContent>
                </v:textbox>
                <w10:anchorlock/>
              </v:shape>
            </w:pict>
          </mc:Fallback>
        </mc:AlternateContent>
      </w:r>
    </w:p>
    <w:p w14:paraId="16332291" w14:textId="77777777" w:rsidR="00801B69" w:rsidRDefault="00801B69" w:rsidP="00801B69">
      <w:pPr>
        <w:spacing w:after="0" w:line="276" w:lineRule="auto"/>
        <w:jc w:val="center"/>
        <w:rPr>
          <w:lang w:val="es-DO"/>
        </w:rPr>
      </w:pPr>
      <w:r>
        <w:rPr>
          <w:noProof/>
          <w:lang w:val="es-DO" w:eastAsia="es-DO"/>
        </w:rPr>
        <mc:AlternateContent>
          <mc:Choice Requires="wps">
            <w:drawing>
              <wp:inline distT="0" distB="0" distL="0" distR="0" wp14:anchorId="4E5459E1" wp14:editId="1508EEE6">
                <wp:extent cx="463550" cy="0"/>
                <wp:effectExtent l="0" t="19050" r="31750" b="19050"/>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inline>
            </w:drawing>
          </mc:Choice>
          <mc:Fallback>
            <w:pict>
              <v:line w14:anchorId="389E0F7B"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" strokecolor="#c8b688" strokeweight="2.25pt">
                <v:stroke joinstyle="miter"/>
                <o:lock v:ext="edit" shapetype="f"/>
                <w10:anchorlock/>
              </v:line>
            </w:pict>
          </mc:Fallback>
        </mc:AlternateContent>
      </w:r>
    </w:p>
    <w:p w14:paraId="20A6A0A4" w14:textId="77777777" w:rsidR="00801B69" w:rsidRPr="00801B69" w:rsidRDefault="00801B69" w:rsidP="00801B69">
      <w:pPr>
        <w:spacing w:after="0" w:line="276" w:lineRule="auto"/>
        <w:jc w:val="center"/>
        <w:rPr>
          <w:sz w:val="16"/>
          <w:szCs w:val="16"/>
          <w:lang w:val="es-DO"/>
        </w:rPr>
      </w:pPr>
    </w:p>
    <w:p w14:paraId="071FCCAE" w14:textId="42C1D21E" w:rsidR="008D7F4E" w:rsidRPr="002B4451" w:rsidRDefault="00801B69" w:rsidP="00801B69">
      <w:pPr>
        <w:spacing w:after="0" w:line="276" w:lineRule="auto"/>
        <w:jc w:val="center"/>
        <w:rPr>
          <w:lang w:val="es-DO"/>
        </w:rPr>
      </w:pPr>
      <w:r w:rsidRPr="002B4451">
        <w:rPr>
          <w:noProof/>
          <w:lang w:val="es-DO" w:eastAsia="es-DO"/>
        </w:rPr>
        <mc:AlternateContent>
          <mc:Choice Requires="wps">
            <w:drawing>
              <wp:inline distT="0" distB="0" distL="0" distR="0" wp14:anchorId="38F75E39" wp14:editId="04E67B90">
                <wp:extent cx="1210945" cy="308610"/>
                <wp:effectExtent l="0" t="0" r="0" b="0"/>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CFD2149" w14:textId="77777777" w:rsidR="00801B69" w:rsidRPr="00F36012" w:rsidRDefault="00801B69" w:rsidP="00801B6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txbxContent>
                      </wps:txbx>
                      <wps:bodyPr vert="horz" wrap="square" lIns="0" tIns="12700" rIns="0" bIns="0" rtlCol="0">
                        <a:noAutofit/>
                      </wps:bodyPr>
                    </wps:wsp>
                  </a:graphicData>
                </a:graphic>
              </wp:inline>
            </w:drawing>
          </mc:Choice>
          <mc:Fallback>
            <w:pict>
              <v:shape w14:anchorId="38F75E39" id="object 5" o:spid="_x0000_s1028" type="#_x0000_t202" style="width:95.3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" filled="f" stroked="f">
                <v:textbox inset="0,1pt,0,0">
                  <w:txbxContent>
                    <w:p w14:paraId="1CFD2149" w14:textId="77777777" w:rsidR="00801B69" w:rsidRPr="00F36012" w:rsidRDefault="00801B69" w:rsidP="00801B6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txbxContent>
                </v:textbox>
                <w10:anchorlock/>
              </v:shape>
            </w:pict>
          </mc:Fallback>
        </mc:AlternateContent>
      </w:r>
    </w:p>
    <w:p w14:paraId="69FBF6B1" w14:textId="5FA314F4" w:rsidR="008D7F4E" w:rsidRPr="002B4451" w:rsidRDefault="008D7F4E" w:rsidP="008D7F4E">
      <w:pPr>
        <w:rPr>
          <w:lang w:val="es-DO"/>
        </w:rPr>
      </w:pPr>
    </w:p>
    <w:p w14:paraId="0233C915" w14:textId="77777777" w:rsidR="008D7F4E" w:rsidRPr="002B4451" w:rsidRDefault="008D7F4E" w:rsidP="008D7F4E">
      <w:pPr>
        <w:rPr>
          <w:lang w:val="es-DO"/>
        </w:rPr>
      </w:pPr>
    </w:p>
    <w:p w14:paraId="0E9FB18D" w14:textId="77777777" w:rsidR="004D4B08" w:rsidRDefault="006160B6" w:rsidP="004F2DD5">
      <w:pPr>
        <w:rPr>
          <w:lang w:val="es-DO"/>
        </w:rPr>
      </w:pPr>
      <w:r>
        <w:rPr>
          <w:noProof/>
          <w:lang w:val="es-DO" w:eastAsia="es-DO"/>
        </w:rPr>
        <mc:AlternateContent>
          <mc:Choice Requires="wps">
            <w:drawing>
              <wp:anchor distT="0" distB="0" distL="114300" distR="114300" simplePos="0" relativeHeight="251658241"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ABBE37" id="Freeform: Shape 44" o:spid="_x0000_s1026" style="position:absolute;margin-left:371.65pt;margin-top:699.75pt;width:42.75pt;height:4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6AE1CE3E" w14:textId="77777777" w:rsidR="004D4B08" w:rsidRDefault="004D4B08" w:rsidP="004F2DD5">
      <w:pPr>
        <w:rPr>
          <w:lang w:val="es-DO"/>
        </w:rPr>
      </w:pPr>
    </w:p>
    <w:p w14:paraId="1037586E" w14:textId="77777777" w:rsidR="004D4B08" w:rsidRDefault="004D4B08" w:rsidP="004F2DD5">
      <w:pPr>
        <w:rPr>
          <w:lang w:val="es-DO"/>
        </w:rPr>
      </w:pPr>
    </w:p>
    <w:p w14:paraId="4D789D48" w14:textId="77777777" w:rsidR="001051D6" w:rsidRDefault="001051D6" w:rsidP="004F2DD5">
      <w:pPr>
        <w:rPr>
          <w:lang w:val="es-DO"/>
        </w:rPr>
      </w:pPr>
    </w:p>
    <w:p w14:paraId="70C63FC9" w14:textId="77777777" w:rsidR="001051D6" w:rsidRDefault="001051D6" w:rsidP="004F2DD5">
      <w:pPr>
        <w:rPr>
          <w:lang w:val="es-DO"/>
        </w:rPr>
      </w:pPr>
    </w:p>
    <w:p w14:paraId="63B595D2" w14:textId="73B20A05" w:rsidR="004D4B08" w:rsidRPr="002B4451" w:rsidRDefault="008D7F4E" w:rsidP="004F2DD5">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tbl>
      <w:tblPr>
        <w:tblStyle w:val="Tablaconcuadrcula"/>
        <w:tblW w:w="88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1"/>
        <w:gridCol w:w="705"/>
        <w:gridCol w:w="3959"/>
      </w:tblGrid>
      <w:tr w:rsidR="00020DE2" w14:paraId="0A9A6802" w14:textId="77777777" w:rsidTr="001051D6">
        <w:trPr>
          <w:trHeight w:val="1784"/>
          <w:jc w:val="center"/>
        </w:trPr>
        <w:tc>
          <w:tcPr>
            <w:tcW w:w="4231" w:type="dxa"/>
          </w:tcPr>
          <w:p w14:paraId="18A6D10C" w14:textId="680D9D8A" w:rsidR="004D4B08" w:rsidRDefault="004D4B08" w:rsidP="004D4B08">
            <w:pPr>
              <w:rPr>
                <w:lang w:val="es-DO"/>
              </w:rPr>
            </w:pPr>
            <w:bookmarkStart w:id="2" w:name="_Hlk218764507"/>
            <w:r>
              <w:rPr>
                <w:noProof/>
                <w:lang w:val="es-DO" w:eastAsia="es-DO"/>
              </w:rPr>
              <mc:AlternateContent>
                <mc:Choice Requires="wpg">
                  <w:drawing>
                    <wp:inline distT="0" distB="0" distL="0" distR="0" wp14:anchorId="6D6198C3" wp14:editId="422E11F6">
                      <wp:extent cx="2251881" cy="1005840"/>
                      <wp:effectExtent l="0" t="0" r="0" b="3810"/>
                      <wp:docPr id="1850371895" name="Group 29"/>
                      <wp:cNvGraphicFramePr/>
                      <a:graphic xmlns:a="http://schemas.openxmlformats.org/drawingml/2006/main">
                        <a:graphicData uri="http://schemas.microsoft.com/office/word/2010/wordprocessingGroup">
                          <wpg:wgp>
                            <wpg:cNvGrpSpPr/>
                            <wpg:grpSpPr>
                              <a:xfrm>
                                <a:off x="0" y="0"/>
                                <a:ext cx="2251881" cy="1005840"/>
                                <a:chOff x="0" y="0"/>
                                <a:chExt cx="2160850" cy="1005840"/>
                              </a:xfrm>
                            </wpg:grpSpPr>
                            <wps:wsp>
                              <wps:cNvPr id="1461368958" name="Text Box 30"/>
                              <wps:cNvSpPr txBox="1">
                                <a:spLocks/>
                              </wps:cNvSpPr>
                              <wps:spPr>
                                <a:xfrm>
                                  <a:off x="0" y="600075"/>
                                  <a:ext cx="2160850" cy="371475"/>
                                </a:xfrm>
                                <a:prstGeom prst="rect">
                                  <a:avLst/>
                                </a:prstGeom>
                              </wps:spPr>
                              <wps:txbx>
                                <w:txbxContent>
                                  <w:p w14:paraId="3C51B6F9" w14:textId="77777777" w:rsidR="004D4B08" w:rsidRPr="004D4B08" w:rsidRDefault="004D4B08" w:rsidP="004D4B08">
                                    <w:pPr>
                                      <w:pStyle w:val="Sinespaciado"/>
                                      <w:rPr>
                                        <w:color w:val="D5B788"/>
                                        <w:spacing w:val="23"/>
                                        <w:kern w:val="24"/>
                                        <w:sz w:val="15"/>
                                        <w:szCs w:val="15"/>
                                      </w:rPr>
                                    </w:pPr>
                                    <w:r w:rsidRPr="004D4B08">
                                      <w:rPr>
                                        <w:color w:val="D5B788"/>
                                        <w:spacing w:val="23"/>
                                        <w:kern w:val="24"/>
                                        <w:sz w:val="15"/>
                                        <w:szCs w:val="15"/>
                                      </w:rPr>
                                      <w:t>GOBIERNO DE LA</w:t>
                                    </w:r>
                                  </w:p>
                                  <w:p w14:paraId="25E54826" w14:textId="77777777" w:rsidR="004D4B08" w:rsidRPr="004D4B08" w:rsidRDefault="004D4B08" w:rsidP="004D4B08">
                                    <w:pPr>
                                      <w:spacing w:before="13"/>
                                      <w:ind w:left="14"/>
                                      <w:rPr>
                                        <w:b/>
                                        <w:bCs/>
                                        <w:color w:val="D5B788"/>
                                        <w:spacing w:val="18"/>
                                        <w:kern w:val="24"/>
                                      </w:rPr>
                                    </w:pPr>
                                    <w:r w:rsidRPr="004D4B08">
                                      <w:rPr>
                                        <w:b/>
                                        <w:bCs/>
                                        <w:color w:val="D5B788"/>
                                        <w:spacing w:val="18"/>
                                        <w:kern w:val="24"/>
                                      </w:rPr>
                                      <w:t>REPÚBLICA</w:t>
                                    </w:r>
                                    <w:r w:rsidRPr="004D4B08">
                                      <w:rPr>
                                        <w:b/>
                                        <w:bCs/>
                                        <w:color w:val="D5B788"/>
                                        <w:spacing w:val="29"/>
                                        <w:kern w:val="24"/>
                                      </w:rPr>
                                      <w:t xml:space="preserve"> </w:t>
                                    </w:r>
                                    <w:r w:rsidRPr="004D4B08">
                                      <w:rPr>
                                        <w:b/>
                                        <w:bCs/>
                                        <w:color w:val="D5B788"/>
                                        <w:kern w:val="24"/>
                                      </w:rPr>
                                      <w:t>DOMINICANA</w:t>
                                    </w:r>
                                  </w:p>
                                </w:txbxContent>
                              </wps:txbx>
                              <wps:bodyPr vert="horz" wrap="square" lIns="0" tIns="15240" rIns="0" bIns="0" rtlCol="0">
                                <a:noAutofit/>
                              </wps:bodyPr>
                            </wps:wsp>
                            <wpg:grpSp>
                              <wpg:cNvPr id="224097747" name="Group 31"/>
                              <wpg:cNvGrpSpPr/>
                              <wpg:grpSpPr>
                                <a:xfrm>
                                  <a:off x="0" y="0"/>
                                  <a:ext cx="550035" cy="1005840"/>
                                  <a:chOff x="0" y="0"/>
                                  <a:chExt cx="550035" cy="1005840"/>
                                </a:xfrm>
                              </wpg:grpSpPr>
                              <wps:wsp>
                                <wps:cNvPr id="901426986"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12916105"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 y="0"/>
                                    <a:ext cx="550034" cy="512992"/>
                                  </a:xfrm>
                                  <a:prstGeom prst="rect">
                                    <a:avLst/>
                                  </a:prstGeom>
                                </pic:spPr>
                              </pic:pic>
                            </wpg:grpSp>
                          </wpg:wgp>
                        </a:graphicData>
                      </a:graphic>
                    </wp:inline>
                  </w:drawing>
                </mc:Choice>
                <mc:Fallback>
                  <w:pict>
                    <v:group w14:anchorId="6D6198C3" id="Group 29" o:spid="_x0000_s1029" style="width:177.3pt;height:79.2pt;mso-position-horizontal-relative:char;mso-position-vertical-relative:line" coordsize="21608,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">
                      <v:shape id="Text Box 30" o:spid="_x0000_s1030" type="#_x0000_t202" style="position:absolute;top:6000;width:2160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" filled="f" stroked="f">
                        <v:textbox inset="0,1.2pt,0,0">
                          <w:txbxContent>
                            <w:p w14:paraId="3C51B6F9" w14:textId="77777777" w:rsidR="004D4B08" w:rsidRPr="004D4B08" w:rsidRDefault="004D4B08" w:rsidP="004D4B08">
                              <w:pPr>
                                <w:pStyle w:val="Sinespaciado"/>
                                <w:rPr>
                                  <w:color w:val="D5B788"/>
                                  <w:spacing w:val="23"/>
                                  <w:kern w:val="24"/>
                                  <w:sz w:val="15"/>
                                  <w:szCs w:val="15"/>
                                </w:rPr>
                              </w:pPr>
                              <w:r w:rsidRPr="004D4B08">
                                <w:rPr>
                                  <w:color w:val="D5B788"/>
                                  <w:spacing w:val="23"/>
                                  <w:kern w:val="24"/>
                                  <w:sz w:val="15"/>
                                  <w:szCs w:val="15"/>
                                </w:rPr>
                                <w:t>GOBIERNO DE LA</w:t>
                              </w:r>
                            </w:p>
                            <w:p w14:paraId="25E54826" w14:textId="77777777" w:rsidR="004D4B08" w:rsidRPr="004D4B08" w:rsidRDefault="004D4B08" w:rsidP="004D4B08">
                              <w:pPr>
                                <w:spacing w:before="13"/>
                                <w:ind w:left="14"/>
                                <w:rPr>
                                  <w:b/>
                                  <w:bCs/>
                                  <w:color w:val="D5B788"/>
                                  <w:spacing w:val="18"/>
                                  <w:kern w:val="24"/>
                                </w:rPr>
                              </w:pPr>
                              <w:r w:rsidRPr="004D4B08">
                                <w:rPr>
                                  <w:b/>
                                  <w:bCs/>
                                  <w:color w:val="D5B788"/>
                                  <w:spacing w:val="18"/>
                                  <w:kern w:val="24"/>
                                </w:rPr>
                                <w:t>REPÚBLICA</w:t>
                              </w:r>
                              <w:r w:rsidRPr="004D4B08">
                                <w:rPr>
                                  <w:b/>
                                  <w:bCs/>
                                  <w:color w:val="D5B788"/>
                                  <w:spacing w:val="29"/>
                                  <w:kern w:val="24"/>
                                </w:rPr>
                                <w:t xml:space="preserve"> </w:t>
                              </w:r>
                              <w:r w:rsidRPr="004D4B08">
                                <w:rPr>
                                  <w:b/>
                                  <w:bCs/>
                                  <w:color w:val="D5B788"/>
                                  <w:kern w:val="24"/>
                                </w:rPr>
                                <w:t>DOMINICANA</w:t>
                              </w:r>
                            </w:p>
                          </w:txbxContent>
                        </v:textbox>
                      </v:shape>
                      <v:group id="Group 31" o:spid="_x0000_s1031" style="position:absolute;width:5500;height:10058" coordsize="5500,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">
                        <v:shape id="Freeform: Shape 32"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3" type="#_x0000_t75" alt="Icon&#10;&#10;Description automatically generated" style="position:absolute;width:5500;height:5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">
                          <v:imagedata r:id="rId13" o:title="Icon&#10;&#10;Description automatically generated"/>
                        </v:shape>
                      </v:group>
                      <w10:anchorlock/>
                    </v:group>
                  </w:pict>
                </mc:Fallback>
              </mc:AlternateContent>
            </w:r>
          </w:p>
        </w:tc>
        <w:tc>
          <w:tcPr>
            <w:tcW w:w="705" w:type="dxa"/>
          </w:tcPr>
          <w:p w14:paraId="47519F9B" w14:textId="77777777" w:rsidR="004D4B08" w:rsidRDefault="004D4B08" w:rsidP="004D4B08">
            <w:pPr>
              <w:jc w:val="both"/>
              <w:rPr>
                <w:lang w:val="es-DO"/>
              </w:rPr>
            </w:pPr>
          </w:p>
          <w:p w14:paraId="33374EA5" w14:textId="77777777" w:rsidR="004D4B08" w:rsidRDefault="004D4B08" w:rsidP="004D4B08">
            <w:pPr>
              <w:rPr>
                <w:lang w:val="es-DO"/>
              </w:rPr>
            </w:pPr>
          </w:p>
          <w:p w14:paraId="038A9E48" w14:textId="415D818A" w:rsidR="004D4B08" w:rsidRPr="004D4B08" w:rsidRDefault="004D4B08" w:rsidP="004D4B08">
            <w:pPr>
              <w:rPr>
                <w:lang w:val="es-DO"/>
              </w:rPr>
            </w:pPr>
            <w:r>
              <w:rPr>
                <w:lang w:val="es-DO"/>
              </w:rPr>
              <w:t xml:space="preserve">     </w:t>
            </w:r>
          </w:p>
        </w:tc>
        <w:tc>
          <w:tcPr>
            <w:tcW w:w="3959" w:type="dxa"/>
          </w:tcPr>
          <w:p w14:paraId="43D47847" w14:textId="3FFA61E7" w:rsidR="004D4B08" w:rsidRDefault="004D4B08" w:rsidP="004D4B08">
            <w:pPr>
              <w:jc w:val="both"/>
              <w:rPr>
                <w:lang w:val="es-DO"/>
              </w:rPr>
            </w:pPr>
          </w:p>
          <w:p w14:paraId="08042C6C" w14:textId="77777777" w:rsidR="004D4B08" w:rsidRDefault="004D4B08" w:rsidP="004D4B08">
            <w:pPr>
              <w:jc w:val="both"/>
              <w:rPr>
                <w:b/>
                <w:bCs/>
                <w:color w:val="D5B788"/>
                <w:spacing w:val="60"/>
                <w:kern w:val="24"/>
                <w:sz w:val="56"/>
                <w:szCs w:val="56"/>
                <w:lang w:val="es-DO"/>
              </w:rPr>
            </w:pPr>
            <w:r w:rsidRPr="009467C2">
              <w:rPr>
                <w:noProof/>
              </w:rPr>
              <w:drawing>
                <wp:inline distT="0" distB="0" distL="0" distR="0" wp14:anchorId="2C880D00" wp14:editId="20F5FA1B">
                  <wp:extent cx="2333767" cy="750570"/>
                  <wp:effectExtent l="0" t="0" r="9525" b="0"/>
                  <wp:docPr id="1711243438" name="Imagen 3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64966" name="Imagen 34" descr="Logotip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9437" cy="752394"/>
                          </a:xfrm>
                          <a:prstGeom prst="rect">
                            <a:avLst/>
                          </a:prstGeom>
                          <a:noFill/>
                          <a:ln>
                            <a:noFill/>
                          </a:ln>
                        </pic:spPr>
                      </pic:pic>
                    </a:graphicData>
                  </a:graphic>
                </wp:inline>
              </w:drawing>
            </w:r>
          </w:p>
          <w:p w14:paraId="52AE7A65" w14:textId="521CEA61" w:rsidR="00020DE2" w:rsidRPr="00020DE2" w:rsidRDefault="00020DE2" w:rsidP="00020DE2">
            <w:pPr>
              <w:tabs>
                <w:tab w:val="left" w:pos="2644"/>
              </w:tabs>
              <w:rPr>
                <w:lang w:val="es-DO"/>
              </w:rPr>
            </w:pPr>
            <w:r>
              <w:rPr>
                <w:lang w:val="es-DO"/>
              </w:rPr>
              <w:tab/>
            </w:r>
          </w:p>
        </w:tc>
      </w:tr>
      <w:bookmarkEnd w:id="2"/>
    </w:tbl>
    <w:p w14:paraId="51224B36" w14:textId="77777777" w:rsidR="00020DE2" w:rsidRDefault="00020DE2" w:rsidP="00020DE2">
      <w:pPr>
        <w:tabs>
          <w:tab w:val="center" w:pos="3960"/>
        </w:tabs>
      </w:pPr>
    </w:p>
    <w:p w14:paraId="0A9D49B8" w14:textId="77777777" w:rsidR="00020DE2" w:rsidRDefault="00020DE2" w:rsidP="00020DE2">
      <w:pPr>
        <w:tabs>
          <w:tab w:val="center" w:pos="3960"/>
        </w:tabs>
      </w:pPr>
    </w:p>
    <w:p w14:paraId="5EA738C7" w14:textId="77777777" w:rsidR="00020DE2" w:rsidRDefault="00020DE2" w:rsidP="00020DE2">
      <w:pPr>
        <w:tabs>
          <w:tab w:val="center" w:pos="3960"/>
        </w:tabs>
      </w:pPr>
    </w:p>
    <w:p w14:paraId="602456D6" w14:textId="77777777" w:rsidR="00020DE2" w:rsidRDefault="00020DE2" w:rsidP="00020DE2">
      <w:pPr>
        <w:tabs>
          <w:tab w:val="center" w:pos="3960"/>
        </w:tabs>
      </w:pPr>
    </w:p>
    <w:p w14:paraId="21E2CDB4" w14:textId="77777777" w:rsidR="00020DE2" w:rsidRDefault="00020DE2" w:rsidP="00020DE2">
      <w:pPr>
        <w:tabs>
          <w:tab w:val="center" w:pos="3960"/>
        </w:tabs>
      </w:pPr>
    </w:p>
    <w:p w14:paraId="5E6C95DA" w14:textId="77777777" w:rsidR="00020DE2" w:rsidRDefault="00020DE2" w:rsidP="00020DE2">
      <w:pPr>
        <w:tabs>
          <w:tab w:val="center" w:pos="3960"/>
        </w:tabs>
      </w:pPr>
    </w:p>
    <w:p w14:paraId="6042D100" w14:textId="77777777" w:rsidR="00020DE2" w:rsidRDefault="00020DE2" w:rsidP="00020DE2">
      <w:pPr>
        <w:tabs>
          <w:tab w:val="center" w:pos="3960"/>
        </w:tabs>
      </w:pPr>
    </w:p>
    <w:p w14:paraId="38098538" w14:textId="5B986503" w:rsidR="001051D6" w:rsidRDefault="00020DE2" w:rsidP="001051D6">
      <w:pPr>
        <w:tabs>
          <w:tab w:val="center" w:pos="3960"/>
        </w:tabs>
        <w:jc w:val="center"/>
        <w:rPr>
          <w:lang w:val="es-DO"/>
        </w:rPr>
      </w:pPr>
      <w:r w:rsidRPr="002B4451">
        <w:rPr>
          <w:noProof/>
          <w:lang w:val="es-DO" w:eastAsia="es-DO"/>
        </w:rPr>
        <mc:AlternateContent>
          <mc:Choice Requires="wps">
            <w:drawing>
              <wp:inline distT="0" distB="0" distL="0" distR="0" wp14:anchorId="464D89B5" wp14:editId="3DD1E359">
                <wp:extent cx="4954137" cy="985520"/>
                <wp:effectExtent l="0" t="0" r="0" b="0"/>
                <wp:docPr id="7" name="object 4"/>
                <wp:cNvGraphicFramePr/>
                <a:graphic xmlns:a="http://schemas.openxmlformats.org/drawingml/2006/main">
                  <a:graphicData uri="http://schemas.microsoft.com/office/word/2010/wordprocessingShape">
                    <wps:wsp>
                      <wps:cNvSpPr txBox="1"/>
                      <wps:spPr>
                        <a:xfrm>
                          <a:off x="0" y="0"/>
                          <a:ext cx="4954137" cy="985520"/>
                        </a:xfrm>
                        <a:prstGeom prst="rect">
                          <a:avLst/>
                        </a:prstGeom>
                      </wps:spPr>
                      <wps:txbx>
                        <w:txbxContent>
                          <w:p w14:paraId="1FBB9B57" w14:textId="77777777" w:rsidR="00020DE2" w:rsidRDefault="00020DE2" w:rsidP="00020DE2">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B432D45" w14:textId="77777777" w:rsidR="00020DE2" w:rsidRDefault="00020DE2" w:rsidP="00020DE2">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B2CBA02" w14:textId="77777777" w:rsidR="00020DE2" w:rsidRPr="008D7F4E" w:rsidRDefault="00020DE2" w:rsidP="00020DE2">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inline>
            </w:drawing>
          </mc:Choice>
          <mc:Fallback>
            <w:pict>
              <v:shape w14:anchorId="464D89B5" id="_x0000_s1034" type="#_x0000_t202" style="width:390.1pt;height:7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" filled="f" stroked="f">
                <v:textbox inset="0,1.35pt,0,0">
                  <w:txbxContent>
                    <w:p w14:paraId="1FBB9B57" w14:textId="77777777" w:rsidR="00020DE2" w:rsidRDefault="00020DE2" w:rsidP="00020DE2">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B432D45" w14:textId="77777777" w:rsidR="00020DE2" w:rsidRDefault="00020DE2" w:rsidP="00020DE2">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B2CBA02" w14:textId="77777777" w:rsidR="00020DE2" w:rsidRPr="008D7F4E" w:rsidRDefault="00020DE2" w:rsidP="00020DE2">
                      <w:pPr>
                        <w:spacing w:after="0"/>
                        <w:jc w:val="center"/>
                        <w:rPr>
                          <w:b/>
                          <w:bCs/>
                          <w:color w:val="D5B788"/>
                          <w:spacing w:val="60"/>
                          <w:kern w:val="24"/>
                          <w:sz w:val="56"/>
                          <w:szCs w:val="56"/>
                          <w:lang w:val="es-DO"/>
                        </w:rPr>
                      </w:pPr>
                    </w:p>
                  </w:txbxContent>
                </v:textbox>
                <w10:anchorlock/>
              </v:shape>
            </w:pict>
          </mc:Fallback>
        </mc:AlternateContent>
      </w:r>
      <w:r w:rsidR="001051D6">
        <w:rPr>
          <w:noProof/>
          <w:lang w:val="es-DO" w:eastAsia="es-DO"/>
        </w:rPr>
        <mc:AlternateContent>
          <mc:Choice Requires="wps">
            <w:drawing>
              <wp:inline distT="0" distB="0" distL="0" distR="0" wp14:anchorId="0D020100" wp14:editId="20ED2648">
                <wp:extent cx="463550" cy="0"/>
                <wp:effectExtent l="0" t="19050" r="31750" b="19050"/>
                <wp:docPr id="15263576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inline>
            </w:drawing>
          </mc:Choice>
          <mc:Fallback>
            <w:pict>
              <v:line w14:anchorId="2E3D362F"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" strokecolor="#c8b688" strokeweight="2.25pt">
                <v:stroke joinstyle="miter"/>
                <o:lock v:ext="edit" shapetype="f"/>
                <w10:anchorlock/>
              </v:line>
            </w:pict>
          </mc:Fallback>
        </mc:AlternateContent>
      </w:r>
    </w:p>
    <w:p w14:paraId="56C838CA" w14:textId="006800B5" w:rsidR="008D7F4E" w:rsidRPr="001051D6" w:rsidRDefault="001051D6" w:rsidP="001051D6">
      <w:pPr>
        <w:tabs>
          <w:tab w:val="center" w:pos="3960"/>
        </w:tabs>
        <w:jc w:val="center"/>
      </w:pPr>
      <w:r w:rsidRPr="002B4451">
        <w:rPr>
          <w:noProof/>
          <w:lang w:val="es-DO" w:eastAsia="es-DO"/>
        </w:rPr>
        <mc:AlternateContent>
          <mc:Choice Requires="wps">
            <w:drawing>
              <wp:inline distT="0" distB="0" distL="0" distR="0" wp14:anchorId="4DF6BB30" wp14:editId="0D780585">
                <wp:extent cx="1214755" cy="308610"/>
                <wp:effectExtent l="0" t="0" r="0" b="0"/>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3D952DAE" w14:textId="77777777" w:rsidR="001051D6" w:rsidRPr="005805BA" w:rsidRDefault="001051D6" w:rsidP="001051D6">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p>
                        </w:txbxContent>
                      </wps:txbx>
                      <wps:bodyPr vert="horz" wrap="square" lIns="0" tIns="12700" rIns="0" bIns="0" rtlCol="0">
                        <a:noAutofit/>
                      </wps:bodyPr>
                    </wps:wsp>
                  </a:graphicData>
                </a:graphic>
              </wp:inline>
            </w:drawing>
          </mc:Choice>
          <mc:Fallback>
            <w:pict>
              <v:shape w14:anchorId="4DF6BB30" id="_x0000_s1035" type="#_x0000_t202" style="width:95.6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" filled="f" stroked="f">
                <v:textbox inset="0,1pt,0,0">
                  <w:txbxContent>
                    <w:p w14:paraId="3D952DAE" w14:textId="77777777" w:rsidR="001051D6" w:rsidRPr="005805BA" w:rsidRDefault="001051D6" w:rsidP="001051D6">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p>
                  </w:txbxContent>
                </v:textbox>
                <w10:anchorlock/>
              </v:shape>
            </w:pict>
          </mc:Fallback>
        </mc:AlternateContent>
      </w:r>
    </w:p>
    <w:p w14:paraId="5A37720D" w14:textId="14B77C2B" w:rsidR="008D7F4E" w:rsidRPr="002B4451" w:rsidRDefault="008D7F4E" w:rsidP="00020DE2">
      <w:pPr>
        <w:jc w:val="center"/>
        <w:rPr>
          <w:lang w:val="es-DO"/>
        </w:rPr>
      </w:pPr>
    </w:p>
    <w:p w14:paraId="7AD079B8" w14:textId="2ED8F039" w:rsidR="008D7F4E" w:rsidRDefault="008D7F4E" w:rsidP="00020DE2">
      <w:pPr>
        <w:jc w:val="center"/>
        <w:rPr>
          <w:lang w:val="es-DO"/>
        </w:rPr>
      </w:pPr>
    </w:p>
    <w:p w14:paraId="709803F5" w14:textId="77777777" w:rsidR="00020DE2" w:rsidRDefault="00020DE2" w:rsidP="00020DE2">
      <w:pPr>
        <w:jc w:val="center"/>
        <w:rPr>
          <w:lang w:val="es-DO"/>
        </w:rPr>
      </w:pPr>
    </w:p>
    <w:p w14:paraId="39811437" w14:textId="77777777" w:rsidR="00020DE2" w:rsidRDefault="00020DE2" w:rsidP="00020DE2">
      <w:pPr>
        <w:jc w:val="center"/>
        <w:rPr>
          <w:lang w:val="es-DO"/>
        </w:rPr>
      </w:pPr>
    </w:p>
    <w:p w14:paraId="6F5F8FD9" w14:textId="77777777" w:rsidR="00020DE2" w:rsidRDefault="00020DE2" w:rsidP="00020DE2">
      <w:pPr>
        <w:jc w:val="center"/>
        <w:rPr>
          <w:lang w:val="es-DO"/>
        </w:rPr>
      </w:pPr>
    </w:p>
    <w:p w14:paraId="1A5938AA" w14:textId="77777777" w:rsidR="001051D6" w:rsidRDefault="001051D6" w:rsidP="00020DE2">
      <w:pPr>
        <w:jc w:val="center"/>
        <w:rPr>
          <w:lang w:val="es-DO"/>
        </w:rPr>
      </w:pPr>
    </w:p>
    <w:p w14:paraId="7C42FB38" w14:textId="77777777" w:rsidR="001051D6" w:rsidRDefault="001051D6" w:rsidP="00020DE2">
      <w:pPr>
        <w:jc w:val="center"/>
        <w:rPr>
          <w:lang w:val="es-DO"/>
        </w:rPr>
      </w:pPr>
    </w:p>
    <w:p w14:paraId="67F5AFFC" w14:textId="77777777" w:rsidR="001051D6" w:rsidRDefault="001051D6" w:rsidP="00020DE2">
      <w:pPr>
        <w:jc w:val="center"/>
        <w:rPr>
          <w:lang w:val="es-DO"/>
        </w:rPr>
      </w:pPr>
    </w:p>
    <w:p w14:paraId="13D4ACE8" w14:textId="77777777" w:rsidR="001051D6" w:rsidRDefault="001051D6" w:rsidP="00020DE2">
      <w:pPr>
        <w:jc w:val="center"/>
        <w:rPr>
          <w:lang w:val="es-DO"/>
        </w:rPr>
      </w:pPr>
    </w:p>
    <w:p w14:paraId="7073865C" w14:textId="77777777" w:rsidR="001051D6" w:rsidRDefault="001051D6" w:rsidP="00020DE2">
      <w:pPr>
        <w:jc w:val="center"/>
        <w:rPr>
          <w:lang w:val="es-DO"/>
        </w:rPr>
      </w:pPr>
    </w:p>
    <w:p w14:paraId="7C6C260A" w14:textId="77777777" w:rsidR="001051D6" w:rsidRDefault="001051D6" w:rsidP="00020DE2">
      <w:pPr>
        <w:jc w:val="center"/>
        <w:rPr>
          <w:lang w:val="es-DO"/>
        </w:rPr>
      </w:pPr>
    </w:p>
    <w:tbl>
      <w:tblPr>
        <w:tblStyle w:val="Tablaconcuadrcula"/>
        <w:tblW w:w="88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1"/>
        <w:gridCol w:w="705"/>
        <w:gridCol w:w="3959"/>
      </w:tblGrid>
      <w:tr w:rsidR="001051D6" w14:paraId="58A354B4" w14:textId="77777777" w:rsidTr="001051D6">
        <w:trPr>
          <w:trHeight w:val="1784"/>
          <w:jc w:val="center"/>
        </w:trPr>
        <w:tc>
          <w:tcPr>
            <w:tcW w:w="4231" w:type="dxa"/>
          </w:tcPr>
          <w:p w14:paraId="587CF719" w14:textId="77777777" w:rsidR="001051D6" w:rsidRDefault="001051D6" w:rsidP="0089479A">
            <w:pPr>
              <w:rPr>
                <w:lang w:val="es-DO"/>
              </w:rPr>
            </w:pPr>
            <w:r>
              <w:rPr>
                <w:noProof/>
                <w:lang w:val="es-DO" w:eastAsia="es-DO"/>
              </w:rPr>
              <mc:AlternateContent>
                <mc:Choice Requires="wpg">
                  <w:drawing>
                    <wp:inline distT="0" distB="0" distL="0" distR="0" wp14:anchorId="0CF5659F" wp14:editId="3D482B46">
                      <wp:extent cx="2251881" cy="1005840"/>
                      <wp:effectExtent l="0" t="0" r="0" b="3810"/>
                      <wp:docPr id="1071692130" name="Group 29"/>
                      <wp:cNvGraphicFramePr/>
                      <a:graphic xmlns:a="http://schemas.openxmlformats.org/drawingml/2006/main">
                        <a:graphicData uri="http://schemas.microsoft.com/office/word/2010/wordprocessingGroup">
                          <wpg:wgp>
                            <wpg:cNvGrpSpPr/>
                            <wpg:grpSpPr>
                              <a:xfrm>
                                <a:off x="0" y="0"/>
                                <a:ext cx="2251881" cy="1005840"/>
                                <a:chOff x="0" y="0"/>
                                <a:chExt cx="2160850" cy="1005840"/>
                              </a:xfrm>
                            </wpg:grpSpPr>
                            <wps:wsp>
                              <wps:cNvPr id="1699517412" name="Text Box 30"/>
                              <wps:cNvSpPr txBox="1">
                                <a:spLocks/>
                              </wps:cNvSpPr>
                              <wps:spPr>
                                <a:xfrm>
                                  <a:off x="0" y="600075"/>
                                  <a:ext cx="2160850" cy="371475"/>
                                </a:xfrm>
                                <a:prstGeom prst="rect">
                                  <a:avLst/>
                                </a:prstGeom>
                              </wps:spPr>
                              <wps:txbx>
                                <w:txbxContent>
                                  <w:p w14:paraId="2B16E582" w14:textId="77777777" w:rsidR="001051D6" w:rsidRPr="004D4B08" w:rsidRDefault="001051D6" w:rsidP="001051D6">
                                    <w:pPr>
                                      <w:pStyle w:val="Sinespaciado"/>
                                      <w:rPr>
                                        <w:color w:val="D5B788"/>
                                        <w:spacing w:val="23"/>
                                        <w:kern w:val="24"/>
                                        <w:sz w:val="15"/>
                                        <w:szCs w:val="15"/>
                                      </w:rPr>
                                    </w:pPr>
                                    <w:r w:rsidRPr="004D4B08">
                                      <w:rPr>
                                        <w:color w:val="D5B788"/>
                                        <w:spacing w:val="23"/>
                                        <w:kern w:val="24"/>
                                        <w:sz w:val="15"/>
                                        <w:szCs w:val="15"/>
                                      </w:rPr>
                                      <w:t>GOBIERNO DE LA</w:t>
                                    </w:r>
                                  </w:p>
                                  <w:p w14:paraId="286F7F8C" w14:textId="77777777" w:rsidR="001051D6" w:rsidRPr="004D4B08" w:rsidRDefault="001051D6" w:rsidP="001051D6">
                                    <w:pPr>
                                      <w:spacing w:before="13"/>
                                      <w:ind w:left="14"/>
                                      <w:rPr>
                                        <w:b/>
                                        <w:bCs/>
                                        <w:color w:val="D5B788"/>
                                        <w:spacing w:val="18"/>
                                        <w:kern w:val="24"/>
                                      </w:rPr>
                                    </w:pPr>
                                    <w:r w:rsidRPr="004D4B08">
                                      <w:rPr>
                                        <w:b/>
                                        <w:bCs/>
                                        <w:color w:val="D5B788"/>
                                        <w:spacing w:val="18"/>
                                        <w:kern w:val="24"/>
                                      </w:rPr>
                                      <w:t>REPÚBLICA</w:t>
                                    </w:r>
                                    <w:r w:rsidRPr="004D4B08">
                                      <w:rPr>
                                        <w:b/>
                                        <w:bCs/>
                                        <w:color w:val="D5B788"/>
                                        <w:spacing w:val="29"/>
                                        <w:kern w:val="24"/>
                                      </w:rPr>
                                      <w:t xml:space="preserve"> </w:t>
                                    </w:r>
                                    <w:r w:rsidRPr="004D4B08">
                                      <w:rPr>
                                        <w:b/>
                                        <w:bCs/>
                                        <w:color w:val="D5B788"/>
                                        <w:kern w:val="24"/>
                                      </w:rPr>
                                      <w:t>DOMINICANA</w:t>
                                    </w:r>
                                  </w:p>
                                </w:txbxContent>
                              </wps:txbx>
                              <wps:bodyPr vert="horz" wrap="square" lIns="0" tIns="15240" rIns="0" bIns="0" rtlCol="0">
                                <a:noAutofit/>
                              </wps:bodyPr>
                            </wps:wsp>
                            <wpg:grpSp>
                              <wpg:cNvPr id="981255402" name="Group 31"/>
                              <wpg:cNvGrpSpPr/>
                              <wpg:grpSpPr>
                                <a:xfrm>
                                  <a:off x="0" y="0"/>
                                  <a:ext cx="550035" cy="1005840"/>
                                  <a:chOff x="0" y="0"/>
                                  <a:chExt cx="550035" cy="1005840"/>
                                </a:xfrm>
                              </wpg:grpSpPr>
                              <wps:wsp>
                                <wps:cNvPr id="1769341020"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120312214"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 y="0"/>
                                    <a:ext cx="550034" cy="512992"/>
                                  </a:xfrm>
                                  <a:prstGeom prst="rect">
                                    <a:avLst/>
                                  </a:prstGeom>
                                </pic:spPr>
                              </pic:pic>
                            </wpg:grpSp>
                          </wpg:wgp>
                        </a:graphicData>
                      </a:graphic>
                    </wp:inline>
                  </w:drawing>
                </mc:Choice>
                <mc:Fallback>
                  <w:pict>
                    <v:group w14:anchorId="0CF5659F" id="_x0000_s1036" style="width:177.3pt;height:79.2pt;mso-position-horizontal-relative:char;mso-position-vertical-relative:line" coordsize="21608,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">
                      <v:shape id="Text Box 30" o:spid="_x0000_s1037" type="#_x0000_t202" style="position:absolute;top:6000;width:2160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" filled="f" stroked="f">
                        <v:textbox inset="0,1.2pt,0,0">
                          <w:txbxContent>
                            <w:p w14:paraId="2B16E582" w14:textId="77777777" w:rsidR="001051D6" w:rsidRPr="004D4B08" w:rsidRDefault="001051D6" w:rsidP="001051D6">
                              <w:pPr>
                                <w:pStyle w:val="Sinespaciado"/>
                                <w:rPr>
                                  <w:color w:val="D5B788"/>
                                  <w:spacing w:val="23"/>
                                  <w:kern w:val="24"/>
                                  <w:sz w:val="15"/>
                                  <w:szCs w:val="15"/>
                                </w:rPr>
                              </w:pPr>
                              <w:r w:rsidRPr="004D4B08">
                                <w:rPr>
                                  <w:color w:val="D5B788"/>
                                  <w:spacing w:val="23"/>
                                  <w:kern w:val="24"/>
                                  <w:sz w:val="15"/>
                                  <w:szCs w:val="15"/>
                                </w:rPr>
                                <w:t>GOBIERNO DE LA</w:t>
                              </w:r>
                            </w:p>
                            <w:p w14:paraId="286F7F8C" w14:textId="77777777" w:rsidR="001051D6" w:rsidRPr="004D4B08" w:rsidRDefault="001051D6" w:rsidP="001051D6">
                              <w:pPr>
                                <w:spacing w:before="13"/>
                                <w:ind w:left="14"/>
                                <w:rPr>
                                  <w:b/>
                                  <w:bCs/>
                                  <w:color w:val="D5B788"/>
                                  <w:spacing w:val="18"/>
                                  <w:kern w:val="24"/>
                                </w:rPr>
                              </w:pPr>
                              <w:r w:rsidRPr="004D4B08">
                                <w:rPr>
                                  <w:b/>
                                  <w:bCs/>
                                  <w:color w:val="D5B788"/>
                                  <w:spacing w:val="18"/>
                                  <w:kern w:val="24"/>
                                </w:rPr>
                                <w:t>REPÚBLICA</w:t>
                              </w:r>
                              <w:r w:rsidRPr="004D4B08">
                                <w:rPr>
                                  <w:b/>
                                  <w:bCs/>
                                  <w:color w:val="D5B788"/>
                                  <w:spacing w:val="29"/>
                                  <w:kern w:val="24"/>
                                </w:rPr>
                                <w:t xml:space="preserve"> </w:t>
                              </w:r>
                              <w:r w:rsidRPr="004D4B08">
                                <w:rPr>
                                  <w:b/>
                                  <w:bCs/>
                                  <w:color w:val="D5B788"/>
                                  <w:kern w:val="24"/>
                                </w:rPr>
                                <w:t>DOMINICANA</w:t>
                              </w:r>
                            </w:p>
                          </w:txbxContent>
                        </v:textbox>
                      </v:shape>
                      <v:group id="Group 31" o:spid="_x0000_s1038" style="position:absolute;width:5500;height:10058" coordsize="5500,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" path="m512457,l,,,24256r512457,l512457,xe" fillcolor="#d5b788" stroked="f">
                          <v:path arrowok="t"/>
                        </v:shape>
                        <v:shape id="Picture 36" o:spid="_x0000_s1040" type="#_x0000_t75" alt="Icon&#10;&#10;Description automatically generated" style="position:absolute;width:5500;height:5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">
                          <v:imagedata r:id="rId13" o:title="Icon&#10;&#10;Description automatically generated"/>
                        </v:shape>
                      </v:group>
                      <w10:anchorlock/>
                    </v:group>
                  </w:pict>
                </mc:Fallback>
              </mc:AlternateContent>
            </w:r>
          </w:p>
        </w:tc>
        <w:tc>
          <w:tcPr>
            <w:tcW w:w="705" w:type="dxa"/>
          </w:tcPr>
          <w:p w14:paraId="4D2060BC" w14:textId="77777777" w:rsidR="001051D6" w:rsidRDefault="001051D6" w:rsidP="0089479A">
            <w:pPr>
              <w:jc w:val="both"/>
              <w:rPr>
                <w:lang w:val="es-DO"/>
              </w:rPr>
            </w:pPr>
          </w:p>
          <w:p w14:paraId="6E2BE04A" w14:textId="77777777" w:rsidR="001051D6" w:rsidRDefault="001051D6" w:rsidP="0089479A">
            <w:pPr>
              <w:rPr>
                <w:lang w:val="es-DO"/>
              </w:rPr>
            </w:pPr>
          </w:p>
          <w:p w14:paraId="2448687A" w14:textId="77777777" w:rsidR="001051D6" w:rsidRPr="004D4B08" w:rsidRDefault="001051D6" w:rsidP="0089479A">
            <w:pPr>
              <w:rPr>
                <w:lang w:val="es-DO"/>
              </w:rPr>
            </w:pPr>
            <w:r>
              <w:rPr>
                <w:lang w:val="es-DO"/>
              </w:rPr>
              <w:t xml:space="preserve">     </w:t>
            </w:r>
          </w:p>
        </w:tc>
        <w:tc>
          <w:tcPr>
            <w:tcW w:w="3959" w:type="dxa"/>
          </w:tcPr>
          <w:p w14:paraId="08DCD1E3" w14:textId="77777777" w:rsidR="001051D6" w:rsidRDefault="001051D6" w:rsidP="0089479A">
            <w:pPr>
              <w:jc w:val="both"/>
              <w:rPr>
                <w:lang w:val="es-DO"/>
              </w:rPr>
            </w:pPr>
          </w:p>
          <w:p w14:paraId="1A6CA278" w14:textId="77777777" w:rsidR="001051D6" w:rsidRDefault="001051D6" w:rsidP="0089479A">
            <w:pPr>
              <w:jc w:val="both"/>
              <w:rPr>
                <w:b/>
                <w:bCs/>
                <w:color w:val="D5B788"/>
                <w:spacing w:val="60"/>
                <w:kern w:val="24"/>
                <w:sz w:val="56"/>
                <w:szCs w:val="56"/>
                <w:lang w:val="es-DO"/>
              </w:rPr>
            </w:pPr>
            <w:r w:rsidRPr="009467C2">
              <w:rPr>
                <w:noProof/>
              </w:rPr>
              <w:drawing>
                <wp:inline distT="0" distB="0" distL="0" distR="0" wp14:anchorId="14B10435" wp14:editId="65FB2EAF">
                  <wp:extent cx="2333767" cy="750570"/>
                  <wp:effectExtent l="0" t="0" r="9525" b="0"/>
                  <wp:docPr id="1839371286" name="Imagen 3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64966" name="Imagen 34" descr="Logotip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9437" cy="752394"/>
                          </a:xfrm>
                          <a:prstGeom prst="rect">
                            <a:avLst/>
                          </a:prstGeom>
                          <a:noFill/>
                          <a:ln>
                            <a:noFill/>
                          </a:ln>
                        </pic:spPr>
                      </pic:pic>
                    </a:graphicData>
                  </a:graphic>
                </wp:inline>
              </w:drawing>
            </w:r>
          </w:p>
          <w:p w14:paraId="54A1A77D" w14:textId="77777777" w:rsidR="001051D6" w:rsidRPr="00020DE2" w:rsidRDefault="001051D6" w:rsidP="0089479A">
            <w:pPr>
              <w:tabs>
                <w:tab w:val="left" w:pos="2644"/>
              </w:tabs>
              <w:rPr>
                <w:lang w:val="es-DO"/>
              </w:rPr>
            </w:pPr>
            <w:r>
              <w:rPr>
                <w:lang w:val="es-DO"/>
              </w:rPr>
              <w:tab/>
            </w:r>
          </w:p>
        </w:tc>
      </w:tr>
    </w:tbl>
    <w:p w14:paraId="31E2FE32" w14:textId="54F52DF1" w:rsidR="00545797" w:rsidRPr="001051D6" w:rsidRDefault="00545797" w:rsidP="008C151A">
      <w:pPr>
        <w:tabs>
          <w:tab w:val="left" w:pos="5229"/>
        </w:tabs>
        <w:spacing w:after="0"/>
        <w:jc w:val="center"/>
        <w:rPr>
          <w:b/>
          <w:bCs/>
          <w:sz w:val="28"/>
          <w:szCs w:val="28"/>
          <w:lang w:val="es-DO"/>
        </w:rPr>
      </w:pPr>
      <w:r w:rsidRPr="001051D6">
        <w:rPr>
          <w:b/>
          <w:bCs/>
          <w:sz w:val="28"/>
          <w:szCs w:val="28"/>
          <w:lang w:val="es-DO"/>
        </w:rPr>
        <w:lastRenderedPageBreak/>
        <w:t>TABLA DE CONTENIDOS</w:t>
      </w:r>
    </w:p>
    <w:p w14:paraId="1213A89D" w14:textId="77777777" w:rsidR="008C151A" w:rsidRPr="001051D6" w:rsidRDefault="008C151A" w:rsidP="008C151A">
      <w:pPr>
        <w:spacing w:after="0" w:line="360" w:lineRule="auto"/>
        <w:rPr>
          <w:lang w:val="es-DO"/>
        </w:rPr>
      </w:pPr>
      <w:r w:rsidRPr="001051D6">
        <w:rPr>
          <w:noProof/>
          <w:lang w:val="es-DO" w:eastAsia="es-DO"/>
        </w:rPr>
        <mc:AlternateContent>
          <mc:Choice Requires="wps">
            <w:drawing>
              <wp:anchor distT="0" distB="0" distL="114300" distR="114300" simplePos="0" relativeHeight="251658251" behindDoc="0" locked="0" layoutInCell="1" allowOverlap="1" wp14:anchorId="1E07F231" wp14:editId="2994D819">
                <wp:simplePos x="0" y="0"/>
                <wp:positionH relativeFrom="margin">
                  <wp:align>center</wp:align>
                </wp:positionH>
                <wp:positionV relativeFrom="paragraph">
                  <wp:posOffset>108037</wp:posOffset>
                </wp:positionV>
                <wp:extent cx="463550" cy="0"/>
                <wp:effectExtent l="0" t="19050" r="31750" b="19050"/>
                <wp:wrapSquare wrapText="bothSides"/>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A50DD6" id="Straight Connector 18" o:spid="_x0000_s1026" style="position:absolute;z-index:251658251;visibility:visible;mso-wrap-style:square;mso-wrap-distance-left:9pt;mso-wrap-distance-top:0;mso-wrap-distance-right:9pt;mso-wrap-distance-bottom:0;mso-position-horizontal:center;mso-position-horizontal-relative:margin;mso-position-vertical:absolute;mso-position-vertical-relative:text" from="0,8.5pt" to="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" strokecolor="#ee2a24" strokeweight="2.25pt">
                <v:stroke joinstyle="miter"/>
                <w10:wrap type="square" anchorx="margin"/>
              </v:line>
            </w:pict>
          </mc:Fallback>
        </mc:AlternateContent>
      </w:r>
    </w:p>
    <w:p w14:paraId="35D0C59C" w14:textId="697D96EB" w:rsidR="00545797" w:rsidRPr="001051D6" w:rsidRDefault="00654164" w:rsidP="008C151A">
      <w:pPr>
        <w:spacing w:after="0" w:line="360" w:lineRule="auto"/>
        <w:jc w:val="center"/>
        <w:rPr>
          <w:lang w:val="es-DO"/>
        </w:rPr>
      </w:pPr>
      <w:r w:rsidRPr="001051D6">
        <w:rPr>
          <w:lang w:val="es-DO"/>
        </w:rPr>
        <w:t xml:space="preserve">Memoria </w:t>
      </w:r>
      <w:r w:rsidR="004A515E" w:rsidRPr="001051D6">
        <w:rPr>
          <w:lang w:val="es-DO"/>
        </w:rPr>
        <w:t>I</w:t>
      </w:r>
      <w:r w:rsidRPr="001051D6">
        <w:rPr>
          <w:lang w:val="es-DO"/>
        </w:rPr>
        <w:t>nstitucional</w:t>
      </w:r>
      <w:r w:rsidR="00545797" w:rsidRPr="001051D6">
        <w:rPr>
          <w:lang w:val="es-DO"/>
        </w:rPr>
        <w:t xml:space="preserve"> </w:t>
      </w:r>
      <w:r w:rsidR="007471AC" w:rsidRPr="001051D6">
        <w:rPr>
          <w:lang w:val="es-DO"/>
        </w:rPr>
        <w:t>202</w:t>
      </w:r>
      <w:r w:rsidR="0051332F" w:rsidRPr="001051D6">
        <w:rPr>
          <w:lang w:val="es-DO"/>
        </w:rPr>
        <w:t>5</w:t>
      </w:r>
    </w:p>
    <w:sdt>
      <w:sdtPr>
        <w:rPr>
          <w:rFonts w:ascii="Times New Roman" w:eastAsiaTheme="minorEastAsia" w:hAnsi="Times New Roman" w:cs="Times New Roman"/>
          <w:color w:val="767171"/>
          <w:sz w:val="24"/>
          <w:szCs w:val="24"/>
        </w:rPr>
        <w:id w:val="-1111128147"/>
        <w:docPartObj>
          <w:docPartGallery w:val="Table of Contents"/>
          <w:docPartUnique/>
        </w:docPartObj>
      </w:sdtPr>
      <w:sdtEndPr>
        <w:rPr>
          <w:b/>
          <w:bCs/>
          <w:color w:val="767171" w:themeColor="background2" w:themeShade="80"/>
        </w:rPr>
      </w:sdtEndPr>
      <w:sdtContent>
        <w:p w14:paraId="13CA098D" w14:textId="2CC93254" w:rsidR="00A630BC" w:rsidRPr="000E6063" w:rsidRDefault="00A630BC" w:rsidP="00A42C28">
          <w:pPr>
            <w:pStyle w:val="TtuloTDC"/>
            <w:spacing w:line="360" w:lineRule="auto"/>
            <w:jc w:val="both"/>
            <w:rPr>
              <w:rFonts w:ascii="Times New Roman" w:hAnsi="Times New Roman" w:cs="Times New Roman"/>
              <w:color w:val="767171"/>
              <w:sz w:val="24"/>
              <w:szCs w:val="24"/>
            </w:rPr>
          </w:pPr>
        </w:p>
        <w:p w14:paraId="128CBE5B" w14:textId="4A2708C5" w:rsidR="007C0383" w:rsidRPr="007C0383" w:rsidRDefault="00A630BC" w:rsidP="007C0383">
          <w:pPr>
            <w:pStyle w:val="TDC1"/>
            <w:rPr>
              <w:rFonts w:asciiTheme="minorHAnsi" w:eastAsiaTheme="minorEastAsia" w:hAnsiTheme="minorHAnsi" w:cstheme="minorBidi"/>
              <w:spacing w:val="0"/>
              <w:kern w:val="2"/>
              <w:lang w:eastAsia="es-DO"/>
              <w14:ligatures w14:val="standardContextual"/>
            </w:rPr>
          </w:pPr>
          <w:r w:rsidRPr="007C0383">
            <w:fldChar w:fldCharType="begin"/>
          </w:r>
          <w:r w:rsidRPr="007C0383">
            <w:instrText xml:space="preserve"> TOC \o "1-3" \h \z \u </w:instrText>
          </w:r>
          <w:r w:rsidRPr="007C0383">
            <w:fldChar w:fldCharType="separate"/>
          </w:r>
          <w:hyperlink w:anchor="_Toc219121829" w:history="1">
            <w:r w:rsidR="007C0383" w:rsidRPr="007C0383">
              <w:rPr>
                <w:rStyle w:val="Hipervnculo"/>
                <w:color w:val="767171"/>
              </w:rPr>
              <w:t>I.</w:t>
            </w:r>
            <w:r w:rsidR="007C0383" w:rsidRPr="007C0383">
              <w:rPr>
                <w:rFonts w:asciiTheme="minorHAnsi" w:eastAsiaTheme="minorEastAsia" w:hAnsiTheme="minorHAnsi" w:cstheme="minorBidi"/>
                <w:spacing w:val="0"/>
                <w:kern w:val="2"/>
                <w:lang w:eastAsia="es-DO"/>
                <w14:ligatures w14:val="standardContextual"/>
              </w:rPr>
              <w:tab/>
            </w:r>
            <w:r w:rsidR="007C0383" w:rsidRPr="007C0383">
              <w:rPr>
                <w:rStyle w:val="Hipervnculo"/>
                <w:color w:val="767171"/>
              </w:rPr>
              <w:t>RESUMEN EJECUTIVO</w:t>
            </w:r>
            <w:r w:rsidR="007C0383" w:rsidRPr="007C0383">
              <w:rPr>
                <w:webHidden/>
              </w:rPr>
              <w:tab/>
            </w:r>
            <w:r w:rsidR="007C0383" w:rsidRPr="007C0383">
              <w:rPr>
                <w:webHidden/>
              </w:rPr>
              <w:fldChar w:fldCharType="begin"/>
            </w:r>
            <w:r w:rsidR="007C0383" w:rsidRPr="007C0383">
              <w:rPr>
                <w:webHidden/>
              </w:rPr>
              <w:instrText xml:space="preserve"> PAGEREF _Toc219121829 \h </w:instrText>
            </w:r>
            <w:r w:rsidR="007C0383" w:rsidRPr="007C0383">
              <w:rPr>
                <w:webHidden/>
              </w:rPr>
            </w:r>
            <w:r w:rsidR="007C0383" w:rsidRPr="007C0383">
              <w:rPr>
                <w:webHidden/>
              </w:rPr>
              <w:fldChar w:fldCharType="separate"/>
            </w:r>
            <w:r w:rsidR="00C9271A">
              <w:rPr>
                <w:webHidden/>
              </w:rPr>
              <w:t>3</w:t>
            </w:r>
            <w:r w:rsidR="007C0383" w:rsidRPr="007C0383">
              <w:rPr>
                <w:webHidden/>
              </w:rPr>
              <w:fldChar w:fldCharType="end"/>
            </w:r>
          </w:hyperlink>
        </w:p>
        <w:p w14:paraId="3C6F6ED1" w14:textId="3EB01139"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30" w:history="1">
            <w:r w:rsidRPr="007C0383">
              <w:rPr>
                <w:rStyle w:val="Hipervnculo"/>
                <w:color w:val="767171"/>
              </w:rPr>
              <w:t>II.</w:t>
            </w:r>
            <w:r w:rsidRPr="007C0383">
              <w:rPr>
                <w:rFonts w:asciiTheme="minorHAnsi" w:eastAsiaTheme="minorEastAsia" w:hAnsiTheme="minorHAnsi" w:cstheme="minorBidi"/>
                <w:spacing w:val="0"/>
                <w:kern w:val="2"/>
                <w:lang w:eastAsia="es-DO"/>
                <w14:ligatures w14:val="standardContextual"/>
              </w:rPr>
              <w:tab/>
            </w:r>
            <w:r w:rsidRPr="007C0383">
              <w:rPr>
                <w:rStyle w:val="Hipervnculo"/>
                <w:color w:val="767171"/>
              </w:rPr>
              <w:t>INFORMACIÓN INSTITUCIONAL</w:t>
            </w:r>
            <w:r w:rsidRPr="007C0383">
              <w:rPr>
                <w:webHidden/>
              </w:rPr>
              <w:tab/>
            </w:r>
            <w:r w:rsidRPr="007C0383">
              <w:rPr>
                <w:webHidden/>
              </w:rPr>
              <w:fldChar w:fldCharType="begin"/>
            </w:r>
            <w:r w:rsidRPr="007C0383">
              <w:rPr>
                <w:webHidden/>
              </w:rPr>
              <w:instrText xml:space="preserve"> PAGEREF _Toc219121830 \h </w:instrText>
            </w:r>
            <w:r w:rsidRPr="007C0383">
              <w:rPr>
                <w:webHidden/>
              </w:rPr>
            </w:r>
            <w:r w:rsidRPr="007C0383">
              <w:rPr>
                <w:webHidden/>
              </w:rPr>
              <w:fldChar w:fldCharType="separate"/>
            </w:r>
            <w:r w:rsidR="00C9271A">
              <w:rPr>
                <w:webHidden/>
              </w:rPr>
              <w:t>11</w:t>
            </w:r>
            <w:r w:rsidRPr="007C0383">
              <w:rPr>
                <w:webHidden/>
              </w:rPr>
              <w:fldChar w:fldCharType="end"/>
            </w:r>
          </w:hyperlink>
        </w:p>
        <w:p w14:paraId="19FB25E3" w14:textId="147FCAC9"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1" w:history="1">
            <w:r w:rsidRPr="007C0383">
              <w:rPr>
                <w:rStyle w:val="Hipervnculo"/>
                <w:rFonts w:eastAsia="Calibri"/>
                <w:noProof/>
                <w:color w:val="767171"/>
              </w:rPr>
              <w:t>2.1 Marco Filosófico Institucional</w:t>
            </w:r>
            <w:r w:rsidRPr="007C0383">
              <w:rPr>
                <w:noProof/>
                <w:webHidden/>
              </w:rPr>
              <w:tab/>
            </w:r>
            <w:r w:rsidRPr="007C0383">
              <w:rPr>
                <w:noProof/>
                <w:webHidden/>
              </w:rPr>
              <w:fldChar w:fldCharType="begin"/>
            </w:r>
            <w:r w:rsidRPr="007C0383">
              <w:rPr>
                <w:noProof/>
                <w:webHidden/>
              </w:rPr>
              <w:instrText xml:space="preserve"> PAGEREF _Toc219121831 \h </w:instrText>
            </w:r>
            <w:r w:rsidRPr="007C0383">
              <w:rPr>
                <w:noProof/>
                <w:webHidden/>
              </w:rPr>
            </w:r>
            <w:r w:rsidRPr="007C0383">
              <w:rPr>
                <w:noProof/>
                <w:webHidden/>
              </w:rPr>
              <w:fldChar w:fldCharType="separate"/>
            </w:r>
            <w:r w:rsidR="00C9271A">
              <w:rPr>
                <w:noProof/>
                <w:webHidden/>
              </w:rPr>
              <w:t>11</w:t>
            </w:r>
            <w:r w:rsidRPr="007C0383">
              <w:rPr>
                <w:noProof/>
                <w:webHidden/>
              </w:rPr>
              <w:fldChar w:fldCharType="end"/>
            </w:r>
          </w:hyperlink>
        </w:p>
        <w:p w14:paraId="52E946C3" w14:textId="17C86047"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2" w:history="1">
            <w:r w:rsidRPr="007C0383">
              <w:rPr>
                <w:rStyle w:val="Hipervnculo"/>
                <w:rFonts w:eastAsia="Calibri"/>
                <w:noProof/>
                <w:color w:val="767171"/>
              </w:rPr>
              <w:t>2.2 Base Legal</w:t>
            </w:r>
            <w:r w:rsidRPr="007C0383">
              <w:rPr>
                <w:noProof/>
                <w:webHidden/>
              </w:rPr>
              <w:tab/>
            </w:r>
            <w:r w:rsidRPr="007C0383">
              <w:rPr>
                <w:noProof/>
                <w:webHidden/>
              </w:rPr>
              <w:fldChar w:fldCharType="begin"/>
            </w:r>
            <w:r w:rsidRPr="007C0383">
              <w:rPr>
                <w:noProof/>
                <w:webHidden/>
              </w:rPr>
              <w:instrText xml:space="preserve"> PAGEREF _Toc219121832 \h </w:instrText>
            </w:r>
            <w:r w:rsidRPr="007C0383">
              <w:rPr>
                <w:noProof/>
                <w:webHidden/>
              </w:rPr>
            </w:r>
            <w:r w:rsidRPr="007C0383">
              <w:rPr>
                <w:noProof/>
                <w:webHidden/>
              </w:rPr>
              <w:fldChar w:fldCharType="separate"/>
            </w:r>
            <w:r w:rsidR="00C9271A">
              <w:rPr>
                <w:noProof/>
                <w:webHidden/>
              </w:rPr>
              <w:t>12</w:t>
            </w:r>
            <w:r w:rsidRPr="007C0383">
              <w:rPr>
                <w:noProof/>
                <w:webHidden/>
              </w:rPr>
              <w:fldChar w:fldCharType="end"/>
            </w:r>
          </w:hyperlink>
        </w:p>
        <w:p w14:paraId="5A4C83C0" w14:textId="78DD619B"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3" w:history="1">
            <w:r w:rsidRPr="007C0383">
              <w:rPr>
                <w:rStyle w:val="Hipervnculo"/>
                <w:rFonts w:eastAsia="Calibri"/>
                <w:noProof/>
                <w:color w:val="767171"/>
              </w:rPr>
              <w:t>2.3 Estructura organizativa</w:t>
            </w:r>
            <w:r w:rsidRPr="007C0383">
              <w:rPr>
                <w:noProof/>
                <w:webHidden/>
              </w:rPr>
              <w:tab/>
            </w:r>
            <w:r w:rsidRPr="007C0383">
              <w:rPr>
                <w:noProof/>
                <w:webHidden/>
              </w:rPr>
              <w:fldChar w:fldCharType="begin"/>
            </w:r>
            <w:r w:rsidRPr="007C0383">
              <w:rPr>
                <w:noProof/>
                <w:webHidden/>
              </w:rPr>
              <w:instrText xml:space="preserve"> PAGEREF _Toc219121833 \h </w:instrText>
            </w:r>
            <w:r w:rsidRPr="007C0383">
              <w:rPr>
                <w:noProof/>
                <w:webHidden/>
              </w:rPr>
            </w:r>
            <w:r w:rsidRPr="007C0383">
              <w:rPr>
                <w:noProof/>
                <w:webHidden/>
              </w:rPr>
              <w:fldChar w:fldCharType="separate"/>
            </w:r>
            <w:r w:rsidR="00C9271A">
              <w:rPr>
                <w:noProof/>
                <w:webHidden/>
              </w:rPr>
              <w:t>17</w:t>
            </w:r>
            <w:r w:rsidRPr="007C0383">
              <w:rPr>
                <w:noProof/>
                <w:webHidden/>
              </w:rPr>
              <w:fldChar w:fldCharType="end"/>
            </w:r>
          </w:hyperlink>
        </w:p>
        <w:p w14:paraId="44673F95" w14:textId="236D30F3"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4" w:history="1">
            <w:r w:rsidRPr="007C0383">
              <w:rPr>
                <w:rStyle w:val="Hipervnculo"/>
                <w:rFonts w:eastAsia="Calibri"/>
                <w:noProof/>
                <w:color w:val="767171"/>
              </w:rPr>
              <w:t>a.</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Planificación estratégica institucional</w:t>
            </w:r>
            <w:r w:rsidRPr="007C0383">
              <w:rPr>
                <w:noProof/>
                <w:webHidden/>
              </w:rPr>
              <w:tab/>
            </w:r>
            <w:r w:rsidRPr="007C0383">
              <w:rPr>
                <w:noProof/>
                <w:webHidden/>
              </w:rPr>
              <w:fldChar w:fldCharType="begin"/>
            </w:r>
            <w:r w:rsidRPr="007C0383">
              <w:rPr>
                <w:noProof/>
                <w:webHidden/>
              </w:rPr>
              <w:instrText xml:space="preserve"> PAGEREF _Toc219121834 \h </w:instrText>
            </w:r>
            <w:r w:rsidRPr="007C0383">
              <w:rPr>
                <w:noProof/>
                <w:webHidden/>
              </w:rPr>
            </w:r>
            <w:r w:rsidRPr="007C0383">
              <w:rPr>
                <w:noProof/>
                <w:webHidden/>
              </w:rPr>
              <w:fldChar w:fldCharType="separate"/>
            </w:r>
            <w:r w:rsidR="00C9271A">
              <w:rPr>
                <w:noProof/>
                <w:webHidden/>
              </w:rPr>
              <w:t>19</w:t>
            </w:r>
            <w:r w:rsidRPr="007C0383">
              <w:rPr>
                <w:noProof/>
                <w:webHidden/>
              </w:rPr>
              <w:fldChar w:fldCharType="end"/>
            </w:r>
          </w:hyperlink>
        </w:p>
        <w:p w14:paraId="47FF0102" w14:textId="6CF44393"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35" w:history="1">
            <w:r w:rsidRPr="007C0383">
              <w:rPr>
                <w:rStyle w:val="Hipervnculo"/>
                <w:color w:val="767171"/>
              </w:rPr>
              <w:t>III.</w:t>
            </w:r>
            <w:r w:rsidRPr="007C0383">
              <w:rPr>
                <w:rFonts w:asciiTheme="minorHAnsi" w:eastAsiaTheme="minorEastAsia" w:hAnsiTheme="minorHAnsi" w:cstheme="minorBidi"/>
                <w:spacing w:val="0"/>
                <w:kern w:val="2"/>
                <w:lang w:eastAsia="es-DO"/>
                <w14:ligatures w14:val="standardContextual"/>
              </w:rPr>
              <w:tab/>
            </w:r>
            <w:r w:rsidRPr="007C0383">
              <w:rPr>
                <w:rStyle w:val="Hipervnculo"/>
                <w:color w:val="767171"/>
              </w:rPr>
              <w:t>RESULTADOS MISIONALES</w:t>
            </w:r>
            <w:r w:rsidRPr="007C0383">
              <w:rPr>
                <w:webHidden/>
              </w:rPr>
              <w:tab/>
            </w:r>
            <w:r w:rsidRPr="007C0383">
              <w:rPr>
                <w:webHidden/>
              </w:rPr>
              <w:fldChar w:fldCharType="begin"/>
            </w:r>
            <w:r w:rsidRPr="007C0383">
              <w:rPr>
                <w:webHidden/>
              </w:rPr>
              <w:instrText xml:space="preserve"> PAGEREF _Toc219121835 \h </w:instrText>
            </w:r>
            <w:r w:rsidRPr="007C0383">
              <w:rPr>
                <w:webHidden/>
              </w:rPr>
            </w:r>
            <w:r w:rsidRPr="007C0383">
              <w:rPr>
                <w:webHidden/>
              </w:rPr>
              <w:fldChar w:fldCharType="separate"/>
            </w:r>
            <w:r w:rsidR="00C9271A">
              <w:rPr>
                <w:webHidden/>
              </w:rPr>
              <w:t>36</w:t>
            </w:r>
            <w:r w:rsidRPr="007C0383">
              <w:rPr>
                <w:webHidden/>
              </w:rPr>
              <w:fldChar w:fldCharType="end"/>
            </w:r>
          </w:hyperlink>
        </w:p>
        <w:p w14:paraId="1CD68751" w14:textId="2AFBE48C"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6" w:history="1">
            <w:r w:rsidRPr="007C0383">
              <w:rPr>
                <w:rStyle w:val="Hipervnculo"/>
                <w:rFonts w:eastAsia="Calibri"/>
                <w:noProof/>
                <w:color w:val="767171"/>
              </w:rPr>
              <w:t>3.1 Cobertura Universal en Salud y Riesgos Laborales</w:t>
            </w:r>
            <w:r w:rsidRPr="007C0383">
              <w:rPr>
                <w:noProof/>
                <w:webHidden/>
              </w:rPr>
              <w:tab/>
            </w:r>
            <w:r w:rsidRPr="007C0383">
              <w:rPr>
                <w:noProof/>
                <w:webHidden/>
              </w:rPr>
              <w:fldChar w:fldCharType="begin"/>
            </w:r>
            <w:r w:rsidRPr="007C0383">
              <w:rPr>
                <w:noProof/>
                <w:webHidden/>
              </w:rPr>
              <w:instrText xml:space="preserve"> PAGEREF _Toc219121836 \h </w:instrText>
            </w:r>
            <w:r w:rsidRPr="007C0383">
              <w:rPr>
                <w:noProof/>
                <w:webHidden/>
              </w:rPr>
            </w:r>
            <w:r w:rsidRPr="007C0383">
              <w:rPr>
                <w:noProof/>
                <w:webHidden/>
              </w:rPr>
              <w:fldChar w:fldCharType="separate"/>
            </w:r>
            <w:r w:rsidR="00C9271A">
              <w:rPr>
                <w:noProof/>
                <w:webHidden/>
              </w:rPr>
              <w:t>36</w:t>
            </w:r>
            <w:r w:rsidRPr="007C0383">
              <w:rPr>
                <w:noProof/>
                <w:webHidden/>
              </w:rPr>
              <w:fldChar w:fldCharType="end"/>
            </w:r>
          </w:hyperlink>
        </w:p>
        <w:p w14:paraId="6D11DCE1" w14:textId="697EF75A"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7" w:history="1">
            <w:r w:rsidRPr="007C0383">
              <w:rPr>
                <w:rStyle w:val="Hipervnculo"/>
                <w:noProof/>
                <w:color w:val="767171"/>
              </w:rPr>
              <w:t>3.1.1 Protección de la población en el aseguramiento en salud y riesgos laborales (afiliación)</w:t>
            </w:r>
            <w:r w:rsidRPr="007C0383">
              <w:rPr>
                <w:noProof/>
                <w:webHidden/>
              </w:rPr>
              <w:tab/>
            </w:r>
            <w:r w:rsidRPr="007C0383">
              <w:rPr>
                <w:noProof/>
                <w:webHidden/>
              </w:rPr>
              <w:fldChar w:fldCharType="begin"/>
            </w:r>
            <w:r w:rsidRPr="007C0383">
              <w:rPr>
                <w:noProof/>
                <w:webHidden/>
              </w:rPr>
              <w:instrText xml:space="preserve"> PAGEREF _Toc219121837 \h </w:instrText>
            </w:r>
            <w:r w:rsidRPr="007C0383">
              <w:rPr>
                <w:noProof/>
                <w:webHidden/>
              </w:rPr>
            </w:r>
            <w:r w:rsidRPr="007C0383">
              <w:rPr>
                <w:noProof/>
                <w:webHidden/>
              </w:rPr>
              <w:fldChar w:fldCharType="separate"/>
            </w:r>
            <w:r w:rsidR="00C9271A">
              <w:rPr>
                <w:noProof/>
                <w:webHidden/>
              </w:rPr>
              <w:t>40</w:t>
            </w:r>
            <w:r w:rsidRPr="007C0383">
              <w:rPr>
                <w:noProof/>
                <w:webHidden/>
              </w:rPr>
              <w:fldChar w:fldCharType="end"/>
            </w:r>
          </w:hyperlink>
        </w:p>
        <w:p w14:paraId="61539541" w14:textId="65A3DC29"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8" w:history="1">
            <w:r w:rsidRPr="007C0383">
              <w:rPr>
                <w:rStyle w:val="Hipervnculo"/>
                <w:noProof/>
                <w:color w:val="767171"/>
              </w:rPr>
              <w:t>3.1.2 Mejoras en las condiciones de acceso a los servicios de salud</w:t>
            </w:r>
            <w:r w:rsidRPr="007C0383">
              <w:rPr>
                <w:noProof/>
                <w:webHidden/>
              </w:rPr>
              <w:tab/>
            </w:r>
            <w:r w:rsidRPr="007C0383">
              <w:rPr>
                <w:noProof/>
                <w:webHidden/>
              </w:rPr>
              <w:fldChar w:fldCharType="begin"/>
            </w:r>
            <w:r w:rsidRPr="007C0383">
              <w:rPr>
                <w:noProof/>
                <w:webHidden/>
              </w:rPr>
              <w:instrText xml:space="preserve"> PAGEREF _Toc219121838 \h </w:instrText>
            </w:r>
            <w:r w:rsidRPr="007C0383">
              <w:rPr>
                <w:noProof/>
                <w:webHidden/>
              </w:rPr>
            </w:r>
            <w:r w:rsidRPr="007C0383">
              <w:rPr>
                <w:noProof/>
                <w:webHidden/>
              </w:rPr>
              <w:fldChar w:fldCharType="separate"/>
            </w:r>
            <w:r w:rsidR="00C9271A">
              <w:rPr>
                <w:noProof/>
                <w:webHidden/>
              </w:rPr>
              <w:t>43</w:t>
            </w:r>
            <w:r w:rsidRPr="007C0383">
              <w:rPr>
                <w:noProof/>
                <w:webHidden/>
              </w:rPr>
              <w:fldChar w:fldCharType="end"/>
            </w:r>
          </w:hyperlink>
        </w:p>
        <w:p w14:paraId="5E91BFA5" w14:textId="15270C0A"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39" w:history="1">
            <w:r w:rsidRPr="007C0383">
              <w:rPr>
                <w:rStyle w:val="Hipervnculo"/>
                <w:noProof/>
                <w:color w:val="767171"/>
              </w:rPr>
              <w:t>3.1.3 Cobertura efectiva de los servicios básicos de salud</w:t>
            </w:r>
            <w:r w:rsidRPr="007C0383">
              <w:rPr>
                <w:noProof/>
                <w:webHidden/>
              </w:rPr>
              <w:tab/>
            </w:r>
            <w:r w:rsidRPr="007C0383">
              <w:rPr>
                <w:noProof/>
                <w:webHidden/>
              </w:rPr>
              <w:fldChar w:fldCharType="begin"/>
            </w:r>
            <w:r w:rsidRPr="007C0383">
              <w:rPr>
                <w:noProof/>
                <w:webHidden/>
              </w:rPr>
              <w:instrText xml:space="preserve"> PAGEREF _Toc219121839 \h </w:instrText>
            </w:r>
            <w:r w:rsidRPr="007C0383">
              <w:rPr>
                <w:noProof/>
                <w:webHidden/>
              </w:rPr>
            </w:r>
            <w:r w:rsidRPr="007C0383">
              <w:rPr>
                <w:noProof/>
                <w:webHidden/>
              </w:rPr>
              <w:fldChar w:fldCharType="separate"/>
            </w:r>
            <w:r w:rsidR="00C9271A">
              <w:rPr>
                <w:noProof/>
                <w:webHidden/>
              </w:rPr>
              <w:t>49</w:t>
            </w:r>
            <w:r w:rsidRPr="007C0383">
              <w:rPr>
                <w:noProof/>
                <w:webHidden/>
              </w:rPr>
              <w:fldChar w:fldCharType="end"/>
            </w:r>
          </w:hyperlink>
        </w:p>
        <w:p w14:paraId="1871FF66" w14:textId="46DD9CC1"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0" w:history="1">
            <w:r w:rsidRPr="007C0383">
              <w:rPr>
                <w:rStyle w:val="Hipervnculo"/>
                <w:noProof/>
                <w:color w:val="767171"/>
              </w:rPr>
              <w:t>3.1.4 Mejoras en el alcance de la protección social y los beneficios del sistema de aseguramiento de los riesgos laborales del SDSS</w:t>
            </w:r>
            <w:r w:rsidRPr="007C0383">
              <w:rPr>
                <w:noProof/>
                <w:webHidden/>
              </w:rPr>
              <w:tab/>
            </w:r>
            <w:r w:rsidRPr="007C0383">
              <w:rPr>
                <w:noProof/>
                <w:webHidden/>
              </w:rPr>
              <w:fldChar w:fldCharType="begin"/>
            </w:r>
            <w:r w:rsidRPr="007C0383">
              <w:rPr>
                <w:noProof/>
                <w:webHidden/>
              </w:rPr>
              <w:instrText xml:space="preserve"> PAGEREF _Toc219121840 \h </w:instrText>
            </w:r>
            <w:r w:rsidRPr="007C0383">
              <w:rPr>
                <w:noProof/>
                <w:webHidden/>
              </w:rPr>
            </w:r>
            <w:r w:rsidRPr="007C0383">
              <w:rPr>
                <w:noProof/>
                <w:webHidden/>
              </w:rPr>
              <w:fldChar w:fldCharType="separate"/>
            </w:r>
            <w:r w:rsidR="00C9271A">
              <w:rPr>
                <w:noProof/>
                <w:webHidden/>
              </w:rPr>
              <w:t>83</w:t>
            </w:r>
            <w:r w:rsidRPr="007C0383">
              <w:rPr>
                <w:noProof/>
                <w:webHidden/>
              </w:rPr>
              <w:fldChar w:fldCharType="end"/>
            </w:r>
          </w:hyperlink>
        </w:p>
        <w:p w14:paraId="685FB974" w14:textId="5859B9C5"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1" w:history="1">
            <w:r w:rsidRPr="007C0383">
              <w:rPr>
                <w:rStyle w:val="Hipervnculo"/>
                <w:rFonts w:eastAsia="Calibri"/>
                <w:noProof/>
                <w:color w:val="767171"/>
              </w:rPr>
              <w:t>3.2 Eficientización del Gasto del Seguro Familiar de Salud y del Seguro de Riesgos Laborales</w:t>
            </w:r>
            <w:r w:rsidRPr="007C0383">
              <w:rPr>
                <w:noProof/>
                <w:webHidden/>
              </w:rPr>
              <w:tab/>
            </w:r>
            <w:r w:rsidRPr="007C0383">
              <w:rPr>
                <w:noProof/>
                <w:webHidden/>
              </w:rPr>
              <w:fldChar w:fldCharType="begin"/>
            </w:r>
            <w:r w:rsidRPr="007C0383">
              <w:rPr>
                <w:noProof/>
                <w:webHidden/>
              </w:rPr>
              <w:instrText xml:space="preserve"> PAGEREF _Toc219121841 \h </w:instrText>
            </w:r>
            <w:r w:rsidRPr="007C0383">
              <w:rPr>
                <w:noProof/>
                <w:webHidden/>
              </w:rPr>
            </w:r>
            <w:r w:rsidRPr="007C0383">
              <w:rPr>
                <w:noProof/>
                <w:webHidden/>
              </w:rPr>
              <w:fldChar w:fldCharType="separate"/>
            </w:r>
            <w:r w:rsidR="00C9271A">
              <w:rPr>
                <w:noProof/>
                <w:webHidden/>
              </w:rPr>
              <w:t>84</w:t>
            </w:r>
            <w:r w:rsidRPr="007C0383">
              <w:rPr>
                <w:noProof/>
                <w:webHidden/>
              </w:rPr>
              <w:fldChar w:fldCharType="end"/>
            </w:r>
          </w:hyperlink>
        </w:p>
        <w:p w14:paraId="3B5A8955" w14:textId="4894E828"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2" w:history="1">
            <w:r w:rsidRPr="007C0383">
              <w:rPr>
                <w:rStyle w:val="Hipervnculo"/>
                <w:noProof/>
                <w:color w:val="767171"/>
              </w:rPr>
              <w:t>3.2.1 Supervisión y regulación del uso de los recursos financieros de aseguramiento en salud</w:t>
            </w:r>
            <w:r w:rsidRPr="007C0383">
              <w:rPr>
                <w:noProof/>
                <w:webHidden/>
              </w:rPr>
              <w:tab/>
            </w:r>
            <w:r w:rsidRPr="007C0383">
              <w:rPr>
                <w:noProof/>
                <w:webHidden/>
              </w:rPr>
              <w:fldChar w:fldCharType="begin"/>
            </w:r>
            <w:r w:rsidRPr="007C0383">
              <w:rPr>
                <w:noProof/>
                <w:webHidden/>
              </w:rPr>
              <w:instrText xml:space="preserve"> PAGEREF _Toc219121842 \h </w:instrText>
            </w:r>
            <w:r w:rsidRPr="007C0383">
              <w:rPr>
                <w:noProof/>
                <w:webHidden/>
              </w:rPr>
            </w:r>
            <w:r w:rsidRPr="007C0383">
              <w:rPr>
                <w:noProof/>
                <w:webHidden/>
              </w:rPr>
              <w:fldChar w:fldCharType="separate"/>
            </w:r>
            <w:r w:rsidR="00C9271A">
              <w:rPr>
                <w:noProof/>
                <w:webHidden/>
              </w:rPr>
              <w:t>84</w:t>
            </w:r>
            <w:r w:rsidRPr="007C0383">
              <w:rPr>
                <w:noProof/>
                <w:webHidden/>
              </w:rPr>
              <w:fldChar w:fldCharType="end"/>
            </w:r>
          </w:hyperlink>
        </w:p>
        <w:p w14:paraId="1B5354D4" w14:textId="4F02C953"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3" w:history="1">
            <w:r w:rsidRPr="007C0383">
              <w:rPr>
                <w:rStyle w:val="Hipervnculo"/>
                <w:rFonts w:eastAsia="Calibri"/>
                <w:noProof/>
                <w:color w:val="767171"/>
              </w:rPr>
              <w:t>3.3 Fortalecimiento del Sistema de Regulación, Supervisión, Conciliación y Fiscalización</w:t>
            </w:r>
            <w:r w:rsidRPr="007C0383">
              <w:rPr>
                <w:noProof/>
                <w:webHidden/>
              </w:rPr>
              <w:tab/>
            </w:r>
            <w:r w:rsidRPr="007C0383">
              <w:rPr>
                <w:noProof/>
                <w:webHidden/>
              </w:rPr>
              <w:fldChar w:fldCharType="begin"/>
            </w:r>
            <w:r w:rsidRPr="007C0383">
              <w:rPr>
                <w:noProof/>
                <w:webHidden/>
              </w:rPr>
              <w:instrText xml:space="preserve"> PAGEREF _Toc219121843 \h </w:instrText>
            </w:r>
            <w:r w:rsidRPr="007C0383">
              <w:rPr>
                <w:noProof/>
                <w:webHidden/>
              </w:rPr>
            </w:r>
            <w:r w:rsidRPr="007C0383">
              <w:rPr>
                <w:noProof/>
                <w:webHidden/>
              </w:rPr>
              <w:fldChar w:fldCharType="separate"/>
            </w:r>
            <w:r w:rsidR="00C9271A">
              <w:rPr>
                <w:noProof/>
                <w:webHidden/>
              </w:rPr>
              <w:t>138</w:t>
            </w:r>
            <w:r w:rsidRPr="007C0383">
              <w:rPr>
                <w:noProof/>
                <w:webHidden/>
              </w:rPr>
              <w:fldChar w:fldCharType="end"/>
            </w:r>
          </w:hyperlink>
        </w:p>
        <w:p w14:paraId="66E9FF69" w14:textId="7DBFF911"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4" w:history="1">
            <w:r w:rsidRPr="007C0383">
              <w:rPr>
                <w:rStyle w:val="Hipervnculo"/>
                <w:noProof/>
                <w:color w:val="767171"/>
              </w:rPr>
              <w:t>3.3.1 Fortalecimiento del cumplimiento de las normativas del SFS y SRL por parte de los actores regulados mediante mecanismos efectivos de supervisión y control</w:t>
            </w:r>
            <w:r w:rsidRPr="007C0383">
              <w:rPr>
                <w:noProof/>
                <w:webHidden/>
              </w:rPr>
              <w:tab/>
            </w:r>
            <w:r w:rsidRPr="007C0383">
              <w:rPr>
                <w:noProof/>
                <w:webHidden/>
              </w:rPr>
              <w:fldChar w:fldCharType="begin"/>
            </w:r>
            <w:r w:rsidRPr="007C0383">
              <w:rPr>
                <w:noProof/>
                <w:webHidden/>
              </w:rPr>
              <w:instrText xml:space="preserve"> PAGEREF _Toc219121844 \h </w:instrText>
            </w:r>
            <w:r w:rsidRPr="007C0383">
              <w:rPr>
                <w:noProof/>
                <w:webHidden/>
              </w:rPr>
            </w:r>
            <w:r w:rsidRPr="007C0383">
              <w:rPr>
                <w:noProof/>
                <w:webHidden/>
              </w:rPr>
              <w:fldChar w:fldCharType="separate"/>
            </w:r>
            <w:r w:rsidR="00C9271A">
              <w:rPr>
                <w:noProof/>
                <w:webHidden/>
              </w:rPr>
              <w:t>138</w:t>
            </w:r>
            <w:r w:rsidRPr="007C0383">
              <w:rPr>
                <w:noProof/>
                <w:webHidden/>
              </w:rPr>
              <w:fldChar w:fldCharType="end"/>
            </w:r>
          </w:hyperlink>
        </w:p>
        <w:p w14:paraId="39F85A67" w14:textId="138D0310"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5" w:history="1">
            <w:r w:rsidRPr="007C0383">
              <w:rPr>
                <w:rStyle w:val="Hipervnculo"/>
                <w:noProof/>
                <w:color w:val="767171"/>
              </w:rPr>
              <w:t>3.3.2 Fortalecimiento de la coordinación para la gestión de convenios en el régimen contributivo de los prestadores públicos que cumplen con los requisitos de contratación</w:t>
            </w:r>
            <w:r w:rsidRPr="007C0383">
              <w:rPr>
                <w:noProof/>
                <w:webHidden/>
              </w:rPr>
              <w:tab/>
            </w:r>
            <w:r w:rsidRPr="007C0383">
              <w:rPr>
                <w:noProof/>
                <w:webHidden/>
              </w:rPr>
              <w:fldChar w:fldCharType="begin"/>
            </w:r>
            <w:r w:rsidRPr="007C0383">
              <w:rPr>
                <w:noProof/>
                <w:webHidden/>
              </w:rPr>
              <w:instrText xml:space="preserve"> PAGEREF _Toc219121845 \h </w:instrText>
            </w:r>
            <w:r w:rsidRPr="007C0383">
              <w:rPr>
                <w:noProof/>
                <w:webHidden/>
              </w:rPr>
            </w:r>
            <w:r w:rsidRPr="007C0383">
              <w:rPr>
                <w:noProof/>
                <w:webHidden/>
              </w:rPr>
              <w:fldChar w:fldCharType="separate"/>
            </w:r>
            <w:r w:rsidR="00C9271A">
              <w:rPr>
                <w:noProof/>
                <w:webHidden/>
              </w:rPr>
              <w:t>167</w:t>
            </w:r>
            <w:r w:rsidRPr="007C0383">
              <w:rPr>
                <w:noProof/>
                <w:webHidden/>
              </w:rPr>
              <w:fldChar w:fldCharType="end"/>
            </w:r>
          </w:hyperlink>
        </w:p>
        <w:p w14:paraId="07B0F38B" w14:textId="3641D705"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6" w:history="1">
            <w:r w:rsidRPr="007C0383">
              <w:rPr>
                <w:rStyle w:val="Hipervnculo"/>
                <w:rFonts w:eastAsia="Calibri"/>
                <w:noProof/>
                <w:color w:val="767171"/>
              </w:rPr>
              <w:t>3.4 Excelencia en el Servicio</w:t>
            </w:r>
            <w:r w:rsidRPr="007C0383">
              <w:rPr>
                <w:noProof/>
                <w:webHidden/>
              </w:rPr>
              <w:tab/>
            </w:r>
            <w:r w:rsidRPr="007C0383">
              <w:rPr>
                <w:noProof/>
                <w:webHidden/>
              </w:rPr>
              <w:fldChar w:fldCharType="begin"/>
            </w:r>
            <w:r w:rsidRPr="007C0383">
              <w:rPr>
                <w:noProof/>
                <w:webHidden/>
              </w:rPr>
              <w:instrText xml:space="preserve"> PAGEREF _Toc219121846 \h </w:instrText>
            </w:r>
            <w:r w:rsidRPr="007C0383">
              <w:rPr>
                <w:noProof/>
                <w:webHidden/>
              </w:rPr>
            </w:r>
            <w:r w:rsidRPr="007C0383">
              <w:rPr>
                <w:noProof/>
                <w:webHidden/>
              </w:rPr>
              <w:fldChar w:fldCharType="separate"/>
            </w:r>
            <w:r w:rsidR="00C9271A">
              <w:rPr>
                <w:noProof/>
                <w:webHidden/>
              </w:rPr>
              <w:t>168</w:t>
            </w:r>
            <w:r w:rsidRPr="007C0383">
              <w:rPr>
                <w:noProof/>
                <w:webHidden/>
              </w:rPr>
              <w:fldChar w:fldCharType="end"/>
            </w:r>
          </w:hyperlink>
        </w:p>
        <w:p w14:paraId="2A7BD1F8" w14:textId="3CDECC8F"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7" w:history="1">
            <w:r w:rsidRPr="007C0383">
              <w:rPr>
                <w:rStyle w:val="Hipervnculo"/>
                <w:rFonts w:eastAsia="Calibri"/>
                <w:noProof/>
                <w:color w:val="767171"/>
              </w:rPr>
              <w:t>3.4.1 Supervisión del recaudo y entrega oportuna de los subsidios de Maternidad, Lactancia y enfermedad común</w:t>
            </w:r>
            <w:r w:rsidRPr="007C0383">
              <w:rPr>
                <w:noProof/>
                <w:webHidden/>
              </w:rPr>
              <w:tab/>
            </w:r>
            <w:r w:rsidRPr="007C0383">
              <w:rPr>
                <w:noProof/>
                <w:webHidden/>
              </w:rPr>
              <w:fldChar w:fldCharType="begin"/>
            </w:r>
            <w:r w:rsidRPr="007C0383">
              <w:rPr>
                <w:noProof/>
                <w:webHidden/>
              </w:rPr>
              <w:instrText xml:space="preserve"> PAGEREF _Toc219121847 \h </w:instrText>
            </w:r>
            <w:r w:rsidRPr="007C0383">
              <w:rPr>
                <w:noProof/>
                <w:webHidden/>
              </w:rPr>
            </w:r>
            <w:r w:rsidRPr="007C0383">
              <w:rPr>
                <w:noProof/>
                <w:webHidden/>
              </w:rPr>
              <w:fldChar w:fldCharType="separate"/>
            </w:r>
            <w:r w:rsidR="00C9271A">
              <w:rPr>
                <w:noProof/>
                <w:webHidden/>
              </w:rPr>
              <w:t>168</w:t>
            </w:r>
            <w:r w:rsidRPr="007C0383">
              <w:rPr>
                <w:noProof/>
                <w:webHidden/>
              </w:rPr>
              <w:fldChar w:fldCharType="end"/>
            </w:r>
          </w:hyperlink>
        </w:p>
        <w:p w14:paraId="6B32F2F4" w14:textId="01B62CBA"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48" w:history="1">
            <w:r w:rsidRPr="007C0383">
              <w:rPr>
                <w:rStyle w:val="Hipervnculo"/>
                <w:rFonts w:eastAsia="Calibri"/>
                <w:noProof/>
                <w:color w:val="767171"/>
              </w:rPr>
              <w:t>3.4.2 Programas de información y sensibilización sobre derechos, deberes, funcionamiento del SFS y SRL y canales institucionales disponibles</w:t>
            </w:r>
            <w:r w:rsidRPr="007C0383">
              <w:rPr>
                <w:noProof/>
                <w:webHidden/>
              </w:rPr>
              <w:tab/>
            </w:r>
            <w:r w:rsidRPr="007C0383">
              <w:rPr>
                <w:noProof/>
                <w:webHidden/>
              </w:rPr>
              <w:fldChar w:fldCharType="begin"/>
            </w:r>
            <w:r w:rsidRPr="007C0383">
              <w:rPr>
                <w:noProof/>
                <w:webHidden/>
              </w:rPr>
              <w:instrText xml:space="preserve"> PAGEREF _Toc219121848 \h </w:instrText>
            </w:r>
            <w:r w:rsidRPr="007C0383">
              <w:rPr>
                <w:noProof/>
                <w:webHidden/>
              </w:rPr>
            </w:r>
            <w:r w:rsidRPr="007C0383">
              <w:rPr>
                <w:noProof/>
                <w:webHidden/>
              </w:rPr>
              <w:fldChar w:fldCharType="separate"/>
            </w:r>
            <w:r w:rsidR="00C9271A">
              <w:rPr>
                <w:noProof/>
                <w:webHidden/>
              </w:rPr>
              <w:t>170</w:t>
            </w:r>
            <w:r w:rsidRPr="007C0383">
              <w:rPr>
                <w:noProof/>
                <w:webHidden/>
              </w:rPr>
              <w:fldChar w:fldCharType="end"/>
            </w:r>
          </w:hyperlink>
        </w:p>
        <w:p w14:paraId="1C9F6F02" w14:textId="7A57672A"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49" w:history="1">
            <w:r w:rsidRPr="007C0383">
              <w:rPr>
                <w:rStyle w:val="Hipervnculo"/>
                <w:color w:val="767171"/>
              </w:rPr>
              <w:t>IV.</w:t>
            </w:r>
            <w:r w:rsidRPr="007C0383">
              <w:rPr>
                <w:rFonts w:asciiTheme="minorHAnsi" w:eastAsiaTheme="minorEastAsia" w:hAnsiTheme="minorHAnsi" w:cstheme="minorBidi"/>
                <w:spacing w:val="0"/>
                <w:kern w:val="2"/>
                <w:lang w:eastAsia="es-DO"/>
                <w14:ligatures w14:val="standardContextual"/>
              </w:rPr>
              <w:tab/>
            </w:r>
            <w:r w:rsidRPr="007C0383">
              <w:rPr>
                <w:rStyle w:val="Hipervnculo"/>
                <w:color w:val="767171"/>
              </w:rPr>
              <w:t>RESULTADOS DE LAS ÁREAS TRANSVERSALES Y DE APOYO</w:t>
            </w:r>
            <w:r w:rsidRPr="007C0383">
              <w:rPr>
                <w:webHidden/>
              </w:rPr>
              <w:tab/>
            </w:r>
            <w:r w:rsidRPr="007C0383">
              <w:rPr>
                <w:webHidden/>
              </w:rPr>
              <w:fldChar w:fldCharType="begin"/>
            </w:r>
            <w:r w:rsidRPr="007C0383">
              <w:rPr>
                <w:webHidden/>
              </w:rPr>
              <w:instrText xml:space="preserve"> PAGEREF _Toc219121849 \h </w:instrText>
            </w:r>
            <w:r w:rsidRPr="007C0383">
              <w:rPr>
                <w:webHidden/>
              </w:rPr>
            </w:r>
            <w:r w:rsidRPr="007C0383">
              <w:rPr>
                <w:webHidden/>
              </w:rPr>
              <w:fldChar w:fldCharType="separate"/>
            </w:r>
            <w:r w:rsidR="00C9271A">
              <w:rPr>
                <w:webHidden/>
              </w:rPr>
              <w:t>174</w:t>
            </w:r>
            <w:r w:rsidRPr="007C0383">
              <w:rPr>
                <w:webHidden/>
              </w:rPr>
              <w:fldChar w:fldCharType="end"/>
            </w:r>
          </w:hyperlink>
        </w:p>
        <w:p w14:paraId="2B7256A7" w14:textId="629F3EAC"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0" w:history="1">
            <w:r w:rsidRPr="007C0383">
              <w:rPr>
                <w:rStyle w:val="Hipervnculo"/>
                <w:rFonts w:eastAsia="Calibri"/>
                <w:noProof/>
                <w:color w:val="767171"/>
              </w:rPr>
              <w:t>4.1 Desempeño Área Administrativa y Financiera</w:t>
            </w:r>
            <w:r w:rsidRPr="007C0383">
              <w:rPr>
                <w:noProof/>
                <w:webHidden/>
              </w:rPr>
              <w:tab/>
            </w:r>
            <w:r w:rsidRPr="007C0383">
              <w:rPr>
                <w:noProof/>
                <w:webHidden/>
              </w:rPr>
              <w:fldChar w:fldCharType="begin"/>
            </w:r>
            <w:r w:rsidRPr="007C0383">
              <w:rPr>
                <w:noProof/>
                <w:webHidden/>
              </w:rPr>
              <w:instrText xml:space="preserve"> PAGEREF _Toc219121850 \h </w:instrText>
            </w:r>
            <w:r w:rsidRPr="007C0383">
              <w:rPr>
                <w:noProof/>
                <w:webHidden/>
              </w:rPr>
            </w:r>
            <w:r w:rsidRPr="007C0383">
              <w:rPr>
                <w:noProof/>
                <w:webHidden/>
              </w:rPr>
              <w:fldChar w:fldCharType="separate"/>
            </w:r>
            <w:r w:rsidR="00C9271A">
              <w:rPr>
                <w:noProof/>
                <w:webHidden/>
              </w:rPr>
              <w:t>174</w:t>
            </w:r>
            <w:r w:rsidRPr="007C0383">
              <w:rPr>
                <w:noProof/>
                <w:webHidden/>
              </w:rPr>
              <w:fldChar w:fldCharType="end"/>
            </w:r>
          </w:hyperlink>
        </w:p>
        <w:p w14:paraId="5C72FD9D" w14:textId="2589AEEE"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1" w:history="1">
            <w:r w:rsidRPr="007C0383">
              <w:rPr>
                <w:rStyle w:val="Hipervnculo"/>
                <w:rFonts w:eastAsia="Calibri"/>
                <w:noProof/>
                <w:color w:val="767171"/>
              </w:rPr>
              <w:t>4.1.1 Gestión de compras</w:t>
            </w:r>
            <w:r w:rsidRPr="007C0383">
              <w:rPr>
                <w:noProof/>
                <w:webHidden/>
              </w:rPr>
              <w:tab/>
            </w:r>
            <w:r w:rsidRPr="007C0383">
              <w:rPr>
                <w:noProof/>
                <w:webHidden/>
              </w:rPr>
              <w:fldChar w:fldCharType="begin"/>
            </w:r>
            <w:r w:rsidRPr="007C0383">
              <w:rPr>
                <w:noProof/>
                <w:webHidden/>
              </w:rPr>
              <w:instrText xml:space="preserve"> PAGEREF _Toc219121851 \h </w:instrText>
            </w:r>
            <w:r w:rsidRPr="007C0383">
              <w:rPr>
                <w:noProof/>
                <w:webHidden/>
              </w:rPr>
            </w:r>
            <w:r w:rsidRPr="007C0383">
              <w:rPr>
                <w:noProof/>
                <w:webHidden/>
              </w:rPr>
              <w:fldChar w:fldCharType="separate"/>
            </w:r>
            <w:r w:rsidR="00C9271A">
              <w:rPr>
                <w:noProof/>
                <w:webHidden/>
              </w:rPr>
              <w:t>174</w:t>
            </w:r>
            <w:r w:rsidRPr="007C0383">
              <w:rPr>
                <w:noProof/>
                <w:webHidden/>
              </w:rPr>
              <w:fldChar w:fldCharType="end"/>
            </w:r>
          </w:hyperlink>
        </w:p>
        <w:p w14:paraId="42784BAC" w14:textId="284A1E92"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2" w:history="1">
            <w:r w:rsidRPr="007C0383">
              <w:rPr>
                <w:rStyle w:val="Hipervnculo"/>
                <w:rFonts w:eastAsia="Calibri"/>
                <w:noProof/>
                <w:color w:val="767171"/>
              </w:rPr>
              <w:t>4.1.2 Gestión Presupuestaria</w:t>
            </w:r>
            <w:r w:rsidRPr="007C0383">
              <w:rPr>
                <w:noProof/>
                <w:webHidden/>
              </w:rPr>
              <w:tab/>
            </w:r>
            <w:r w:rsidRPr="007C0383">
              <w:rPr>
                <w:noProof/>
                <w:webHidden/>
              </w:rPr>
              <w:fldChar w:fldCharType="begin"/>
            </w:r>
            <w:r w:rsidRPr="007C0383">
              <w:rPr>
                <w:noProof/>
                <w:webHidden/>
              </w:rPr>
              <w:instrText xml:space="preserve"> PAGEREF _Toc219121852 \h </w:instrText>
            </w:r>
            <w:r w:rsidRPr="007C0383">
              <w:rPr>
                <w:noProof/>
                <w:webHidden/>
              </w:rPr>
            </w:r>
            <w:r w:rsidRPr="007C0383">
              <w:rPr>
                <w:noProof/>
                <w:webHidden/>
              </w:rPr>
              <w:fldChar w:fldCharType="separate"/>
            </w:r>
            <w:r w:rsidR="00C9271A">
              <w:rPr>
                <w:noProof/>
                <w:webHidden/>
              </w:rPr>
              <w:t>175</w:t>
            </w:r>
            <w:r w:rsidRPr="007C0383">
              <w:rPr>
                <w:noProof/>
                <w:webHidden/>
              </w:rPr>
              <w:fldChar w:fldCharType="end"/>
            </w:r>
          </w:hyperlink>
        </w:p>
        <w:p w14:paraId="1BFBE4F2" w14:textId="533C7D07"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3" w:history="1">
            <w:r w:rsidRPr="007C0383">
              <w:rPr>
                <w:rStyle w:val="Hipervnculo"/>
                <w:rFonts w:eastAsia="Calibri"/>
                <w:noProof/>
                <w:color w:val="767171"/>
              </w:rPr>
              <w:t>4.2 Desempeño de los Recursos Humanos</w:t>
            </w:r>
            <w:r w:rsidRPr="007C0383">
              <w:rPr>
                <w:noProof/>
                <w:webHidden/>
              </w:rPr>
              <w:tab/>
            </w:r>
            <w:r w:rsidRPr="007C0383">
              <w:rPr>
                <w:noProof/>
                <w:webHidden/>
              </w:rPr>
              <w:fldChar w:fldCharType="begin"/>
            </w:r>
            <w:r w:rsidRPr="007C0383">
              <w:rPr>
                <w:noProof/>
                <w:webHidden/>
              </w:rPr>
              <w:instrText xml:space="preserve"> PAGEREF _Toc219121853 \h </w:instrText>
            </w:r>
            <w:r w:rsidRPr="007C0383">
              <w:rPr>
                <w:noProof/>
                <w:webHidden/>
              </w:rPr>
            </w:r>
            <w:r w:rsidRPr="007C0383">
              <w:rPr>
                <w:noProof/>
                <w:webHidden/>
              </w:rPr>
              <w:fldChar w:fldCharType="separate"/>
            </w:r>
            <w:r w:rsidR="00C9271A">
              <w:rPr>
                <w:noProof/>
                <w:webHidden/>
              </w:rPr>
              <w:t>180</w:t>
            </w:r>
            <w:r w:rsidRPr="007C0383">
              <w:rPr>
                <w:noProof/>
                <w:webHidden/>
              </w:rPr>
              <w:fldChar w:fldCharType="end"/>
            </w:r>
          </w:hyperlink>
        </w:p>
        <w:p w14:paraId="298ADB20" w14:textId="13BCF818"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4" w:history="1">
            <w:r w:rsidRPr="007C0383">
              <w:rPr>
                <w:rStyle w:val="Hipervnculo"/>
                <w:rFonts w:eastAsia="Calibri"/>
                <w:noProof/>
                <w:color w:val="767171"/>
              </w:rPr>
              <w:t>4.3 Desempeño de los Procesos Jurídicos</w:t>
            </w:r>
            <w:r w:rsidRPr="007C0383">
              <w:rPr>
                <w:noProof/>
                <w:webHidden/>
              </w:rPr>
              <w:tab/>
            </w:r>
            <w:r w:rsidRPr="007C0383">
              <w:rPr>
                <w:noProof/>
                <w:webHidden/>
              </w:rPr>
              <w:fldChar w:fldCharType="begin"/>
            </w:r>
            <w:r w:rsidRPr="007C0383">
              <w:rPr>
                <w:noProof/>
                <w:webHidden/>
              </w:rPr>
              <w:instrText xml:space="preserve"> PAGEREF _Toc219121854 \h </w:instrText>
            </w:r>
            <w:r w:rsidRPr="007C0383">
              <w:rPr>
                <w:noProof/>
                <w:webHidden/>
              </w:rPr>
            </w:r>
            <w:r w:rsidRPr="007C0383">
              <w:rPr>
                <w:noProof/>
                <w:webHidden/>
              </w:rPr>
              <w:fldChar w:fldCharType="separate"/>
            </w:r>
            <w:r w:rsidR="00C9271A">
              <w:rPr>
                <w:noProof/>
                <w:webHidden/>
              </w:rPr>
              <w:t>193</w:t>
            </w:r>
            <w:r w:rsidRPr="007C0383">
              <w:rPr>
                <w:noProof/>
                <w:webHidden/>
              </w:rPr>
              <w:fldChar w:fldCharType="end"/>
            </w:r>
          </w:hyperlink>
        </w:p>
        <w:p w14:paraId="4F0531D7" w14:textId="56B937AC"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5" w:history="1">
            <w:r w:rsidRPr="007C0383">
              <w:rPr>
                <w:rStyle w:val="Hipervnculo"/>
                <w:rFonts w:eastAsia="Calibri"/>
                <w:noProof/>
                <w:color w:val="767171"/>
              </w:rPr>
              <w:t>4.4 Desempeño de la Tecnología</w:t>
            </w:r>
            <w:r w:rsidRPr="007C0383">
              <w:rPr>
                <w:noProof/>
                <w:webHidden/>
              </w:rPr>
              <w:tab/>
            </w:r>
            <w:r w:rsidRPr="007C0383">
              <w:rPr>
                <w:noProof/>
                <w:webHidden/>
              </w:rPr>
              <w:fldChar w:fldCharType="begin"/>
            </w:r>
            <w:r w:rsidRPr="007C0383">
              <w:rPr>
                <w:noProof/>
                <w:webHidden/>
              </w:rPr>
              <w:instrText xml:space="preserve"> PAGEREF _Toc219121855 \h </w:instrText>
            </w:r>
            <w:r w:rsidRPr="007C0383">
              <w:rPr>
                <w:noProof/>
                <w:webHidden/>
              </w:rPr>
            </w:r>
            <w:r w:rsidRPr="007C0383">
              <w:rPr>
                <w:noProof/>
                <w:webHidden/>
              </w:rPr>
              <w:fldChar w:fldCharType="separate"/>
            </w:r>
            <w:r w:rsidR="00C9271A">
              <w:rPr>
                <w:noProof/>
                <w:webHidden/>
              </w:rPr>
              <w:t>219</w:t>
            </w:r>
            <w:r w:rsidRPr="007C0383">
              <w:rPr>
                <w:noProof/>
                <w:webHidden/>
              </w:rPr>
              <w:fldChar w:fldCharType="end"/>
            </w:r>
          </w:hyperlink>
        </w:p>
        <w:p w14:paraId="1555EF6F" w14:textId="0E52C806"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6" w:history="1">
            <w:r w:rsidRPr="007C0383">
              <w:rPr>
                <w:rStyle w:val="Hipervnculo"/>
                <w:rFonts w:eastAsia="Calibri"/>
                <w:noProof/>
                <w:color w:val="767171"/>
              </w:rPr>
              <w:t>4.5 Desempeño del Sistema de Planificación y Desarrollo Institucional</w:t>
            </w:r>
            <w:r w:rsidRPr="007C0383">
              <w:rPr>
                <w:noProof/>
                <w:webHidden/>
              </w:rPr>
              <w:tab/>
            </w:r>
            <w:r w:rsidRPr="007C0383">
              <w:rPr>
                <w:noProof/>
                <w:webHidden/>
              </w:rPr>
              <w:fldChar w:fldCharType="begin"/>
            </w:r>
            <w:r w:rsidRPr="007C0383">
              <w:rPr>
                <w:noProof/>
                <w:webHidden/>
              </w:rPr>
              <w:instrText xml:space="preserve"> PAGEREF _Toc219121856 \h </w:instrText>
            </w:r>
            <w:r w:rsidRPr="007C0383">
              <w:rPr>
                <w:noProof/>
                <w:webHidden/>
              </w:rPr>
            </w:r>
            <w:r w:rsidRPr="007C0383">
              <w:rPr>
                <w:noProof/>
                <w:webHidden/>
              </w:rPr>
              <w:fldChar w:fldCharType="separate"/>
            </w:r>
            <w:r w:rsidR="00C9271A">
              <w:rPr>
                <w:noProof/>
                <w:webHidden/>
              </w:rPr>
              <w:t>225</w:t>
            </w:r>
            <w:r w:rsidRPr="007C0383">
              <w:rPr>
                <w:noProof/>
                <w:webHidden/>
              </w:rPr>
              <w:fldChar w:fldCharType="end"/>
            </w:r>
          </w:hyperlink>
        </w:p>
        <w:p w14:paraId="1CCF1F23" w14:textId="39326F9B"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7" w:history="1">
            <w:r w:rsidRPr="007C0383">
              <w:rPr>
                <w:rStyle w:val="Hipervnculo"/>
                <w:rFonts w:eastAsia="Calibri"/>
                <w:noProof/>
                <w:color w:val="767171"/>
              </w:rPr>
              <w:t>4.6 Desempeño del Área Comunicaciones</w:t>
            </w:r>
            <w:r w:rsidRPr="007C0383">
              <w:rPr>
                <w:noProof/>
                <w:webHidden/>
              </w:rPr>
              <w:tab/>
            </w:r>
            <w:r w:rsidRPr="007C0383">
              <w:rPr>
                <w:noProof/>
                <w:webHidden/>
              </w:rPr>
              <w:fldChar w:fldCharType="begin"/>
            </w:r>
            <w:r w:rsidRPr="007C0383">
              <w:rPr>
                <w:noProof/>
                <w:webHidden/>
              </w:rPr>
              <w:instrText xml:space="preserve"> PAGEREF _Toc219121857 \h </w:instrText>
            </w:r>
            <w:r w:rsidRPr="007C0383">
              <w:rPr>
                <w:noProof/>
                <w:webHidden/>
              </w:rPr>
            </w:r>
            <w:r w:rsidRPr="007C0383">
              <w:rPr>
                <w:noProof/>
                <w:webHidden/>
              </w:rPr>
              <w:fldChar w:fldCharType="separate"/>
            </w:r>
            <w:r w:rsidR="00C9271A">
              <w:rPr>
                <w:noProof/>
                <w:webHidden/>
              </w:rPr>
              <w:t>238</w:t>
            </w:r>
            <w:r w:rsidRPr="007C0383">
              <w:rPr>
                <w:noProof/>
                <w:webHidden/>
              </w:rPr>
              <w:fldChar w:fldCharType="end"/>
            </w:r>
          </w:hyperlink>
        </w:p>
        <w:p w14:paraId="50EA42D4" w14:textId="1128DBE1"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58" w:history="1">
            <w:r w:rsidRPr="007C0383">
              <w:rPr>
                <w:rStyle w:val="Hipervnculo"/>
                <w:color w:val="767171"/>
              </w:rPr>
              <w:t>IV.</w:t>
            </w:r>
            <w:r w:rsidRPr="007C0383">
              <w:rPr>
                <w:rFonts w:asciiTheme="minorHAnsi" w:eastAsiaTheme="minorEastAsia" w:hAnsiTheme="minorHAnsi" w:cstheme="minorBidi"/>
                <w:spacing w:val="0"/>
                <w:kern w:val="2"/>
                <w:lang w:eastAsia="es-DO"/>
                <w14:ligatures w14:val="standardContextual"/>
              </w:rPr>
              <w:tab/>
            </w:r>
            <w:r w:rsidRPr="007C0383">
              <w:rPr>
                <w:rStyle w:val="Hipervnculo"/>
                <w:color w:val="767171"/>
              </w:rPr>
              <w:t>SERVICIO AL CIUDADANO Y TRANSPARENCIA INSTITUCIONAL</w:t>
            </w:r>
            <w:r w:rsidRPr="007C0383">
              <w:rPr>
                <w:webHidden/>
              </w:rPr>
              <w:tab/>
            </w:r>
            <w:r w:rsidRPr="007C0383">
              <w:rPr>
                <w:webHidden/>
              </w:rPr>
              <w:fldChar w:fldCharType="begin"/>
            </w:r>
            <w:r w:rsidRPr="007C0383">
              <w:rPr>
                <w:webHidden/>
              </w:rPr>
              <w:instrText xml:space="preserve"> PAGEREF _Toc219121858 \h </w:instrText>
            </w:r>
            <w:r w:rsidRPr="007C0383">
              <w:rPr>
                <w:webHidden/>
              </w:rPr>
            </w:r>
            <w:r w:rsidRPr="007C0383">
              <w:rPr>
                <w:webHidden/>
              </w:rPr>
              <w:fldChar w:fldCharType="separate"/>
            </w:r>
            <w:r w:rsidR="00C9271A">
              <w:rPr>
                <w:webHidden/>
              </w:rPr>
              <w:t>242</w:t>
            </w:r>
            <w:r w:rsidRPr="007C0383">
              <w:rPr>
                <w:webHidden/>
              </w:rPr>
              <w:fldChar w:fldCharType="end"/>
            </w:r>
          </w:hyperlink>
        </w:p>
        <w:p w14:paraId="461292EF" w14:textId="569C84E7"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59" w:history="1">
            <w:r w:rsidRPr="007C0383">
              <w:rPr>
                <w:rStyle w:val="Hipervnculo"/>
                <w:rFonts w:eastAsia="Calibri"/>
                <w:noProof/>
                <w:color w:val="767171"/>
              </w:rPr>
              <w:t>5.1</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Nivel de la satisfacción con el servicio</w:t>
            </w:r>
            <w:r w:rsidRPr="007C0383">
              <w:rPr>
                <w:noProof/>
                <w:webHidden/>
              </w:rPr>
              <w:tab/>
            </w:r>
            <w:r w:rsidRPr="007C0383">
              <w:rPr>
                <w:noProof/>
                <w:webHidden/>
              </w:rPr>
              <w:fldChar w:fldCharType="begin"/>
            </w:r>
            <w:r w:rsidRPr="007C0383">
              <w:rPr>
                <w:noProof/>
                <w:webHidden/>
              </w:rPr>
              <w:instrText xml:space="preserve"> PAGEREF _Toc219121859 \h </w:instrText>
            </w:r>
            <w:r w:rsidRPr="007C0383">
              <w:rPr>
                <w:noProof/>
                <w:webHidden/>
              </w:rPr>
            </w:r>
            <w:r w:rsidRPr="007C0383">
              <w:rPr>
                <w:noProof/>
                <w:webHidden/>
              </w:rPr>
              <w:fldChar w:fldCharType="separate"/>
            </w:r>
            <w:r w:rsidR="00C9271A">
              <w:rPr>
                <w:noProof/>
                <w:webHidden/>
              </w:rPr>
              <w:t>242</w:t>
            </w:r>
            <w:r w:rsidRPr="007C0383">
              <w:rPr>
                <w:noProof/>
                <w:webHidden/>
              </w:rPr>
              <w:fldChar w:fldCharType="end"/>
            </w:r>
          </w:hyperlink>
        </w:p>
        <w:p w14:paraId="519BC572" w14:textId="12C4AF63"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0" w:history="1">
            <w:r w:rsidRPr="007C0383">
              <w:rPr>
                <w:rStyle w:val="Hipervnculo"/>
                <w:rFonts w:eastAsia="Calibri"/>
                <w:noProof/>
                <w:color w:val="767171"/>
              </w:rPr>
              <w:t>5.2 Nivel de cumplimiento de la  Ley de Acceso a la Información</w:t>
            </w:r>
            <w:r w:rsidRPr="007C0383">
              <w:rPr>
                <w:noProof/>
                <w:webHidden/>
              </w:rPr>
              <w:tab/>
            </w:r>
            <w:r w:rsidRPr="007C0383">
              <w:rPr>
                <w:noProof/>
                <w:webHidden/>
              </w:rPr>
              <w:fldChar w:fldCharType="begin"/>
            </w:r>
            <w:r w:rsidRPr="007C0383">
              <w:rPr>
                <w:noProof/>
                <w:webHidden/>
              </w:rPr>
              <w:instrText xml:space="preserve"> PAGEREF _Toc219121860 \h </w:instrText>
            </w:r>
            <w:r w:rsidRPr="007C0383">
              <w:rPr>
                <w:noProof/>
                <w:webHidden/>
              </w:rPr>
            </w:r>
            <w:r w:rsidRPr="007C0383">
              <w:rPr>
                <w:noProof/>
                <w:webHidden/>
              </w:rPr>
              <w:fldChar w:fldCharType="separate"/>
            </w:r>
            <w:r w:rsidR="00C9271A">
              <w:rPr>
                <w:noProof/>
                <w:webHidden/>
              </w:rPr>
              <w:t>243</w:t>
            </w:r>
            <w:r w:rsidRPr="007C0383">
              <w:rPr>
                <w:noProof/>
                <w:webHidden/>
              </w:rPr>
              <w:fldChar w:fldCharType="end"/>
            </w:r>
          </w:hyperlink>
        </w:p>
        <w:p w14:paraId="5FF29276" w14:textId="27A40EA4"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1" w:history="1">
            <w:r w:rsidRPr="007C0383">
              <w:rPr>
                <w:rStyle w:val="Hipervnculo"/>
                <w:rFonts w:eastAsia="Calibri"/>
                <w:noProof/>
                <w:color w:val="767171"/>
              </w:rPr>
              <w:t>5.3 Resultados de Sistema de Quejas, Reclamos y Sugerencias</w:t>
            </w:r>
            <w:r w:rsidRPr="007C0383">
              <w:rPr>
                <w:noProof/>
                <w:webHidden/>
              </w:rPr>
              <w:tab/>
            </w:r>
            <w:r w:rsidRPr="007C0383">
              <w:rPr>
                <w:noProof/>
                <w:webHidden/>
              </w:rPr>
              <w:fldChar w:fldCharType="begin"/>
            </w:r>
            <w:r w:rsidRPr="007C0383">
              <w:rPr>
                <w:noProof/>
                <w:webHidden/>
              </w:rPr>
              <w:instrText xml:space="preserve"> PAGEREF _Toc219121861 \h </w:instrText>
            </w:r>
            <w:r w:rsidRPr="007C0383">
              <w:rPr>
                <w:noProof/>
                <w:webHidden/>
              </w:rPr>
            </w:r>
            <w:r w:rsidRPr="007C0383">
              <w:rPr>
                <w:noProof/>
                <w:webHidden/>
              </w:rPr>
              <w:fldChar w:fldCharType="separate"/>
            </w:r>
            <w:r w:rsidR="00C9271A">
              <w:rPr>
                <w:noProof/>
                <w:webHidden/>
              </w:rPr>
              <w:t>245</w:t>
            </w:r>
            <w:r w:rsidRPr="007C0383">
              <w:rPr>
                <w:noProof/>
                <w:webHidden/>
              </w:rPr>
              <w:fldChar w:fldCharType="end"/>
            </w:r>
          </w:hyperlink>
        </w:p>
        <w:p w14:paraId="77E98FDB" w14:textId="72D5069B"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2" w:history="1">
            <w:r w:rsidRPr="007C0383">
              <w:rPr>
                <w:rStyle w:val="Hipervnculo"/>
                <w:rFonts w:eastAsia="Calibri"/>
                <w:noProof/>
                <w:color w:val="767171"/>
              </w:rPr>
              <w:t>5.4 Resultado mediciones del portal de transparencia</w:t>
            </w:r>
            <w:r w:rsidRPr="007C0383">
              <w:rPr>
                <w:noProof/>
                <w:webHidden/>
              </w:rPr>
              <w:tab/>
            </w:r>
            <w:r w:rsidRPr="007C0383">
              <w:rPr>
                <w:noProof/>
                <w:webHidden/>
              </w:rPr>
              <w:fldChar w:fldCharType="begin"/>
            </w:r>
            <w:r w:rsidRPr="007C0383">
              <w:rPr>
                <w:noProof/>
                <w:webHidden/>
              </w:rPr>
              <w:instrText xml:space="preserve"> PAGEREF _Toc219121862 \h </w:instrText>
            </w:r>
            <w:r w:rsidRPr="007C0383">
              <w:rPr>
                <w:noProof/>
                <w:webHidden/>
              </w:rPr>
            </w:r>
            <w:r w:rsidRPr="007C0383">
              <w:rPr>
                <w:noProof/>
                <w:webHidden/>
              </w:rPr>
              <w:fldChar w:fldCharType="separate"/>
            </w:r>
            <w:r w:rsidR="00C9271A">
              <w:rPr>
                <w:noProof/>
                <w:webHidden/>
              </w:rPr>
              <w:t>249</w:t>
            </w:r>
            <w:r w:rsidRPr="007C0383">
              <w:rPr>
                <w:noProof/>
                <w:webHidden/>
              </w:rPr>
              <w:fldChar w:fldCharType="end"/>
            </w:r>
          </w:hyperlink>
        </w:p>
        <w:p w14:paraId="5640C057" w14:textId="1322D7A1"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63" w:history="1">
            <w:r w:rsidRPr="007C0383">
              <w:rPr>
                <w:rStyle w:val="Hipervnculo"/>
                <w:color w:val="767171"/>
              </w:rPr>
              <w:t>VI. PROYECCIONES</w:t>
            </w:r>
            <w:r w:rsidRPr="007C0383">
              <w:rPr>
                <w:webHidden/>
              </w:rPr>
              <w:tab/>
            </w:r>
            <w:r w:rsidRPr="007C0383">
              <w:rPr>
                <w:webHidden/>
              </w:rPr>
              <w:fldChar w:fldCharType="begin"/>
            </w:r>
            <w:r w:rsidRPr="007C0383">
              <w:rPr>
                <w:webHidden/>
              </w:rPr>
              <w:instrText xml:space="preserve"> PAGEREF _Toc219121863 \h </w:instrText>
            </w:r>
            <w:r w:rsidRPr="007C0383">
              <w:rPr>
                <w:webHidden/>
              </w:rPr>
            </w:r>
            <w:r w:rsidRPr="007C0383">
              <w:rPr>
                <w:webHidden/>
              </w:rPr>
              <w:fldChar w:fldCharType="separate"/>
            </w:r>
            <w:r w:rsidR="00C9271A">
              <w:rPr>
                <w:webHidden/>
              </w:rPr>
              <w:t>251</w:t>
            </w:r>
            <w:r w:rsidRPr="007C0383">
              <w:rPr>
                <w:webHidden/>
              </w:rPr>
              <w:fldChar w:fldCharType="end"/>
            </w:r>
          </w:hyperlink>
        </w:p>
        <w:p w14:paraId="0D1FA625" w14:textId="30BBB2AA" w:rsidR="007C0383" w:rsidRPr="007C0383" w:rsidRDefault="007C0383" w:rsidP="007C0383">
          <w:pPr>
            <w:pStyle w:val="TDC1"/>
            <w:rPr>
              <w:rFonts w:asciiTheme="minorHAnsi" w:eastAsiaTheme="minorEastAsia" w:hAnsiTheme="minorHAnsi" w:cstheme="minorBidi"/>
              <w:spacing w:val="0"/>
              <w:kern w:val="2"/>
              <w:lang w:eastAsia="es-DO"/>
              <w14:ligatures w14:val="standardContextual"/>
            </w:rPr>
          </w:pPr>
          <w:hyperlink w:anchor="_Toc219121864" w:history="1">
            <w:r w:rsidRPr="007C0383">
              <w:rPr>
                <w:rStyle w:val="Hipervnculo"/>
                <w:color w:val="767171"/>
              </w:rPr>
              <w:t>VII. ANEXOS</w:t>
            </w:r>
            <w:r w:rsidRPr="007C0383">
              <w:rPr>
                <w:webHidden/>
              </w:rPr>
              <w:tab/>
            </w:r>
            <w:r w:rsidRPr="007C0383">
              <w:rPr>
                <w:webHidden/>
              </w:rPr>
              <w:fldChar w:fldCharType="begin"/>
            </w:r>
            <w:r w:rsidRPr="007C0383">
              <w:rPr>
                <w:webHidden/>
              </w:rPr>
              <w:instrText xml:space="preserve"> PAGEREF _Toc219121864 \h </w:instrText>
            </w:r>
            <w:r w:rsidRPr="007C0383">
              <w:rPr>
                <w:webHidden/>
              </w:rPr>
            </w:r>
            <w:r w:rsidRPr="007C0383">
              <w:rPr>
                <w:webHidden/>
              </w:rPr>
              <w:fldChar w:fldCharType="separate"/>
            </w:r>
            <w:r w:rsidR="00C9271A">
              <w:rPr>
                <w:webHidden/>
              </w:rPr>
              <w:t>254</w:t>
            </w:r>
            <w:r w:rsidRPr="007C0383">
              <w:rPr>
                <w:webHidden/>
              </w:rPr>
              <w:fldChar w:fldCharType="end"/>
            </w:r>
          </w:hyperlink>
        </w:p>
        <w:p w14:paraId="1235996F" w14:textId="27A2D321"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5" w:history="1">
            <w:r w:rsidRPr="007C0383">
              <w:rPr>
                <w:rStyle w:val="Hipervnculo"/>
                <w:rFonts w:eastAsia="Calibri"/>
                <w:noProof/>
                <w:color w:val="767171"/>
              </w:rPr>
              <w:t>A.</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Matriz de Logros Relevantes</w:t>
            </w:r>
            <w:r w:rsidRPr="007C0383">
              <w:rPr>
                <w:noProof/>
                <w:webHidden/>
              </w:rPr>
              <w:tab/>
            </w:r>
            <w:r w:rsidRPr="007C0383">
              <w:rPr>
                <w:noProof/>
                <w:webHidden/>
              </w:rPr>
              <w:fldChar w:fldCharType="begin"/>
            </w:r>
            <w:r w:rsidRPr="007C0383">
              <w:rPr>
                <w:noProof/>
                <w:webHidden/>
              </w:rPr>
              <w:instrText xml:space="preserve"> PAGEREF _Toc219121865 \h </w:instrText>
            </w:r>
            <w:r w:rsidRPr="007C0383">
              <w:rPr>
                <w:noProof/>
                <w:webHidden/>
              </w:rPr>
            </w:r>
            <w:r w:rsidRPr="007C0383">
              <w:rPr>
                <w:noProof/>
                <w:webHidden/>
              </w:rPr>
              <w:fldChar w:fldCharType="separate"/>
            </w:r>
            <w:r w:rsidR="00C9271A">
              <w:rPr>
                <w:noProof/>
                <w:webHidden/>
              </w:rPr>
              <w:t>254</w:t>
            </w:r>
            <w:r w:rsidRPr="007C0383">
              <w:rPr>
                <w:noProof/>
                <w:webHidden/>
              </w:rPr>
              <w:fldChar w:fldCharType="end"/>
            </w:r>
          </w:hyperlink>
        </w:p>
        <w:p w14:paraId="2D4BEF72" w14:textId="284355A6" w:rsidR="007C0383" w:rsidRPr="007C0383" w:rsidRDefault="007C0383" w:rsidP="007C0383">
          <w:pPr>
            <w:pStyle w:val="TDC2"/>
            <w:tabs>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6" w:history="1">
            <w:r w:rsidRPr="007C0383">
              <w:rPr>
                <w:rStyle w:val="Hipervnculo"/>
                <w:rFonts w:eastAsia="Calibri"/>
                <w:noProof/>
                <w:color w:val="767171"/>
              </w:rPr>
              <w:t>A.2.  Matriz de producción operativa 2025</w:t>
            </w:r>
            <w:r w:rsidRPr="007C0383">
              <w:rPr>
                <w:noProof/>
                <w:webHidden/>
              </w:rPr>
              <w:tab/>
            </w:r>
            <w:r w:rsidRPr="007C0383">
              <w:rPr>
                <w:noProof/>
                <w:webHidden/>
              </w:rPr>
              <w:fldChar w:fldCharType="begin"/>
            </w:r>
            <w:r w:rsidRPr="007C0383">
              <w:rPr>
                <w:noProof/>
                <w:webHidden/>
              </w:rPr>
              <w:instrText xml:space="preserve"> PAGEREF _Toc219121866 \h </w:instrText>
            </w:r>
            <w:r w:rsidRPr="007C0383">
              <w:rPr>
                <w:noProof/>
                <w:webHidden/>
              </w:rPr>
            </w:r>
            <w:r w:rsidRPr="007C0383">
              <w:rPr>
                <w:noProof/>
                <w:webHidden/>
              </w:rPr>
              <w:fldChar w:fldCharType="separate"/>
            </w:r>
            <w:r w:rsidR="00C9271A">
              <w:rPr>
                <w:noProof/>
                <w:webHidden/>
              </w:rPr>
              <w:t>254</w:t>
            </w:r>
            <w:r w:rsidRPr="007C0383">
              <w:rPr>
                <w:noProof/>
                <w:webHidden/>
              </w:rPr>
              <w:fldChar w:fldCharType="end"/>
            </w:r>
          </w:hyperlink>
        </w:p>
        <w:p w14:paraId="552DC420" w14:textId="67D4C87B"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7" w:history="1">
            <w:r w:rsidRPr="007C0383">
              <w:rPr>
                <w:rStyle w:val="Hipervnculo"/>
                <w:rFonts w:eastAsia="Calibri"/>
                <w:noProof/>
                <w:color w:val="767171"/>
              </w:rPr>
              <w:t>B.</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Matriz de Ejecución Presupuestaria 2025</w:t>
            </w:r>
            <w:r w:rsidRPr="007C0383">
              <w:rPr>
                <w:noProof/>
                <w:webHidden/>
              </w:rPr>
              <w:tab/>
            </w:r>
            <w:r w:rsidRPr="007C0383">
              <w:rPr>
                <w:noProof/>
                <w:webHidden/>
              </w:rPr>
              <w:fldChar w:fldCharType="begin"/>
            </w:r>
            <w:r w:rsidRPr="007C0383">
              <w:rPr>
                <w:noProof/>
                <w:webHidden/>
              </w:rPr>
              <w:instrText xml:space="preserve"> PAGEREF _Toc219121867 \h </w:instrText>
            </w:r>
            <w:r w:rsidRPr="007C0383">
              <w:rPr>
                <w:noProof/>
                <w:webHidden/>
              </w:rPr>
            </w:r>
            <w:r w:rsidRPr="007C0383">
              <w:rPr>
                <w:noProof/>
                <w:webHidden/>
              </w:rPr>
              <w:fldChar w:fldCharType="separate"/>
            </w:r>
            <w:r w:rsidR="00C9271A">
              <w:rPr>
                <w:noProof/>
                <w:webHidden/>
              </w:rPr>
              <w:t>259</w:t>
            </w:r>
            <w:r w:rsidRPr="007C0383">
              <w:rPr>
                <w:noProof/>
                <w:webHidden/>
              </w:rPr>
              <w:fldChar w:fldCharType="end"/>
            </w:r>
          </w:hyperlink>
        </w:p>
        <w:p w14:paraId="57C9E60D" w14:textId="4C2EDD98"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8" w:history="1">
            <w:r w:rsidRPr="007C0383">
              <w:rPr>
                <w:rStyle w:val="Hipervnculo"/>
                <w:rFonts w:eastAsia="Calibri"/>
                <w:noProof/>
                <w:color w:val="767171"/>
              </w:rPr>
              <w:t>C.</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Matriz de Principales Indicadores de Gestión por Procesos</w:t>
            </w:r>
            <w:r w:rsidRPr="007C0383">
              <w:rPr>
                <w:noProof/>
                <w:webHidden/>
              </w:rPr>
              <w:tab/>
            </w:r>
            <w:r w:rsidRPr="007C0383">
              <w:rPr>
                <w:noProof/>
                <w:webHidden/>
              </w:rPr>
              <w:fldChar w:fldCharType="begin"/>
            </w:r>
            <w:r w:rsidRPr="007C0383">
              <w:rPr>
                <w:noProof/>
                <w:webHidden/>
              </w:rPr>
              <w:instrText xml:space="preserve"> PAGEREF _Toc219121868 \h </w:instrText>
            </w:r>
            <w:r w:rsidRPr="007C0383">
              <w:rPr>
                <w:noProof/>
                <w:webHidden/>
              </w:rPr>
            </w:r>
            <w:r w:rsidRPr="007C0383">
              <w:rPr>
                <w:noProof/>
                <w:webHidden/>
              </w:rPr>
              <w:fldChar w:fldCharType="separate"/>
            </w:r>
            <w:r w:rsidR="00C9271A">
              <w:rPr>
                <w:noProof/>
                <w:webHidden/>
              </w:rPr>
              <w:t>259</w:t>
            </w:r>
            <w:r w:rsidRPr="007C0383">
              <w:rPr>
                <w:noProof/>
                <w:webHidden/>
              </w:rPr>
              <w:fldChar w:fldCharType="end"/>
            </w:r>
          </w:hyperlink>
        </w:p>
        <w:p w14:paraId="778B662C" w14:textId="26DC93A1" w:rsidR="007C0383" w:rsidRPr="007C0383" w:rsidRDefault="007C0383" w:rsidP="007C0383">
          <w:pPr>
            <w:pStyle w:val="TDC2"/>
            <w:tabs>
              <w:tab w:val="left" w:pos="941"/>
              <w:tab w:val="right" w:leader="dot" w:pos="7910"/>
            </w:tabs>
            <w:spacing w:line="360" w:lineRule="auto"/>
            <w:rPr>
              <w:rFonts w:asciiTheme="minorHAnsi" w:eastAsiaTheme="minorEastAsia" w:hAnsiTheme="minorHAnsi" w:cstheme="minorBidi"/>
              <w:noProof/>
              <w:spacing w:val="0"/>
              <w:kern w:val="2"/>
              <w:lang w:val="es-DO" w:eastAsia="es-DO"/>
              <w14:ligatures w14:val="standardContextual"/>
            </w:rPr>
          </w:pPr>
          <w:hyperlink w:anchor="_Toc219121869" w:history="1">
            <w:r w:rsidRPr="007C0383">
              <w:rPr>
                <w:rStyle w:val="Hipervnculo"/>
                <w:rFonts w:eastAsia="Calibri"/>
                <w:noProof/>
                <w:color w:val="767171"/>
              </w:rPr>
              <w:t>D.</w:t>
            </w:r>
            <w:r w:rsidRPr="007C0383">
              <w:rPr>
                <w:rFonts w:asciiTheme="minorHAnsi" w:eastAsiaTheme="minorEastAsia" w:hAnsiTheme="minorHAnsi" w:cstheme="minorBidi"/>
                <w:noProof/>
                <w:spacing w:val="0"/>
                <w:kern w:val="2"/>
                <w:lang w:val="es-DO" w:eastAsia="es-DO"/>
                <w14:ligatures w14:val="standardContextual"/>
              </w:rPr>
              <w:tab/>
            </w:r>
            <w:r w:rsidRPr="007C0383">
              <w:rPr>
                <w:rStyle w:val="Hipervnculo"/>
                <w:rFonts w:eastAsia="Calibri"/>
                <w:noProof/>
                <w:color w:val="767171"/>
              </w:rPr>
              <w:t>Resumen del Plan de Compras</w:t>
            </w:r>
            <w:r w:rsidRPr="007C0383">
              <w:rPr>
                <w:noProof/>
                <w:webHidden/>
              </w:rPr>
              <w:tab/>
            </w:r>
            <w:r w:rsidRPr="007C0383">
              <w:rPr>
                <w:noProof/>
                <w:webHidden/>
              </w:rPr>
              <w:fldChar w:fldCharType="begin"/>
            </w:r>
            <w:r w:rsidRPr="007C0383">
              <w:rPr>
                <w:noProof/>
                <w:webHidden/>
              </w:rPr>
              <w:instrText xml:space="preserve"> PAGEREF _Toc219121869 \h </w:instrText>
            </w:r>
            <w:r w:rsidRPr="007C0383">
              <w:rPr>
                <w:noProof/>
                <w:webHidden/>
              </w:rPr>
            </w:r>
            <w:r w:rsidRPr="007C0383">
              <w:rPr>
                <w:noProof/>
                <w:webHidden/>
              </w:rPr>
              <w:fldChar w:fldCharType="separate"/>
            </w:r>
            <w:r w:rsidR="00C9271A">
              <w:rPr>
                <w:noProof/>
                <w:webHidden/>
              </w:rPr>
              <w:t>263</w:t>
            </w:r>
            <w:r w:rsidRPr="007C0383">
              <w:rPr>
                <w:noProof/>
                <w:webHidden/>
              </w:rPr>
              <w:fldChar w:fldCharType="end"/>
            </w:r>
          </w:hyperlink>
        </w:p>
        <w:p w14:paraId="44BED9D0" w14:textId="39DBA3F1" w:rsidR="001F4AC8" w:rsidRPr="005C133F" w:rsidRDefault="00A630BC" w:rsidP="007C0383">
          <w:pPr>
            <w:spacing w:after="0" w:line="360" w:lineRule="auto"/>
            <w:jc w:val="both"/>
          </w:pPr>
          <w:r w:rsidRPr="007C0383">
            <w:rPr>
              <w:b/>
              <w:bCs/>
              <w:noProof/>
            </w:rPr>
            <w:fldChar w:fldCharType="end"/>
          </w:r>
        </w:p>
      </w:sdtContent>
    </w:sdt>
    <w:p w14:paraId="6E134AC8" w14:textId="77777777" w:rsidR="005C133F" w:rsidRDefault="005C133F" w:rsidP="00020DE2">
      <w:pPr>
        <w:spacing w:after="0" w:line="360" w:lineRule="auto"/>
        <w:ind w:firstLine="720"/>
        <w:rPr>
          <w:b/>
          <w:bCs/>
          <w:noProof/>
          <w:lang w:val="es-DO"/>
        </w:rPr>
      </w:pPr>
    </w:p>
    <w:p w14:paraId="4242FE2D" w14:textId="7937D5D5" w:rsidR="001240D0" w:rsidRDefault="00107C3E" w:rsidP="005C133F">
      <w:pPr>
        <w:spacing w:after="0" w:line="360" w:lineRule="auto"/>
        <w:ind w:left="567"/>
        <w:rPr>
          <w:b/>
          <w:bCs/>
          <w:noProof/>
          <w:lang w:val="es-DO"/>
        </w:rPr>
      </w:pPr>
      <w:r w:rsidRPr="001051D6">
        <w:rPr>
          <w:b/>
          <w:bCs/>
          <w:noProof/>
          <w:lang w:val="es-DO"/>
        </w:rPr>
        <w:t>Í</w:t>
      </w:r>
      <w:r w:rsidR="00647F3C" w:rsidRPr="001051D6">
        <w:rPr>
          <w:b/>
          <w:bCs/>
          <w:noProof/>
          <w:lang w:val="es-DO"/>
        </w:rPr>
        <w:t xml:space="preserve">ndice de </w:t>
      </w:r>
      <w:r w:rsidRPr="001051D6">
        <w:rPr>
          <w:b/>
          <w:bCs/>
          <w:noProof/>
          <w:lang w:val="es-DO"/>
        </w:rPr>
        <w:t>T</w:t>
      </w:r>
      <w:r w:rsidR="00647F3C" w:rsidRPr="001051D6">
        <w:rPr>
          <w:b/>
          <w:bCs/>
          <w:noProof/>
          <w:lang w:val="es-DO"/>
        </w:rPr>
        <w:t xml:space="preserve">ablas </w:t>
      </w:r>
    </w:p>
    <w:p w14:paraId="730F7E2C" w14:textId="77777777" w:rsidR="001051D6" w:rsidRPr="001051D6" w:rsidRDefault="001051D6" w:rsidP="005C133F">
      <w:pPr>
        <w:spacing w:after="0" w:line="360" w:lineRule="auto"/>
        <w:ind w:left="567"/>
        <w:rPr>
          <w:b/>
          <w:bCs/>
          <w:noProof/>
          <w:lang w:val="es-DO"/>
        </w:rPr>
      </w:pPr>
    </w:p>
    <w:p w14:paraId="6AE9AE41" w14:textId="3CAAB994" w:rsidR="002460E5" w:rsidRPr="001051D6" w:rsidRDefault="005C6D7A"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r w:rsidRPr="001051D6">
        <w:rPr>
          <w:noProof/>
          <w:lang w:val="es-DO"/>
        </w:rPr>
        <w:fldChar w:fldCharType="begin"/>
      </w:r>
      <w:r w:rsidRPr="001051D6">
        <w:rPr>
          <w:noProof/>
          <w:lang w:val="es-DO"/>
        </w:rPr>
        <w:instrText xml:space="preserve"> TOC \h \z \c "Tabla" </w:instrText>
      </w:r>
      <w:r w:rsidRPr="001051D6">
        <w:rPr>
          <w:noProof/>
          <w:lang w:val="es-DO"/>
        </w:rPr>
        <w:fldChar w:fldCharType="separate"/>
      </w:r>
      <w:hyperlink w:anchor="_Toc218784133" w:history="1">
        <w:r w:rsidR="002460E5" w:rsidRPr="001051D6">
          <w:rPr>
            <w:rStyle w:val="Hipervnculo"/>
            <w:rFonts w:eastAsia="Calibri"/>
            <w:noProof/>
            <w:color w:val="767171"/>
            <w:lang w:val="es-DO"/>
          </w:rPr>
          <w:t>Tabla 1. Marco Estratégico Institucional,  PEI 2025-2028</w:t>
        </w:r>
        <w:r w:rsidR="002460E5" w:rsidRPr="001051D6">
          <w:rPr>
            <w:noProof/>
            <w:webHidden/>
          </w:rPr>
          <w:tab/>
        </w:r>
        <w:r w:rsidR="002460E5" w:rsidRPr="001051D6">
          <w:rPr>
            <w:noProof/>
            <w:webHidden/>
          </w:rPr>
          <w:fldChar w:fldCharType="begin"/>
        </w:r>
        <w:r w:rsidR="002460E5" w:rsidRPr="001051D6">
          <w:rPr>
            <w:noProof/>
            <w:webHidden/>
          </w:rPr>
          <w:instrText xml:space="preserve"> PAGEREF _Toc218784133 \h </w:instrText>
        </w:r>
        <w:r w:rsidR="002460E5" w:rsidRPr="001051D6">
          <w:rPr>
            <w:noProof/>
            <w:webHidden/>
          </w:rPr>
        </w:r>
        <w:r w:rsidR="002460E5" w:rsidRPr="001051D6">
          <w:rPr>
            <w:noProof/>
            <w:webHidden/>
          </w:rPr>
          <w:fldChar w:fldCharType="separate"/>
        </w:r>
        <w:r w:rsidR="00C9271A">
          <w:rPr>
            <w:noProof/>
            <w:webHidden/>
          </w:rPr>
          <w:t>21</w:t>
        </w:r>
        <w:r w:rsidR="002460E5" w:rsidRPr="001051D6">
          <w:rPr>
            <w:noProof/>
            <w:webHidden/>
          </w:rPr>
          <w:fldChar w:fldCharType="end"/>
        </w:r>
      </w:hyperlink>
    </w:p>
    <w:p w14:paraId="21CEEECC" w14:textId="7040E00B"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4" w:history="1">
        <w:r w:rsidRPr="001051D6">
          <w:rPr>
            <w:rStyle w:val="Hipervnculo"/>
            <w:rFonts w:eastAsia="Times New Roman"/>
            <w:noProof/>
            <w:color w:val="767171"/>
            <w:lang w:val="es-DO" w:eastAsia="es-DO"/>
          </w:rPr>
          <w:t xml:space="preserve">Tabla 2. Desagregación de la afiliación al Seguro Familiar de Salud (SFS) según régimen y provincia, </w:t>
        </w:r>
        <w:r w:rsidR="00212FB9">
          <w:rPr>
            <w:rStyle w:val="Hipervnculo"/>
            <w:rFonts w:eastAsia="Times New Roman"/>
            <w:noProof/>
            <w:color w:val="767171"/>
            <w:lang w:val="es-DO" w:eastAsia="es-DO"/>
          </w:rPr>
          <w:t>dic</w:t>
        </w:r>
        <w:r w:rsidRPr="001051D6">
          <w:rPr>
            <w:rStyle w:val="Hipervnculo"/>
            <w:rFonts w:eastAsia="Times New Roman"/>
            <w:noProof/>
            <w:color w:val="767171"/>
            <w:lang w:val="es-DO" w:eastAsia="es-DO"/>
          </w:rPr>
          <w:t>iembre 2025</w:t>
        </w:r>
        <w:r w:rsidRPr="001051D6">
          <w:rPr>
            <w:noProof/>
            <w:webHidden/>
          </w:rPr>
          <w:tab/>
        </w:r>
        <w:r w:rsidRPr="001051D6">
          <w:rPr>
            <w:noProof/>
            <w:webHidden/>
          </w:rPr>
          <w:fldChar w:fldCharType="begin"/>
        </w:r>
        <w:r w:rsidRPr="001051D6">
          <w:rPr>
            <w:noProof/>
            <w:webHidden/>
          </w:rPr>
          <w:instrText xml:space="preserve"> PAGEREF _Toc218784134 \h </w:instrText>
        </w:r>
        <w:r w:rsidRPr="001051D6">
          <w:rPr>
            <w:noProof/>
            <w:webHidden/>
          </w:rPr>
        </w:r>
        <w:r w:rsidRPr="001051D6">
          <w:rPr>
            <w:noProof/>
            <w:webHidden/>
          </w:rPr>
          <w:fldChar w:fldCharType="separate"/>
        </w:r>
        <w:r w:rsidR="00C9271A">
          <w:rPr>
            <w:noProof/>
            <w:webHidden/>
          </w:rPr>
          <w:t>37</w:t>
        </w:r>
        <w:r w:rsidRPr="001051D6">
          <w:rPr>
            <w:noProof/>
            <w:webHidden/>
          </w:rPr>
          <w:fldChar w:fldCharType="end"/>
        </w:r>
      </w:hyperlink>
    </w:p>
    <w:p w14:paraId="1AABD344" w14:textId="10392FEB"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5" w:history="1">
        <w:r w:rsidRPr="001051D6">
          <w:rPr>
            <w:rStyle w:val="Hipervnculo"/>
            <w:noProof/>
            <w:color w:val="767171"/>
            <w:lang w:val="es-DO"/>
          </w:rPr>
          <w:t xml:space="preserve">Tabla 3. Desagregación de la afiliación al Seguro Familiar de Salud (SFS) según régimen y sexo, </w:t>
        </w:r>
        <w:r w:rsidR="00437766">
          <w:rPr>
            <w:rStyle w:val="Hipervnculo"/>
            <w:noProof/>
            <w:color w:val="767171"/>
            <w:lang w:val="es-DO"/>
          </w:rPr>
          <w:t>d</w:t>
        </w:r>
        <w:r w:rsidR="00212FB9">
          <w:rPr>
            <w:rStyle w:val="Hipervnculo"/>
            <w:noProof/>
            <w:color w:val="767171"/>
            <w:lang w:val="es-DO"/>
          </w:rPr>
          <w:t>ic</w:t>
        </w:r>
        <w:r w:rsidRPr="001051D6">
          <w:rPr>
            <w:rStyle w:val="Hipervnculo"/>
            <w:noProof/>
            <w:color w:val="767171"/>
            <w:lang w:val="es-DO"/>
          </w:rPr>
          <w:t>iembre 2025</w:t>
        </w:r>
        <w:r w:rsidRPr="001051D6">
          <w:rPr>
            <w:noProof/>
            <w:webHidden/>
          </w:rPr>
          <w:tab/>
        </w:r>
        <w:r w:rsidRPr="001051D6">
          <w:rPr>
            <w:noProof/>
            <w:webHidden/>
          </w:rPr>
          <w:fldChar w:fldCharType="begin"/>
        </w:r>
        <w:r w:rsidRPr="001051D6">
          <w:rPr>
            <w:noProof/>
            <w:webHidden/>
          </w:rPr>
          <w:instrText xml:space="preserve"> PAGEREF _Toc218784135 \h </w:instrText>
        </w:r>
        <w:r w:rsidRPr="001051D6">
          <w:rPr>
            <w:noProof/>
            <w:webHidden/>
          </w:rPr>
        </w:r>
        <w:r w:rsidRPr="001051D6">
          <w:rPr>
            <w:noProof/>
            <w:webHidden/>
          </w:rPr>
          <w:fldChar w:fldCharType="separate"/>
        </w:r>
        <w:r w:rsidR="00C9271A">
          <w:rPr>
            <w:noProof/>
            <w:webHidden/>
          </w:rPr>
          <w:t>38</w:t>
        </w:r>
        <w:r w:rsidRPr="001051D6">
          <w:rPr>
            <w:noProof/>
            <w:webHidden/>
          </w:rPr>
          <w:fldChar w:fldCharType="end"/>
        </w:r>
      </w:hyperlink>
    </w:p>
    <w:p w14:paraId="4CD4924C" w14:textId="5F062B6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6" w:history="1">
        <w:r w:rsidRPr="001051D6">
          <w:rPr>
            <w:rStyle w:val="Hipervnculo"/>
            <w:rFonts w:eastAsia="Calibri"/>
            <w:noProof/>
            <w:color w:val="767171"/>
            <w:lang w:val="es-DO"/>
          </w:rPr>
          <w:t xml:space="preserve">Tabla 4. Desagregación de la afiliación al Seguro de Riesgos Laborales (SRL) según provincia y sexo, </w:t>
        </w:r>
        <w:r w:rsidR="00437766">
          <w:rPr>
            <w:rStyle w:val="Hipervnculo"/>
            <w:rFonts w:eastAsia="Calibri"/>
            <w:noProof/>
            <w:color w:val="767171"/>
            <w:lang w:val="es-DO"/>
          </w:rPr>
          <w:t>diciem</w:t>
        </w:r>
        <w:r w:rsidRPr="001051D6">
          <w:rPr>
            <w:rStyle w:val="Hipervnculo"/>
            <w:rFonts w:eastAsia="Calibri"/>
            <w:noProof/>
            <w:color w:val="767171"/>
            <w:lang w:val="es-DO"/>
          </w:rPr>
          <w:t>bre 2025</w:t>
        </w:r>
        <w:r w:rsidRPr="001051D6">
          <w:rPr>
            <w:noProof/>
            <w:webHidden/>
          </w:rPr>
          <w:tab/>
        </w:r>
        <w:r w:rsidRPr="001051D6">
          <w:rPr>
            <w:noProof/>
            <w:webHidden/>
          </w:rPr>
          <w:fldChar w:fldCharType="begin"/>
        </w:r>
        <w:r w:rsidRPr="001051D6">
          <w:rPr>
            <w:noProof/>
            <w:webHidden/>
          </w:rPr>
          <w:instrText xml:space="preserve"> PAGEREF _Toc218784136 \h </w:instrText>
        </w:r>
        <w:r w:rsidRPr="001051D6">
          <w:rPr>
            <w:noProof/>
            <w:webHidden/>
          </w:rPr>
        </w:r>
        <w:r w:rsidRPr="001051D6">
          <w:rPr>
            <w:noProof/>
            <w:webHidden/>
          </w:rPr>
          <w:fldChar w:fldCharType="separate"/>
        </w:r>
        <w:r w:rsidR="00C9271A">
          <w:rPr>
            <w:noProof/>
            <w:webHidden/>
          </w:rPr>
          <w:t>38</w:t>
        </w:r>
        <w:r w:rsidRPr="001051D6">
          <w:rPr>
            <w:noProof/>
            <w:webHidden/>
          </w:rPr>
          <w:fldChar w:fldCharType="end"/>
        </w:r>
      </w:hyperlink>
    </w:p>
    <w:p w14:paraId="11FD491A" w14:textId="4254BBF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7" w:history="1">
        <w:r w:rsidRPr="001051D6">
          <w:rPr>
            <w:rStyle w:val="Hipervnculo"/>
            <w:rFonts w:eastAsia="Calibri"/>
            <w:noProof/>
            <w:color w:val="767171"/>
            <w:lang w:val="es-DO"/>
          </w:rPr>
          <w:t>Tabla 5. Per cápita acumulado a considerar agregar por concepto de indexación/Régimen Contributivo</w:t>
        </w:r>
        <w:r w:rsidRPr="001051D6">
          <w:rPr>
            <w:noProof/>
            <w:webHidden/>
          </w:rPr>
          <w:tab/>
        </w:r>
        <w:r w:rsidRPr="001051D6">
          <w:rPr>
            <w:noProof/>
            <w:webHidden/>
          </w:rPr>
          <w:fldChar w:fldCharType="begin"/>
        </w:r>
        <w:r w:rsidRPr="001051D6">
          <w:rPr>
            <w:noProof/>
            <w:webHidden/>
          </w:rPr>
          <w:instrText xml:space="preserve"> PAGEREF _Toc218784137 \h </w:instrText>
        </w:r>
        <w:r w:rsidRPr="001051D6">
          <w:rPr>
            <w:noProof/>
            <w:webHidden/>
          </w:rPr>
        </w:r>
        <w:r w:rsidRPr="001051D6">
          <w:rPr>
            <w:noProof/>
            <w:webHidden/>
          </w:rPr>
          <w:fldChar w:fldCharType="separate"/>
        </w:r>
        <w:r w:rsidR="00C9271A">
          <w:rPr>
            <w:noProof/>
            <w:webHidden/>
          </w:rPr>
          <w:t>46</w:t>
        </w:r>
        <w:r w:rsidRPr="001051D6">
          <w:rPr>
            <w:noProof/>
            <w:webHidden/>
          </w:rPr>
          <w:fldChar w:fldCharType="end"/>
        </w:r>
      </w:hyperlink>
    </w:p>
    <w:p w14:paraId="3CEA159B" w14:textId="00E1EC72"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8" w:history="1">
        <w:r w:rsidRPr="001051D6">
          <w:rPr>
            <w:rStyle w:val="Hipervnculo"/>
            <w:noProof/>
            <w:color w:val="767171"/>
            <w:lang w:val="es-DO"/>
          </w:rPr>
          <w:t xml:space="preserve">Tabla </w:t>
        </w:r>
        <w:r w:rsidRPr="001051D6">
          <w:rPr>
            <w:rStyle w:val="Hipervnculo"/>
            <w:rFonts w:eastAsia="Calibri"/>
            <w:noProof/>
            <w:color w:val="767171"/>
            <w:lang w:val="es-DO"/>
          </w:rPr>
          <w:t>6.</w:t>
        </w:r>
        <w:r w:rsidRPr="001051D6">
          <w:rPr>
            <w:rStyle w:val="Hipervnculo"/>
            <w:noProof/>
            <w:color w:val="767171"/>
            <w:lang w:val="es-DO"/>
          </w:rPr>
          <w:t xml:space="preserve"> Aumento del per cápita en el Régimen Contributivo</w:t>
        </w:r>
        <w:r w:rsidRPr="001051D6">
          <w:rPr>
            <w:noProof/>
            <w:webHidden/>
          </w:rPr>
          <w:tab/>
        </w:r>
        <w:r w:rsidRPr="001051D6">
          <w:rPr>
            <w:noProof/>
            <w:webHidden/>
          </w:rPr>
          <w:fldChar w:fldCharType="begin"/>
        </w:r>
        <w:r w:rsidRPr="001051D6">
          <w:rPr>
            <w:noProof/>
            <w:webHidden/>
          </w:rPr>
          <w:instrText xml:space="preserve"> PAGEREF _Toc218784138 \h </w:instrText>
        </w:r>
        <w:r w:rsidRPr="001051D6">
          <w:rPr>
            <w:noProof/>
            <w:webHidden/>
          </w:rPr>
        </w:r>
        <w:r w:rsidRPr="001051D6">
          <w:rPr>
            <w:noProof/>
            <w:webHidden/>
          </w:rPr>
          <w:fldChar w:fldCharType="separate"/>
        </w:r>
        <w:r w:rsidR="00C9271A">
          <w:rPr>
            <w:noProof/>
            <w:webHidden/>
          </w:rPr>
          <w:t>46</w:t>
        </w:r>
        <w:r w:rsidRPr="001051D6">
          <w:rPr>
            <w:noProof/>
            <w:webHidden/>
          </w:rPr>
          <w:fldChar w:fldCharType="end"/>
        </w:r>
      </w:hyperlink>
    </w:p>
    <w:p w14:paraId="7B4BA6C2" w14:textId="7823B6EB"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39" w:history="1">
        <w:r w:rsidRPr="001051D6">
          <w:rPr>
            <w:rStyle w:val="Hipervnculo"/>
            <w:noProof/>
            <w:color w:val="767171"/>
            <w:lang w:val="es-DO"/>
          </w:rPr>
          <w:t>Tabla 7. Fórmula de ajuste por riesgo</w:t>
        </w:r>
        <w:r w:rsidRPr="001051D6">
          <w:rPr>
            <w:noProof/>
            <w:webHidden/>
          </w:rPr>
          <w:tab/>
        </w:r>
        <w:r w:rsidRPr="001051D6">
          <w:rPr>
            <w:noProof/>
            <w:webHidden/>
          </w:rPr>
          <w:fldChar w:fldCharType="begin"/>
        </w:r>
        <w:r w:rsidRPr="001051D6">
          <w:rPr>
            <w:noProof/>
            <w:webHidden/>
          </w:rPr>
          <w:instrText xml:space="preserve"> PAGEREF _Toc218784139 \h </w:instrText>
        </w:r>
        <w:r w:rsidRPr="001051D6">
          <w:rPr>
            <w:noProof/>
            <w:webHidden/>
          </w:rPr>
        </w:r>
        <w:r w:rsidRPr="001051D6">
          <w:rPr>
            <w:noProof/>
            <w:webHidden/>
          </w:rPr>
          <w:fldChar w:fldCharType="separate"/>
        </w:r>
        <w:r w:rsidR="00C9271A">
          <w:rPr>
            <w:noProof/>
            <w:webHidden/>
          </w:rPr>
          <w:t>47</w:t>
        </w:r>
        <w:r w:rsidRPr="001051D6">
          <w:rPr>
            <w:noProof/>
            <w:webHidden/>
          </w:rPr>
          <w:fldChar w:fldCharType="end"/>
        </w:r>
      </w:hyperlink>
    </w:p>
    <w:p w14:paraId="20495D4F" w14:textId="3B23023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0" w:history="1">
        <w:r w:rsidRPr="001051D6">
          <w:rPr>
            <w:rStyle w:val="Hipervnculo"/>
            <w:noProof/>
            <w:color w:val="767171"/>
            <w:lang w:val="es-DO"/>
          </w:rPr>
          <w:t>Tabla 8. Seguro Familiar de Salud Régimen Contributivo: factor de ajuste estimado por edad y sexo</w:t>
        </w:r>
        <w:r w:rsidRPr="001051D6">
          <w:rPr>
            <w:noProof/>
            <w:webHidden/>
          </w:rPr>
          <w:tab/>
        </w:r>
        <w:r w:rsidRPr="001051D6">
          <w:rPr>
            <w:noProof/>
            <w:webHidden/>
          </w:rPr>
          <w:fldChar w:fldCharType="begin"/>
        </w:r>
        <w:r w:rsidRPr="001051D6">
          <w:rPr>
            <w:noProof/>
            <w:webHidden/>
          </w:rPr>
          <w:instrText xml:space="preserve"> PAGEREF _Toc218784140 \h </w:instrText>
        </w:r>
        <w:r w:rsidRPr="001051D6">
          <w:rPr>
            <w:noProof/>
            <w:webHidden/>
          </w:rPr>
        </w:r>
        <w:r w:rsidRPr="001051D6">
          <w:rPr>
            <w:noProof/>
            <w:webHidden/>
          </w:rPr>
          <w:fldChar w:fldCharType="separate"/>
        </w:r>
        <w:r w:rsidR="00C9271A">
          <w:rPr>
            <w:noProof/>
            <w:webHidden/>
          </w:rPr>
          <w:t>48</w:t>
        </w:r>
        <w:r w:rsidRPr="001051D6">
          <w:rPr>
            <w:noProof/>
            <w:webHidden/>
          </w:rPr>
          <w:fldChar w:fldCharType="end"/>
        </w:r>
      </w:hyperlink>
    </w:p>
    <w:p w14:paraId="398D6ADA" w14:textId="3F6BAF4F"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1" w:history="1">
        <w:r w:rsidRPr="001051D6">
          <w:rPr>
            <w:rStyle w:val="Hipervnculo"/>
            <w:noProof/>
            <w:color w:val="767171"/>
            <w:lang w:val="es-DO"/>
          </w:rPr>
          <w:t>Tabla 9. Seguro Familiar de Salud Régimen Contributivo: Per cápita por riesgo salud por edad y sexo</w:t>
        </w:r>
        <w:r w:rsidRPr="001051D6">
          <w:rPr>
            <w:noProof/>
            <w:webHidden/>
          </w:rPr>
          <w:tab/>
        </w:r>
        <w:r w:rsidRPr="001051D6">
          <w:rPr>
            <w:noProof/>
            <w:webHidden/>
          </w:rPr>
          <w:fldChar w:fldCharType="begin"/>
        </w:r>
        <w:r w:rsidRPr="001051D6">
          <w:rPr>
            <w:noProof/>
            <w:webHidden/>
          </w:rPr>
          <w:instrText xml:space="preserve"> PAGEREF _Toc218784141 \h </w:instrText>
        </w:r>
        <w:r w:rsidRPr="001051D6">
          <w:rPr>
            <w:noProof/>
            <w:webHidden/>
          </w:rPr>
        </w:r>
        <w:r w:rsidRPr="001051D6">
          <w:rPr>
            <w:noProof/>
            <w:webHidden/>
          </w:rPr>
          <w:fldChar w:fldCharType="separate"/>
        </w:r>
        <w:r w:rsidR="00C9271A">
          <w:rPr>
            <w:noProof/>
            <w:webHidden/>
          </w:rPr>
          <w:t>48</w:t>
        </w:r>
        <w:r w:rsidRPr="001051D6">
          <w:rPr>
            <w:noProof/>
            <w:webHidden/>
          </w:rPr>
          <w:fldChar w:fldCharType="end"/>
        </w:r>
      </w:hyperlink>
    </w:p>
    <w:p w14:paraId="01490E28" w14:textId="0C9374C4"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2" w:history="1">
        <w:r w:rsidRPr="001051D6">
          <w:rPr>
            <w:rStyle w:val="Hipervnculo"/>
            <w:rFonts w:eastAsia="Times New Roman"/>
            <w:noProof/>
            <w:color w:val="767171"/>
            <w:lang w:val="es-DO" w:eastAsia="es-DO"/>
          </w:rPr>
          <w:t>Tabla 10. Per cápita asociados a los beneficios aprobados mediante la resolución 624-02</w:t>
        </w:r>
        <w:r w:rsidRPr="001051D6">
          <w:rPr>
            <w:noProof/>
            <w:webHidden/>
          </w:rPr>
          <w:tab/>
        </w:r>
        <w:r w:rsidRPr="001051D6">
          <w:rPr>
            <w:noProof/>
            <w:webHidden/>
          </w:rPr>
          <w:fldChar w:fldCharType="begin"/>
        </w:r>
        <w:r w:rsidRPr="001051D6">
          <w:rPr>
            <w:noProof/>
            <w:webHidden/>
          </w:rPr>
          <w:instrText xml:space="preserve"> PAGEREF _Toc218784142 \h </w:instrText>
        </w:r>
        <w:r w:rsidRPr="001051D6">
          <w:rPr>
            <w:noProof/>
            <w:webHidden/>
          </w:rPr>
        </w:r>
        <w:r w:rsidRPr="001051D6">
          <w:rPr>
            <w:noProof/>
            <w:webHidden/>
          </w:rPr>
          <w:fldChar w:fldCharType="separate"/>
        </w:r>
        <w:r w:rsidR="00C9271A">
          <w:rPr>
            <w:noProof/>
            <w:webHidden/>
          </w:rPr>
          <w:t>51</w:t>
        </w:r>
        <w:r w:rsidRPr="001051D6">
          <w:rPr>
            <w:noProof/>
            <w:webHidden/>
          </w:rPr>
          <w:fldChar w:fldCharType="end"/>
        </w:r>
      </w:hyperlink>
    </w:p>
    <w:p w14:paraId="6AB0C9A7" w14:textId="2B69920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3" w:history="1">
        <w:r w:rsidRPr="001051D6">
          <w:rPr>
            <w:rStyle w:val="Hipervnculo"/>
            <w:noProof/>
            <w:color w:val="767171"/>
            <w:lang w:val="es-DO"/>
          </w:rPr>
          <w:t>Tabla 11. Listado de Planes Alternativos de Salud sometidos a la SISALRIL, según ARS</w:t>
        </w:r>
        <w:r w:rsidRPr="001051D6">
          <w:rPr>
            <w:noProof/>
            <w:webHidden/>
          </w:rPr>
          <w:tab/>
        </w:r>
        <w:r w:rsidRPr="001051D6">
          <w:rPr>
            <w:noProof/>
            <w:webHidden/>
          </w:rPr>
          <w:fldChar w:fldCharType="begin"/>
        </w:r>
        <w:r w:rsidRPr="001051D6">
          <w:rPr>
            <w:noProof/>
            <w:webHidden/>
          </w:rPr>
          <w:instrText xml:space="preserve"> PAGEREF _Toc218784143 \h </w:instrText>
        </w:r>
        <w:r w:rsidRPr="001051D6">
          <w:rPr>
            <w:noProof/>
            <w:webHidden/>
          </w:rPr>
        </w:r>
        <w:r w:rsidRPr="001051D6">
          <w:rPr>
            <w:noProof/>
            <w:webHidden/>
          </w:rPr>
          <w:fldChar w:fldCharType="separate"/>
        </w:r>
        <w:r w:rsidR="00C9271A">
          <w:rPr>
            <w:noProof/>
            <w:webHidden/>
          </w:rPr>
          <w:t>56</w:t>
        </w:r>
        <w:r w:rsidRPr="001051D6">
          <w:rPr>
            <w:noProof/>
            <w:webHidden/>
          </w:rPr>
          <w:fldChar w:fldCharType="end"/>
        </w:r>
      </w:hyperlink>
    </w:p>
    <w:p w14:paraId="1B35038F" w14:textId="6C9E84E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4" w:history="1">
        <w:r w:rsidRPr="001051D6">
          <w:rPr>
            <w:rStyle w:val="Hipervnculo"/>
            <w:rFonts w:eastAsia="Calibri"/>
            <w:noProof/>
            <w:color w:val="767171"/>
            <w:lang w:val="es-ES"/>
          </w:rPr>
          <w:t>Tabla 12. Fichas construidas en la primera convocatoria de EVTESA 2025</w:t>
        </w:r>
        <w:r w:rsidRPr="001051D6">
          <w:rPr>
            <w:noProof/>
            <w:webHidden/>
          </w:rPr>
          <w:tab/>
        </w:r>
        <w:r w:rsidRPr="001051D6">
          <w:rPr>
            <w:noProof/>
            <w:webHidden/>
          </w:rPr>
          <w:fldChar w:fldCharType="begin"/>
        </w:r>
        <w:r w:rsidRPr="001051D6">
          <w:rPr>
            <w:noProof/>
            <w:webHidden/>
          </w:rPr>
          <w:instrText xml:space="preserve"> PAGEREF _Toc218784144 \h </w:instrText>
        </w:r>
        <w:r w:rsidRPr="001051D6">
          <w:rPr>
            <w:noProof/>
            <w:webHidden/>
          </w:rPr>
        </w:r>
        <w:r w:rsidRPr="001051D6">
          <w:rPr>
            <w:noProof/>
            <w:webHidden/>
          </w:rPr>
          <w:fldChar w:fldCharType="separate"/>
        </w:r>
        <w:r w:rsidR="00C9271A">
          <w:rPr>
            <w:noProof/>
            <w:webHidden/>
          </w:rPr>
          <w:t>59</w:t>
        </w:r>
        <w:r w:rsidRPr="001051D6">
          <w:rPr>
            <w:noProof/>
            <w:webHidden/>
          </w:rPr>
          <w:fldChar w:fldCharType="end"/>
        </w:r>
      </w:hyperlink>
    </w:p>
    <w:p w14:paraId="5BD63580" w14:textId="32B7FF66"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5" w:history="1">
        <w:r w:rsidRPr="001051D6">
          <w:rPr>
            <w:rStyle w:val="Hipervnculo"/>
            <w:rFonts w:eastAsia="Calibri"/>
            <w:noProof/>
            <w:color w:val="767171"/>
            <w:lang w:val="es-ES"/>
          </w:rPr>
          <w:t>Tabla 13. Fichas construidas en la segunda convocatoria de EVTESA 2025</w:t>
        </w:r>
        <w:r w:rsidRPr="001051D6">
          <w:rPr>
            <w:noProof/>
            <w:webHidden/>
          </w:rPr>
          <w:tab/>
        </w:r>
        <w:r w:rsidRPr="001051D6">
          <w:rPr>
            <w:noProof/>
            <w:webHidden/>
          </w:rPr>
          <w:fldChar w:fldCharType="begin"/>
        </w:r>
        <w:r w:rsidRPr="001051D6">
          <w:rPr>
            <w:noProof/>
            <w:webHidden/>
          </w:rPr>
          <w:instrText xml:space="preserve"> PAGEREF _Toc218784145 \h </w:instrText>
        </w:r>
        <w:r w:rsidRPr="001051D6">
          <w:rPr>
            <w:noProof/>
            <w:webHidden/>
          </w:rPr>
        </w:r>
        <w:r w:rsidRPr="001051D6">
          <w:rPr>
            <w:noProof/>
            <w:webHidden/>
          </w:rPr>
          <w:fldChar w:fldCharType="separate"/>
        </w:r>
        <w:r w:rsidR="00C9271A">
          <w:rPr>
            <w:noProof/>
            <w:webHidden/>
          </w:rPr>
          <w:t>60</w:t>
        </w:r>
        <w:r w:rsidRPr="001051D6">
          <w:rPr>
            <w:noProof/>
            <w:webHidden/>
          </w:rPr>
          <w:fldChar w:fldCharType="end"/>
        </w:r>
      </w:hyperlink>
    </w:p>
    <w:p w14:paraId="43CF6450" w14:textId="497DCC56"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6" w:history="1">
        <w:r w:rsidRPr="001051D6">
          <w:rPr>
            <w:rStyle w:val="Hipervnculo"/>
            <w:noProof/>
            <w:color w:val="767171"/>
            <w:lang w:val="es-DO"/>
          </w:rPr>
          <w:t>Tabla 14. Informes estadísticos remitidos a entidades externas</w:t>
        </w:r>
        <w:r w:rsidRPr="001051D6">
          <w:rPr>
            <w:noProof/>
            <w:webHidden/>
          </w:rPr>
          <w:tab/>
        </w:r>
        <w:r w:rsidRPr="001051D6">
          <w:rPr>
            <w:noProof/>
            <w:webHidden/>
          </w:rPr>
          <w:fldChar w:fldCharType="begin"/>
        </w:r>
        <w:r w:rsidRPr="001051D6">
          <w:rPr>
            <w:noProof/>
            <w:webHidden/>
          </w:rPr>
          <w:instrText xml:space="preserve"> PAGEREF _Toc218784146 \h </w:instrText>
        </w:r>
        <w:r w:rsidRPr="001051D6">
          <w:rPr>
            <w:noProof/>
            <w:webHidden/>
          </w:rPr>
        </w:r>
        <w:r w:rsidRPr="001051D6">
          <w:rPr>
            <w:noProof/>
            <w:webHidden/>
          </w:rPr>
          <w:fldChar w:fldCharType="separate"/>
        </w:r>
        <w:r w:rsidR="00C9271A">
          <w:rPr>
            <w:noProof/>
            <w:webHidden/>
          </w:rPr>
          <w:t>80</w:t>
        </w:r>
        <w:r w:rsidRPr="001051D6">
          <w:rPr>
            <w:noProof/>
            <w:webHidden/>
          </w:rPr>
          <w:fldChar w:fldCharType="end"/>
        </w:r>
      </w:hyperlink>
    </w:p>
    <w:p w14:paraId="064831B9" w14:textId="47A3F72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7" w:history="1">
        <w:r w:rsidRPr="001051D6">
          <w:rPr>
            <w:rStyle w:val="Hipervnculo"/>
            <w:rFonts w:eastAsia="Tahoma"/>
            <w:noProof/>
            <w:color w:val="767171"/>
            <w:lang w:val="es-ES" w:eastAsia="es-DO"/>
          </w:rPr>
          <w:t>Tabla 15. Reservas Técnicas Vs. Inversiones de las Reservas Técnicas, período enero - septiembre 2025</w:t>
        </w:r>
        <w:r w:rsidRPr="001051D6">
          <w:rPr>
            <w:noProof/>
            <w:webHidden/>
          </w:rPr>
          <w:tab/>
        </w:r>
        <w:r w:rsidRPr="001051D6">
          <w:rPr>
            <w:noProof/>
            <w:webHidden/>
          </w:rPr>
          <w:fldChar w:fldCharType="begin"/>
        </w:r>
        <w:r w:rsidRPr="001051D6">
          <w:rPr>
            <w:noProof/>
            <w:webHidden/>
          </w:rPr>
          <w:instrText xml:space="preserve"> PAGEREF _Toc218784147 \h </w:instrText>
        </w:r>
        <w:r w:rsidRPr="001051D6">
          <w:rPr>
            <w:noProof/>
            <w:webHidden/>
          </w:rPr>
        </w:r>
        <w:r w:rsidRPr="001051D6">
          <w:rPr>
            <w:noProof/>
            <w:webHidden/>
          </w:rPr>
          <w:fldChar w:fldCharType="separate"/>
        </w:r>
        <w:r w:rsidR="00C9271A">
          <w:rPr>
            <w:noProof/>
            <w:webHidden/>
          </w:rPr>
          <w:t>90</w:t>
        </w:r>
        <w:r w:rsidRPr="001051D6">
          <w:rPr>
            <w:noProof/>
            <w:webHidden/>
          </w:rPr>
          <w:fldChar w:fldCharType="end"/>
        </w:r>
      </w:hyperlink>
    </w:p>
    <w:p w14:paraId="1AA845D3" w14:textId="3FC2F0C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8" w:history="1">
        <w:r w:rsidRPr="001051D6">
          <w:rPr>
            <w:rStyle w:val="Hipervnculo"/>
            <w:rFonts w:eastAsia="Tahoma"/>
            <w:noProof/>
            <w:color w:val="767171"/>
            <w:lang w:val="es-ES" w:eastAsia="es-DO"/>
          </w:rPr>
          <w:t>Tabla 16. Reservas Técnicas (RT) Vs. Inversiones de las Reservas Técnicas por tipo de ARS, período enero - septiembre 2025</w:t>
        </w:r>
        <w:r w:rsidRPr="001051D6">
          <w:rPr>
            <w:noProof/>
            <w:webHidden/>
          </w:rPr>
          <w:tab/>
        </w:r>
        <w:r w:rsidRPr="001051D6">
          <w:rPr>
            <w:noProof/>
            <w:webHidden/>
          </w:rPr>
          <w:fldChar w:fldCharType="begin"/>
        </w:r>
        <w:r w:rsidRPr="001051D6">
          <w:rPr>
            <w:noProof/>
            <w:webHidden/>
          </w:rPr>
          <w:instrText xml:space="preserve"> PAGEREF _Toc218784148 \h </w:instrText>
        </w:r>
        <w:r w:rsidRPr="001051D6">
          <w:rPr>
            <w:noProof/>
            <w:webHidden/>
          </w:rPr>
        </w:r>
        <w:r w:rsidRPr="001051D6">
          <w:rPr>
            <w:noProof/>
            <w:webHidden/>
          </w:rPr>
          <w:fldChar w:fldCharType="separate"/>
        </w:r>
        <w:r w:rsidR="00C9271A">
          <w:rPr>
            <w:noProof/>
            <w:webHidden/>
          </w:rPr>
          <w:t>90</w:t>
        </w:r>
        <w:r w:rsidRPr="001051D6">
          <w:rPr>
            <w:noProof/>
            <w:webHidden/>
          </w:rPr>
          <w:fldChar w:fldCharType="end"/>
        </w:r>
      </w:hyperlink>
    </w:p>
    <w:p w14:paraId="448B6B4C" w14:textId="439427A5"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49" w:history="1">
        <w:r w:rsidRPr="001051D6">
          <w:rPr>
            <w:rStyle w:val="Hipervnculo"/>
            <w:noProof/>
            <w:color w:val="767171"/>
            <w:lang w:val="es-DO"/>
          </w:rPr>
          <w:t>Tabla 17. Estado de Resultado Consolidado por Tipo de Planes de Salud de todas las ARS, enero - septiembre 2025</w:t>
        </w:r>
        <w:r w:rsidRPr="001051D6">
          <w:rPr>
            <w:noProof/>
            <w:webHidden/>
          </w:rPr>
          <w:tab/>
        </w:r>
        <w:r w:rsidRPr="001051D6">
          <w:rPr>
            <w:noProof/>
            <w:webHidden/>
          </w:rPr>
          <w:fldChar w:fldCharType="begin"/>
        </w:r>
        <w:r w:rsidRPr="001051D6">
          <w:rPr>
            <w:noProof/>
            <w:webHidden/>
          </w:rPr>
          <w:instrText xml:space="preserve"> PAGEREF _Toc218784149 \h </w:instrText>
        </w:r>
        <w:r w:rsidRPr="001051D6">
          <w:rPr>
            <w:noProof/>
            <w:webHidden/>
          </w:rPr>
        </w:r>
        <w:r w:rsidRPr="001051D6">
          <w:rPr>
            <w:noProof/>
            <w:webHidden/>
          </w:rPr>
          <w:fldChar w:fldCharType="separate"/>
        </w:r>
        <w:r w:rsidR="00C9271A">
          <w:rPr>
            <w:noProof/>
            <w:webHidden/>
          </w:rPr>
          <w:t>92</w:t>
        </w:r>
        <w:r w:rsidRPr="001051D6">
          <w:rPr>
            <w:noProof/>
            <w:webHidden/>
          </w:rPr>
          <w:fldChar w:fldCharType="end"/>
        </w:r>
      </w:hyperlink>
    </w:p>
    <w:p w14:paraId="33A00C91" w14:textId="1F82FF30"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0" w:history="1">
        <w:r w:rsidRPr="001051D6">
          <w:rPr>
            <w:rStyle w:val="Hipervnculo"/>
            <w:noProof/>
            <w:color w:val="767171"/>
            <w:lang w:val="es-DO"/>
          </w:rPr>
          <w:t>Tabla 18. Resultados de las ARS privadas, período enero-septiembre 2025</w:t>
        </w:r>
        <w:r w:rsidRPr="001051D6">
          <w:rPr>
            <w:noProof/>
            <w:webHidden/>
          </w:rPr>
          <w:tab/>
        </w:r>
        <w:r w:rsidRPr="001051D6">
          <w:rPr>
            <w:noProof/>
            <w:webHidden/>
          </w:rPr>
          <w:fldChar w:fldCharType="begin"/>
        </w:r>
        <w:r w:rsidRPr="001051D6">
          <w:rPr>
            <w:noProof/>
            <w:webHidden/>
          </w:rPr>
          <w:instrText xml:space="preserve"> PAGEREF _Toc218784150 \h </w:instrText>
        </w:r>
        <w:r w:rsidRPr="001051D6">
          <w:rPr>
            <w:noProof/>
            <w:webHidden/>
          </w:rPr>
        </w:r>
        <w:r w:rsidRPr="001051D6">
          <w:rPr>
            <w:noProof/>
            <w:webHidden/>
          </w:rPr>
          <w:fldChar w:fldCharType="separate"/>
        </w:r>
        <w:r w:rsidR="00C9271A">
          <w:rPr>
            <w:noProof/>
            <w:webHidden/>
          </w:rPr>
          <w:t>94</w:t>
        </w:r>
        <w:r w:rsidRPr="001051D6">
          <w:rPr>
            <w:noProof/>
            <w:webHidden/>
          </w:rPr>
          <w:fldChar w:fldCharType="end"/>
        </w:r>
      </w:hyperlink>
    </w:p>
    <w:p w14:paraId="1E0ED4DE" w14:textId="3E24C13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1" w:history="1">
        <w:r w:rsidRPr="001051D6">
          <w:rPr>
            <w:rStyle w:val="Hipervnculo"/>
            <w:noProof/>
            <w:color w:val="767171"/>
            <w:lang w:val="es-DO"/>
          </w:rPr>
          <w:t>Tabla 19. Resultados de las ARS Autogestión, período enero-septiembre 2025</w:t>
        </w:r>
        <w:r w:rsidRPr="001051D6">
          <w:rPr>
            <w:noProof/>
            <w:webHidden/>
          </w:rPr>
          <w:tab/>
        </w:r>
        <w:r w:rsidRPr="001051D6">
          <w:rPr>
            <w:noProof/>
            <w:webHidden/>
          </w:rPr>
          <w:fldChar w:fldCharType="begin"/>
        </w:r>
        <w:r w:rsidRPr="001051D6">
          <w:rPr>
            <w:noProof/>
            <w:webHidden/>
          </w:rPr>
          <w:instrText xml:space="preserve"> PAGEREF _Toc218784151 \h </w:instrText>
        </w:r>
        <w:r w:rsidRPr="001051D6">
          <w:rPr>
            <w:noProof/>
            <w:webHidden/>
          </w:rPr>
        </w:r>
        <w:r w:rsidRPr="001051D6">
          <w:rPr>
            <w:noProof/>
            <w:webHidden/>
          </w:rPr>
          <w:fldChar w:fldCharType="separate"/>
        </w:r>
        <w:r w:rsidR="00C9271A">
          <w:rPr>
            <w:noProof/>
            <w:webHidden/>
          </w:rPr>
          <w:t>95</w:t>
        </w:r>
        <w:r w:rsidRPr="001051D6">
          <w:rPr>
            <w:noProof/>
            <w:webHidden/>
          </w:rPr>
          <w:fldChar w:fldCharType="end"/>
        </w:r>
      </w:hyperlink>
    </w:p>
    <w:p w14:paraId="3A091959" w14:textId="4999B833"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2" w:history="1">
        <w:r w:rsidRPr="001051D6">
          <w:rPr>
            <w:rStyle w:val="Hipervnculo"/>
            <w:noProof/>
            <w:color w:val="767171"/>
            <w:lang w:val="es-DO"/>
          </w:rPr>
          <w:t>Tabla 20. Resultados de las ARS Públicas, período enero-septiembre 2025</w:t>
        </w:r>
        <w:r w:rsidRPr="001051D6">
          <w:rPr>
            <w:noProof/>
            <w:webHidden/>
          </w:rPr>
          <w:tab/>
        </w:r>
        <w:r w:rsidRPr="001051D6">
          <w:rPr>
            <w:noProof/>
            <w:webHidden/>
          </w:rPr>
          <w:fldChar w:fldCharType="begin"/>
        </w:r>
        <w:r w:rsidRPr="001051D6">
          <w:rPr>
            <w:noProof/>
            <w:webHidden/>
          </w:rPr>
          <w:instrText xml:space="preserve"> PAGEREF _Toc218784152 \h </w:instrText>
        </w:r>
        <w:r w:rsidRPr="001051D6">
          <w:rPr>
            <w:noProof/>
            <w:webHidden/>
          </w:rPr>
        </w:r>
        <w:r w:rsidRPr="001051D6">
          <w:rPr>
            <w:noProof/>
            <w:webHidden/>
          </w:rPr>
          <w:fldChar w:fldCharType="separate"/>
        </w:r>
        <w:r w:rsidR="00C9271A">
          <w:rPr>
            <w:noProof/>
            <w:webHidden/>
          </w:rPr>
          <w:t>96</w:t>
        </w:r>
        <w:r w:rsidRPr="001051D6">
          <w:rPr>
            <w:noProof/>
            <w:webHidden/>
          </w:rPr>
          <w:fldChar w:fldCharType="end"/>
        </w:r>
      </w:hyperlink>
    </w:p>
    <w:p w14:paraId="0A1E36DD" w14:textId="096532D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3" w:history="1">
        <w:r w:rsidRPr="001051D6">
          <w:rPr>
            <w:rStyle w:val="Hipervnculo"/>
            <w:noProof/>
            <w:color w:val="767171"/>
            <w:lang w:val="es-DO"/>
          </w:rPr>
          <w:t>Tabla 21. Reservas Técnicas vs. Inversión de las Reservas Técnicas del IDOPPRIL, enero - septiembre 2025</w:t>
        </w:r>
        <w:r w:rsidRPr="001051D6">
          <w:rPr>
            <w:noProof/>
            <w:webHidden/>
          </w:rPr>
          <w:tab/>
        </w:r>
        <w:r w:rsidRPr="001051D6">
          <w:rPr>
            <w:noProof/>
            <w:webHidden/>
          </w:rPr>
          <w:fldChar w:fldCharType="begin"/>
        </w:r>
        <w:r w:rsidRPr="001051D6">
          <w:rPr>
            <w:noProof/>
            <w:webHidden/>
          </w:rPr>
          <w:instrText xml:space="preserve"> PAGEREF _Toc218784153 \h </w:instrText>
        </w:r>
        <w:r w:rsidRPr="001051D6">
          <w:rPr>
            <w:noProof/>
            <w:webHidden/>
          </w:rPr>
        </w:r>
        <w:r w:rsidRPr="001051D6">
          <w:rPr>
            <w:noProof/>
            <w:webHidden/>
          </w:rPr>
          <w:fldChar w:fldCharType="separate"/>
        </w:r>
        <w:r w:rsidR="00C9271A">
          <w:rPr>
            <w:noProof/>
            <w:webHidden/>
          </w:rPr>
          <w:t>97</w:t>
        </w:r>
        <w:r w:rsidRPr="001051D6">
          <w:rPr>
            <w:noProof/>
            <w:webHidden/>
          </w:rPr>
          <w:fldChar w:fldCharType="end"/>
        </w:r>
      </w:hyperlink>
    </w:p>
    <w:p w14:paraId="442B735C" w14:textId="0268A89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4" w:history="1">
        <w:r w:rsidRPr="001051D6">
          <w:rPr>
            <w:rStyle w:val="Hipervnculo"/>
            <w:noProof/>
            <w:color w:val="767171"/>
            <w:lang w:val="es-DO"/>
          </w:rPr>
          <w:t>Tabla 22. Estados de Resultados Instituto Dominicano de Prevención y Protección de Riegos Laborales, enero- septiembre 2025</w:t>
        </w:r>
        <w:r w:rsidRPr="001051D6">
          <w:rPr>
            <w:noProof/>
            <w:webHidden/>
          </w:rPr>
          <w:tab/>
        </w:r>
        <w:r w:rsidRPr="001051D6">
          <w:rPr>
            <w:noProof/>
            <w:webHidden/>
          </w:rPr>
          <w:fldChar w:fldCharType="begin"/>
        </w:r>
        <w:r w:rsidRPr="001051D6">
          <w:rPr>
            <w:noProof/>
            <w:webHidden/>
          </w:rPr>
          <w:instrText xml:space="preserve"> PAGEREF _Toc218784154 \h </w:instrText>
        </w:r>
        <w:r w:rsidRPr="001051D6">
          <w:rPr>
            <w:noProof/>
            <w:webHidden/>
          </w:rPr>
        </w:r>
        <w:r w:rsidRPr="001051D6">
          <w:rPr>
            <w:noProof/>
            <w:webHidden/>
          </w:rPr>
          <w:fldChar w:fldCharType="separate"/>
        </w:r>
        <w:r w:rsidR="00C9271A">
          <w:rPr>
            <w:noProof/>
            <w:webHidden/>
          </w:rPr>
          <w:t>98</w:t>
        </w:r>
        <w:r w:rsidRPr="001051D6">
          <w:rPr>
            <w:noProof/>
            <w:webHidden/>
          </w:rPr>
          <w:fldChar w:fldCharType="end"/>
        </w:r>
      </w:hyperlink>
    </w:p>
    <w:p w14:paraId="51F5574E" w14:textId="01F09DBC"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5" w:history="1">
        <w:r w:rsidRPr="001051D6">
          <w:rPr>
            <w:rStyle w:val="Hipervnculo"/>
            <w:noProof/>
            <w:color w:val="767171"/>
            <w:lang w:val="es-DO"/>
          </w:rPr>
          <w:t>Tabla 23. Resumen de Movimientos de la Cuenta de Cuidado de la Salud de las Personas, enero-agosto 2025</w:t>
        </w:r>
        <w:r w:rsidRPr="001051D6">
          <w:rPr>
            <w:noProof/>
            <w:webHidden/>
          </w:rPr>
          <w:tab/>
        </w:r>
        <w:r w:rsidRPr="001051D6">
          <w:rPr>
            <w:noProof/>
            <w:webHidden/>
          </w:rPr>
          <w:fldChar w:fldCharType="begin"/>
        </w:r>
        <w:r w:rsidRPr="001051D6">
          <w:rPr>
            <w:noProof/>
            <w:webHidden/>
          </w:rPr>
          <w:instrText xml:space="preserve"> PAGEREF _Toc218784155 \h </w:instrText>
        </w:r>
        <w:r w:rsidRPr="001051D6">
          <w:rPr>
            <w:noProof/>
            <w:webHidden/>
          </w:rPr>
        </w:r>
        <w:r w:rsidRPr="001051D6">
          <w:rPr>
            <w:noProof/>
            <w:webHidden/>
          </w:rPr>
          <w:fldChar w:fldCharType="separate"/>
        </w:r>
        <w:r w:rsidR="00C9271A">
          <w:rPr>
            <w:noProof/>
            <w:webHidden/>
          </w:rPr>
          <w:t>102</w:t>
        </w:r>
        <w:r w:rsidRPr="001051D6">
          <w:rPr>
            <w:noProof/>
            <w:webHidden/>
          </w:rPr>
          <w:fldChar w:fldCharType="end"/>
        </w:r>
      </w:hyperlink>
    </w:p>
    <w:p w14:paraId="4C231EBB" w14:textId="18FC64C0"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6" w:history="1">
        <w:r w:rsidRPr="001051D6">
          <w:rPr>
            <w:rStyle w:val="Hipervnculo"/>
            <w:rFonts w:eastAsia="Times New Roman"/>
            <w:noProof/>
            <w:color w:val="767171"/>
            <w:lang w:val="es-DO" w:eastAsia="es-DO"/>
          </w:rPr>
          <w:t>Tabla 24. Distribución porcentual de la dispersión a las ARS y al FONAMAT desde la  Cuenta de Cuidado de la Salud de las Personas, período enero – agosto 2025</w:t>
        </w:r>
        <w:r w:rsidRPr="001051D6">
          <w:rPr>
            <w:noProof/>
            <w:webHidden/>
          </w:rPr>
          <w:tab/>
        </w:r>
        <w:r w:rsidRPr="001051D6">
          <w:rPr>
            <w:noProof/>
            <w:webHidden/>
          </w:rPr>
          <w:fldChar w:fldCharType="begin"/>
        </w:r>
        <w:r w:rsidRPr="001051D6">
          <w:rPr>
            <w:noProof/>
            <w:webHidden/>
          </w:rPr>
          <w:instrText xml:space="preserve"> PAGEREF _Toc218784156 \h </w:instrText>
        </w:r>
        <w:r w:rsidRPr="001051D6">
          <w:rPr>
            <w:noProof/>
            <w:webHidden/>
          </w:rPr>
        </w:r>
        <w:r w:rsidRPr="001051D6">
          <w:rPr>
            <w:noProof/>
            <w:webHidden/>
          </w:rPr>
          <w:fldChar w:fldCharType="separate"/>
        </w:r>
        <w:r w:rsidR="00C9271A">
          <w:rPr>
            <w:noProof/>
            <w:webHidden/>
          </w:rPr>
          <w:t>107</w:t>
        </w:r>
        <w:r w:rsidRPr="001051D6">
          <w:rPr>
            <w:noProof/>
            <w:webHidden/>
          </w:rPr>
          <w:fldChar w:fldCharType="end"/>
        </w:r>
      </w:hyperlink>
    </w:p>
    <w:p w14:paraId="7A5ECC23" w14:textId="70B4867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7" w:history="1">
        <w:r w:rsidRPr="001051D6">
          <w:rPr>
            <w:rStyle w:val="Hipervnculo"/>
            <w:noProof/>
            <w:color w:val="767171"/>
            <w:lang w:val="es-DO"/>
          </w:rPr>
          <w:t>Tabla 25. Afiliados a Planes Complementarios y Especiales de Medicina Prepagada, con/ sin PDSS, según ARS y Tipo de Plan, febrero – abril 2025</w:t>
        </w:r>
        <w:r w:rsidRPr="001051D6">
          <w:rPr>
            <w:noProof/>
            <w:webHidden/>
          </w:rPr>
          <w:tab/>
        </w:r>
        <w:r w:rsidRPr="001051D6">
          <w:rPr>
            <w:noProof/>
            <w:webHidden/>
          </w:rPr>
          <w:fldChar w:fldCharType="begin"/>
        </w:r>
        <w:r w:rsidRPr="001051D6">
          <w:rPr>
            <w:noProof/>
            <w:webHidden/>
          </w:rPr>
          <w:instrText xml:space="preserve"> PAGEREF _Toc218784157 \h </w:instrText>
        </w:r>
        <w:r w:rsidRPr="001051D6">
          <w:rPr>
            <w:noProof/>
            <w:webHidden/>
          </w:rPr>
        </w:r>
        <w:r w:rsidRPr="001051D6">
          <w:rPr>
            <w:noProof/>
            <w:webHidden/>
          </w:rPr>
          <w:fldChar w:fldCharType="separate"/>
        </w:r>
        <w:r w:rsidR="00C9271A">
          <w:rPr>
            <w:noProof/>
            <w:webHidden/>
          </w:rPr>
          <w:t>122</w:t>
        </w:r>
        <w:r w:rsidRPr="001051D6">
          <w:rPr>
            <w:noProof/>
            <w:webHidden/>
          </w:rPr>
          <w:fldChar w:fldCharType="end"/>
        </w:r>
      </w:hyperlink>
    </w:p>
    <w:p w14:paraId="21CA639C" w14:textId="2629AEB6"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8" w:history="1">
        <w:r w:rsidRPr="001051D6">
          <w:rPr>
            <w:rStyle w:val="Hipervnculo"/>
            <w:noProof/>
            <w:color w:val="767171"/>
            <w:lang w:val="es-DO"/>
          </w:rPr>
          <w:t>Tabla 26. Per cápita actual de los Planes de Pensionados y Jubilados del SDSS, 2024</w:t>
        </w:r>
        <w:r w:rsidRPr="001051D6">
          <w:rPr>
            <w:noProof/>
            <w:webHidden/>
          </w:rPr>
          <w:tab/>
        </w:r>
        <w:r w:rsidRPr="001051D6">
          <w:rPr>
            <w:noProof/>
            <w:webHidden/>
          </w:rPr>
          <w:fldChar w:fldCharType="begin"/>
        </w:r>
        <w:r w:rsidRPr="001051D6">
          <w:rPr>
            <w:noProof/>
            <w:webHidden/>
          </w:rPr>
          <w:instrText xml:space="preserve"> PAGEREF _Toc218784158 \h </w:instrText>
        </w:r>
        <w:r w:rsidRPr="001051D6">
          <w:rPr>
            <w:noProof/>
            <w:webHidden/>
          </w:rPr>
        </w:r>
        <w:r w:rsidRPr="001051D6">
          <w:rPr>
            <w:noProof/>
            <w:webHidden/>
          </w:rPr>
          <w:fldChar w:fldCharType="separate"/>
        </w:r>
        <w:r w:rsidR="00C9271A">
          <w:rPr>
            <w:noProof/>
            <w:webHidden/>
          </w:rPr>
          <w:t>124</w:t>
        </w:r>
        <w:r w:rsidRPr="001051D6">
          <w:rPr>
            <w:noProof/>
            <w:webHidden/>
          </w:rPr>
          <w:fldChar w:fldCharType="end"/>
        </w:r>
      </w:hyperlink>
    </w:p>
    <w:p w14:paraId="6C5C2C1D" w14:textId="3FE043A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59" w:history="1">
        <w:r w:rsidRPr="001051D6">
          <w:rPr>
            <w:rStyle w:val="Hipervnculo"/>
            <w:noProof/>
            <w:color w:val="767171"/>
            <w:lang w:val="es-DO"/>
          </w:rPr>
          <w:t>Tabla 27. Seguro Familiar de Salud. Plan Básico de Salud. Monto pagado por las ARS para la cobertura del tratamiento de la Diabetes Mellitus e Hipertensión</w:t>
        </w:r>
        <w:r w:rsidRPr="001051D6">
          <w:rPr>
            <w:noProof/>
            <w:webHidden/>
          </w:rPr>
          <w:tab/>
        </w:r>
        <w:r w:rsidRPr="001051D6">
          <w:rPr>
            <w:noProof/>
            <w:webHidden/>
          </w:rPr>
          <w:fldChar w:fldCharType="begin"/>
        </w:r>
        <w:r w:rsidRPr="001051D6">
          <w:rPr>
            <w:noProof/>
            <w:webHidden/>
          </w:rPr>
          <w:instrText xml:space="preserve"> PAGEREF _Toc218784159 \h </w:instrText>
        </w:r>
        <w:r w:rsidRPr="001051D6">
          <w:rPr>
            <w:noProof/>
            <w:webHidden/>
          </w:rPr>
        </w:r>
        <w:r w:rsidRPr="001051D6">
          <w:rPr>
            <w:noProof/>
            <w:webHidden/>
          </w:rPr>
          <w:fldChar w:fldCharType="separate"/>
        </w:r>
        <w:r w:rsidR="00C9271A">
          <w:rPr>
            <w:noProof/>
            <w:webHidden/>
          </w:rPr>
          <w:t>125</w:t>
        </w:r>
        <w:r w:rsidRPr="001051D6">
          <w:rPr>
            <w:noProof/>
            <w:webHidden/>
          </w:rPr>
          <w:fldChar w:fldCharType="end"/>
        </w:r>
      </w:hyperlink>
    </w:p>
    <w:p w14:paraId="27154993" w14:textId="2285C4D9"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0" w:history="1">
        <w:r w:rsidRPr="001051D6">
          <w:rPr>
            <w:rStyle w:val="Hipervnculo"/>
            <w:noProof/>
            <w:color w:val="767171"/>
            <w:lang w:val="es-DO"/>
          </w:rPr>
          <w:t>Tabla 28. Plan Básico de Salud. Afiliados que han solicitado a las ARS la cobertura para tratamiento de Diabetes Mellitus e Hipertensión</w:t>
        </w:r>
        <w:r w:rsidRPr="001051D6">
          <w:rPr>
            <w:noProof/>
            <w:webHidden/>
          </w:rPr>
          <w:tab/>
        </w:r>
        <w:r w:rsidRPr="001051D6">
          <w:rPr>
            <w:noProof/>
            <w:webHidden/>
          </w:rPr>
          <w:fldChar w:fldCharType="begin"/>
        </w:r>
        <w:r w:rsidRPr="001051D6">
          <w:rPr>
            <w:noProof/>
            <w:webHidden/>
          </w:rPr>
          <w:instrText xml:space="preserve"> PAGEREF _Toc218784160 \h </w:instrText>
        </w:r>
        <w:r w:rsidRPr="001051D6">
          <w:rPr>
            <w:noProof/>
            <w:webHidden/>
          </w:rPr>
        </w:r>
        <w:r w:rsidRPr="001051D6">
          <w:rPr>
            <w:noProof/>
            <w:webHidden/>
          </w:rPr>
          <w:fldChar w:fldCharType="separate"/>
        </w:r>
        <w:r w:rsidR="00C9271A">
          <w:rPr>
            <w:noProof/>
            <w:webHidden/>
          </w:rPr>
          <w:t>126</w:t>
        </w:r>
        <w:r w:rsidRPr="001051D6">
          <w:rPr>
            <w:noProof/>
            <w:webHidden/>
          </w:rPr>
          <w:fldChar w:fldCharType="end"/>
        </w:r>
      </w:hyperlink>
    </w:p>
    <w:p w14:paraId="76B45BC0" w14:textId="4B8323E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1" w:history="1">
        <w:r w:rsidRPr="001051D6">
          <w:rPr>
            <w:rStyle w:val="Hipervnculo"/>
            <w:noProof/>
            <w:color w:val="767171"/>
            <w:lang w:val="es-DO"/>
          </w:rPr>
          <w:t>Tabla 29. Plan Básico de Salud. Cantidad de afiliados que han solicitado a las ARS la cobertura para el tratamiento de la Diabetes Mellitus e Hipertensión</w:t>
        </w:r>
        <w:r w:rsidRPr="001051D6">
          <w:rPr>
            <w:noProof/>
            <w:webHidden/>
          </w:rPr>
          <w:tab/>
        </w:r>
        <w:r w:rsidRPr="001051D6">
          <w:rPr>
            <w:noProof/>
            <w:webHidden/>
          </w:rPr>
          <w:fldChar w:fldCharType="begin"/>
        </w:r>
        <w:r w:rsidRPr="001051D6">
          <w:rPr>
            <w:noProof/>
            <w:webHidden/>
          </w:rPr>
          <w:instrText xml:space="preserve"> PAGEREF _Toc218784161 \h </w:instrText>
        </w:r>
        <w:r w:rsidRPr="001051D6">
          <w:rPr>
            <w:noProof/>
            <w:webHidden/>
          </w:rPr>
        </w:r>
        <w:r w:rsidRPr="001051D6">
          <w:rPr>
            <w:noProof/>
            <w:webHidden/>
          </w:rPr>
          <w:fldChar w:fldCharType="separate"/>
        </w:r>
        <w:r w:rsidR="00C9271A">
          <w:rPr>
            <w:noProof/>
            <w:webHidden/>
          </w:rPr>
          <w:t>127</w:t>
        </w:r>
        <w:r w:rsidRPr="001051D6">
          <w:rPr>
            <w:noProof/>
            <w:webHidden/>
          </w:rPr>
          <w:fldChar w:fldCharType="end"/>
        </w:r>
      </w:hyperlink>
    </w:p>
    <w:p w14:paraId="0030BC4E" w14:textId="3D31E1F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2" w:history="1">
        <w:r w:rsidRPr="001051D6">
          <w:rPr>
            <w:rStyle w:val="Hipervnculo"/>
            <w:noProof/>
            <w:color w:val="767171"/>
            <w:lang w:val="es-DO"/>
          </w:rPr>
          <w:t>Tabla 30. Cantidad de servicios solicitados pagados por las ARS la cobertura para el tratamiento de la Diabetes Mellitus e Hipertensión</w:t>
        </w:r>
        <w:r w:rsidRPr="001051D6">
          <w:rPr>
            <w:noProof/>
            <w:webHidden/>
          </w:rPr>
          <w:tab/>
        </w:r>
        <w:r w:rsidRPr="001051D6">
          <w:rPr>
            <w:noProof/>
            <w:webHidden/>
          </w:rPr>
          <w:fldChar w:fldCharType="begin"/>
        </w:r>
        <w:r w:rsidRPr="001051D6">
          <w:rPr>
            <w:noProof/>
            <w:webHidden/>
          </w:rPr>
          <w:instrText xml:space="preserve"> PAGEREF _Toc218784162 \h </w:instrText>
        </w:r>
        <w:r w:rsidRPr="001051D6">
          <w:rPr>
            <w:noProof/>
            <w:webHidden/>
          </w:rPr>
        </w:r>
        <w:r w:rsidRPr="001051D6">
          <w:rPr>
            <w:noProof/>
            <w:webHidden/>
          </w:rPr>
          <w:fldChar w:fldCharType="separate"/>
        </w:r>
        <w:r w:rsidR="00C9271A">
          <w:rPr>
            <w:noProof/>
            <w:webHidden/>
          </w:rPr>
          <w:t>128</w:t>
        </w:r>
        <w:r w:rsidRPr="001051D6">
          <w:rPr>
            <w:noProof/>
            <w:webHidden/>
          </w:rPr>
          <w:fldChar w:fldCharType="end"/>
        </w:r>
      </w:hyperlink>
    </w:p>
    <w:p w14:paraId="68B4B102" w14:textId="3DDCBDC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3" w:history="1">
        <w:r w:rsidRPr="001051D6">
          <w:rPr>
            <w:rStyle w:val="Hipervnculo"/>
            <w:noProof/>
            <w:color w:val="767171"/>
            <w:lang w:val="es-DO"/>
          </w:rPr>
          <w:t>Tabla 31. Afiliados en el Régimen Subsidiado con Planes Alternativos de Salud por Período de Seguimiento y Tipo de Plan.</w:t>
        </w:r>
        <w:r w:rsidRPr="001051D6">
          <w:rPr>
            <w:noProof/>
            <w:webHidden/>
          </w:rPr>
          <w:tab/>
        </w:r>
        <w:r w:rsidRPr="001051D6">
          <w:rPr>
            <w:noProof/>
            <w:webHidden/>
          </w:rPr>
          <w:fldChar w:fldCharType="begin"/>
        </w:r>
        <w:r w:rsidRPr="001051D6">
          <w:rPr>
            <w:noProof/>
            <w:webHidden/>
          </w:rPr>
          <w:instrText xml:space="preserve"> PAGEREF _Toc218784163 \h </w:instrText>
        </w:r>
        <w:r w:rsidRPr="001051D6">
          <w:rPr>
            <w:noProof/>
            <w:webHidden/>
          </w:rPr>
        </w:r>
        <w:r w:rsidRPr="001051D6">
          <w:rPr>
            <w:noProof/>
            <w:webHidden/>
          </w:rPr>
          <w:fldChar w:fldCharType="separate"/>
        </w:r>
        <w:r w:rsidR="00C9271A">
          <w:rPr>
            <w:noProof/>
            <w:webHidden/>
          </w:rPr>
          <w:t>130</w:t>
        </w:r>
        <w:r w:rsidRPr="001051D6">
          <w:rPr>
            <w:noProof/>
            <w:webHidden/>
          </w:rPr>
          <w:fldChar w:fldCharType="end"/>
        </w:r>
      </w:hyperlink>
    </w:p>
    <w:p w14:paraId="76F78E2A" w14:textId="4B25678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4" w:history="1">
        <w:r w:rsidRPr="001051D6">
          <w:rPr>
            <w:rStyle w:val="Hipervnculo"/>
            <w:noProof/>
            <w:color w:val="767171"/>
            <w:lang w:val="es-DO"/>
          </w:rPr>
          <w:t>Tabla 32. Régimen Contributivo (RC). Proporción de la población afiliada que utilizó los servicios del Plan Básico de Salud, por año y sexo, cobertura  2018-2024</w:t>
        </w:r>
        <w:r w:rsidRPr="001051D6">
          <w:rPr>
            <w:noProof/>
            <w:webHidden/>
          </w:rPr>
          <w:tab/>
        </w:r>
        <w:r w:rsidRPr="001051D6">
          <w:rPr>
            <w:noProof/>
            <w:webHidden/>
          </w:rPr>
          <w:fldChar w:fldCharType="begin"/>
        </w:r>
        <w:r w:rsidRPr="001051D6">
          <w:rPr>
            <w:noProof/>
            <w:webHidden/>
          </w:rPr>
          <w:instrText xml:space="preserve"> PAGEREF _Toc218784164 \h </w:instrText>
        </w:r>
        <w:r w:rsidRPr="001051D6">
          <w:rPr>
            <w:noProof/>
            <w:webHidden/>
          </w:rPr>
        </w:r>
        <w:r w:rsidRPr="001051D6">
          <w:rPr>
            <w:noProof/>
            <w:webHidden/>
          </w:rPr>
          <w:fldChar w:fldCharType="separate"/>
        </w:r>
        <w:r w:rsidR="00C9271A">
          <w:rPr>
            <w:noProof/>
            <w:webHidden/>
          </w:rPr>
          <w:t>133</w:t>
        </w:r>
        <w:r w:rsidRPr="001051D6">
          <w:rPr>
            <w:noProof/>
            <w:webHidden/>
          </w:rPr>
          <w:fldChar w:fldCharType="end"/>
        </w:r>
      </w:hyperlink>
    </w:p>
    <w:p w14:paraId="1215D3D4" w14:textId="2F7F1F6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5" w:history="1">
        <w:r w:rsidRPr="001051D6">
          <w:rPr>
            <w:rStyle w:val="Hipervnculo"/>
            <w:noProof/>
            <w:color w:val="767171"/>
            <w:lang w:val="es-DO"/>
          </w:rPr>
          <w:t>Tabla 33. Régimen Subsidiado (RS). Proporción de la población afiliada que utilizó los servicios del Plan Básico de Salud, por año y sexo,  cobertura 2018-2024</w:t>
        </w:r>
        <w:r w:rsidRPr="001051D6">
          <w:rPr>
            <w:noProof/>
            <w:webHidden/>
          </w:rPr>
          <w:tab/>
        </w:r>
        <w:r w:rsidRPr="001051D6">
          <w:rPr>
            <w:noProof/>
            <w:webHidden/>
          </w:rPr>
          <w:fldChar w:fldCharType="begin"/>
        </w:r>
        <w:r w:rsidRPr="001051D6">
          <w:rPr>
            <w:noProof/>
            <w:webHidden/>
          </w:rPr>
          <w:instrText xml:space="preserve"> PAGEREF _Toc218784165 \h </w:instrText>
        </w:r>
        <w:r w:rsidRPr="001051D6">
          <w:rPr>
            <w:noProof/>
            <w:webHidden/>
          </w:rPr>
        </w:r>
        <w:r w:rsidRPr="001051D6">
          <w:rPr>
            <w:noProof/>
            <w:webHidden/>
          </w:rPr>
          <w:fldChar w:fldCharType="separate"/>
        </w:r>
        <w:r w:rsidR="00C9271A">
          <w:rPr>
            <w:noProof/>
            <w:webHidden/>
          </w:rPr>
          <w:t>133</w:t>
        </w:r>
        <w:r w:rsidRPr="001051D6">
          <w:rPr>
            <w:noProof/>
            <w:webHidden/>
          </w:rPr>
          <w:fldChar w:fldCharType="end"/>
        </w:r>
      </w:hyperlink>
    </w:p>
    <w:p w14:paraId="6A6C1526" w14:textId="59AC22E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6" w:history="1">
        <w:r w:rsidRPr="001051D6">
          <w:rPr>
            <w:rStyle w:val="Hipervnculo"/>
            <w:noProof/>
            <w:color w:val="767171"/>
            <w:lang w:val="es-DO"/>
          </w:rPr>
          <w:t>Tabla 34. Seguro Familiar de Salud/Régimen Contributivo/Ciclo Financiero, serie 2018-2024</w:t>
        </w:r>
        <w:r w:rsidRPr="001051D6">
          <w:rPr>
            <w:noProof/>
            <w:webHidden/>
          </w:rPr>
          <w:tab/>
        </w:r>
        <w:r w:rsidRPr="001051D6">
          <w:rPr>
            <w:noProof/>
            <w:webHidden/>
          </w:rPr>
          <w:fldChar w:fldCharType="begin"/>
        </w:r>
        <w:r w:rsidRPr="001051D6">
          <w:rPr>
            <w:noProof/>
            <w:webHidden/>
          </w:rPr>
          <w:instrText xml:space="preserve"> PAGEREF _Toc218784166 \h </w:instrText>
        </w:r>
        <w:r w:rsidRPr="001051D6">
          <w:rPr>
            <w:noProof/>
            <w:webHidden/>
          </w:rPr>
        </w:r>
        <w:r w:rsidRPr="001051D6">
          <w:rPr>
            <w:noProof/>
            <w:webHidden/>
          </w:rPr>
          <w:fldChar w:fldCharType="separate"/>
        </w:r>
        <w:r w:rsidR="00C9271A">
          <w:rPr>
            <w:noProof/>
            <w:webHidden/>
          </w:rPr>
          <w:t>134</w:t>
        </w:r>
        <w:r w:rsidRPr="001051D6">
          <w:rPr>
            <w:noProof/>
            <w:webHidden/>
          </w:rPr>
          <w:fldChar w:fldCharType="end"/>
        </w:r>
      </w:hyperlink>
    </w:p>
    <w:p w14:paraId="4F74484B" w14:textId="23C2A07F"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7" w:history="1">
        <w:r w:rsidRPr="001051D6">
          <w:rPr>
            <w:rStyle w:val="Hipervnculo"/>
            <w:noProof/>
            <w:color w:val="767171"/>
            <w:lang w:val="es-DO"/>
          </w:rPr>
          <w:t>Tabla 35. Comparación de Promedios pagados en PBS por ARS entre afiliados con Planes Complementarios y sin Planes Complementarios</w:t>
        </w:r>
        <w:r w:rsidRPr="001051D6">
          <w:rPr>
            <w:noProof/>
            <w:webHidden/>
          </w:rPr>
          <w:tab/>
        </w:r>
        <w:r w:rsidRPr="001051D6">
          <w:rPr>
            <w:noProof/>
            <w:webHidden/>
          </w:rPr>
          <w:fldChar w:fldCharType="begin"/>
        </w:r>
        <w:r w:rsidRPr="001051D6">
          <w:rPr>
            <w:noProof/>
            <w:webHidden/>
          </w:rPr>
          <w:instrText xml:space="preserve"> PAGEREF _Toc218784167 \h </w:instrText>
        </w:r>
        <w:r w:rsidRPr="001051D6">
          <w:rPr>
            <w:noProof/>
            <w:webHidden/>
          </w:rPr>
        </w:r>
        <w:r w:rsidRPr="001051D6">
          <w:rPr>
            <w:noProof/>
            <w:webHidden/>
          </w:rPr>
          <w:fldChar w:fldCharType="separate"/>
        </w:r>
        <w:r w:rsidR="00C9271A">
          <w:rPr>
            <w:noProof/>
            <w:webHidden/>
          </w:rPr>
          <w:t>136</w:t>
        </w:r>
        <w:r w:rsidRPr="001051D6">
          <w:rPr>
            <w:noProof/>
            <w:webHidden/>
          </w:rPr>
          <w:fldChar w:fldCharType="end"/>
        </w:r>
      </w:hyperlink>
    </w:p>
    <w:p w14:paraId="3B0637E5" w14:textId="38749D0A"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8" w:history="1">
        <w:r w:rsidRPr="001051D6">
          <w:rPr>
            <w:rStyle w:val="Hipervnculo"/>
            <w:noProof/>
            <w:color w:val="767171"/>
            <w:lang w:val="es-DO"/>
          </w:rPr>
          <w:t>Tabla 36. Subsidios por Maternidad, Lactancia y Enfermedad Común en 2025</w:t>
        </w:r>
        <w:r w:rsidRPr="001051D6">
          <w:rPr>
            <w:noProof/>
            <w:webHidden/>
          </w:rPr>
          <w:tab/>
        </w:r>
        <w:r w:rsidRPr="001051D6">
          <w:rPr>
            <w:noProof/>
            <w:webHidden/>
          </w:rPr>
          <w:fldChar w:fldCharType="begin"/>
        </w:r>
        <w:r w:rsidRPr="001051D6">
          <w:rPr>
            <w:noProof/>
            <w:webHidden/>
          </w:rPr>
          <w:instrText xml:space="preserve"> PAGEREF _Toc218784168 \h </w:instrText>
        </w:r>
        <w:r w:rsidRPr="001051D6">
          <w:rPr>
            <w:noProof/>
            <w:webHidden/>
          </w:rPr>
        </w:r>
        <w:r w:rsidRPr="001051D6">
          <w:rPr>
            <w:noProof/>
            <w:webHidden/>
          </w:rPr>
          <w:fldChar w:fldCharType="separate"/>
        </w:r>
        <w:r w:rsidR="00C9271A">
          <w:rPr>
            <w:noProof/>
            <w:webHidden/>
          </w:rPr>
          <w:t>169</w:t>
        </w:r>
        <w:r w:rsidRPr="001051D6">
          <w:rPr>
            <w:noProof/>
            <w:webHidden/>
          </w:rPr>
          <w:fldChar w:fldCharType="end"/>
        </w:r>
      </w:hyperlink>
    </w:p>
    <w:p w14:paraId="789B0D14" w14:textId="0899CDB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69" w:history="1">
        <w:r w:rsidRPr="001051D6">
          <w:rPr>
            <w:rStyle w:val="Hipervnculo"/>
            <w:noProof/>
            <w:color w:val="767171"/>
            <w:lang w:val="es-MX"/>
          </w:rPr>
          <w:t>Tabla 37. Actividades de Información sobre el SFS y el SRL</w:t>
        </w:r>
        <w:r w:rsidRPr="001051D6">
          <w:rPr>
            <w:noProof/>
            <w:webHidden/>
          </w:rPr>
          <w:tab/>
        </w:r>
        <w:r w:rsidRPr="001051D6">
          <w:rPr>
            <w:noProof/>
            <w:webHidden/>
          </w:rPr>
          <w:fldChar w:fldCharType="begin"/>
        </w:r>
        <w:r w:rsidRPr="001051D6">
          <w:rPr>
            <w:noProof/>
            <w:webHidden/>
          </w:rPr>
          <w:instrText xml:space="preserve"> PAGEREF _Toc218784169 \h </w:instrText>
        </w:r>
        <w:r w:rsidRPr="001051D6">
          <w:rPr>
            <w:noProof/>
            <w:webHidden/>
          </w:rPr>
        </w:r>
        <w:r w:rsidRPr="001051D6">
          <w:rPr>
            <w:noProof/>
            <w:webHidden/>
          </w:rPr>
          <w:fldChar w:fldCharType="separate"/>
        </w:r>
        <w:r w:rsidR="00C9271A">
          <w:rPr>
            <w:noProof/>
            <w:webHidden/>
          </w:rPr>
          <w:t>170</w:t>
        </w:r>
        <w:r w:rsidRPr="001051D6">
          <w:rPr>
            <w:noProof/>
            <w:webHidden/>
          </w:rPr>
          <w:fldChar w:fldCharType="end"/>
        </w:r>
      </w:hyperlink>
    </w:p>
    <w:p w14:paraId="6F519DA4" w14:textId="0DE516C4"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0" w:history="1">
        <w:r w:rsidRPr="001051D6">
          <w:rPr>
            <w:rStyle w:val="Hipervnculo"/>
            <w:noProof/>
            <w:color w:val="767171"/>
            <w:lang w:val="es-MX"/>
          </w:rPr>
          <w:t>Tabla 38. Capacitaciones sobre el uso correcto de la Oficina Virtual para registrar los Subsidio, a través de la Regional</w:t>
        </w:r>
        <w:r w:rsidRPr="001051D6">
          <w:rPr>
            <w:noProof/>
            <w:webHidden/>
          </w:rPr>
          <w:tab/>
        </w:r>
        <w:r w:rsidRPr="001051D6">
          <w:rPr>
            <w:noProof/>
            <w:webHidden/>
          </w:rPr>
          <w:fldChar w:fldCharType="begin"/>
        </w:r>
        <w:r w:rsidRPr="001051D6">
          <w:rPr>
            <w:noProof/>
            <w:webHidden/>
          </w:rPr>
          <w:instrText xml:space="preserve"> PAGEREF _Toc218784170 \h </w:instrText>
        </w:r>
        <w:r w:rsidRPr="001051D6">
          <w:rPr>
            <w:noProof/>
            <w:webHidden/>
          </w:rPr>
        </w:r>
        <w:r w:rsidRPr="001051D6">
          <w:rPr>
            <w:noProof/>
            <w:webHidden/>
          </w:rPr>
          <w:fldChar w:fldCharType="separate"/>
        </w:r>
        <w:r w:rsidR="00C9271A">
          <w:rPr>
            <w:noProof/>
            <w:webHidden/>
          </w:rPr>
          <w:t>170</w:t>
        </w:r>
        <w:r w:rsidRPr="001051D6">
          <w:rPr>
            <w:noProof/>
            <w:webHidden/>
          </w:rPr>
          <w:fldChar w:fldCharType="end"/>
        </w:r>
      </w:hyperlink>
    </w:p>
    <w:p w14:paraId="291993A4" w14:textId="085F15C0"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1" w:history="1">
        <w:r w:rsidRPr="001051D6">
          <w:rPr>
            <w:rStyle w:val="Hipervnculo"/>
            <w:noProof/>
            <w:color w:val="767171"/>
            <w:lang w:val="es-MX"/>
          </w:rPr>
          <w:t>Tabla 39. Renovaciones de Promotores 2025</w:t>
        </w:r>
        <w:r w:rsidRPr="001051D6">
          <w:rPr>
            <w:noProof/>
            <w:webHidden/>
          </w:rPr>
          <w:tab/>
        </w:r>
        <w:r w:rsidRPr="001051D6">
          <w:rPr>
            <w:noProof/>
            <w:webHidden/>
          </w:rPr>
          <w:fldChar w:fldCharType="begin"/>
        </w:r>
        <w:r w:rsidRPr="001051D6">
          <w:rPr>
            <w:noProof/>
            <w:webHidden/>
          </w:rPr>
          <w:instrText xml:space="preserve"> PAGEREF _Toc218784171 \h </w:instrText>
        </w:r>
        <w:r w:rsidRPr="001051D6">
          <w:rPr>
            <w:noProof/>
            <w:webHidden/>
          </w:rPr>
        </w:r>
        <w:r w:rsidRPr="001051D6">
          <w:rPr>
            <w:noProof/>
            <w:webHidden/>
          </w:rPr>
          <w:fldChar w:fldCharType="separate"/>
        </w:r>
        <w:r w:rsidR="00C9271A">
          <w:rPr>
            <w:noProof/>
            <w:webHidden/>
          </w:rPr>
          <w:t>172</w:t>
        </w:r>
        <w:r w:rsidRPr="001051D6">
          <w:rPr>
            <w:noProof/>
            <w:webHidden/>
          </w:rPr>
          <w:fldChar w:fldCharType="end"/>
        </w:r>
      </w:hyperlink>
    </w:p>
    <w:p w14:paraId="5541C62E" w14:textId="1D529EEB"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2" w:history="1">
        <w:r w:rsidRPr="001051D6">
          <w:rPr>
            <w:rStyle w:val="Hipervnculo"/>
            <w:noProof/>
            <w:color w:val="767171"/>
            <w:lang w:val="es-DO"/>
          </w:rPr>
          <w:t>Tabla 40. Acreditaciones de Promotores 2025</w:t>
        </w:r>
        <w:r w:rsidRPr="001051D6">
          <w:rPr>
            <w:noProof/>
            <w:webHidden/>
          </w:rPr>
          <w:tab/>
        </w:r>
        <w:r w:rsidRPr="001051D6">
          <w:rPr>
            <w:noProof/>
            <w:webHidden/>
          </w:rPr>
          <w:fldChar w:fldCharType="begin"/>
        </w:r>
        <w:r w:rsidRPr="001051D6">
          <w:rPr>
            <w:noProof/>
            <w:webHidden/>
          </w:rPr>
          <w:instrText xml:space="preserve"> PAGEREF _Toc218784172 \h </w:instrText>
        </w:r>
        <w:r w:rsidRPr="001051D6">
          <w:rPr>
            <w:noProof/>
            <w:webHidden/>
          </w:rPr>
        </w:r>
        <w:r w:rsidRPr="001051D6">
          <w:rPr>
            <w:noProof/>
            <w:webHidden/>
          </w:rPr>
          <w:fldChar w:fldCharType="separate"/>
        </w:r>
        <w:r w:rsidR="00C9271A">
          <w:rPr>
            <w:noProof/>
            <w:webHidden/>
          </w:rPr>
          <w:t>172</w:t>
        </w:r>
        <w:r w:rsidRPr="001051D6">
          <w:rPr>
            <w:noProof/>
            <w:webHidden/>
          </w:rPr>
          <w:fldChar w:fldCharType="end"/>
        </w:r>
      </w:hyperlink>
    </w:p>
    <w:p w14:paraId="575CB71D" w14:textId="337D8A2A"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3" w:history="1">
        <w:r w:rsidRPr="001051D6">
          <w:rPr>
            <w:rStyle w:val="Hipervnculo"/>
            <w:rFonts w:eastAsia="Calibri"/>
            <w:noProof/>
            <w:color w:val="767171"/>
            <w:lang w:val="es-DO"/>
          </w:rPr>
          <w:t>Tabla 41. Resumen de compras y contrataciones, 2025</w:t>
        </w:r>
        <w:r w:rsidRPr="001051D6">
          <w:rPr>
            <w:noProof/>
            <w:webHidden/>
          </w:rPr>
          <w:tab/>
        </w:r>
        <w:r w:rsidRPr="001051D6">
          <w:rPr>
            <w:noProof/>
            <w:webHidden/>
          </w:rPr>
          <w:fldChar w:fldCharType="begin"/>
        </w:r>
        <w:r w:rsidRPr="001051D6">
          <w:rPr>
            <w:noProof/>
            <w:webHidden/>
          </w:rPr>
          <w:instrText xml:space="preserve"> PAGEREF _Toc218784173 \h </w:instrText>
        </w:r>
        <w:r w:rsidRPr="001051D6">
          <w:rPr>
            <w:noProof/>
            <w:webHidden/>
          </w:rPr>
        </w:r>
        <w:r w:rsidRPr="001051D6">
          <w:rPr>
            <w:noProof/>
            <w:webHidden/>
          </w:rPr>
          <w:fldChar w:fldCharType="separate"/>
        </w:r>
        <w:r w:rsidR="00C9271A">
          <w:rPr>
            <w:noProof/>
            <w:webHidden/>
          </w:rPr>
          <w:t>174</w:t>
        </w:r>
        <w:r w:rsidRPr="001051D6">
          <w:rPr>
            <w:noProof/>
            <w:webHidden/>
          </w:rPr>
          <w:fldChar w:fldCharType="end"/>
        </w:r>
      </w:hyperlink>
    </w:p>
    <w:p w14:paraId="1AE9BCAA" w14:textId="2AF904F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4" w:history="1">
        <w:r w:rsidRPr="001051D6">
          <w:rPr>
            <w:rStyle w:val="Hipervnculo"/>
            <w:rFonts w:eastAsia="Calibri"/>
            <w:noProof/>
            <w:color w:val="767171"/>
            <w:lang w:val="es-DO"/>
          </w:rPr>
          <w:t>Tabla 42. Resumen de compras por tipo de empresa, 2025</w:t>
        </w:r>
        <w:r w:rsidRPr="001051D6">
          <w:rPr>
            <w:noProof/>
            <w:webHidden/>
          </w:rPr>
          <w:tab/>
        </w:r>
        <w:r w:rsidRPr="001051D6">
          <w:rPr>
            <w:noProof/>
            <w:webHidden/>
          </w:rPr>
          <w:fldChar w:fldCharType="begin"/>
        </w:r>
        <w:r w:rsidRPr="001051D6">
          <w:rPr>
            <w:noProof/>
            <w:webHidden/>
          </w:rPr>
          <w:instrText xml:space="preserve"> PAGEREF _Toc218784174 \h </w:instrText>
        </w:r>
        <w:r w:rsidRPr="001051D6">
          <w:rPr>
            <w:noProof/>
            <w:webHidden/>
          </w:rPr>
        </w:r>
        <w:r w:rsidRPr="001051D6">
          <w:rPr>
            <w:noProof/>
            <w:webHidden/>
          </w:rPr>
          <w:fldChar w:fldCharType="separate"/>
        </w:r>
        <w:r w:rsidR="00C9271A">
          <w:rPr>
            <w:noProof/>
            <w:webHidden/>
          </w:rPr>
          <w:t>175</w:t>
        </w:r>
        <w:r w:rsidRPr="001051D6">
          <w:rPr>
            <w:noProof/>
            <w:webHidden/>
          </w:rPr>
          <w:fldChar w:fldCharType="end"/>
        </w:r>
      </w:hyperlink>
    </w:p>
    <w:p w14:paraId="13F7732B" w14:textId="3AE28487"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5" w:history="1">
        <w:r w:rsidRPr="001051D6">
          <w:rPr>
            <w:rStyle w:val="Hipervnculo"/>
            <w:noProof/>
            <w:color w:val="767171"/>
            <w:lang w:val="es-DO"/>
          </w:rPr>
          <w:t>Tabla 43. Ejecución presupuestaria, enero-octubre más noviembre y diciembre de 2025</w:t>
        </w:r>
        <w:r w:rsidRPr="001051D6">
          <w:rPr>
            <w:noProof/>
            <w:webHidden/>
          </w:rPr>
          <w:tab/>
        </w:r>
        <w:r w:rsidRPr="001051D6">
          <w:rPr>
            <w:noProof/>
            <w:webHidden/>
          </w:rPr>
          <w:fldChar w:fldCharType="begin"/>
        </w:r>
        <w:r w:rsidRPr="001051D6">
          <w:rPr>
            <w:noProof/>
            <w:webHidden/>
          </w:rPr>
          <w:instrText xml:space="preserve"> PAGEREF _Toc218784175 \h </w:instrText>
        </w:r>
        <w:r w:rsidRPr="001051D6">
          <w:rPr>
            <w:noProof/>
            <w:webHidden/>
          </w:rPr>
        </w:r>
        <w:r w:rsidRPr="001051D6">
          <w:rPr>
            <w:noProof/>
            <w:webHidden/>
          </w:rPr>
          <w:fldChar w:fldCharType="separate"/>
        </w:r>
        <w:r w:rsidR="00C9271A">
          <w:rPr>
            <w:noProof/>
            <w:webHidden/>
          </w:rPr>
          <w:t>176</w:t>
        </w:r>
        <w:r w:rsidRPr="001051D6">
          <w:rPr>
            <w:noProof/>
            <w:webHidden/>
          </w:rPr>
          <w:fldChar w:fldCharType="end"/>
        </w:r>
      </w:hyperlink>
    </w:p>
    <w:p w14:paraId="1709EEF2" w14:textId="21A75789"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6" w:history="1">
        <w:r w:rsidRPr="001051D6">
          <w:rPr>
            <w:rStyle w:val="Hipervnculo"/>
            <w:noProof/>
            <w:color w:val="767171"/>
            <w:lang w:val="es-DO"/>
          </w:rPr>
          <w:t>Tabla 44. Cuentas por pagar por mes, 2025</w:t>
        </w:r>
        <w:r w:rsidRPr="001051D6">
          <w:rPr>
            <w:noProof/>
            <w:webHidden/>
          </w:rPr>
          <w:tab/>
        </w:r>
        <w:r w:rsidRPr="001051D6">
          <w:rPr>
            <w:noProof/>
            <w:webHidden/>
          </w:rPr>
          <w:fldChar w:fldCharType="begin"/>
        </w:r>
        <w:r w:rsidRPr="001051D6">
          <w:rPr>
            <w:noProof/>
            <w:webHidden/>
          </w:rPr>
          <w:instrText xml:space="preserve"> PAGEREF _Toc218784176 \h </w:instrText>
        </w:r>
        <w:r w:rsidRPr="001051D6">
          <w:rPr>
            <w:noProof/>
            <w:webHidden/>
          </w:rPr>
        </w:r>
        <w:r w:rsidRPr="001051D6">
          <w:rPr>
            <w:noProof/>
            <w:webHidden/>
          </w:rPr>
          <w:fldChar w:fldCharType="separate"/>
        </w:r>
        <w:r w:rsidR="00C9271A">
          <w:rPr>
            <w:noProof/>
            <w:webHidden/>
          </w:rPr>
          <w:t>178</w:t>
        </w:r>
        <w:r w:rsidRPr="001051D6">
          <w:rPr>
            <w:noProof/>
            <w:webHidden/>
          </w:rPr>
          <w:fldChar w:fldCharType="end"/>
        </w:r>
      </w:hyperlink>
    </w:p>
    <w:p w14:paraId="732087D6" w14:textId="410D78CE"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7" w:history="1">
        <w:r w:rsidRPr="001051D6">
          <w:rPr>
            <w:rStyle w:val="Hipervnculo"/>
            <w:noProof/>
            <w:color w:val="767171"/>
            <w:lang w:val="es-DO"/>
          </w:rPr>
          <w:t>Tabla 45. Universo Recepción de Expedientes (DRAO)</w:t>
        </w:r>
        <w:r w:rsidRPr="001051D6">
          <w:rPr>
            <w:noProof/>
            <w:webHidden/>
          </w:rPr>
          <w:tab/>
        </w:r>
        <w:r w:rsidRPr="001051D6">
          <w:rPr>
            <w:noProof/>
            <w:webHidden/>
          </w:rPr>
          <w:fldChar w:fldCharType="begin"/>
        </w:r>
        <w:r w:rsidRPr="001051D6">
          <w:rPr>
            <w:noProof/>
            <w:webHidden/>
          </w:rPr>
          <w:instrText xml:space="preserve"> PAGEREF _Toc218784177 \h </w:instrText>
        </w:r>
        <w:r w:rsidRPr="001051D6">
          <w:rPr>
            <w:noProof/>
            <w:webHidden/>
          </w:rPr>
        </w:r>
        <w:r w:rsidRPr="001051D6">
          <w:rPr>
            <w:noProof/>
            <w:webHidden/>
          </w:rPr>
          <w:fldChar w:fldCharType="separate"/>
        </w:r>
        <w:r w:rsidR="00C9271A">
          <w:rPr>
            <w:noProof/>
            <w:webHidden/>
          </w:rPr>
          <w:t>179</w:t>
        </w:r>
        <w:r w:rsidRPr="001051D6">
          <w:rPr>
            <w:noProof/>
            <w:webHidden/>
          </w:rPr>
          <w:fldChar w:fldCharType="end"/>
        </w:r>
      </w:hyperlink>
    </w:p>
    <w:p w14:paraId="42081959" w14:textId="780E98F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8" w:history="1">
        <w:r w:rsidRPr="001051D6">
          <w:rPr>
            <w:rStyle w:val="Hipervnculo"/>
            <w:rFonts w:eastAsia="Times New Roman"/>
            <w:noProof/>
            <w:color w:val="767171"/>
            <w:lang w:val="es-DO"/>
          </w:rPr>
          <w:t>Tabla 46. Universo de Fiscalización, enero-diciembre 2025</w:t>
        </w:r>
        <w:r w:rsidRPr="001051D6">
          <w:rPr>
            <w:noProof/>
            <w:webHidden/>
          </w:rPr>
          <w:tab/>
        </w:r>
        <w:r w:rsidRPr="001051D6">
          <w:rPr>
            <w:noProof/>
            <w:webHidden/>
          </w:rPr>
          <w:fldChar w:fldCharType="begin"/>
        </w:r>
        <w:r w:rsidRPr="001051D6">
          <w:rPr>
            <w:noProof/>
            <w:webHidden/>
          </w:rPr>
          <w:instrText xml:space="preserve"> PAGEREF _Toc218784178 \h </w:instrText>
        </w:r>
        <w:r w:rsidRPr="001051D6">
          <w:rPr>
            <w:noProof/>
            <w:webHidden/>
          </w:rPr>
        </w:r>
        <w:r w:rsidRPr="001051D6">
          <w:rPr>
            <w:noProof/>
            <w:webHidden/>
          </w:rPr>
          <w:fldChar w:fldCharType="separate"/>
        </w:r>
        <w:r w:rsidR="00C9271A">
          <w:rPr>
            <w:noProof/>
            <w:webHidden/>
          </w:rPr>
          <w:t>179</w:t>
        </w:r>
        <w:r w:rsidRPr="001051D6">
          <w:rPr>
            <w:noProof/>
            <w:webHidden/>
          </w:rPr>
          <w:fldChar w:fldCharType="end"/>
        </w:r>
      </w:hyperlink>
    </w:p>
    <w:p w14:paraId="4BC147DE" w14:textId="08BD3803"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79" w:history="1">
        <w:r w:rsidRPr="001051D6">
          <w:rPr>
            <w:rStyle w:val="Hipervnculo"/>
            <w:noProof/>
            <w:color w:val="767171"/>
            <w:lang w:val="es-DO"/>
          </w:rPr>
          <w:t>Tabla 47. Resultados del Sistema de Monitoreo de la Administración Pública, diciembre 2025</w:t>
        </w:r>
        <w:r w:rsidRPr="001051D6">
          <w:rPr>
            <w:noProof/>
            <w:webHidden/>
          </w:rPr>
          <w:tab/>
        </w:r>
        <w:r w:rsidRPr="001051D6">
          <w:rPr>
            <w:noProof/>
            <w:webHidden/>
          </w:rPr>
          <w:fldChar w:fldCharType="begin"/>
        </w:r>
        <w:r w:rsidRPr="001051D6">
          <w:rPr>
            <w:noProof/>
            <w:webHidden/>
          </w:rPr>
          <w:instrText xml:space="preserve"> PAGEREF _Toc218784179 \h </w:instrText>
        </w:r>
        <w:r w:rsidRPr="001051D6">
          <w:rPr>
            <w:noProof/>
            <w:webHidden/>
          </w:rPr>
        </w:r>
        <w:r w:rsidRPr="001051D6">
          <w:rPr>
            <w:noProof/>
            <w:webHidden/>
          </w:rPr>
          <w:fldChar w:fldCharType="separate"/>
        </w:r>
        <w:r w:rsidR="00C9271A">
          <w:rPr>
            <w:noProof/>
            <w:webHidden/>
          </w:rPr>
          <w:t>181</w:t>
        </w:r>
        <w:r w:rsidRPr="001051D6">
          <w:rPr>
            <w:noProof/>
            <w:webHidden/>
          </w:rPr>
          <w:fldChar w:fldCharType="end"/>
        </w:r>
      </w:hyperlink>
    </w:p>
    <w:p w14:paraId="50EEF600" w14:textId="3D00601A"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0" w:history="1">
        <w:r w:rsidRPr="001051D6">
          <w:rPr>
            <w:rStyle w:val="Hipervnculo"/>
            <w:noProof/>
            <w:color w:val="767171"/>
            <w:lang w:val="es-DO"/>
          </w:rPr>
          <w:t>Tabla 48. Novedades, ingreso de personal, a diciembre 2025</w:t>
        </w:r>
        <w:r w:rsidRPr="001051D6">
          <w:rPr>
            <w:noProof/>
            <w:webHidden/>
          </w:rPr>
          <w:tab/>
        </w:r>
        <w:r w:rsidRPr="001051D6">
          <w:rPr>
            <w:noProof/>
            <w:webHidden/>
          </w:rPr>
          <w:fldChar w:fldCharType="begin"/>
        </w:r>
        <w:r w:rsidRPr="001051D6">
          <w:rPr>
            <w:noProof/>
            <w:webHidden/>
          </w:rPr>
          <w:instrText xml:space="preserve"> PAGEREF _Toc218784180 \h </w:instrText>
        </w:r>
        <w:r w:rsidRPr="001051D6">
          <w:rPr>
            <w:noProof/>
            <w:webHidden/>
          </w:rPr>
        </w:r>
        <w:r w:rsidRPr="001051D6">
          <w:rPr>
            <w:noProof/>
            <w:webHidden/>
          </w:rPr>
          <w:fldChar w:fldCharType="separate"/>
        </w:r>
        <w:r w:rsidR="00C9271A">
          <w:rPr>
            <w:noProof/>
            <w:webHidden/>
          </w:rPr>
          <w:t>182</w:t>
        </w:r>
        <w:r w:rsidRPr="001051D6">
          <w:rPr>
            <w:noProof/>
            <w:webHidden/>
          </w:rPr>
          <w:fldChar w:fldCharType="end"/>
        </w:r>
      </w:hyperlink>
    </w:p>
    <w:p w14:paraId="7A603C7B" w14:textId="319BD3D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1" w:history="1">
        <w:r w:rsidRPr="001051D6">
          <w:rPr>
            <w:rStyle w:val="Hipervnculo"/>
            <w:noProof/>
            <w:color w:val="767171"/>
            <w:lang w:val="es-DO"/>
          </w:rPr>
          <w:t>Tabla 49. Promedio del desempeño por grupo ocupacional y sexo 2024</w:t>
        </w:r>
        <w:r w:rsidRPr="001051D6">
          <w:rPr>
            <w:noProof/>
            <w:webHidden/>
          </w:rPr>
          <w:tab/>
        </w:r>
        <w:r w:rsidRPr="001051D6">
          <w:rPr>
            <w:noProof/>
            <w:webHidden/>
          </w:rPr>
          <w:fldChar w:fldCharType="begin"/>
        </w:r>
        <w:r w:rsidRPr="001051D6">
          <w:rPr>
            <w:noProof/>
            <w:webHidden/>
          </w:rPr>
          <w:instrText xml:space="preserve"> PAGEREF _Toc218784181 \h </w:instrText>
        </w:r>
        <w:r w:rsidRPr="001051D6">
          <w:rPr>
            <w:noProof/>
            <w:webHidden/>
          </w:rPr>
        </w:r>
        <w:r w:rsidRPr="001051D6">
          <w:rPr>
            <w:noProof/>
            <w:webHidden/>
          </w:rPr>
          <w:fldChar w:fldCharType="separate"/>
        </w:r>
        <w:r w:rsidR="00C9271A">
          <w:rPr>
            <w:noProof/>
            <w:webHidden/>
          </w:rPr>
          <w:t>185</w:t>
        </w:r>
        <w:r w:rsidRPr="001051D6">
          <w:rPr>
            <w:noProof/>
            <w:webHidden/>
          </w:rPr>
          <w:fldChar w:fldCharType="end"/>
        </w:r>
      </w:hyperlink>
    </w:p>
    <w:p w14:paraId="58FD3CC2" w14:textId="5F90E115"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2" w:history="1">
        <w:r w:rsidRPr="001051D6">
          <w:rPr>
            <w:rStyle w:val="Hipervnculo"/>
            <w:noProof/>
            <w:color w:val="767171"/>
            <w:lang w:val="es-DO"/>
          </w:rPr>
          <w:t>Tabla 50. Cantidad de colaboradores y áreas galardonadas por categoría</w:t>
        </w:r>
        <w:r w:rsidRPr="001051D6">
          <w:rPr>
            <w:noProof/>
            <w:webHidden/>
          </w:rPr>
          <w:tab/>
        </w:r>
        <w:r w:rsidRPr="001051D6">
          <w:rPr>
            <w:noProof/>
            <w:webHidden/>
          </w:rPr>
          <w:fldChar w:fldCharType="begin"/>
        </w:r>
        <w:r w:rsidRPr="001051D6">
          <w:rPr>
            <w:noProof/>
            <w:webHidden/>
          </w:rPr>
          <w:instrText xml:space="preserve"> PAGEREF _Toc218784182 \h </w:instrText>
        </w:r>
        <w:r w:rsidRPr="001051D6">
          <w:rPr>
            <w:noProof/>
            <w:webHidden/>
          </w:rPr>
        </w:r>
        <w:r w:rsidRPr="001051D6">
          <w:rPr>
            <w:noProof/>
            <w:webHidden/>
          </w:rPr>
          <w:fldChar w:fldCharType="separate"/>
        </w:r>
        <w:r w:rsidR="00C9271A">
          <w:rPr>
            <w:noProof/>
            <w:webHidden/>
          </w:rPr>
          <w:t>186</w:t>
        </w:r>
        <w:r w:rsidRPr="001051D6">
          <w:rPr>
            <w:noProof/>
            <w:webHidden/>
          </w:rPr>
          <w:fldChar w:fldCharType="end"/>
        </w:r>
      </w:hyperlink>
    </w:p>
    <w:p w14:paraId="0610C4E8" w14:textId="2F82CCC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3" w:history="1">
        <w:r w:rsidRPr="001051D6">
          <w:rPr>
            <w:rStyle w:val="Hipervnculo"/>
            <w:noProof/>
            <w:color w:val="767171"/>
            <w:lang w:val="es-DO"/>
          </w:rPr>
          <w:t>Tabla 51. Capacitaciones por pilares estratégicos 2025</w:t>
        </w:r>
        <w:r w:rsidRPr="001051D6">
          <w:rPr>
            <w:noProof/>
            <w:webHidden/>
          </w:rPr>
          <w:tab/>
        </w:r>
        <w:r w:rsidRPr="001051D6">
          <w:rPr>
            <w:noProof/>
            <w:webHidden/>
          </w:rPr>
          <w:fldChar w:fldCharType="begin"/>
        </w:r>
        <w:r w:rsidRPr="001051D6">
          <w:rPr>
            <w:noProof/>
            <w:webHidden/>
          </w:rPr>
          <w:instrText xml:space="preserve"> PAGEREF _Toc218784183 \h </w:instrText>
        </w:r>
        <w:r w:rsidRPr="001051D6">
          <w:rPr>
            <w:noProof/>
            <w:webHidden/>
          </w:rPr>
        </w:r>
        <w:r w:rsidRPr="001051D6">
          <w:rPr>
            <w:noProof/>
            <w:webHidden/>
          </w:rPr>
          <w:fldChar w:fldCharType="separate"/>
        </w:r>
        <w:r w:rsidR="00C9271A">
          <w:rPr>
            <w:noProof/>
            <w:webHidden/>
          </w:rPr>
          <w:t>187</w:t>
        </w:r>
        <w:r w:rsidRPr="001051D6">
          <w:rPr>
            <w:noProof/>
            <w:webHidden/>
          </w:rPr>
          <w:fldChar w:fldCharType="end"/>
        </w:r>
      </w:hyperlink>
    </w:p>
    <w:p w14:paraId="4C5EB75F" w14:textId="4BBD7D19"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4" w:history="1">
        <w:r w:rsidRPr="001051D6">
          <w:rPr>
            <w:rStyle w:val="Hipervnculo"/>
            <w:noProof/>
            <w:color w:val="767171"/>
            <w:lang w:val="es-DO"/>
          </w:rPr>
          <w:t>Tabla 52. Composición del personal por grupo ocupacional y sexosexo, noviembre 2025</w:t>
        </w:r>
        <w:r w:rsidRPr="001051D6">
          <w:rPr>
            <w:noProof/>
            <w:webHidden/>
          </w:rPr>
          <w:tab/>
        </w:r>
        <w:r w:rsidRPr="001051D6">
          <w:rPr>
            <w:noProof/>
            <w:webHidden/>
          </w:rPr>
          <w:fldChar w:fldCharType="begin"/>
        </w:r>
        <w:r w:rsidRPr="001051D6">
          <w:rPr>
            <w:noProof/>
            <w:webHidden/>
          </w:rPr>
          <w:instrText xml:space="preserve"> PAGEREF _Toc218784184 \h </w:instrText>
        </w:r>
        <w:r w:rsidRPr="001051D6">
          <w:rPr>
            <w:noProof/>
            <w:webHidden/>
          </w:rPr>
        </w:r>
        <w:r w:rsidRPr="001051D6">
          <w:rPr>
            <w:noProof/>
            <w:webHidden/>
          </w:rPr>
          <w:fldChar w:fldCharType="separate"/>
        </w:r>
        <w:r w:rsidR="00C9271A">
          <w:rPr>
            <w:noProof/>
            <w:webHidden/>
          </w:rPr>
          <w:t>192</w:t>
        </w:r>
        <w:r w:rsidRPr="001051D6">
          <w:rPr>
            <w:noProof/>
            <w:webHidden/>
          </w:rPr>
          <w:fldChar w:fldCharType="end"/>
        </w:r>
      </w:hyperlink>
    </w:p>
    <w:p w14:paraId="68AD8F1A" w14:textId="0958936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5" w:history="1">
        <w:r w:rsidRPr="001051D6">
          <w:rPr>
            <w:rStyle w:val="Hipervnculo"/>
            <w:noProof/>
            <w:color w:val="767171"/>
            <w:lang w:val="es-DO"/>
          </w:rPr>
          <w:t>Tabla 53. Índice de rotación del personal 2025</w:t>
        </w:r>
        <w:r w:rsidRPr="001051D6">
          <w:rPr>
            <w:noProof/>
            <w:webHidden/>
          </w:rPr>
          <w:tab/>
        </w:r>
        <w:r w:rsidRPr="001051D6">
          <w:rPr>
            <w:noProof/>
            <w:webHidden/>
          </w:rPr>
          <w:fldChar w:fldCharType="begin"/>
        </w:r>
        <w:r w:rsidRPr="001051D6">
          <w:rPr>
            <w:noProof/>
            <w:webHidden/>
          </w:rPr>
          <w:instrText xml:space="preserve"> PAGEREF _Toc218784185 \h </w:instrText>
        </w:r>
        <w:r w:rsidRPr="001051D6">
          <w:rPr>
            <w:noProof/>
            <w:webHidden/>
          </w:rPr>
        </w:r>
        <w:r w:rsidRPr="001051D6">
          <w:rPr>
            <w:noProof/>
            <w:webHidden/>
          </w:rPr>
          <w:fldChar w:fldCharType="separate"/>
        </w:r>
        <w:r w:rsidR="00C9271A">
          <w:rPr>
            <w:noProof/>
            <w:webHidden/>
          </w:rPr>
          <w:t>192</w:t>
        </w:r>
        <w:r w:rsidRPr="001051D6">
          <w:rPr>
            <w:noProof/>
            <w:webHidden/>
          </w:rPr>
          <w:fldChar w:fldCharType="end"/>
        </w:r>
      </w:hyperlink>
    </w:p>
    <w:p w14:paraId="6557BF3F" w14:textId="726A726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6" w:history="1">
        <w:r w:rsidRPr="001051D6">
          <w:rPr>
            <w:rStyle w:val="Hipervnculo"/>
            <w:noProof/>
            <w:color w:val="767171"/>
            <w:lang w:val="es-DO"/>
          </w:rPr>
          <w:t>Tabla 54. Índice de Absentismo 2025</w:t>
        </w:r>
        <w:r w:rsidRPr="001051D6">
          <w:rPr>
            <w:noProof/>
            <w:webHidden/>
          </w:rPr>
          <w:tab/>
        </w:r>
        <w:r w:rsidRPr="001051D6">
          <w:rPr>
            <w:noProof/>
            <w:webHidden/>
          </w:rPr>
          <w:fldChar w:fldCharType="begin"/>
        </w:r>
        <w:r w:rsidRPr="001051D6">
          <w:rPr>
            <w:noProof/>
            <w:webHidden/>
          </w:rPr>
          <w:instrText xml:space="preserve"> PAGEREF _Toc218784186 \h </w:instrText>
        </w:r>
        <w:r w:rsidRPr="001051D6">
          <w:rPr>
            <w:noProof/>
            <w:webHidden/>
          </w:rPr>
        </w:r>
        <w:r w:rsidRPr="001051D6">
          <w:rPr>
            <w:noProof/>
            <w:webHidden/>
          </w:rPr>
          <w:fldChar w:fldCharType="separate"/>
        </w:r>
        <w:r w:rsidR="00C9271A">
          <w:rPr>
            <w:noProof/>
            <w:webHidden/>
          </w:rPr>
          <w:t>193</w:t>
        </w:r>
        <w:r w:rsidRPr="001051D6">
          <w:rPr>
            <w:noProof/>
            <w:webHidden/>
          </w:rPr>
          <w:fldChar w:fldCharType="end"/>
        </w:r>
      </w:hyperlink>
    </w:p>
    <w:p w14:paraId="7250B5D1" w14:textId="3B60E46E"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7" w:history="1">
        <w:r w:rsidRPr="001051D6">
          <w:rPr>
            <w:rStyle w:val="Hipervnculo"/>
            <w:noProof/>
            <w:color w:val="767171"/>
            <w:lang w:val="es-DO"/>
          </w:rPr>
          <w:t>Tabla 55. Resultados Normas Básicas de Control Interno (NOBACI)</w:t>
        </w:r>
        <w:r w:rsidRPr="001051D6">
          <w:rPr>
            <w:noProof/>
            <w:webHidden/>
          </w:rPr>
          <w:tab/>
        </w:r>
        <w:r w:rsidRPr="001051D6">
          <w:rPr>
            <w:noProof/>
            <w:webHidden/>
          </w:rPr>
          <w:fldChar w:fldCharType="begin"/>
        </w:r>
        <w:r w:rsidRPr="001051D6">
          <w:rPr>
            <w:noProof/>
            <w:webHidden/>
          </w:rPr>
          <w:instrText xml:space="preserve"> PAGEREF _Toc218784187 \h </w:instrText>
        </w:r>
        <w:r w:rsidRPr="001051D6">
          <w:rPr>
            <w:noProof/>
            <w:webHidden/>
          </w:rPr>
        </w:r>
        <w:r w:rsidRPr="001051D6">
          <w:rPr>
            <w:noProof/>
            <w:webHidden/>
          </w:rPr>
          <w:fldChar w:fldCharType="separate"/>
        </w:r>
        <w:r w:rsidR="00C9271A">
          <w:rPr>
            <w:noProof/>
            <w:webHidden/>
          </w:rPr>
          <w:t>228</w:t>
        </w:r>
        <w:r w:rsidRPr="001051D6">
          <w:rPr>
            <w:noProof/>
            <w:webHidden/>
          </w:rPr>
          <w:fldChar w:fldCharType="end"/>
        </w:r>
      </w:hyperlink>
    </w:p>
    <w:p w14:paraId="1D5BFC47" w14:textId="65A94194"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8" w:history="1">
        <w:r w:rsidRPr="001051D6">
          <w:rPr>
            <w:rStyle w:val="Hipervnculo"/>
            <w:noProof/>
            <w:color w:val="767171"/>
            <w:lang w:val="es-DO"/>
          </w:rPr>
          <w:t>Tabla 56. Resultados por año y proyección de los objetivos del Sistema de Gestión</w:t>
        </w:r>
        <w:r w:rsidRPr="001051D6">
          <w:rPr>
            <w:noProof/>
            <w:webHidden/>
          </w:rPr>
          <w:tab/>
        </w:r>
        <w:r w:rsidRPr="001051D6">
          <w:rPr>
            <w:noProof/>
            <w:webHidden/>
          </w:rPr>
          <w:fldChar w:fldCharType="begin"/>
        </w:r>
        <w:r w:rsidRPr="001051D6">
          <w:rPr>
            <w:noProof/>
            <w:webHidden/>
          </w:rPr>
          <w:instrText xml:space="preserve"> PAGEREF _Toc218784188 \h </w:instrText>
        </w:r>
        <w:r w:rsidRPr="001051D6">
          <w:rPr>
            <w:noProof/>
            <w:webHidden/>
          </w:rPr>
        </w:r>
        <w:r w:rsidRPr="001051D6">
          <w:rPr>
            <w:noProof/>
            <w:webHidden/>
          </w:rPr>
          <w:fldChar w:fldCharType="separate"/>
        </w:r>
        <w:r w:rsidR="00C9271A">
          <w:rPr>
            <w:noProof/>
            <w:webHidden/>
          </w:rPr>
          <w:t>234</w:t>
        </w:r>
        <w:r w:rsidRPr="001051D6">
          <w:rPr>
            <w:noProof/>
            <w:webHidden/>
          </w:rPr>
          <w:fldChar w:fldCharType="end"/>
        </w:r>
      </w:hyperlink>
    </w:p>
    <w:p w14:paraId="6CE9F240" w14:textId="7C8D195F"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89" w:history="1">
        <w:r w:rsidRPr="001051D6">
          <w:rPr>
            <w:rStyle w:val="Hipervnculo"/>
            <w:noProof/>
            <w:color w:val="767171"/>
            <w:lang w:val="es-DO"/>
          </w:rPr>
          <w:t>Tabla 57. Catálogo de Productos y Servicios Externos</w:t>
        </w:r>
        <w:r w:rsidRPr="001051D6">
          <w:rPr>
            <w:noProof/>
            <w:webHidden/>
          </w:rPr>
          <w:tab/>
        </w:r>
        <w:r w:rsidRPr="001051D6">
          <w:rPr>
            <w:noProof/>
            <w:webHidden/>
          </w:rPr>
          <w:fldChar w:fldCharType="begin"/>
        </w:r>
        <w:r w:rsidRPr="001051D6">
          <w:rPr>
            <w:noProof/>
            <w:webHidden/>
          </w:rPr>
          <w:instrText xml:space="preserve"> PAGEREF _Toc218784189 \h </w:instrText>
        </w:r>
        <w:r w:rsidRPr="001051D6">
          <w:rPr>
            <w:noProof/>
            <w:webHidden/>
          </w:rPr>
        </w:r>
        <w:r w:rsidRPr="001051D6">
          <w:rPr>
            <w:noProof/>
            <w:webHidden/>
          </w:rPr>
          <w:fldChar w:fldCharType="separate"/>
        </w:r>
        <w:r w:rsidR="00C9271A">
          <w:rPr>
            <w:noProof/>
            <w:webHidden/>
          </w:rPr>
          <w:t>236</w:t>
        </w:r>
        <w:r w:rsidRPr="001051D6">
          <w:rPr>
            <w:noProof/>
            <w:webHidden/>
          </w:rPr>
          <w:fldChar w:fldCharType="end"/>
        </w:r>
      </w:hyperlink>
    </w:p>
    <w:p w14:paraId="65FF85DF" w14:textId="255570A8"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0" w:history="1">
        <w:r w:rsidRPr="001051D6">
          <w:rPr>
            <w:rStyle w:val="Hipervnculo"/>
            <w:rFonts w:eastAsia="Times New Roman"/>
            <w:noProof/>
            <w:color w:val="767171"/>
            <w:lang w:val="es-DO" w:eastAsia="es-DO"/>
          </w:rPr>
          <w:t>Tabla 58. Resumen de Resultados Encuesta de Satisfacción, 2025</w:t>
        </w:r>
        <w:r w:rsidRPr="001051D6">
          <w:rPr>
            <w:noProof/>
            <w:webHidden/>
          </w:rPr>
          <w:tab/>
        </w:r>
        <w:r w:rsidRPr="001051D6">
          <w:rPr>
            <w:noProof/>
            <w:webHidden/>
          </w:rPr>
          <w:fldChar w:fldCharType="begin"/>
        </w:r>
        <w:r w:rsidRPr="001051D6">
          <w:rPr>
            <w:noProof/>
            <w:webHidden/>
          </w:rPr>
          <w:instrText xml:space="preserve"> PAGEREF _Toc218784190 \h </w:instrText>
        </w:r>
        <w:r w:rsidRPr="001051D6">
          <w:rPr>
            <w:noProof/>
            <w:webHidden/>
          </w:rPr>
        </w:r>
        <w:r w:rsidRPr="001051D6">
          <w:rPr>
            <w:noProof/>
            <w:webHidden/>
          </w:rPr>
          <w:fldChar w:fldCharType="separate"/>
        </w:r>
        <w:r w:rsidR="00C9271A">
          <w:rPr>
            <w:noProof/>
            <w:webHidden/>
          </w:rPr>
          <w:t>237</w:t>
        </w:r>
        <w:r w:rsidRPr="001051D6">
          <w:rPr>
            <w:noProof/>
            <w:webHidden/>
          </w:rPr>
          <w:fldChar w:fldCharType="end"/>
        </w:r>
      </w:hyperlink>
    </w:p>
    <w:p w14:paraId="16BFA956" w14:textId="556C93A6"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1" w:history="1">
        <w:r w:rsidRPr="001051D6">
          <w:rPr>
            <w:rStyle w:val="Hipervnculo"/>
            <w:noProof/>
            <w:color w:val="767171"/>
            <w:lang w:val="es-DO"/>
          </w:rPr>
          <w:t>Tabla 59. Resumen de actividades en redes sociales, 2025</w:t>
        </w:r>
        <w:r w:rsidRPr="001051D6">
          <w:rPr>
            <w:noProof/>
            <w:webHidden/>
          </w:rPr>
          <w:tab/>
        </w:r>
        <w:r w:rsidRPr="001051D6">
          <w:rPr>
            <w:noProof/>
            <w:webHidden/>
          </w:rPr>
          <w:fldChar w:fldCharType="begin"/>
        </w:r>
        <w:r w:rsidRPr="001051D6">
          <w:rPr>
            <w:noProof/>
            <w:webHidden/>
          </w:rPr>
          <w:instrText xml:space="preserve"> PAGEREF _Toc218784191 \h </w:instrText>
        </w:r>
        <w:r w:rsidRPr="001051D6">
          <w:rPr>
            <w:noProof/>
            <w:webHidden/>
          </w:rPr>
        </w:r>
        <w:r w:rsidRPr="001051D6">
          <w:rPr>
            <w:noProof/>
            <w:webHidden/>
          </w:rPr>
          <w:fldChar w:fldCharType="separate"/>
        </w:r>
        <w:r w:rsidR="00C9271A">
          <w:rPr>
            <w:noProof/>
            <w:webHidden/>
          </w:rPr>
          <w:t>240</w:t>
        </w:r>
        <w:r w:rsidRPr="001051D6">
          <w:rPr>
            <w:noProof/>
            <w:webHidden/>
          </w:rPr>
          <w:fldChar w:fldCharType="end"/>
        </w:r>
      </w:hyperlink>
    </w:p>
    <w:p w14:paraId="51CFFC3E" w14:textId="16E31CFF"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2" w:history="1">
        <w:r w:rsidRPr="001051D6">
          <w:rPr>
            <w:rStyle w:val="Hipervnculo"/>
            <w:noProof/>
            <w:color w:val="767171"/>
            <w:lang w:val="es-DO"/>
          </w:rPr>
          <w:t>Tabla 60. Resultado del monitoreo de la carta compromiso al ciudadano, 2025</w:t>
        </w:r>
        <w:r w:rsidRPr="001051D6">
          <w:rPr>
            <w:noProof/>
            <w:webHidden/>
          </w:rPr>
          <w:tab/>
        </w:r>
        <w:r w:rsidRPr="001051D6">
          <w:rPr>
            <w:noProof/>
            <w:webHidden/>
          </w:rPr>
          <w:fldChar w:fldCharType="begin"/>
        </w:r>
        <w:r w:rsidRPr="001051D6">
          <w:rPr>
            <w:noProof/>
            <w:webHidden/>
          </w:rPr>
          <w:instrText xml:space="preserve"> PAGEREF _Toc218784192 \h </w:instrText>
        </w:r>
        <w:r w:rsidRPr="001051D6">
          <w:rPr>
            <w:noProof/>
            <w:webHidden/>
          </w:rPr>
        </w:r>
        <w:r w:rsidRPr="001051D6">
          <w:rPr>
            <w:noProof/>
            <w:webHidden/>
          </w:rPr>
          <w:fldChar w:fldCharType="separate"/>
        </w:r>
        <w:r w:rsidR="00C9271A">
          <w:rPr>
            <w:noProof/>
            <w:webHidden/>
          </w:rPr>
          <w:t>242</w:t>
        </w:r>
        <w:r w:rsidRPr="001051D6">
          <w:rPr>
            <w:noProof/>
            <w:webHidden/>
          </w:rPr>
          <w:fldChar w:fldCharType="end"/>
        </w:r>
      </w:hyperlink>
    </w:p>
    <w:p w14:paraId="330CB29D" w14:textId="58EFEE92"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3" w:history="1">
        <w:r w:rsidRPr="001051D6">
          <w:rPr>
            <w:rStyle w:val="Hipervnculo"/>
            <w:noProof/>
            <w:color w:val="767171"/>
            <w:lang w:val="es-DO"/>
          </w:rPr>
          <w:t>Tabla 61. Estadísticas de solicitudes de acceso a la información  atendidas, Enero - Diciembre 2025</w:t>
        </w:r>
        <w:r w:rsidRPr="001051D6">
          <w:rPr>
            <w:noProof/>
            <w:webHidden/>
          </w:rPr>
          <w:tab/>
        </w:r>
        <w:r w:rsidRPr="001051D6">
          <w:rPr>
            <w:noProof/>
            <w:webHidden/>
          </w:rPr>
          <w:fldChar w:fldCharType="begin"/>
        </w:r>
        <w:r w:rsidRPr="001051D6">
          <w:rPr>
            <w:noProof/>
            <w:webHidden/>
          </w:rPr>
          <w:instrText xml:space="preserve"> PAGEREF _Toc218784193 \h </w:instrText>
        </w:r>
        <w:r w:rsidRPr="001051D6">
          <w:rPr>
            <w:noProof/>
            <w:webHidden/>
          </w:rPr>
        </w:r>
        <w:r w:rsidRPr="001051D6">
          <w:rPr>
            <w:noProof/>
            <w:webHidden/>
          </w:rPr>
          <w:fldChar w:fldCharType="separate"/>
        </w:r>
        <w:r w:rsidR="00C9271A">
          <w:rPr>
            <w:noProof/>
            <w:webHidden/>
          </w:rPr>
          <w:t>244</w:t>
        </w:r>
        <w:r w:rsidRPr="001051D6">
          <w:rPr>
            <w:noProof/>
            <w:webHidden/>
          </w:rPr>
          <w:fldChar w:fldCharType="end"/>
        </w:r>
      </w:hyperlink>
    </w:p>
    <w:p w14:paraId="092CED95" w14:textId="75B9DEF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4" w:history="1">
        <w:r w:rsidRPr="001051D6">
          <w:rPr>
            <w:rStyle w:val="Hipervnculo"/>
            <w:noProof/>
            <w:color w:val="767171"/>
            <w:lang w:val="es-MX"/>
          </w:rPr>
          <w:t>Tabla 62. Atención y Respuesta Al Usuario vía Canales Habilitados</w:t>
        </w:r>
        <w:r w:rsidRPr="001051D6">
          <w:rPr>
            <w:noProof/>
            <w:webHidden/>
          </w:rPr>
          <w:tab/>
        </w:r>
        <w:r w:rsidRPr="001051D6">
          <w:rPr>
            <w:noProof/>
            <w:webHidden/>
          </w:rPr>
          <w:fldChar w:fldCharType="begin"/>
        </w:r>
        <w:r w:rsidRPr="001051D6">
          <w:rPr>
            <w:noProof/>
            <w:webHidden/>
          </w:rPr>
          <w:instrText xml:space="preserve"> PAGEREF _Toc218784194 \h </w:instrText>
        </w:r>
        <w:r w:rsidRPr="001051D6">
          <w:rPr>
            <w:noProof/>
            <w:webHidden/>
          </w:rPr>
        </w:r>
        <w:r w:rsidRPr="001051D6">
          <w:rPr>
            <w:noProof/>
            <w:webHidden/>
          </w:rPr>
          <w:fldChar w:fldCharType="separate"/>
        </w:r>
        <w:r w:rsidR="00C9271A">
          <w:rPr>
            <w:noProof/>
            <w:webHidden/>
          </w:rPr>
          <w:t>245</w:t>
        </w:r>
        <w:r w:rsidRPr="001051D6">
          <w:rPr>
            <w:noProof/>
            <w:webHidden/>
          </w:rPr>
          <w:fldChar w:fldCharType="end"/>
        </w:r>
      </w:hyperlink>
    </w:p>
    <w:p w14:paraId="1BA3179E" w14:textId="34D160AD"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5" w:history="1">
        <w:r w:rsidRPr="001051D6">
          <w:rPr>
            <w:rStyle w:val="Hipervnculo"/>
            <w:noProof/>
            <w:color w:val="767171"/>
            <w:lang w:val="es-MX"/>
          </w:rPr>
          <w:t>Tabla 63. Visitas recibidas en las oficinas de atención al usuario, regionales y Puntos GOB, enero - diciembre 2025</w:t>
        </w:r>
        <w:r w:rsidRPr="001051D6">
          <w:rPr>
            <w:noProof/>
            <w:webHidden/>
          </w:rPr>
          <w:tab/>
        </w:r>
        <w:r w:rsidRPr="001051D6">
          <w:rPr>
            <w:noProof/>
            <w:webHidden/>
          </w:rPr>
          <w:fldChar w:fldCharType="begin"/>
        </w:r>
        <w:r w:rsidRPr="001051D6">
          <w:rPr>
            <w:noProof/>
            <w:webHidden/>
          </w:rPr>
          <w:instrText xml:space="preserve"> PAGEREF _Toc218784195 \h </w:instrText>
        </w:r>
        <w:r w:rsidRPr="001051D6">
          <w:rPr>
            <w:noProof/>
            <w:webHidden/>
          </w:rPr>
        </w:r>
        <w:r w:rsidRPr="001051D6">
          <w:rPr>
            <w:noProof/>
            <w:webHidden/>
          </w:rPr>
          <w:fldChar w:fldCharType="separate"/>
        </w:r>
        <w:r w:rsidR="00C9271A">
          <w:rPr>
            <w:noProof/>
            <w:webHidden/>
          </w:rPr>
          <w:t>246</w:t>
        </w:r>
        <w:r w:rsidRPr="001051D6">
          <w:rPr>
            <w:noProof/>
            <w:webHidden/>
          </w:rPr>
          <w:fldChar w:fldCharType="end"/>
        </w:r>
      </w:hyperlink>
    </w:p>
    <w:p w14:paraId="5ACDBB80" w14:textId="29C31F11"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6" w:history="1">
        <w:r w:rsidRPr="001051D6">
          <w:rPr>
            <w:rStyle w:val="Hipervnculo"/>
            <w:noProof/>
            <w:color w:val="767171"/>
            <w:lang w:val="es-DO"/>
          </w:rPr>
          <w:t>Tabla 64. Gestión PQRS a través de la línea 3-1-1</w:t>
        </w:r>
        <w:r w:rsidRPr="001051D6">
          <w:rPr>
            <w:noProof/>
            <w:webHidden/>
          </w:rPr>
          <w:tab/>
        </w:r>
        <w:r w:rsidRPr="001051D6">
          <w:rPr>
            <w:noProof/>
            <w:webHidden/>
          </w:rPr>
          <w:fldChar w:fldCharType="begin"/>
        </w:r>
        <w:r w:rsidRPr="001051D6">
          <w:rPr>
            <w:noProof/>
            <w:webHidden/>
          </w:rPr>
          <w:instrText xml:space="preserve"> PAGEREF _Toc218784196 \h </w:instrText>
        </w:r>
        <w:r w:rsidRPr="001051D6">
          <w:rPr>
            <w:noProof/>
            <w:webHidden/>
          </w:rPr>
        </w:r>
        <w:r w:rsidRPr="001051D6">
          <w:rPr>
            <w:noProof/>
            <w:webHidden/>
          </w:rPr>
          <w:fldChar w:fldCharType="separate"/>
        </w:r>
        <w:r w:rsidR="00C9271A">
          <w:rPr>
            <w:noProof/>
            <w:webHidden/>
          </w:rPr>
          <w:t>249</w:t>
        </w:r>
        <w:r w:rsidRPr="001051D6">
          <w:rPr>
            <w:noProof/>
            <w:webHidden/>
          </w:rPr>
          <w:fldChar w:fldCharType="end"/>
        </w:r>
      </w:hyperlink>
    </w:p>
    <w:p w14:paraId="219EF2B2" w14:textId="49518B7B" w:rsidR="002460E5" w:rsidRPr="001051D6" w:rsidRDefault="002460E5" w:rsidP="002460E5">
      <w:pPr>
        <w:pStyle w:val="Tabladeilustraciones"/>
        <w:tabs>
          <w:tab w:val="right" w:leader="dot" w:pos="7910"/>
        </w:tabs>
        <w:spacing w:line="360" w:lineRule="auto"/>
        <w:rPr>
          <w:rFonts w:eastAsiaTheme="minorEastAsia"/>
          <w:noProof/>
          <w:spacing w:val="0"/>
          <w:kern w:val="2"/>
          <w:lang w:val="es-DO" w:eastAsia="es-DO"/>
          <w14:ligatures w14:val="standardContextual"/>
        </w:rPr>
      </w:pPr>
      <w:hyperlink w:anchor="_Toc218784197" w:history="1">
        <w:r w:rsidRPr="001051D6">
          <w:rPr>
            <w:rStyle w:val="Hipervnculo"/>
            <w:noProof/>
            <w:color w:val="767171"/>
            <w:lang w:val="es-DO"/>
          </w:rPr>
          <w:t>Tabla 65. Calificación Cumplimiento Ley 200-04, enero - diciembre 2025</w:t>
        </w:r>
        <w:r w:rsidRPr="001051D6">
          <w:rPr>
            <w:noProof/>
            <w:webHidden/>
          </w:rPr>
          <w:tab/>
        </w:r>
        <w:r w:rsidRPr="001051D6">
          <w:rPr>
            <w:noProof/>
            <w:webHidden/>
          </w:rPr>
          <w:fldChar w:fldCharType="begin"/>
        </w:r>
        <w:r w:rsidRPr="001051D6">
          <w:rPr>
            <w:noProof/>
            <w:webHidden/>
          </w:rPr>
          <w:instrText xml:space="preserve"> PAGEREF _Toc218784197 \h </w:instrText>
        </w:r>
        <w:r w:rsidRPr="001051D6">
          <w:rPr>
            <w:noProof/>
            <w:webHidden/>
          </w:rPr>
        </w:r>
        <w:r w:rsidRPr="001051D6">
          <w:rPr>
            <w:noProof/>
            <w:webHidden/>
          </w:rPr>
          <w:fldChar w:fldCharType="separate"/>
        </w:r>
        <w:r w:rsidR="00C9271A">
          <w:rPr>
            <w:noProof/>
            <w:webHidden/>
          </w:rPr>
          <w:t>249</w:t>
        </w:r>
        <w:r w:rsidRPr="001051D6">
          <w:rPr>
            <w:noProof/>
            <w:webHidden/>
          </w:rPr>
          <w:fldChar w:fldCharType="end"/>
        </w:r>
      </w:hyperlink>
    </w:p>
    <w:p w14:paraId="78466C72" w14:textId="69D15E4B" w:rsidR="00AC7E07" w:rsidRPr="001051D6" w:rsidRDefault="005C6D7A" w:rsidP="005C133F">
      <w:pPr>
        <w:spacing w:after="0" w:line="360" w:lineRule="auto"/>
        <w:ind w:left="567"/>
        <w:rPr>
          <w:b/>
          <w:bCs/>
          <w:noProof/>
          <w:lang w:val="es-DO"/>
        </w:rPr>
      </w:pPr>
      <w:r w:rsidRPr="001051D6">
        <w:rPr>
          <w:noProof/>
          <w:lang w:val="es-DO"/>
        </w:rPr>
        <w:fldChar w:fldCharType="end"/>
      </w:r>
      <w:r w:rsidR="00D904C9" w:rsidRPr="001051D6">
        <w:rPr>
          <w:b/>
          <w:bCs/>
          <w:noProof/>
          <w:lang w:val="es-DO"/>
        </w:rPr>
        <w:tab/>
      </w:r>
    </w:p>
    <w:p w14:paraId="7B167535" w14:textId="40AA9D6C" w:rsidR="00D904C9" w:rsidRPr="001051D6" w:rsidRDefault="00AC7E07" w:rsidP="005C133F">
      <w:pPr>
        <w:spacing w:after="0" w:line="360" w:lineRule="auto"/>
        <w:ind w:left="567"/>
        <w:rPr>
          <w:b/>
          <w:bCs/>
          <w:noProof/>
          <w:lang w:val="es-DO"/>
        </w:rPr>
      </w:pPr>
      <w:r w:rsidRPr="001051D6">
        <w:rPr>
          <w:b/>
          <w:bCs/>
          <w:noProof/>
          <w:lang w:val="es-DO"/>
        </w:rPr>
        <w:t xml:space="preserve">Índice de Gráficos </w:t>
      </w:r>
    </w:p>
    <w:p w14:paraId="0D14CBCC" w14:textId="77777777" w:rsidR="002460E5" w:rsidRPr="001051D6" w:rsidRDefault="002460E5" w:rsidP="005C133F">
      <w:pPr>
        <w:spacing w:after="0" w:line="360" w:lineRule="auto"/>
        <w:ind w:left="567"/>
        <w:rPr>
          <w:b/>
          <w:bCs/>
          <w:noProof/>
          <w:lang w:val="es-DO"/>
        </w:rPr>
      </w:pPr>
    </w:p>
    <w:p w14:paraId="6D838BCA" w14:textId="6CBC01CE" w:rsidR="00D904C9" w:rsidRPr="001051D6" w:rsidRDefault="00D904C9" w:rsidP="00020DE2">
      <w:pPr>
        <w:pStyle w:val="Tabladeilustraciones"/>
        <w:tabs>
          <w:tab w:val="right" w:leader="dot" w:pos="9350"/>
        </w:tabs>
        <w:spacing w:line="360" w:lineRule="auto"/>
        <w:jc w:val="both"/>
        <w:rPr>
          <w:rFonts w:eastAsiaTheme="minorEastAsia"/>
          <w:noProof/>
          <w:spacing w:val="0"/>
          <w:kern w:val="2"/>
          <w:lang w:val="es-DO" w:eastAsia="es-DO"/>
          <w14:ligatures w14:val="standardContextual"/>
        </w:rPr>
      </w:pPr>
      <w:r w:rsidRPr="001051D6">
        <w:rPr>
          <w:noProof/>
          <w:lang w:val="es-DO"/>
        </w:rPr>
        <w:fldChar w:fldCharType="begin"/>
      </w:r>
      <w:r w:rsidRPr="001051D6">
        <w:rPr>
          <w:noProof/>
          <w:lang w:val="es-DO"/>
        </w:rPr>
        <w:instrText xml:space="preserve"> TOC \h \z \c "Ilustración" </w:instrText>
      </w:r>
      <w:r w:rsidRPr="001051D6">
        <w:rPr>
          <w:noProof/>
          <w:lang w:val="es-DO"/>
        </w:rPr>
        <w:fldChar w:fldCharType="separate"/>
      </w:r>
      <w:hyperlink w:anchor="_Toc217047804" w:history="1">
        <w:r w:rsidRPr="001051D6">
          <w:rPr>
            <w:rStyle w:val="Hipervnculo"/>
            <w:noProof/>
            <w:color w:val="767171"/>
            <w:lang w:val="es-DO"/>
          </w:rPr>
          <w:t>Gráfico 1. Neto de Inversiones del Régimen Subsidiado, enero – agosto 2025</w:t>
        </w:r>
        <w:r w:rsidRPr="001051D6">
          <w:rPr>
            <w:noProof/>
            <w:webHidden/>
          </w:rPr>
          <w:tab/>
        </w:r>
        <w:r w:rsidRPr="001051D6">
          <w:rPr>
            <w:noProof/>
            <w:webHidden/>
          </w:rPr>
          <w:fldChar w:fldCharType="begin"/>
        </w:r>
        <w:r w:rsidRPr="001051D6">
          <w:rPr>
            <w:noProof/>
            <w:webHidden/>
          </w:rPr>
          <w:instrText xml:space="preserve"> PAGEREF _Toc217047804 \h </w:instrText>
        </w:r>
        <w:r w:rsidRPr="001051D6">
          <w:rPr>
            <w:noProof/>
            <w:webHidden/>
          </w:rPr>
        </w:r>
        <w:r w:rsidRPr="001051D6">
          <w:rPr>
            <w:noProof/>
            <w:webHidden/>
          </w:rPr>
          <w:fldChar w:fldCharType="separate"/>
        </w:r>
        <w:r w:rsidR="00C9271A">
          <w:rPr>
            <w:noProof/>
            <w:webHidden/>
          </w:rPr>
          <w:t>104</w:t>
        </w:r>
        <w:r w:rsidRPr="001051D6">
          <w:rPr>
            <w:noProof/>
            <w:webHidden/>
          </w:rPr>
          <w:fldChar w:fldCharType="end"/>
        </w:r>
      </w:hyperlink>
    </w:p>
    <w:p w14:paraId="6A96C4E2" w14:textId="5611F922"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05" w:history="1">
        <w:r w:rsidRPr="001051D6">
          <w:rPr>
            <w:rStyle w:val="Hipervnculo"/>
            <w:noProof/>
            <w:color w:val="767171"/>
            <w:lang w:val="es-DO"/>
          </w:rPr>
          <w:t>Gráfico 2. Disponibilidad de la Cuenta del Cuidado de la Salud del RC, enero – agosto 2025</w:t>
        </w:r>
        <w:r w:rsidRPr="001051D6">
          <w:rPr>
            <w:noProof/>
            <w:webHidden/>
          </w:rPr>
          <w:tab/>
        </w:r>
        <w:r w:rsidRPr="001051D6">
          <w:rPr>
            <w:noProof/>
            <w:webHidden/>
          </w:rPr>
          <w:fldChar w:fldCharType="begin"/>
        </w:r>
        <w:r w:rsidRPr="001051D6">
          <w:rPr>
            <w:noProof/>
            <w:webHidden/>
          </w:rPr>
          <w:instrText xml:space="preserve"> PAGEREF _Toc217047805 \h </w:instrText>
        </w:r>
        <w:r w:rsidRPr="001051D6">
          <w:rPr>
            <w:noProof/>
            <w:webHidden/>
          </w:rPr>
        </w:r>
        <w:r w:rsidRPr="001051D6">
          <w:rPr>
            <w:noProof/>
            <w:webHidden/>
          </w:rPr>
          <w:fldChar w:fldCharType="separate"/>
        </w:r>
        <w:r w:rsidR="00C9271A">
          <w:rPr>
            <w:noProof/>
            <w:webHidden/>
          </w:rPr>
          <w:t>105</w:t>
        </w:r>
        <w:r w:rsidRPr="001051D6">
          <w:rPr>
            <w:noProof/>
            <w:webHidden/>
          </w:rPr>
          <w:fldChar w:fldCharType="end"/>
        </w:r>
      </w:hyperlink>
    </w:p>
    <w:p w14:paraId="350BFFB9" w14:textId="7047D7C2"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06" w:history="1">
        <w:r w:rsidRPr="001051D6">
          <w:rPr>
            <w:rStyle w:val="Hipervnculo"/>
            <w:noProof/>
            <w:color w:val="767171"/>
            <w:lang w:val="es-DO"/>
          </w:rPr>
          <w:t>Gráfico 3. Recaudo Vs Pagos RC, enero – agosto 2025</w:t>
        </w:r>
        <w:r w:rsidRPr="001051D6">
          <w:rPr>
            <w:noProof/>
            <w:webHidden/>
          </w:rPr>
          <w:tab/>
        </w:r>
        <w:r w:rsidRPr="001051D6">
          <w:rPr>
            <w:noProof/>
            <w:webHidden/>
          </w:rPr>
          <w:fldChar w:fldCharType="begin"/>
        </w:r>
        <w:r w:rsidRPr="001051D6">
          <w:rPr>
            <w:noProof/>
            <w:webHidden/>
          </w:rPr>
          <w:instrText xml:space="preserve"> PAGEREF _Toc217047806 \h </w:instrText>
        </w:r>
        <w:r w:rsidRPr="001051D6">
          <w:rPr>
            <w:noProof/>
            <w:webHidden/>
          </w:rPr>
        </w:r>
        <w:r w:rsidRPr="001051D6">
          <w:rPr>
            <w:noProof/>
            <w:webHidden/>
          </w:rPr>
          <w:fldChar w:fldCharType="separate"/>
        </w:r>
        <w:r w:rsidR="00C9271A">
          <w:rPr>
            <w:noProof/>
            <w:webHidden/>
          </w:rPr>
          <w:t>106</w:t>
        </w:r>
        <w:r w:rsidRPr="001051D6">
          <w:rPr>
            <w:noProof/>
            <w:webHidden/>
          </w:rPr>
          <w:fldChar w:fldCharType="end"/>
        </w:r>
      </w:hyperlink>
    </w:p>
    <w:p w14:paraId="285E2C15" w14:textId="351B7059"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07" w:history="1">
        <w:r w:rsidRPr="001051D6">
          <w:rPr>
            <w:rStyle w:val="Hipervnculo"/>
            <w:rFonts w:eastAsia="Times New Roman"/>
            <w:noProof/>
            <w:color w:val="767171"/>
            <w:lang w:val="es-DO" w:eastAsia="es-DO"/>
          </w:rPr>
          <w:t>Gráfico 4. Neto de Inversiones del RC, enero – agosto 2025</w:t>
        </w:r>
        <w:r w:rsidRPr="001051D6">
          <w:rPr>
            <w:noProof/>
            <w:webHidden/>
          </w:rPr>
          <w:tab/>
        </w:r>
        <w:r w:rsidRPr="001051D6">
          <w:rPr>
            <w:noProof/>
            <w:webHidden/>
          </w:rPr>
          <w:fldChar w:fldCharType="begin"/>
        </w:r>
        <w:r w:rsidRPr="001051D6">
          <w:rPr>
            <w:noProof/>
            <w:webHidden/>
          </w:rPr>
          <w:instrText xml:space="preserve"> PAGEREF _Toc217047807 \h </w:instrText>
        </w:r>
        <w:r w:rsidRPr="001051D6">
          <w:rPr>
            <w:noProof/>
            <w:webHidden/>
          </w:rPr>
        </w:r>
        <w:r w:rsidRPr="001051D6">
          <w:rPr>
            <w:noProof/>
            <w:webHidden/>
          </w:rPr>
          <w:fldChar w:fldCharType="separate"/>
        </w:r>
        <w:r w:rsidR="00C9271A">
          <w:rPr>
            <w:noProof/>
            <w:webHidden/>
          </w:rPr>
          <w:t>108</w:t>
        </w:r>
        <w:r w:rsidRPr="001051D6">
          <w:rPr>
            <w:noProof/>
            <w:webHidden/>
          </w:rPr>
          <w:fldChar w:fldCharType="end"/>
        </w:r>
      </w:hyperlink>
    </w:p>
    <w:p w14:paraId="3FCDED3B" w14:textId="575CC19F"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08" w:history="1">
        <w:r w:rsidRPr="001051D6">
          <w:rPr>
            <w:rStyle w:val="Hipervnculo"/>
            <w:rFonts w:eastAsia="Times New Roman"/>
            <w:noProof/>
            <w:color w:val="767171"/>
            <w:lang w:val="es-DO" w:eastAsia="es-DO"/>
          </w:rPr>
          <w:t>Gráfico 5. Distribución del Total de Inversiones por Entidad Financiera, agosto 2025</w:t>
        </w:r>
        <w:r w:rsidRPr="001051D6">
          <w:rPr>
            <w:noProof/>
            <w:webHidden/>
          </w:rPr>
          <w:tab/>
        </w:r>
        <w:r w:rsidRPr="001051D6">
          <w:rPr>
            <w:noProof/>
            <w:webHidden/>
          </w:rPr>
          <w:fldChar w:fldCharType="begin"/>
        </w:r>
        <w:r w:rsidRPr="001051D6">
          <w:rPr>
            <w:noProof/>
            <w:webHidden/>
          </w:rPr>
          <w:instrText xml:space="preserve"> PAGEREF _Toc217047808 \h </w:instrText>
        </w:r>
        <w:r w:rsidRPr="001051D6">
          <w:rPr>
            <w:noProof/>
            <w:webHidden/>
          </w:rPr>
        </w:r>
        <w:r w:rsidRPr="001051D6">
          <w:rPr>
            <w:noProof/>
            <w:webHidden/>
          </w:rPr>
          <w:fldChar w:fldCharType="separate"/>
        </w:r>
        <w:r w:rsidR="00C9271A">
          <w:rPr>
            <w:noProof/>
            <w:webHidden/>
          </w:rPr>
          <w:t>110</w:t>
        </w:r>
        <w:r w:rsidRPr="001051D6">
          <w:rPr>
            <w:noProof/>
            <w:webHidden/>
          </w:rPr>
          <w:fldChar w:fldCharType="end"/>
        </w:r>
      </w:hyperlink>
    </w:p>
    <w:p w14:paraId="5A12D4D6" w14:textId="588954EC"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09" w:history="1">
        <w:r w:rsidRPr="001051D6">
          <w:rPr>
            <w:rStyle w:val="Hipervnculo"/>
            <w:rFonts w:eastAsia="Times New Roman"/>
            <w:noProof/>
            <w:color w:val="767171"/>
            <w:lang w:val="es-DO" w:eastAsia="es-DO"/>
          </w:rPr>
          <w:t>Gráfico 6. Distribución del Portafolio de Inversiones por Tipo de Instrumento, agosto 2025</w:t>
        </w:r>
        <w:r w:rsidRPr="001051D6">
          <w:rPr>
            <w:noProof/>
            <w:webHidden/>
          </w:rPr>
          <w:tab/>
        </w:r>
        <w:r w:rsidRPr="001051D6">
          <w:rPr>
            <w:noProof/>
            <w:webHidden/>
          </w:rPr>
          <w:fldChar w:fldCharType="begin"/>
        </w:r>
        <w:r w:rsidRPr="001051D6">
          <w:rPr>
            <w:noProof/>
            <w:webHidden/>
          </w:rPr>
          <w:instrText xml:space="preserve"> PAGEREF _Toc217047809 \h </w:instrText>
        </w:r>
        <w:r w:rsidRPr="001051D6">
          <w:rPr>
            <w:noProof/>
            <w:webHidden/>
          </w:rPr>
        </w:r>
        <w:r w:rsidRPr="001051D6">
          <w:rPr>
            <w:noProof/>
            <w:webHidden/>
          </w:rPr>
          <w:fldChar w:fldCharType="separate"/>
        </w:r>
        <w:r w:rsidR="00C9271A">
          <w:rPr>
            <w:noProof/>
            <w:webHidden/>
          </w:rPr>
          <w:t>110</w:t>
        </w:r>
        <w:r w:rsidRPr="001051D6">
          <w:rPr>
            <w:noProof/>
            <w:webHidden/>
          </w:rPr>
          <w:fldChar w:fldCharType="end"/>
        </w:r>
      </w:hyperlink>
    </w:p>
    <w:p w14:paraId="1F7BFEDE" w14:textId="2EC5FBDE"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0" w:history="1">
        <w:r w:rsidRPr="001051D6">
          <w:rPr>
            <w:rStyle w:val="Hipervnculo"/>
            <w:rFonts w:eastAsia="Times New Roman"/>
            <w:noProof/>
            <w:color w:val="767171"/>
            <w:lang w:val="es-DO" w:eastAsia="es-DO"/>
          </w:rPr>
          <w:t>Gráfico 7. Distribución de la Disponibilidad por Plan</w:t>
        </w:r>
        <w:r w:rsidRPr="001051D6">
          <w:rPr>
            <w:noProof/>
            <w:webHidden/>
          </w:rPr>
          <w:tab/>
        </w:r>
        <w:r w:rsidRPr="001051D6">
          <w:rPr>
            <w:noProof/>
            <w:webHidden/>
          </w:rPr>
          <w:fldChar w:fldCharType="begin"/>
        </w:r>
        <w:r w:rsidRPr="001051D6">
          <w:rPr>
            <w:noProof/>
            <w:webHidden/>
          </w:rPr>
          <w:instrText xml:space="preserve"> PAGEREF _Toc217047810 \h </w:instrText>
        </w:r>
        <w:r w:rsidRPr="001051D6">
          <w:rPr>
            <w:noProof/>
            <w:webHidden/>
          </w:rPr>
        </w:r>
        <w:r w:rsidRPr="001051D6">
          <w:rPr>
            <w:noProof/>
            <w:webHidden/>
          </w:rPr>
          <w:fldChar w:fldCharType="separate"/>
        </w:r>
        <w:r w:rsidR="00C9271A">
          <w:rPr>
            <w:noProof/>
            <w:webHidden/>
          </w:rPr>
          <w:t>112</w:t>
        </w:r>
        <w:r w:rsidRPr="001051D6">
          <w:rPr>
            <w:noProof/>
            <w:webHidden/>
          </w:rPr>
          <w:fldChar w:fldCharType="end"/>
        </w:r>
      </w:hyperlink>
    </w:p>
    <w:p w14:paraId="72ED5E6A" w14:textId="6073F306"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1" w:history="1">
        <w:r w:rsidRPr="001051D6">
          <w:rPr>
            <w:rStyle w:val="Hipervnculo"/>
            <w:rFonts w:eastAsia="Times New Roman"/>
            <w:noProof/>
            <w:color w:val="767171"/>
            <w:lang w:val="es-DO" w:eastAsia="es-DO"/>
          </w:rPr>
          <w:t>Gráfico 8. Aportes Recibidos vs. Pagos Realizados en Planes Especiales</w:t>
        </w:r>
        <w:r w:rsidRPr="001051D6">
          <w:rPr>
            <w:noProof/>
            <w:webHidden/>
          </w:rPr>
          <w:tab/>
        </w:r>
        <w:r w:rsidRPr="001051D6">
          <w:rPr>
            <w:noProof/>
            <w:webHidden/>
          </w:rPr>
          <w:fldChar w:fldCharType="begin"/>
        </w:r>
        <w:r w:rsidRPr="001051D6">
          <w:rPr>
            <w:noProof/>
            <w:webHidden/>
          </w:rPr>
          <w:instrText xml:space="preserve"> PAGEREF _Toc217047811 \h </w:instrText>
        </w:r>
        <w:r w:rsidRPr="001051D6">
          <w:rPr>
            <w:noProof/>
            <w:webHidden/>
          </w:rPr>
        </w:r>
        <w:r w:rsidRPr="001051D6">
          <w:rPr>
            <w:noProof/>
            <w:webHidden/>
          </w:rPr>
          <w:fldChar w:fldCharType="separate"/>
        </w:r>
        <w:r w:rsidR="00C9271A">
          <w:rPr>
            <w:noProof/>
            <w:webHidden/>
          </w:rPr>
          <w:t>113</w:t>
        </w:r>
        <w:r w:rsidRPr="001051D6">
          <w:rPr>
            <w:noProof/>
            <w:webHidden/>
          </w:rPr>
          <w:fldChar w:fldCharType="end"/>
        </w:r>
      </w:hyperlink>
    </w:p>
    <w:p w14:paraId="174C0B8F" w14:textId="7C060039"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2" w:history="1">
        <w:r w:rsidRPr="001051D6">
          <w:rPr>
            <w:rStyle w:val="Hipervnculo"/>
            <w:rFonts w:eastAsia="Times New Roman"/>
            <w:noProof/>
            <w:color w:val="767171"/>
            <w:lang w:val="es-DO" w:eastAsia="es-DO"/>
          </w:rPr>
          <w:t>Gráfico 9. Evolución del Total General Neto de Inversiones</w:t>
        </w:r>
        <w:r w:rsidRPr="001051D6">
          <w:rPr>
            <w:noProof/>
            <w:webHidden/>
          </w:rPr>
          <w:tab/>
        </w:r>
        <w:r w:rsidRPr="001051D6">
          <w:rPr>
            <w:noProof/>
            <w:webHidden/>
          </w:rPr>
          <w:fldChar w:fldCharType="begin"/>
        </w:r>
        <w:r w:rsidRPr="001051D6">
          <w:rPr>
            <w:noProof/>
            <w:webHidden/>
          </w:rPr>
          <w:instrText xml:space="preserve"> PAGEREF _Toc217047812 \h </w:instrText>
        </w:r>
        <w:r w:rsidRPr="001051D6">
          <w:rPr>
            <w:noProof/>
            <w:webHidden/>
          </w:rPr>
        </w:r>
        <w:r w:rsidRPr="001051D6">
          <w:rPr>
            <w:noProof/>
            <w:webHidden/>
          </w:rPr>
          <w:fldChar w:fldCharType="separate"/>
        </w:r>
        <w:r w:rsidR="00C9271A">
          <w:rPr>
            <w:noProof/>
            <w:webHidden/>
          </w:rPr>
          <w:t>114</w:t>
        </w:r>
        <w:r w:rsidRPr="001051D6">
          <w:rPr>
            <w:noProof/>
            <w:webHidden/>
          </w:rPr>
          <w:fldChar w:fldCharType="end"/>
        </w:r>
      </w:hyperlink>
    </w:p>
    <w:p w14:paraId="5B643AF3" w14:textId="3D33DF22"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3" w:history="1">
        <w:r w:rsidRPr="001051D6">
          <w:rPr>
            <w:rStyle w:val="Hipervnculo"/>
            <w:rFonts w:eastAsia="Times New Roman"/>
            <w:noProof/>
            <w:color w:val="767171"/>
            <w:lang w:val="es-DO" w:eastAsia="es-DO"/>
          </w:rPr>
          <w:t>Gráfico 10. Neto de Inversiones Por Planes Especiales</w:t>
        </w:r>
        <w:r w:rsidRPr="001051D6">
          <w:rPr>
            <w:noProof/>
            <w:webHidden/>
          </w:rPr>
          <w:tab/>
        </w:r>
        <w:r w:rsidRPr="001051D6">
          <w:rPr>
            <w:noProof/>
            <w:webHidden/>
          </w:rPr>
          <w:fldChar w:fldCharType="begin"/>
        </w:r>
        <w:r w:rsidRPr="001051D6">
          <w:rPr>
            <w:noProof/>
            <w:webHidden/>
          </w:rPr>
          <w:instrText xml:space="preserve"> PAGEREF _Toc217047813 \h </w:instrText>
        </w:r>
        <w:r w:rsidRPr="001051D6">
          <w:rPr>
            <w:noProof/>
            <w:webHidden/>
          </w:rPr>
        </w:r>
        <w:r w:rsidRPr="001051D6">
          <w:rPr>
            <w:noProof/>
            <w:webHidden/>
          </w:rPr>
          <w:fldChar w:fldCharType="separate"/>
        </w:r>
        <w:r w:rsidR="00C9271A">
          <w:rPr>
            <w:noProof/>
            <w:webHidden/>
          </w:rPr>
          <w:t>115</w:t>
        </w:r>
        <w:r w:rsidRPr="001051D6">
          <w:rPr>
            <w:noProof/>
            <w:webHidden/>
          </w:rPr>
          <w:fldChar w:fldCharType="end"/>
        </w:r>
      </w:hyperlink>
    </w:p>
    <w:p w14:paraId="2F36597D" w14:textId="5C3EC308"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4" w:history="1">
        <w:r w:rsidRPr="001051D6">
          <w:rPr>
            <w:rStyle w:val="Hipervnculo"/>
            <w:rFonts w:eastAsia="Times New Roman"/>
            <w:noProof/>
            <w:color w:val="767171"/>
            <w:lang w:val="es-DO" w:eastAsia="es-DO"/>
          </w:rPr>
          <w:t>Gráfico 11. Recaudo y Pagos, enero - agosto 2025</w:t>
        </w:r>
        <w:r w:rsidRPr="001051D6">
          <w:rPr>
            <w:noProof/>
            <w:webHidden/>
          </w:rPr>
          <w:tab/>
        </w:r>
        <w:r w:rsidRPr="001051D6">
          <w:rPr>
            <w:noProof/>
            <w:webHidden/>
          </w:rPr>
          <w:fldChar w:fldCharType="begin"/>
        </w:r>
        <w:r w:rsidRPr="001051D6">
          <w:rPr>
            <w:noProof/>
            <w:webHidden/>
          </w:rPr>
          <w:instrText xml:space="preserve"> PAGEREF _Toc217047814 \h </w:instrText>
        </w:r>
        <w:r w:rsidRPr="001051D6">
          <w:rPr>
            <w:noProof/>
            <w:webHidden/>
          </w:rPr>
        </w:r>
        <w:r w:rsidRPr="001051D6">
          <w:rPr>
            <w:noProof/>
            <w:webHidden/>
          </w:rPr>
          <w:fldChar w:fldCharType="separate"/>
        </w:r>
        <w:r w:rsidR="00C9271A">
          <w:rPr>
            <w:noProof/>
            <w:webHidden/>
          </w:rPr>
          <w:t>116</w:t>
        </w:r>
        <w:r w:rsidRPr="001051D6">
          <w:rPr>
            <w:noProof/>
            <w:webHidden/>
          </w:rPr>
          <w:fldChar w:fldCharType="end"/>
        </w:r>
      </w:hyperlink>
    </w:p>
    <w:p w14:paraId="5313E8C0" w14:textId="41178638"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5" w:history="1">
        <w:r w:rsidRPr="001051D6">
          <w:rPr>
            <w:rStyle w:val="Hipervnculo"/>
            <w:rFonts w:eastAsia="Times New Roman"/>
            <w:noProof/>
            <w:color w:val="767171"/>
            <w:lang w:val="es-DO" w:eastAsia="es-DO"/>
          </w:rPr>
          <w:t>Gráfico 12. Pagos acumulados a agosto 2025</w:t>
        </w:r>
        <w:r w:rsidRPr="001051D6">
          <w:rPr>
            <w:noProof/>
            <w:webHidden/>
          </w:rPr>
          <w:tab/>
        </w:r>
        <w:r w:rsidRPr="001051D6">
          <w:rPr>
            <w:noProof/>
            <w:webHidden/>
          </w:rPr>
          <w:fldChar w:fldCharType="begin"/>
        </w:r>
        <w:r w:rsidRPr="001051D6">
          <w:rPr>
            <w:noProof/>
            <w:webHidden/>
          </w:rPr>
          <w:instrText xml:space="preserve"> PAGEREF _Toc217047815 \h </w:instrText>
        </w:r>
        <w:r w:rsidRPr="001051D6">
          <w:rPr>
            <w:noProof/>
            <w:webHidden/>
          </w:rPr>
        </w:r>
        <w:r w:rsidRPr="001051D6">
          <w:rPr>
            <w:noProof/>
            <w:webHidden/>
          </w:rPr>
          <w:fldChar w:fldCharType="separate"/>
        </w:r>
        <w:r w:rsidR="00C9271A">
          <w:rPr>
            <w:noProof/>
            <w:webHidden/>
          </w:rPr>
          <w:t>117</w:t>
        </w:r>
        <w:r w:rsidRPr="001051D6">
          <w:rPr>
            <w:noProof/>
            <w:webHidden/>
          </w:rPr>
          <w:fldChar w:fldCharType="end"/>
        </w:r>
      </w:hyperlink>
    </w:p>
    <w:p w14:paraId="3DD4ED82" w14:textId="13C36CE9"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6" w:history="1">
        <w:r w:rsidRPr="001051D6">
          <w:rPr>
            <w:rStyle w:val="Hipervnculo"/>
            <w:rFonts w:eastAsia="Times New Roman"/>
            <w:noProof/>
            <w:color w:val="767171"/>
            <w:lang w:val="es-DO" w:eastAsia="es-DO"/>
          </w:rPr>
          <w:t>Gráfico 13. Neto de Inversiones</w:t>
        </w:r>
        <w:r w:rsidRPr="001051D6">
          <w:rPr>
            <w:noProof/>
            <w:webHidden/>
          </w:rPr>
          <w:tab/>
        </w:r>
        <w:r w:rsidRPr="001051D6">
          <w:rPr>
            <w:noProof/>
            <w:webHidden/>
          </w:rPr>
          <w:fldChar w:fldCharType="begin"/>
        </w:r>
        <w:r w:rsidRPr="001051D6">
          <w:rPr>
            <w:noProof/>
            <w:webHidden/>
          </w:rPr>
          <w:instrText xml:space="preserve"> PAGEREF _Toc217047816 \h </w:instrText>
        </w:r>
        <w:r w:rsidRPr="001051D6">
          <w:rPr>
            <w:noProof/>
            <w:webHidden/>
          </w:rPr>
        </w:r>
        <w:r w:rsidRPr="001051D6">
          <w:rPr>
            <w:noProof/>
            <w:webHidden/>
          </w:rPr>
          <w:fldChar w:fldCharType="separate"/>
        </w:r>
        <w:r w:rsidR="00C9271A">
          <w:rPr>
            <w:noProof/>
            <w:webHidden/>
          </w:rPr>
          <w:t>118</w:t>
        </w:r>
        <w:r w:rsidRPr="001051D6">
          <w:rPr>
            <w:noProof/>
            <w:webHidden/>
          </w:rPr>
          <w:fldChar w:fldCharType="end"/>
        </w:r>
      </w:hyperlink>
    </w:p>
    <w:p w14:paraId="2CA87350" w14:textId="2ACC9F7F"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7" w:history="1">
        <w:r w:rsidRPr="001051D6">
          <w:rPr>
            <w:rStyle w:val="Hipervnculo"/>
            <w:rFonts w:eastAsia="Times New Roman"/>
            <w:noProof/>
            <w:color w:val="767171"/>
            <w:lang w:val="es-DO" w:eastAsia="es-DO"/>
          </w:rPr>
          <w:t>Gráfico 14. Composición de la Inversión de las Reservas Técnicas y Participación de los Reaseguradores</w:t>
        </w:r>
        <w:r w:rsidRPr="001051D6">
          <w:rPr>
            <w:noProof/>
            <w:webHidden/>
          </w:rPr>
          <w:tab/>
        </w:r>
        <w:r w:rsidRPr="001051D6">
          <w:rPr>
            <w:noProof/>
            <w:webHidden/>
          </w:rPr>
          <w:fldChar w:fldCharType="begin"/>
        </w:r>
        <w:r w:rsidRPr="001051D6">
          <w:rPr>
            <w:noProof/>
            <w:webHidden/>
          </w:rPr>
          <w:instrText xml:space="preserve"> PAGEREF _Toc217047817 \h </w:instrText>
        </w:r>
        <w:r w:rsidRPr="001051D6">
          <w:rPr>
            <w:noProof/>
            <w:webHidden/>
          </w:rPr>
        </w:r>
        <w:r w:rsidRPr="001051D6">
          <w:rPr>
            <w:noProof/>
            <w:webHidden/>
          </w:rPr>
          <w:fldChar w:fldCharType="separate"/>
        </w:r>
        <w:r w:rsidR="00C9271A">
          <w:rPr>
            <w:noProof/>
            <w:webHidden/>
          </w:rPr>
          <w:t>119</w:t>
        </w:r>
        <w:r w:rsidRPr="001051D6">
          <w:rPr>
            <w:noProof/>
            <w:webHidden/>
          </w:rPr>
          <w:fldChar w:fldCharType="end"/>
        </w:r>
      </w:hyperlink>
    </w:p>
    <w:p w14:paraId="555C8ACB" w14:textId="534EFBA3"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8" w:history="1">
        <w:r w:rsidRPr="001051D6">
          <w:rPr>
            <w:rStyle w:val="Hipervnculo"/>
            <w:rFonts w:eastAsia="Times New Roman"/>
            <w:noProof/>
            <w:color w:val="767171"/>
            <w:lang w:val="es-DO" w:eastAsia="es-DO"/>
          </w:rPr>
          <w:t>Gráfico 15. Distribución de Certificados de Depósito por Institución Financiera</w:t>
        </w:r>
        <w:r w:rsidRPr="001051D6">
          <w:rPr>
            <w:noProof/>
            <w:webHidden/>
          </w:rPr>
          <w:tab/>
        </w:r>
        <w:r w:rsidRPr="001051D6">
          <w:rPr>
            <w:noProof/>
            <w:webHidden/>
          </w:rPr>
          <w:fldChar w:fldCharType="begin"/>
        </w:r>
        <w:r w:rsidRPr="001051D6">
          <w:rPr>
            <w:noProof/>
            <w:webHidden/>
          </w:rPr>
          <w:instrText xml:space="preserve"> PAGEREF _Toc217047818 \h </w:instrText>
        </w:r>
        <w:r w:rsidRPr="001051D6">
          <w:rPr>
            <w:noProof/>
            <w:webHidden/>
          </w:rPr>
        </w:r>
        <w:r w:rsidRPr="001051D6">
          <w:rPr>
            <w:noProof/>
            <w:webHidden/>
          </w:rPr>
          <w:fldChar w:fldCharType="separate"/>
        </w:r>
        <w:r w:rsidR="00C9271A">
          <w:rPr>
            <w:noProof/>
            <w:webHidden/>
          </w:rPr>
          <w:t>119</w:t>
        </w:r>
        <w:r w:rsidRPr="001051D6">
          <w:rPr>
            <w:noProof/>
            <w:webHidden/>
          </w:rPr>
          <w:fldChar w:fldCharType="end"/>
        </w:r>
      </w:hyperlink>
    </w:p>
    <w:p w14:paraId="5A457991" w14:textId="6C5D4AF1" w:rsidR="00D904C9" w:rsidRPr="001051D6" w:rsidRDefault="00D904C9" w:rsidP="005C133F">
      <w:pPr>
        <w:pStyle w:val="Tabladeilustraciones"/>
        <w:tabs>
          <w:tab w:val="right" w:leader="dot" w:pos="9350"/>
        </w:tabs>
        <w:spacing w:line="360" w:lineRule="auto"/>
        <w:rPr>
          <w:rFonts w:eastAsiaTheme="minorEastAsia"/>
          <w:noProof/>
          <w:spacing w:val="0"/>
          <w:kern w:val="2"/>
          <w:lang w:val="es-DO" w:eastAsia="es-DO"/>
          <w14:ligatures w14:val="standardContextual"/>
        </w:rPr>
      </w:pPr>
      <w:hyperlink w:anchor="_Toc217047819" w:history="1">
        <w:r w:rsidRPr="001051D6">
          <w:rPr>
            <w:rStyle w:val="Hipervnculo"/>
            <w:rFonts w:eastAsia="Times New Roman"/>
            <w:noProof/>
            <w:color w:val="767171"/>
            <w:lang w:val="es-DO" w:eastAsia="es-DO"/>
          </w:rPr>
          <w:t>Gráfico 16. Per cápita mensual observado del Régimen Contributivo en el período noviembre 2023 – octubre 2024 vs per cápita vigente</w:t>
        </w:r>
        <w:r w:rsidRPr="001051D6">
          <w:rPr>
            <w:noProof/>
            <w:webHidden/>
          </w:rPr>
          <w:tab/>
        </w:r>
        <w:r w:rsidRPr="001051D6">
          <w:rPr>
            <w:noProof/>
            <w:webHidden/>
          </w:rPr>
          <w:fldChar w:fldCharType="begin"/>
        </w:r>
        <w:r w:rsidRPr="001051D6">
          <w:rPr>
            <w:noProof/>
            <w:webHidden/>
          </w:rPr>
          <w:instrText xml:space="preserve"> PAGEREF _Toc217047819 \h </w:instrText>
        </w:r>
        <w:r w:rsidRPr="001051D6">
          <w:rPr>
            <w:noProof/>
            <w:webHidden/>
          </w:rPr>
        </w:r>
        <w:r w:rsidRPr="001051D6">
          <w:rPr>
            <w:noProof/>
            <w:webHidden/>
          </w:rPr>
          <w:fldChar w:fldCharType="separate"/>
        </w:r>
        <w:r w:rsidR="00C9271A">
          <w:rPr>
            <w:noProof/>
            <w:webHidden/>
          </w:rPr>
          <w:t>120</w:t>
        </w:r>
        <w:r w:rsidRPr="001051D6">
          <w:rPr>
            <w:noProof/>
            <w:webHidden/>
          </w:rPr>
          <w:fldChar w:fldCharType="end"/>
        </w:r>
      </w:hyperlink>
    </w:p>
    <w:p w14:paraId="1DBDA006" w14:textId="163F673D" w:rsidR="00AC7E07" w:rsidRPr="001051D6" w:rsidRDefault="00D904C9" w:rsidP="005C133F">
      <w:pPr>
        <w:spacing w:after="0" w:line="360" w:lineRule="auto"/>
        <w:ind w:left="567"/>
        <w:rPr>
          <w:b/>
          <w:bCs/>
          <w:noProof/>
          <w:lang w:val="es-DO"/>
        </w:rPr>
        <w:sectPr w:rsidR="00AC7E07" w:rsidRPr="001051D6" w:rsidSect="00020DE2">
          <w:headerReference w:type="default" r:id="rId15"/>
          <w:footerReference w:type="default" r:id="rId16"/>
          <w:pgSz w:w="12240" w:h="15840"/>
          <w:pgMar w:top="1440" w:right="2160" w:bottom="1440" w:left="2160" w:header="720" w:footer="720" w:gutter="0"/>
          <w:cols w:space="720"/>
          <w:docGrid w:linePitch="360"/>
        </w:sectPr>
      </w:pPr>
      <w:r w:rsidRPr="001051D6">
        <w:rPr>
          <w:noProof/>
          <w:lang w:val="es-DO"/>
        </w:rPr>
        <w:fldChar w:fldCharType="end"/>
      </w:r>
    </w:p>
    <w:p w14:paraId="0F6F47BA" w14:textId="614A7723" w:rsidR="009D33FC" w:rsidRPr="00DD13D0" w:rsidRDefault="009D33FC">
      <w:pPr>
        <w:pStyle w:val="Ttulo1"/>
        <w:numPr>
          <w:ilvl w:val="0"/>
          <w:numId w:val="206"/>
        </w:numPr>
        <w:ind w:left="0" w:firstLine="0"/>
        <w:rPr>
          <w:rFonts w:cs="Times New Roman"/>
          <w:color w:val="767171"/>
          <w:szCs w:val="28"/>
          <w:lang w:val="es-DO"/>
        </w:rPr>
      </w:pPr>
      <w:bookmarkStart w:id="3" w:name="_Toc219121829"/>
      <w:r w:rsidRPr="00DD13D0">
        <w:rPr>
          <w:rFonts w:cs="Times New Roman"/>
          <w:color w:val="767171"/>
          <w:szCs w:val="28"/>
          <w:lang w:val="es-DO"/>
        </w:rPr>
        <w:lastRenderedPageBreak/>
        <w:t>RESUMEN EJECUTIVO</w:t>
      </w:r>
      <w:bookmarkEnd w:id="3"/>
    </w:p>
    <w:p w14:paraId="4FD3F9B7" w14:textId="19F62FEE" w:rsidR="009D33FC" w:rsidRPr="005C133F" w:rsidRDefault="00152B47" w:rsidP="005C133F">
      <w:pPr>
        <w:spacing w:after="0" w:line="360" w:lineRule="auto"/>
        <w:jc w:val="both"/>
        <w:rPr>
          <w:rFonts w:eastAsia="Calibri"/>
          <w:noProof/>
          <w:lang w:val="es-DO"/>
        </w:rPr>
      </w:pPr>
      <w:r w:rsidRPr="005C133F">
        <w:rPr>
          <w:rFonts w:eastAsia="Calibri"/>
          <w:noProof/>
          <w:lang w:val="es-DO" w:eastAsia="es-DO"/>
        </w:rPr>
        <mc:AlternateContent>
          <mc:Choice Requires="wps">
            <w:drawing>
              <wp:anchor distT="0" distB="0" distL="114300" distR="114300" simplePos="0" relativeHeight="251658242" behindDoc="0" locked="0" layoutInCell="1" allowOverlap="1" wp14:anchorId="0EDB877E" wp14:editId="389C53FE">
                <wp:simplePos x="0" y="0"/>
                <wp:positionH relativeFrom="margin">
                  <wp:align>center</wp:align>
                </wp:positionH>
                <wp:positionV relativeFrom="paragraph">
                  <wp:posOffset>39370</wp:posOffset>
                </wp:positionV>
                <wp:extent cx="463550" cy="0"/>
                <wp:effectExtent l="0" t="19050" r="31750" b="19050"/>
                <wp:wrapNone/>
                <wp:docPr id="144343614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301DD" id="Straight Connector 8"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pt" to="3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LLwJ2AAAAAMBAAAP&#10;AAAAZHJzL2Rvd25yZXYueG1sTI/LTsMwEEX3SPyDNUjsqENBKQ1xKoSExAYohUWX03jygHgcxW4S&#10;/p6BDSyP7ujeM/lmdp0aaQitZwOXiwQUcelty7WB97eHixtQISJb7DyTgS8KsClOT3LMrJ/4lcZd&#10;rJWUcMjQQBNjn2kdyoYchoXviSWr/OAwCg61tgNOUu46vUySVDtsWRYa7Om+ofJzd3Sy+/LkV9X4&#10;mF7H7cce7Xpqn6utMedn890tqEhz/DuGH31Rh0KcDv7INqjOgDwSDaRLUBKurg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QCy8CdgAAAADAQAADwAAAAAAAAAAAAAA&#10;AAAgBAAAZHJzL2Rvd25yZXYueG1sUEsFBgAAAAAEAAQA8wAAACUFAAAAAA==&#10;" strokecolor="#ee2a24" strokeweight="2.25pt">
                <v:stroke joinstyle="miter"/>
                <w10:wrap anchorx="margin"/>
              </v:line>
            </w:pict>
          </mc:Fallback>
        </mc:AlternateContent>
      </w:r>
    </w:p>
    <w:p w14:paraId="592BFD9C" w14:textId="77777777" w:rsidR="00F26B9E" w:rsidRPr="005C133F" w:rsidRDefault="00F26B9E" w:rsidP="00F26B9E">
      <w:pPr>
        <w:spacing w:after="0" w:line="360" w:lineRule="auto"/>
        <w:jc w:val="center"/>
        <w:rPr>
          <w:lang w:val="es-DO"/>
        </w:rPr>
      </w:pPr>
      <w:r w:rsidRPr="005C133F">
        <w:rPr>
          <w:lang w:val="es-DO"/>
        </w:rPr>
        <w:t>Memoria Institucional 2025</w:t>
      </w:r>
    </w:p>
    <w:p w14:paraId="04A07E2C" w14:textId="77777777" w:rsidR="00F26B9E" w:rsidRDefault="00F26B9E" w:rsidP="005C133F">
      <w:pPr>
        <w:spacing w:after="0" w:line="360" w:lineRule="auto"/>
        <w:jc w:val="both"/>
        <w:rPr>
          <w:lang w:val="es-DO"/>
        </w:rPr>
      </w:pPr>
    </w:p>
    <w:p w14:paraId="19532224" w14:textId="182CAAC8" w:rsidR="00A4358F" w:rsidRPr="00F26B9E" w:rsidRDefault="00A4358F" w:rsidP="005C133F">
      <w:pPr>
        <w:spacing w:after="0" w:line="360" w:lineRule="auto"/>
        <w:jc w:val="both"/>
        <w:rPr>
          <w:rFonts w:eastAsia="Calibri"/>
          <w:lang w:val="es-DO"/>
        </w:rPr>
      </w:pPr>
      <w:r w:rsidRPr="005C133F">
        <w:rPr>
          <w:rFonts w:eastAsia="Calibri"/>
          <w:lang w:val="es-DO"/>
        </w:rPr>
        <w:t xml:space="preserve">Durante el período enero - diciembre 2025, esta Superintendencia de Salud y Riesgos Laborales (SISALRIL), en cumplimiento de las funciones misionales establecida en la Ley 87-01 que crea el Sistema Dominicano de Seguridad Social, ejecutó una conjunto de iniciativas orientadas a garantizar el derecho a la salud que tiene la población dominicana a través del aseguramiento en salud y riesgos laborales en condiciones de calidad, equidad y sostenibilidad, mediante el fortalecimiento del sistema de regulación, supervisión, conciliación y fiscalización de las entidades administradoras y prestadoras de servicios. </w:t>
      </w:r>
      <w:r w:rsidRPr="00F26B9E">
        <w:rPr>
          <w:rFonts w:eastAsia="Calibri"/>
          <w:lang w:val="es-DO"/>
        </w:rPr>
        <w:t xml:space="preserve">  </w:t>
      </w:r>
    </w:p>
    <w:p w14:paraId="2DD97992" w14:textId="77777777" w:rsidR="00C1188D" w:rsidRPr="00F26B9E" w:rsidRDefault="00C1188D" w:rsidP="005C133F">
      <w:pPr>
        <w:spacing w:after="0" w:line="360" w:lineRule="auto"/>
        <w:jc w:val="both"/>
        <w:rPr>
          <w:rFonts w:eastAsia="Calibri"/>
          <w:noProof/>
          <w:lang w:val="es-DO"/>
        </w:rPr>
      </w:pPr>
    </w:p>
    <w:p w14:paraId="25518D61" w14:textId="015AAF68" w:rsidR="00A4358F" w:rsidRPr="005C133F" w:rsidRDefault="00A4358F" w:rsidP="005C133F">
      <w:pPr>
        <w:spacing w:after="0" w:line="360" w:lineRule="auto"/>
        <w:jc w:val="both"/>
        <w:rPr>
          <w:b/>
          <w:lang w:val="es-DO"/>
        </w:rPr>
      </w:pPr>
      <w:r w:rsidRPr="005C133F">
        <w:rPr>
          <w:b/>
          <w:lang w:val="es-DO"/>
        </w:rPr>
        <w:t>Acciones relevantes</w:t>
      </w:r>
      <w:r w:rsidR="005A03B7" w:rsidRPr="005C133F">
        <w:rPr>
          <w:b/>
          <w:lang w:val="es-DO"/>
        </w:rPr>
        <w:t xml:space="preserve">: </w:t>
      </w:r>
    </w:p>
    <w:p w14:paraId="1C3A0558" w14:textId="1E7F69D9" w:rsidR="00A4358F"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t xml:space="preserve">Protección de la población mediante el aseguramiento en salud y riesgos laborales (afiliación): </w:t>
      </w:r>
    </w:p>
    <w:p w14:paraId="2090EFD8" w14:textId="5ECFD369" w:rsidR="00A4358F" w:rsidRPr="005C133F" w:rsidRDefault="00A4358F">
      <w:pPr>
        <w:pStyle w:val="Prrafodelista"/>
        <w:numPr>
          <w:ilvl w:val="0"/>
          <w:numId w:val="48"/>
        </w:numPr>
        <w:spacing w:after="0" w:line="360" w:lineRule="auto"/>
        <w:jc w:val="both"/>
        <w:rPr>
          <w:rFonts w:eastAsia="Calibri"/>
          <w:b/>
          <w:bCs/>
          <w:noProof/>
          <w:lang w:val="es-DO"/>
        </w:rPr>
      </w:pPr>
      <w:r w:rsidRPr="005C133F">
        <w:rPr>
          <w:rFonts w:eastAsia="Calibri"/>
          <w:b/>
          <w:bCs/>
          <w:noProof/>
          <w:lang w:val="es-DO"/>
        </w:rPr>
        <w:t>10,60</w:t>
      </w:r>
      <w:r w:rsidR="0018237D">
        <w:rPr>
          <w:rFonts w:eastAsia="Calibri"/>
          <w:b/>
          <w:bCs/>
          <w:noProof/>
          <w:lang w:val="es-DO"/>
        </w:rPr>
        <w:t>8</w:t>
      </w:r>
      <w:r w:rsidRPr="005C133F">
        <w:rPr>
          <w:rFonts w:eastAsia="Calibri"/>
          <w:b/>
          <w:bCs/>
          <w:noProof/>
          <w:lang w:val="es-DO"/>
        </w:rPr>
        <w:t>,</w:t>
      </w:r>
      <w:r w:rsidR="0018237D">
        <w:rPr>
          <w:rFonts w:eastAsia="Calibri"/>
          <w:b/>
          <w:bCs/>
          <w:noProof/>
          <w:lang w:val="es-DO"/>
        </w:rPr>
        <w:t>360</w:t>
      </w:r>
      <w:r w:rsidRPr="005C133F">
        <w:rPr>
          <w:rFonts w:eastAsia="Calibri"/>
          <w:noProof/>
          <w:lang w:val="es-DO"/>
        </w:rPr>
        <w:t xml:space="preserve"> afiliados al Seguro Familiar de Salud (SFS) a través de los diferentes regímenes vigentes, lo que representa aproximadamente el </w:t>
      </w:r>
      <w:r w:rsidRPr="005C133F">
        <w:rPr>
          <w:rFonts w:eastAsia="Calibri"/>
          <w:b/>
          <w:bCs/>
          <w:noProof/>
          <w:lang w:val="es-DO"/>
        </w:rPr>
        <w:t>97.</w:t>
      </w:r>
      <w:r w:rsidR="00BE357B">
        <w:rPr>
          <w:rFonts w:eastAsia="Calibri"/>
          <w:b/>
          <w:bCs/>
          <w:noProof/>
          <w:lang w:val="es-DO"/>
        </w:rPr>
        <w:t>52</w:t>
      </w:r>
      <w:r w:rsidRPr="005C133F">
        <w:rPr>
          <w:rFonts w:eastAsia="Calibri"/>
          <w:b/>
          <w:bCs/>
          <w:noProof/>
          <w:lang w:val="es-DO"/>
        </w:rPr>
        <w:t>%</w:t>
      </w:r>
      <w:r w:rsidRPr="005C133F">
        <w:rPr>
          <w:rFonts w:eastAsia="Calibri"/>
          <w:noProof/>
          <w:lang w:val="es-DO"/>
        </w:rPr>
        <w:t xml:space="preserve">  de la población (10,878,267 personas). De este total</w:t>
      </w:r>
      <w:r w:rsidRPr="005C133F">
        <w:rPr>
          <w:rFonts w:eastAsia="Calibri"/>
          <w:b/>
          <w:bCs/>
          <w:noProof/>
          <w:lang w:val="es-DO"/>
        </w:rPr>
        <w:t>,</w:t>
      </w:r>
      <w:r w:rsidRPr="005C133F">
        <w:rPr>
          <w:b/>
          <w:bCs/>
          <w:lang w:val="es-DO"/>
        </w:rPr>
        <w:t xml:space="preserve"> </w:t>
      </w:r>
      <w:r w:rsidRPr="005C133F">
        <w:rPr>
          <w:rFonts w:eastAsia="Calibri"/>
          <w:b/>
          <w:bCs/>
          <w:noProof/>
          <w:lang w:val="es-DO"/>
        </w:rPr>
        <w:t>4,8</w:t>
      </w:r>
      <w:r w:rsidR="00374D17">
        <w:rPr>
          <w:rFonts w:eastAsia="Calibri"/>
          <w:b/>
          <w:bCs/>
          <w:noProof/>
          <w:lang w:val="es-DO"/>
        </w:rPr>
        <w:t>33</w:t>
      </w:r>
      <w:r w:rsidRPr="005C133F">
        <w:rPr>
          <w:rFonts w:eastAsia="Calibri"/>
          <w:b/>
          <w:bCs/>
          <w:noProof/>
          <w:lang w:val="es-DO"/>
        </w:rPr>
        <w:t>,</w:t>
      </w:r>
      <w:r w:rsidR="00435DE3">
        <w:rPr>
          <w:rFonts w:eastAsia="Calibri"/>
          <w:b/>
          <w:bCs/>
          <w:noProof/>
          <w:lang w:val="es-DO"/>
        </w:rPr>
        <w:t>892</w:t>
      </w:r>
      <w:r w:rsidRPr="005C133F">
        <w:rPr>
          <w:rFonts w:eastAsia="Calibri"/>
          <w:noProof/>
          <w:lang w:val="es-DO"/>
        </w:rPr>
        <w:t xml:space="preserve"> corresponden al Régimen Contributivo, </w:t>
      </w:r>
      <w:r w:rsidRPr="005C133F">
        <w:rPr>
          <w:rFonts w:eastAsia="Calibri"/>
          <w:b/>
          <w:bCs/>
          <w:noProof/>
          <w:lang w:val="es-DO"/>
        </w:rPr>
        <w:t>5,6</w:t>
      </w:r>
      <w:r w:rsidR="00C43F3E">
        <w:rPr>
          <w:rFonts w:eastAsia="Calibri"/>
          <w:b/>
          <w:bCs/>
          <w:noProof/>
          <w:lang w:val="es-DO"/>
        </w:rPr>
        <w:t>55</w:t>
      </w:r>
      <w:r w:rsidRPr="005C133F">
        <w:rPr>
          <w:rFonts w:eastAsia="Calibri"/>
          <w:b/>
          <w:bCs/>
          <w:noProof/>
          <w:lang w:val="es-DO"/>
        </w:rPr>
        <w:t>,</w:t>
      </w:r>
      <w:r w:rsidR="00C43F3E">
        <w:rPr>
          <w:rFonts w:eastAsia="Calibri"/>
          <w:b/>
          <w:bCs/>
          <w:noProof/>
          <w:lang w:val="es-DO"/>
        </w:rPr>
        <w:t>485</w:t>
      </w:r>
      <w:r w:rsidRPr="005C133F">
        <w:rPr>
          <w:rFonts w:eastAsia="Calibri"/>
          <w:noProof/>
          <w:lang w:val="es-DO"/>
        </w:rPr>
        <w:t xml:space="preserve"> al Régimen Subsidiado y </w:t>
      </w:r>
      <w:r w:rsidRPr="005C133F">
        <w:rPr>
          <w:rFonts w:eastAsia="Calibri"/>
          <w:b/>
          <w:bCs/>
          <w:noProof/>
          <w:lang w:val="es-DO"/>
        </w:rPr>
        <w:t>118,</w:t>
      </w:r>
      <w:r w:rsidR="00AA3800">
        <w:rPr>
          <w:rFonts w:eastAsia="Calibri"/>
          <w:b/>
          <w:bCs/>
          <w:noProof/>
          <w:lang w:val="es-DO"/>
        </w:rPr>
        <w:t>983</w:t>
      </w:r>
      <w:r w:rsidRPr="005C133F">
        <w:rPr>
          <w:rFonts w:eastAsia="Calibri"/>
          <w:noProof/>
          <w:lang w:val="es-DO"/>
        </w:rPr>
        <w:t xml:space="preserve"> a Planes Especiales de Pensionados y Jubilados con un monto total de dispersión de </w:t>
      </w:r>
      <w:r w:rsidRPr="005C133F">
        <w:rPr>
          <w:rFonts w:eastAsia="Calibri"/>
          <w:b/>
          <w:bCs/>
          <w:noProof/>
          <w:lang w:val="es-DO"/>
        </w:rPr>
        <w:t>RD$</w:t>
      </w:r>
      <w:r w:rsidR="003D79E6" w:rsidRPr="00F867F6">
        <w:rPr>
          <w:rFonts w:eastAsia="Calibri"/>
          <w:b/>
          <w:bCs/>
          <w:noProof/>
          <w:lang w:val="es-DO"/>
        </w:rPr>
        <w:t>11,199,987,76</w:t>
      </w:r>
      <w:r w:rsidR="00F867F6" w:rsidRPr="00F867F6">
        <w:rPr>
          <w:rFonts w:eastAsia="Calibri"/>
          <w:b/>
          <w:bCs/>
          <w:noProof/>
          <w:lang w:val="es-DO"/>
        </w:rPr>
        <w:t>1</w:t>
      </w:r>
      <w:r w:rsidRPr="005C133F">
        <w:rPr>
          <w:rFonts w:eastAsia="Calibri"/>
          <w:noProof/>
          <w:lang w:val="es-DO"/>
        </w:rPr>
        <w:t xml:space="preserve"> al cierre de </w:t>
      </w:r>
      <w:r w:rsidR="00DF675C">
        <w:rPr>
          <w:rFonts w:eastAsia="Calibri"/>
          <w:noProof/>
          <w:lang w:val="es-DO"/>
        </w:rPr>
        <w:t>diciembre</w:t>
      </w:r>
      <w:r w:rsidRPr="005C133F">
        <w:rPr>
          <w:rFonts w:eastAsia="Calibri"/>
          <w:noProof/>
          <w:lang w:val="es-DO"/>
        </w:rPr>
        <w:t xml:space="preserve"> de  2025. </w:t>
      </w:r>
    </w:p>
    <w:p w14:paraId="6969B462" w14:textId="04AFB906" w:rsidR="00527659" w:rsidRPr="005C133F" w:rsidRDefault="00A4358F">
      <w:pPr>
        <w:pStyle w:val="Prrafodelista"/>
        <w:numPr>
          <w:ilvl w:val="0"/>
          <w:numId w:val="48"/>
        </w:numPr>
        <w:spacing w:after="0" w:line="360" w:lineRule="auto"/>
        <w:jc w:val="both"/>
        <w:rPr>
          <w:rFonts w:eastAsia="Calibri"/>
          <w:b/>
          <w:bCs/>
          <w:noProof/>
          <w:lang w:val="es-DO"/>
        </w:rPr>
      </w:pPr>
      <w:r w:rsidRPr="005C133F">
        <w:rPr>
          <w:rFonts w:eastAsia="Calibri"/>
          <w:b/>
          <w:bCs/>
          <w:noProof/>
          <w:lang w:val="es-DO"/>
        </w:rPr>
        <w:t>2,</w:t>
      </w:r>
      <w:r w:rsidR="008A469F">
        <w:rPr>
          <w:rFonts w:eastAsia="Calibri"/>
          <w:b/>
          <w:bCs/>
          <w:noProof/>
          <w:lang w:val="es-DO"/>
        </w:rPr>
        <w:t>472</w:t>
      </w:r>
      <w:r w:rsidRPr="005C133F">
        <w:rPr>
          <w:rFonts w:eastAsia="Calibri"/>
          <w:b/>
          <w:bCs/>
          <w:noProof/>
          <w:lang w:val="es-DO"/>
        </w:rPr>
        <w:t>,</w:t>
      </w:r>
      <w:r w:rsidR="008A469F">
        <w:rPr>
          <w:rFonts w:eastAsia="Calibri"/>
          <w:b/>
          <w:bCs/>
          <w:noProof/>
          <w:lang w:val="es-DO"/>
        </w:rPr>
        <w:t>105</w:t>
      </w:r>
      <w:r w:rsidRPr="005C133F">
        <w:rPr>
          <w:rFonts w:eastAsia="Calibri"/>
          <w:noProof/>
          <w:lang w:val="es-DO"/>
        </w:rPr>
        <w:t xml:space="preserve"> de trabajadores, económicamente activos y ocupados formal del mercado laboral afiliados al Seguro de Riesgos Laborales a </w:t>
      </w:r>
      <w:r w:rsidR="00C73EB1">
        <w:rPr>
          <w:rFonts w:eastAsia="Calibri"/>
          <w:noProof/>
          <w:lang w:val="es-DO"/>
        </w:rPr>
        <w:t>diciembre</w:t>
      </w:r>
      <w:r w:rsidRPr="005C133F">
        <w:rPr>
          <w:rFonts w:eastAsia="Calibri"/>
          <w:noProof/>
          <w:lang w:val="es-DO"/>
        </w:rPr>
        <w:t xml:space="preserve"> de 2025. </w:t>
      </w:r>
    </w:p>
    <w:p w14:paraId="0A9724BB" w14:textId="77777777" w:rsidR="00A4358F"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lastRenderedPageBreak/>
        <w:t xml:space="preserve">Mejora del acceso y ampliación de coberturas del Seguro Familiar de Salud </w:t>
      </w:r>
    </w:p>
    <w:p w14:paraId="6368DAF8" w14:textId="77777777" w:rsidR="00A4358F" w:rsidRPr="005C133F" w:rsidRDefault="00A4358F">
      <w:pPr>
        <w:pStyle w:val="Prrafodelista"/>
        <w:numPr>
          <w:ilvl w:val="0"/>
          <w:numId w:val="202"/>
        </w:numPr>
        <w:spacing w:after="0" w:line="360" w:lineRule="auto"/>
        <w:jc w:val="both"/>
        <w:rPr>
          <w:lang w:val="es-DO"/>
        </w:rPr>
      </w:pPr>
      <w:r w:rsidRPr="005C133F">
        <w:rPr>
          <w:rFonts w:eastAsia="Calibri"/>
          <w:noProof/>
          <w:lang w:val="es-DO"/>
        </w:rPr>
        <w:t xml:space="preserve">Inclusion de nuevas coberturas en beneficio de la poblacion afiliada al SDSS, </w:t>
      </w:r>
      <w:r w:rsidRPr="005C133F">
        <w:rPr>
          <w:lang w:val="es-DO"/>
        </w:rPr>
        <w:t>a</w:t>
      </w:r>
      <w:r w:rsidRPr="005C133F">
        <w:rPr>
          <w:rFonts w:eastAsia="Calibri"/>
          <w:noProof/>
          <w:lang w:val="es-DO"/>
        </w:rPr>
        <w:t xml:space="preserve">probados mediante la Resolución núm. 624-02 del CNSS,  consistente en: </w:t>
      </w:r>
    </w:p>
    <w:p w14:paraId="48A54F68" w14:textId="77777777" w:rsidR="00A4358F" w:rsidRPr="005C133F" w:rsidRDefault="00A4358F">
      <w:pPr>
        <w:pStyle w:val="Prrafodelista"/>
        <w:numPr>
          <w:ilvl w:val="1"/>
          <w:numId w:val="202"/>
        </w:numPr>
        <w:spacing w:after="0" w:line="360" w:lineRule="auto"/>
        <w:jc w:val="both"/>
        <w:rPr>
          <w:lang w:val="es-DO"/>
        </w:rPr>
      </w:pPr>
      <w:r w:rsidRPr="005C133F">
        <w:rPr>
          <w:rFonts w:eastAsia="Calibri"/>
          <w:noProof/>
          <w:lang w:val="es-DO"/>
        </w:rPr>
        <w:t xml:space="preserve">Mamoplastia por reduccion destinada a hombres y mujeres con crecimiento patologico de mamas; ampliación del listado de medicamentos ambulatorios, incluyendo cuarenta (40) medicamentos conforme a la actualizacion del Cuadro Basico de Medicamentos Escenciales; </w:t>
      </w:r>
      <w:r w:rsidRPr="005C133F">
        <w:rPr>
          <w:lang w:val="es-DO"/>
        </w:rPr>
        <w:t xml:space="preserve">Inclusión de nuevos medicamentos para Diabetes, Hipertensión, antibióticos, anticonceptivos y otros; Antirretrovirales para VIH y Hepatitis B; </w:t>
      </w:r>
      <w:r w:rsidRPr="005C133F">
        <w:rPr>
          <w:rFonts w:eastAsia="Calibri"/>
          <w:noProof/>
          <w:lang w:val="es-DO"/>
        </w:rPr>
        <w:t xml:space="preserve">Incorporacion de procedimientos diagnósticos y tratamiento para el control de la tuberculosis; </w:t>
      </w:r>
      <w:r w:rsidRPr="005C133F">
        <w:rPr>
          <w:lang w:val="es-DO"/>
        </w:rPr>
        <w:t xml:space="preserve">Incremento del 50 % en la tarifa de consulta ambulatoria para todas las especialidades, pasando de RD$500 a RD$750 incluyendo las consultas odontológicas, psiquiátricas y psicológicas. </w:t>
      </w:r>
    </w:p>
    <w:p w14:paraId="08E43787" w14:textId="77777777" w:rsidR="00A4358F" w:rsidRPr="005C133F" w:rsidRDefault="00A4358F">
      <w:pPr>
        <w:pStyle w:val="Prrafodelista"/>
        <w:numPr>
          <w:ilvl w:val="1"/>
          <w:numId w:val="202"/>
        </w:numPr>
        <w:spacing w:after="0" w:line="360" w:lineRule="auto"/>
        <w:jc w:val="both"/>
        <w:rPr>
          <w:lang w:val="es-DO"/>
        </w:rPr>
      </w:pPr>
      <w:r w:rsidRPr="005C133F">
        <w:rPr>
          <w:lang w:val="es-DO"/>
        </w:rPr>
        <w:t>Se aprobó la suma de RD$204.32 de incremento del costo per cápita del Seguro Familiar de Salud (SFS) del Régimen Contributivo, pasando así el per cápita de RD$1,683.22 a RD$1,887.54, de los cuales RD$1,882.49 se dispersarán a las ARS, y RD$5.05 al Fondo Especial para Programas Prioritarios de Salud Pública, a partir de la dispersión del mes de noviembre del año 2025, con beneficios a partir de noviembre 2025</w:t>
      </w:r>
    </w:p>
    <w:p w14:paraId="3632FB5A" w14:textId="77777777" w:rsidR="00A4358F" w:rsidRPr="005C133F" w:rsidRDefault="00A4358F">
      <w:pPr>
        <w:pStyle w:val="Prrafodelista"/>
        <w:numPr>
          <w:ilvl w:val="1"/>
          <w:numId w:val="202"/>
        </w:numPr>
        <w:spacing w:after="0" w:line="360" w:lineRule="auto"/>
        <w:jc w:val="both"/>
        <w:rPr>
          <w:lang w:val="es-DO"/>
        </w:rPr>
      </w:pPr>
      <w:r w:rsidRPr="005C133F">
        <w:rPr>
          <w:lang w:val="es-DO"/>
        </w:rPr>
        <w:lastRenderedPageBreak/>
        <w:t>Se aprobó el modelo del per cápita diferenciado por riesgo en el Régimen Contributivo del Seguro Familiar de Salud, con el propósito de alinear el financiamiento con las características demográficas y epidemiológicas de la población afiliada a cada ARS promoviendo una distribución más justa y eficiente de los recursos, tomando como premisa que el per cápita de los dependientes adicionales se mantenga fijo, es decir, se aporte por cada uno de ellos RD$1,887.54 sin importar sexo y edad. En el caso de los titulares y dependientes directos, a partir del per cápita aprobado para dispersión a las ARS (RD$1,882.49), se dispone de un per cápita base de RD$1,694.24 y se mantiene el 10% de gasto administrativo, siendo de RD$188.25. Con el per cápita base se obtiene un per cápita ajustado por riesgo (PCA) por grupo de edad y sexo, donde los factores de riesgos individual, FARIND se obtuvieron al dividir los per cápita ajustados por riesgo por grupo de edad y sexo entre el per cápita único.</w:t>
      </w:r>
    </w:p>
    <w:p w14:paraId="5CE18635"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En el Régimen Subsidiado, mediante la Resolución CNSS núm. 610-04, se aprobaron importantes ampliaciones de cobertura, entre ellas:</w:t>
      </w:r>
    </w:p>
    <w:p w14:paraId="52E68947" w14:textId="77777777" w:rsidR="00A4358F" w:rsidRPr="005C133F" w:rsidRDefault="00A4358F">
      <w:pPr>
        <w:pStyle w:val="Prrafodelista"/>
        <w:numPr>
          <w:ilvl w:val="1"/>
          <w:numId w:val="202"/>
        </w:numPr>
        <w:spacing w:after="0" w:line="360" w:lineRule="auto"/>
        <w:jc w:val="both"/>
        <w:rPr>
          <w:lang w:val="es-DO"/>
        </w:rPr>
      </w:pPr>
      <w:r w:rsidRPr="005C133F">
        <w:rPr>
          <w:lang w:val="es-DO"/>
        </w:rPr>
        <w:t>Incremento del per cápita mensual de RD$259.43 a RD$321.97, efectivo a partir de abril de 2025, para otorgarles a los afiliados los beneficios y servicios incluidos en el Plan de Servicios de Salud (PDSS), con retroactividad a enero del mismo año.</w:t>
      </w:r>
    </w:p>
    <w:p w14:paraId="712D4374" w14:textId="77777777" w:rsidR="00A4358F" w:rsidRPr="005C133F" w:rsidRDefault="00A4358F">
      <w:pPr>
        <w:pStyle w:val="Prrafodelista"/>
        <w:numPr>
          <w:ilvl w:val="1"/>
          <w:numId w:val="202"/>
        </w:numPr>
        <w:spacing w:after="0" w:line="360" w:lineRule="auto"/>
        <w:jc w:val="both"/>
        <w:rPr>
          <w:lang w:val="es-DO"/>
        </w:rPr>
      </w:pPr>
      <w:r w:rsidRPr="005C133F">
        <w:rPr>
          <w:lang w:val="es-DO"/>
        </w:rPr>
        <w:t xml:space="preserve">Incremento de la cobertura de medicamentos de alto costo para cáncer en RD$1,000,000.00 y se unifica la </w:t>
      </w:r>
      <w:r w:rsidRPr="005C133F">
        <w:rPr>
          <w:lang w:val="es-DO"/>
        </w:rPr>
        <w:lastRenderedPageBreak/>
        <w:t>cobertura ya dispuesta para llegar hasta RD$2,090,000.00.</w:t>
      </w:r>
    </w:p>
    <w:p w14:paraId="7081B119" w14:textId="77777777" w:rsidR="00A4358F" w:rsidRPr="005C133F" w:rsidRDefault="00A4358F">
      <w:pPr>
        <w:pStyle w:val="Prrafodelista"/>
        <w:numPr>
          <w:ilvl w:val="1"/>
          <w:numId w:val="202"/>
        </w:numPr>
        <w:spacing w:after="0" w:line="360" w:lineRule="auto"/>
        <w:jc w:val="both"/>
        <w:rPr>
          <w:lang w:val="es-DO"/>
        </w:rPr>
      </w:pPr>
      <w:r w:rsidRPr="005C133F">
        <w:rPr>
          <w:lang w:val="es-DO"/>
        </w:rPr>
        <w:t>Extensión de la cobertura de alto costo para patologías no oncológicas hasta RD$1,000,000.00.</w:t>
      </w:r>
    </w:p>
    <w:p w14:paraId="0FEE6AF2" w14:textId="7F4A4CED" w:rsidR="00A4358F" w:rsidRPr="005C133F" w:rsidRDefault="00A4358F">
      <w:pPr>
        <w:pStyle w:val="Prrafodelista"/>
        <w:numPr>
          <w:ilvl w:val="1"/>
          <w:numId w:val="202"/>
        </w:numPr>
        <w:spacing w:after="0" w:line="360" w:lineRule="auto"/>
        <w:jc w:val="both"/>
        <w:rPr>
          <w:lang w:val="es-DO"/>
        </w:rPr>
      </w:pPr>
      <w:r w:rsidRPr="005C133F">
        <w:rPr>
          <w:lang w:val="es-DO"/>
        </w:rPr>
        <w:t>Ajuste del per cápita por accidentes de tránsito (FONAMAT), para el Régimen Subsidiado, por un monto de RD$5.45, pasando mensualmente de RD$6.00 a RD$11.45.</w:t>
      </w:r>
    </w:p>
    <w:p w14:paraId="235348C6" w14:textId="2E81A3F2" w:rsidR="00A4358F"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t xml:space="preserve">Gestion y administración de subsidios:  </w:t>
      </w:r>
    </w:p>
    <w:p w14:paraId="108AD680" w14:textId="790F4EE4" w:rsidR="00527659"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 xml:space="preserve">203,527 personas se beneficiaron con el pago de subsidios de los diferentes tipos durante el año 2025, para un total de 664,390 pagos en solicitudes de subsidios con un desembolso total de RD$4,481,322,343.60. Las madres beneficiadas con Subsidio por Maternidad fueron 26,785 y con el Subsidio por Lactancia 75,496, generando compromisos y pagos por un monto de RD$921,375,114.07 y RD$1,911,536,859.95, respectivamente. Asimismo, 101,246 afiliados y afiliadas fueron beneficiados con el Subsidio por Enfermedad Común y accidente no laboral, que implicaron compromisos y pagos ascendentes a RD$1,648,410,369.58.  </w:t>
      </w:r>
    </w:p>
    <w:p w14:paraId="0D659939" w14:textId="631F2201" w:rsidR="00A4358F"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t xml:space="preserve">Gestión para Mantenimiento del Equilibrio Financiero del Seguro Familiar de Salud  </w:t>
      </w:r>
    </w:p>
    <w:p w14:paraId="46972F11" w14:textId="6DD9DF13" w:rsidR="00527659" w:rsidRPr="005C133F" w:rsidRDefault="00A4358F">
      <w:pPr>
        <w:pStyle w:val="Prrafodelista"/>
        <w:numPr>
          <w:ilvl w:val="0"/>
          <w:numId w:val="202"/>
        </w:numPr>
        <w:spacing w:after="0" w:line="360" w:lineRule="auto"/>
        <w:jc w:val="both"/>
        <w:rPr>
          <w:rFonts w:eastAsia="Times New Roman"/>
          <w:lang w:val="es-DO"/>
        </w:rPr>
      </w:pPr>
      <w:r w:rsidRPr="005C133F">
        <w:rPr>
          <w:rFonts w:eastAsia="Calibri"/>
          <w:noProof/>
          <w:lang w:val="es-DO"/>
        </w:rPr>
        <w:t xml:space="preserve">Se realizaron </w:t>
      </w:r>
      <w:r w:rsidR="002E7284">
        <w:rPr>
          <w:rFonts w:eastAsia="Calibri"/>
          <w:noProof/>
          <w:lang w:val="es-DO"/>
        </w:rPr>
        <w:t>cuarenta</w:t>
      </w:r>
      <w:r w:rsidRPr="005C133F">
        <w:rPr>
          <w:rFonts w:eastAsia="Calibri"/>
          <w:noProof/>
          <w:lang w:val="es-DO"/>
        </w:rPr>
        <w:t xml:space="preserve"> (</w:t>
      </w:r>
      <w:r w:rsidR="002E7284">
        <w:rPr>
          <w:rFonts w:eastAsia="Calibri"/>
          <w:noProof/>
          <w:lang w:val="es-DO"/>
        </w:rPr>
        <w:t>40</w:t>
      </w:r>
      <w:r w:rsidRPr="005C133F">
        <w:rPr>
          <w:rFonts w:eastAsia="Calibri"/>
          <w:noProof/>
          <w:lang w:val="es-DO"/>
        </w:rPr>
        <w:t xml:space="preserve">) procesos de auditorías a las Administradoras de Riesgos de Salud y al IDOPPRIL, de las cuales </w:t>
      </w:r>
      <w:r w:rsidR="002E7284">
        <w:rPr>
          <w:rFonts w:eastAsia="Calibri"/>
          <w:noProof/>
          <w:lang w:val="es-DO"/>
        </w:rPr>
        <w:t xml:space="preserve">dieciocho </w:t>
      </w:r>
      <w:r w:rsidRPr="005C133F">
        <w:rPr>
          <w:rFonts w:eastAsia="Calibri"/>
          <w:noProof/>
          <w:lang w:val="es-DO"/>
        </w:rPr>
        <w:t>(1</w:t>
      </w:r>
      <w:r w:rsidR="002E7284">
        <w:rPr>
          <w:rFonts w:eastAsia="Calibri"/>
          <w:noProof/>
          <w:lang w:val="es-DO"/>
        </w:rPr>
        <w:t>8</w:t>
      </w:r>
      <w:r w:rsidRPr="005C133F">
        <w:rPr>
          <w:rFonts w:eastAsia="Calibri"/>
          <w:noProof/>
          <w:lang w:val="es-DO"/>
        </w:rPr>
        <w:t xml:space="preserve">) corresponden a Auditorías Financieras y </w:t>
      </w:r>
      <w:r w:rsidR="002E7284">
        <w:rPr>
          <w:rFonts w:eastAsia="Calibri"/>
          <w:noProof/>
          <w:lang w:val="es-DO"/>
        </w:rPr>
        <w:t xml:space="preserve">dieciocho </w:t>
      </w:r>
      <w:r w:rsidRPr="005C133F">
        <w:rPr>
          <w:rFonts w:eastAsia="Calibri"/>
          <w:noProof/>
          <w:lang w:val="es-DO"/>
        </w:rPr>
        <w:t>(1</w:t>
      </w:r>
      <w:r w:rsidR="002E7284">
        <w:rPr>
          <w:rFonts w:eastAsia="Calibri"/>
          <w:noProof/>
          <w:lang w:val="es-DO"/>
        </w:rPr>
        <w:t>8</w:t>
      </w:r>
      <w:r w:rsidRPr="005C133F">
        <w:rPr>
          <w:rFonts w:eastAsia="Calibri"/>
          <w:noProof/>
          <w:lang w:val="es-DO"/>
        </w:rPr>
        <w:t xml:space="preserve">) Auditorías de Sistemas. En cuanto al primer grupo de auditorías, </w:t>
      </w:r>
      <w:r w:rsidR="002E7284">
        <w:rPr>
          <w:rFonts w:eastAsia="Calibri"/>
          <w:noProof/>
          <w:lang w:val="es-DO"/>
        </w:rPr>
        <w:t>trece</w:t>
      </w:r>
      <w:r w:rsidRPr="005C133F">
        <w:rPr>
          <w:rFonts w:eastAsia="Calibri"/>
          <w:noProof/>
          <w:lang w:val="es-DO"/>
        </w:rPr>
        <w:t xml:space="preserve"> (1</w:t>
      </w:r>
      <w:r w:rsidR="002E7284">
        <w:rPr>
          <w:rFonts w:eastAsia="Calibri"/>
          <w:noProof/>
          <w:lang w:val="es-DO"/>
        </w:rPr>
        <w:t>3</w:t>
      </w:r>
      <w:r w:rsidRPr="005C133F">
        <w:rPr>
          <w:rFonts w:eastAsia="Calibri"/>
          <w:noProof/>
          <w:lang w:val="es-DO"/>
        </w:rPr>
        <w:t xml:space="preserve">) fueron aplicadas a las ARS Privadas, tres (3) a las ARS de Autogestión y </w:t>
      </w:r>
      <w:r w:rsidR="002E7284">
        <w:rPr>
          <w:rFonts w:eastAsia="Calibri"/>
          <w:noProof/>
          <w:lang w:val="es-DO"/>
        </w:rPr>
        <w:t>dos</w:t>
      </w:r>
      <w:r w:rsidRPr="005C133F">
        <w:rPr>
          <w:rFonts w:eastAsia="Calibri"/>
          <w:noProof/>
          <w:lang w:val="es-DO"/>
        </w:rPr>
        <w:t xml:space="preserve"> </w:t>
      </w:r>
      <w:r w:rsidR="002E7284">
        <w:rPr>
          <w:rFonts w:eastAsia="Calibri"/>
          <w:noProof/>
          <w:lang w:val="es-DO"/>
        </w:rPr>
        <w:t>(2</w:t>
      </w:r>
      <w:r w:rsidRPr="005C133F">
        <w:rPr>
          <w:rFonts w:eastAsia="Calibri"/>
          <w:noProof/>
          <w:lang w:val="es-DO"/>
        </w:rPr>
        <w:t xml:space="preserve">) a ARS Pública; con relación al </w:t>
      </w:r>
      <w:r w:rsidRPr="005C133F">
        <w:rPr>
          <w:rFonts w:eastAsia="Calibri"/>
          <w:noProof/>
          <w:lang w:val="es-DO"/>
        </w:rPr>
        <w:lastRenderedPageBreak/>
        <w:t xml:space="preserve">segundo grupo, </w:t>
      </w:r>
      <w:r w:rsidR="002E7284">
        <w:rPr>
          <w:rFonts w:eastAsia="Calibri"/>
          <w:noProof/>
          <w:lang w:val="es-DO"/>
        </w:rPr>
        <w:t>doce</w:t>
      </w:r>
      <w:r w:rsidRPr="005C133F">
        <w:rPr>
          <w:rFonts w:eastAsia="Calibri"/>
          <w:noProof/>
          <w:lang w:val="es-DO"/>
        </w:rPr>
        <w:t xml:space="preserve"> (1</w:t>
      </w:r>
      <w:r w:rsidR="002E7284">
        <w:rPr>
          <w:rFonts w:eastAsia="Calibri"/>
          <w:noProof/>
          <w:lang w:val="es-DO"/>
        </w:rPr>
        <w:t>2</w:t>
      </w:r>
      <w:r w:rsidRPr="005C133F">
        <w:rPr>
          <w:rFonts w:eastAsia="Calibri"/>
          <w:noProof/>
          <w:lang w:val="es-DO"/>
        </w:rPr>
        <w:t xml:space="preserve">) fueron realizadas en ARS Privadas, dos (2) en ARS Públicas y </w:t>
      </w:r>
      <w:r w:rsidR="002E7284">
        <w:rPr>
          <w:rFonts w:eastAsia="Calibri"/>
          <w:noProof/>
          <w:lang w:val="es-DO"/>
        </w:rPr>
        <w:t>cuatro</w:t>
      </w:r>
      <w:r w:rsidRPr="005C133F">
        <w:rPr>
          <w:rFonts w:eastAsia="Calibri"/>
          <w:noProof/>
          <w:lang w:val="es-DO"/>
        </w:rPr>
        <w:t xml:space="preserve"> (</w:t>
      </w:r>
      <w:r w:rsidR="002E7284">
        <w:rPr>
          <w:rFonts w:eastAsia="Calibri"/>
          <w:noProof/>
          <w:lang w:val="es-DO"/>
        </w:rPr>
        <w:t>4</w:t>
      </w:r>
      <w:r w:rsidRPr="005C133F">
        <w:rPr>
          <w:rFonts w:eastAsia="Calibri"/>
          <w:noProof/>
          <w:lang w:val="es-DO"/>
        </w:rPr>
        <w:t xml:space="preserve">) en ARS de Autogestión. A partir de las citadas auditorías se analizó la información financiera de las ARS y el IDOPPRIL respecto al cumplimiento de los siguientes indicadores: </w:t>
      </w:r>
      <w:r w:rsidRPr="005C133F">
        <w:rPr>
          <w:rFonts w:eastAsia="Times New Roman"/>
          <w:lang w:val="es-DO"/>
        </w:rPr>
        <w:t>Reservas Técnicas (RT) e Inversiones de las RT, Capital Mínimo Requerido (CMR); Margen de Solvencia (MS), Exceso de Gastos Generales y Administrativos (GGA) y Cálculo de las Reservas de Siniestros Ocurridos, pero no reportados (IBNR).</w:t>
      </w:r>
    </w:p>
    <w:p w14:paraId="7C443078" w14:textId="01E7D134" w:rsidR="00527659"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t>Fortalecimiento del Sistema de Regulación, Supervisión, Conciliación y Fiscalización</w:t>
      </w:r>
    </w:p>
    <w:p w14:paraId="28C9A775" w14:textId="77777777" w:rsidR="00527659" w:rsidRPr="005C133F" w:rsidRDefault="00A4358F">
      <w:pPr>
        <w:pStyle w:val="Prrafodelista"/>
        <w:numPr>
          <w:ilvl w:val="0"/>
          <w:numId w:val="198"/>
        </w:numPr>
        <w:spacing w:after="0" w:line="360" w:lineRule="auto"/>
        <w:jc w:val="both"/>
        <w:rPr>
          <w:rFonts w:eastAsiaTheme="majorEastAsia"/>
          <w:lang w:val="es-ES"/>
        </w:rPr>
      </w:pPr>
      <w:r w:rsidRPr="005C133F">
        <w:rPr>
          <w:rFonts w:eastAsiaTheme="majorEastAsia"/>
          <w:lang w:val="es-ES"/>
        </w:rPr>
        <w:t xml:space="preserve">Se emitió la Resolución Administrativa núm. 00264-2025, de fecha 12 septiembre de 2025, que establece el proceso de registro y descargo de las autorizaciones de cobertura, reclamaciones y pagos por servicios de salud.  Y se emitieron veintidós (22) circulares con instrucciones a las ARS y PSS. </w:t>
      </w:r>
    </w:p>
    <w:p w14:paraId="09892CD2" w14:textId="60620333" w:rsidR="00A4358F" w:rsidRPr="005C133F" w:rsidRDefault="00BF0115">
      <w:pPr>
        <w:pStyle w:val="Prrafodelista"/>
        <w:numPr>
          <w:ilvl w:val="0"/>
          <w:numId w:val="198"/>
        </w:numPr>
        <w:spacing w:after="0" w:line="360" w:lineRule="auto"/>
        <w:jc w:val="both"/>
        <w:rPr>
          <w:rFonts w:eastAsiaTheme="majorEastAsia"/>
          <w:lang w:val="es-ES"/>
        </w:rPr>
      </w:pPr>
      <w:r w:rsidRPr="005C133F">
        <w:rPr>
          <w:lang w:val="es-DO" w:eastAsia="es-DO"/>
        </w:rPr>
        <w:t xml:space="preserve">Se </w:t>
      </w:r>
      <w:r w:rsidR="00C40388" w:rsidRPr="005C133F">
        <w:rPr>
          <w:lang w:val="es-DO" w:eastAsia="es-DO"/>
        </w:rPr>
        <w:t xml:space="preserve">supervisaron 56 prestadores (centros de fisioterapia y rehabilitación y establecimientos farmacéuticos tipo distribuidoras) respecto a facturación y auditoría de los servicios de salud, 25 de estos establecimientos pertenecientes a la red pública y 31 a la red privada. </w:t>
      </w:r>
    </w:p>
    <w:p w14:paraId="6E891CE6" w14:textId="61F135C8" w:rsidR="00A4358F" w:rsidRPr="005C133F" w:rsidRDefault="00A4358F">
      <w:pPr>
        <w:pStyle w:val="Prrafodelista"/>
        <w:numPr>
          <w:ilvl w:val="0"/>
          <w:numId w:val="198"/>
        </w:numPr>
        <w:spacing w:after="0" w:line="360" w:lineRule="auto"/>
        <w:jc w:val="both"/>
        <w:rPr>
          <w:rFonts w:eastAsiaTheme="majorEastAsia"/>
          <w:lang w:val="es-ES"/>
        </w:rPr>
      </w:pPr>
      <w:r w:rsidRPr="005C133F">
        <w:rPr>
          <w:rFonts w:eastAsia="Calibri"/>
          <w:noProof/>
          <w:lang w:val="es-DO"/>
        </w:rPr>
        <w:t>5</w:t>
      </w:r>
      <w:r w:rsidR="00E05B71">
        <w:rPr>
          <w:rFonts w:eastAsia="Calibri"/>
          <w:noProof/>
          <w:lang w:val="es-DO"/>
        </w:rPr>
        <w:t>6</w:t>
      </w:r>
      <w:r w:rsidRPr="005C133F">
        <w:rPr>
          <w:rFonts w:eastAsia="Calibri"/>
          <w:noProof/>
          <w:lang w:val="es-DO"/>
        </w:rPr>
        <w:t xml:space="preserve"> supervisiones a las 17 ARS, para verificar cumplimiento normativo, validación del otorgamiento de coberturas e identificación de puntos de mejora.</w:t>
      </w:r>
      <w:r w:rsidRPr="005C133F">
        <w:rPr>
          <w:lang w:val="es-DO"/>
        </w:rPr>
        <w:t xml:space="preserve"> </w:t>
      </w:r>
    </w:p>
    <w:p w14:paraId="1D268EA1" w14:textId="45012B13" w:rsidR="00A4358F" w:rsidRPr="005C133F" w:rsidRDefault="00A4358F">
      <w:pPr>
        <w:pStyle w:val="Prrafodelista"/>
        <w:numPr>
          <w:ilvl w:val="0"/>
          <w:numId w:val="198"/>
        </w:numPr>
        <w:spacing w:after="0" w:line="360" w:lineRule="auto"/>
        <w:jc w:val="both"/>
        <w:rPr>
          <w:rFonts w:eastAsiaTheme="majorEastAsia"/>
          <w:lang w:val="es-ES"/>
        </w:rPr>
      </w:pPr>
      <w:r w:rsidRPr="005C133F">
        <w:rPr>
          <w:lang w:val="es-DO"/>
        </w:rPr>
        <w:t>129 prestadores de servicios de salud (ortopedia, nutrición, farmacias, centros no farmacéuticos y vacunas) fueron monitoreados para verificar el cumplimiento normativo.</w:t>
      </w:r>
    </w:p>
    <w:p w14:paraId="6B3A7FB1" w14:textId="77777777" w:rsidR="00A4358F" w:rsidRPr="005C133F" w:rsidRDefault="00A4358F">
      <w:pPr>
        <w:pStyle w:val="Prrafodelista"/>
        <w:numPr>
          <w:ilvl w:val="0"/>
          <w:numId w:val="198"/>
        </w:numPr>
        <w:spacing w:after="0" w:line="360" w:lineRule="auto"/>
        <w:jc w:val="both"/>
        <w:rPr>
          <w:lang w:val="es-DO" w:eastAsia="es-DO"/>
        </w:rPr>
      </w:pPr>
      <w:r w:rsidRPr="005C133F">
        <w:rPr>
          <w:lang w:val="es-DO" w:eastAsia="es-DO"/>
        </w:rPr>
        <w:lastRenderedPageBreak/>
        <w:t xml:space="preserve">56 prestadores (centros de fisioterapia y rehabilitación y establecimientos farmacéuticos tipo distribuidoras) fueron supervisados respecto a facturación y auditoría de los servicios de salud, 25 de estos establecimientos pertenecientes a la red pública y 31 a la red privada. </w:t>
      </w:r>
    </w:p>
    <w:p w14:paraId="3E4194E6" w14:textId="1F8DAEB1" w:rsidR="00A4358F" w:rsidRPr="005C133F" w:rsidRDefault="00A4358F">
      <w:pPr>
        <w:pStyle w:val="Prrafodelista"/>
        <w:numPr>
          <w:ilvl w:val="0"/>
          <w:numId w:val="198"/>
        </w:numPr>
        <w:spacing w:after="0" w:line="360" w:lineRule="auto"/>
        <w:jc w:val="both"/>
        <w:rPr>
          <w:lang w:val="es-DO" w:eastAsia="es-DO"/>
        </w:rPr>
      </w:pPr>
      <w:r w:rsidRPr="005C133F">
        <w:rPr>
          <w:lang w:val="es-DO" w:eastAsia="es-DO"/>
        </w:rPr>
        <w:t>Se ejecutaron las auditorías de supervisión y vigilancia a los siguientes procesos del IDOPPRIL: Subsidios y Contratos con Empresas, Cumplimiento de la Res. Administrativa SISALRIL 255-23, Programa de Prevención de Riesgos Laborales (PRL) - IDOPPRIL del año 2024 y Pensiones</w:t>
      </w:r>
      <w:r w:rsidR="004921FF" w:rsidRPr="005C133F">
        <w:rPr>
          <w:lang w:val="es-DO" w:eastAsia="es-DO"/>
        </w:rPr>
        <w:t xml:space="preserve">. </w:t>
      </w:r>
    </w:p>
    <w:p w14:paraId="717954DC" w14:textId="52424F52" w:rsidR="00EF7A7E" w:rsidRPr="005C133F" w:rsidRDefault="00A4358F">
      <w:pPr>
        <w:numPr>
          <w:ilvl w:val="0"/>
          <w:numId w:val="203"/>
        </w:numPr>
        <w:spacing w:after="0" w:line="360" w:lineRule="auto"/>
        <w:jc w:val="both"/>
        <w:rPr>
          <w:lang w:val="es-DO"/>
        </w:rPr>
      </w:pPr>
      <w:r w:rsidRPr="005C133F">
        <w:rPr>
          <w:lang w:val="es-DO"/>
        </w:rPr>
        <w:t xml:space="preserve">18 resoluciones sancionadoras, 11 recursos de inconformidad, 11 recursos de reconsideración se emitieron por incumplimiento </w:t>
      </w:r>
      <w:r w:rsidRPr="005C133F">
        <w:rPr>
          <w:lang w:val="es-DO" w:eastAsia="es-DO"/>
        </w:rPr>
        <w:t xml:space="preserve">de las normativas del Seguro Familiar de Salud (SFS) y Seguro de Riesgos Laborales (SRL), </w:t>
      </w:r>
      <w:r w:rsidRPr="005C133F">
        <w:rPr>
          <w:lang w:val="es-DO"/>
        </w:rPr>
        <w:t xml:space="preserve">y además 23 advertencias dirigidas a </w:t>
      </w:r>
      <w:r w:rsidRPr="005C133F">
        <w:rPr>
          <w:lang w:val="es-DO" w:eastAsia="es-DO"/>
        </w:rPr>
        <w:t>prevenir incumplimientos y orientar a los sujetos supervisados sobre la correcta observancia de sus obligaciones</w:t>
      </w:r>
      <w:r w:rsidRPr="005C133F">
        <w:rPr>
          <w:lang w:val="es-DO"/>
        </w:rPr>
        <w:t>.</w:t>
      </w:r>
    </w:p>
    <w:p w14:paraId="3822203A" w14:textId="77777777" w:rsidR="00A4358F" w:rsidRPr="005C133F" w:rsidRDefault="00A4358F">
      <w:pPr>
        <w:pStyle w:val="Prrafodelista"/>
        <w:numPr>
          <w:ilvl w:val="0"/>
          <w:numId w:val="204"/>
        </w:numPr>
        <w:spacing w:after="0" w:line="360" w:lineRule="auto"/>
        <w:jc w:val="both"/>
        <w:rPr>
          <w:rFonts w:eastAsia="Calibri"/>
          <w:b/>
          <w:bCs/>
          <w:noProof/>
          <w:lang w:val="es-DO"/>
        </w:rPr>
      </w:pPr>
      <w:r w:rsidRPr="005C133F">
        <w:rPr>
          <w:rFonts w:eastAsia="Calibri"/>
          <w:b/>
          <w:bCs/>
          <w:noProof/>
          <w:lang w:val="es-DO"/>
        </w:rPr>
        <w:t>Prestación de servicios y atención al ciudadano</w:t>
      </w:r>
    </w:p>
    <w:p w14:paraId="103B2B83"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2,030 personas a nivel nacional fueron capacitadas mediante 44 actividades formativas sobre el SFS y el SRL.</w:t>
      </w:r>
    </w:p>
    <w:p w14:paraId="4900FD48"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43 representantes de Centros de Primer Nivel fueron capacitados en competencias técnicas y requisitos de contratación.</w:t>
      </w:r>
    </w:p>
    <w:p w14:paraId="460191F1"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212 personas participaron en sesiones de inducción sobre la Resolución CNSS núm. 684-02.</w:t>
      </w:r>
    </w:p>
    <w:p w14:paraId="45489BC6"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365,035 atenciones y respuestas a usuarios a nivel nacional, a través de los canales habilitados, distribuidos en 46,699 de manera presencial y 318,336 en canales alternos, así como atención en Puntos GOB.</w:t>
      </w:r>
    </w:p>
    <w:p w14:paraId="0DD8D1B2" w14:textId="13B9FFB2" w:rsidR="003914A6"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lastRenderedPageBreak/>
        <w:t>Implementacion obligatoria de medidas tecnicas para prevenir traspasos irregulares de ARS</w:t>
      </w:r>
      <w:r w:rsidR="003914A6" w:rsidRPr="005C133F">
        <w:rPr>
          <w:rFonts w:eastAsia="Calibri"/>
          <w:noProof/>
          <w:lang w:val="es-DO"/>
        </w:rPr>
        <w:t xml:space="preserve">. </w:t>
      </w:r>
    </w:p>
    <w:p w14:paraId="6E35E1F6" w14:textId="77777777" w:rsidR="00A4358F" w:rsidRPr="005C133F" w:rsidRDefault="00A4358F">
      <w:pPr>
        <w:pStyle w:val="Prrafodelista"/>
        <w:numPr>
          <w:ilvl w:val="0"/>
          <w:numId w:val="204"/>
        </w:numPr>
        <w:spacing w:after="0" w:line="360" w:lineRule="auto"/>
        <w:jc w:val="both"/>
        <w:rPr>
          <w:rFonts w:eastAsia="Calibri"/>
          <w:b/>
          <w:bCs/>
          <w:noProof/>
        </w:rPr>
      </w:pPr>
      <w:r w:rsidRPr="005C133F">
        <w:rPr>
          <w:rFonts w:eastAsia="Calibri"/>
          <w:b/>
          <w:bCs/>
          <w:noProof/>
        </w:rPr>
        <w:t>Innovacion y transformación digital</w:t>
      </w:r>
    </w:p>
    <w:p w14:paraId="242A8A3D"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Nueva plataforma de Evaluación de Tecnologías Sanitarias (EVTESA) a través de la oficina virtual, de la SISALRIL.</w:t>
      </w:r>
    </w:p>
    <w:p w14:paraId="0F0600FB"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Lanzamiento del Sistema de Consultas Dinámicas de Indicadores del Seguro Familiar de Salud (SFS) y del Seguro de Riesgos Laborales (SRL), en el Auditorio del Observatorio de la Seguridad Social, desarrollado con apoyo técnico de CELADE–División de Población de la CEPAL y basado en el programa Redatam.</w:t>
      </w:r>
    </w:p>
    <w:p w14:paraId="74606736"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Se implementó el Sistema de Información y Gestión de Planes (SIGEP), que centraliza y digitaliza el proceso de registro, validación y aprobación de los planes ofrecidos por las Administradoras de Riesgos de Salud (ARS).</w:t>
      </w:r>
    </w:p>
    <w:p w14:paraId="31646E24"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Se desarrolló un sistema de turnos para la Oficina de Atención al Usuario, que optimiza la gestión del flujo de personas, reduce los tiempos de espera y mejora la calidad y agilidad del servicio brindado a la ciudadanía.</w:t>
      </w:r>
    </w:p>
    <w:p w14:paraId="74E227BA"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Se desarrolló un Sistema de Gestión de Trámites que permitirá a la SISALRIL digitalizar todos los procesos de solicitud y entrega de servicios externos, permitiendo el seguimiento en tiempo real, la eliminación de expedientes físicos y la medición de tiempos.</w:t>
      </w:r>
    </w:p>
    <w:p w14:paraId="231B03CE"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Implementación de una solución de software que permitirá recibir todos los reportes de incidencias relacionados a peticiones, quejas, reclamaciones y servicios (PQRS) dirigidos a la SISALRIL por entes externos.</w:t>
      </w:r>
    </w:p>
    <w:p w14:paraId="5E6DCBC7"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 xml:space="preserve">Se implemento una nueva estructura de reporte de datos para auditorías médicas orientada a mejorar la trazabilidad y la </w:t>
      </w:r>
      <w:r w:rsidRPr="005C133F">
        <w:rPr>
          <w:rFonts w:eastAsia="Calibri"/>
          <w:noProof/>
          <w:lang w:val="es-DO"/>
        </w:rPr>
        <w:lastRenderedPageBreak/>
        <w:t>supervisión de los servicios médicos prestados por las ARS y las PSS.</w:t>
      </w:r>
    </w:p>
    <w:p w14:paraId="352F783F"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Nuevo módulo para la emisión de certificaciones de subsidios, desde la Oficina Virtual, que elimina desplazamientos, optimiza tiempos y fortalece la agilidad, transparencia y accesibilidad del servicio para empleadores y trabajadores</w:t>
      </w:r>
    </w:p>
    <w:p w14:paraId="337C34FB" w14:textId="0522AF7C" w:rsidR="003914A6"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La SISALRIL alcanzó la posición número uno en el ranking iTICge + i, obteniendo una calificación sobresaliente de 87.96, representando un salto significativo desde la posición 43 que ocupaba en 2024.</w:t>
      </w:r>
    </w:p>
    <w:p w14:paraId="14A82770" w14:textId="77777777" w:rsidR="00A4358F" w:rsidRPr="005C133F" w:rsidRDefault="00A4358F">
      <w:pPr>
        <w:pStyle w:val="Prrafodelista"/>
        <w:numPr>
          <w:ilvl w:val="0"/>
          <w:numId w:val="204"/>
        </w:numPr>
        <w:spacing w:after="0" w:line="360" w:lineRule="auto"/>
        <w:jc w:val="both"/>
        <w:rPr>
          <w:rFonts w:eastAsia="Calibri"/>
          <w:b/>
          <w:bCs/>
          <w:noProof/>
        </w:rPr>
      </w:pPr>
      <w:r w:rsidRPr="005C133F">
        <w:rPr>
          <w:rFonts w:eastAsia="Calibri"/>
          <w:b/>
          <w:bCs/>
          <w:noProof/>
        </w:rPr>
        <w:t>Relaciones internacionales</w:t>
      </w:r>
    </w:p>
    <w:p w14:paraId="11FDB6C0"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SISALRIL obtuvo tres posiciones estratégicas en la Conferencia Interamericana de Seguridad Social (CISS):  Miembro en la Junta Directiva del Centro Interamericano de Estudios de Seguridad Social (CIESS), Vicepresidencia de la Comisión Americana Jurídico Social y Secretaría Técnica de la Comisión Americana Jurídico Social</w:t>
      </w:r>
    </w:p>
    <w:p w14:paraId="4D58AD08"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La SISALRIL se consolido como miembro del Comité Ejecutivo de la Red de Evaluación de Evaluación de Tecnologías de la Salud de las Américas (RedTESA)</w:t>
      </w:r>
    </w:p>
    <w:p w14:paraId="5DF2D81B" w14:textId="77777777" w:rsidR="00A4358F" w:rsidRPr="005C133F" w:rsidRDefault="00A4358F">
      <w:pPr>
        <w:pStyle w:val="Prrafodelista"/>
        <w:numPr>
          <w:ilvl w:val="0"/>
          <w:numId w:val="202"/>
        </w:numPr>
        <w:spacing w:after="0" w:line="360" w:lineRule="auto"/>
        <w:jc w:val="both"/>
        <w:rPr>
          <w:rFonts w:eastAsia="Calibri"/>
          <w:noProof/>
          <w:lang w:val="es-DO"/>
        </w:rPr>
      </w:pPr>
      <w:r w:rsidRPr="005C133F">
        <w:rPr>
          <w:rFonts w:eastAsia="Calibri"/>
          <w:noProof/>
          <w:lang w:val="es-DO"/>
        </w:rPr>
        <w:t>Se establecio un convenio de cooperación con el Instituto de Evaluación de Tecnologías Sanitarias de Colombia</w:t>
      </w:r>
    </w:p>
    <w:p w14:paraId="01CBDFA0" w14:textId="77777777" w:rsidR="00EF7A7E" w:rsidRDefault="00EF7A7E" w:rsidP="005C133F">
      <w:pPr>
        <w:spacing w:after="0" w:line="360" w:lineRule="auto"/>
        <w:rPr>
          <w:lang w:val="es-DO"/>
        </w:rPr>
      </w:pPr>
    </w:p>
    <w:p w14:paraId="436BBD48" w14:textId="77777777" w:rsidR="005C133F" w:rsidRDefault="005C133F" w:rsidP="005C133F">
      <w:pPr>
        <w:spacing w:after="0" w:line="360" w:lineRule="auto"/>
        <w:rPr>
          <w:lang w:val="es-DO"/>
        </w:rPr>
      </w:pPr>
    </w:p>
    <w:p w14:paraId="6F94E168" w14:textId="77777777" w:rsidR="005C133F" w:rsidRDefault="005C133F" w:rsidP="005C133F">
      <w:pPr>
        <w:spacing w:after="0" w:line="360" w:lineRule="auto"/>
        <w:rPr>
          <w:lang w:val="es-DO"/>
        </w:rPr>
      </w:pPr>
    </w:p>
    <w:p w14:paraId="63A69E38" w14:textId="77777777" w:rsidR="005C133F" w:rsidRDefault="005C133F" w:rsidP="005C133F">
      <w:pPr>
        <w:spacing w:after="0" w:line="360" w:lineRule="auto"/>
        <w:rPr>
          <w:lang w:val="es-DO"/>
        </w:rPr>
      </w:pPr>
    </w:p>
    <w:p w14:paraId="2CCC1D09" w14:textId="77777777" w:rsidR="005C133F" w:rsidRDefault="005C133F" w:rsidP="005C133F">
      <w:pPr>
        <w:spacing w:after="0" w:line="360" w:lineRule="auto"/>
        <w:rPr>
          <w:lang w:val="es-DO"/>
        </w:rPr>
      </w:pPr>
    </w:p>
    <w:p w14:paraId="24BE6A0A" w14:textId="77777777" w:rsidR="005C133F" w:rsidRDefault="005C133F" w:rsidP="005C133F">
      <w:pPr>
        <w:spacing w:after="0" w:line="360" w:lineRule="auto"/>
        <w:rPr>
          <w:lang w:val="es-DO"/>
        </w:rPr>
      </w:pPr>
    </w:p>
    <w:p w14:paraId="28161066" w14:textId="77777777" w:rsidR="005C133F" w:rsidRDefault="005C133F" w:rsidP="005C133F">
      <w:pPr>
        <w:spacing w:after="0" w:line="360" w:lineRule="auto"/>
        <w:rPr>
          <w:lang w:val="es-DO"/>
        </w:rPr>
      </w:pPr>
    </w:p>
    <w:p w14:paraId="794C2FD3" w14:textId="1B466C86" w:rsidR="00654164" w:rsidRPr="00C666C2" w:rsidRDefault="00654164">
      <w:pPr>
        <w:pStyle w:val="Ttulo1"/>
        <w:numPr>
          <w:ilvl w:val="0"/>
          <w:numId w:val="206"/>
        </w:numPr>
        <w:ind w:left="0" w:firstLine="0"/>
        <w:rPr>
          <w:rFonts w:cs="Times New Roman"/>
          <w:color w:val="767171"/>
          <w:sz w:val="32"/>
          <w:lang w:val="es-DO"/>
        </w:rPr>
      </w:pPr>
      <w:bookmarkStart w:id="4" w:name="_Toc219121830"/>
      <w:r w:rsidRPr="005C133F">
        <w:rPr>
          <w:rFonts w:cs="Times New Roman"/>
          <w:color w:val="767171"/>
          <w:sz w:val="32"/>
          <w:lang w:val="es-DO"/>
        </w:rPr>
        <w:lastRenderedPageBreak/>
        <w:t>INFORMACIÓN INSTITUCIONAL</w:t>
      </w:r>
      <w:bookmarkEnd w:id="4"/>
    </w:p>
    <w:p w14:paraId="31C11BF8" w14:textId="77BE0547" w:rsidR="00C666C2" w:rsidRDefault="002730F4" w:rsidP="005C133F">
      <w:pPr>
        <w:spacing w:after="0" w:line="360" w:lineRule="auto"/>
        <w:jc w:val="center"/>
        <w:rPr>
          <w:rFonts w:eastAsia="Calibri"/>
          <w:sz w:val="16"/>
          <w:szCs w:val="16"/>
          <w:lang w:val="es-DO"/>
        </w:rPr>
      </w:pPr>
      <w:r w:rsidRPr="005C133F">
        <w:rPr>
          <w:rFonts w:eastAsia="Calibri"/>
          <w:noProof/>
          <w:lang w:val="es-DO" w:eastAsia="es-DO"/>
        </w:rPr>
        <mc:AlternateContent>
          <mc:Choice Requires="wps">
            <w:drawing>
              <wp:anchor distT="0" distB="0" distL="114300" distR="114300" simplePos="0" relativeHeight="251658240" behindDoc="0" locked="0" layoutInCell="1" allowOverlap="1" wp14:anchorId="2735667A" wp14:editId="4FDD6243">
                <wp:simplePos x="0" y="0"/>
                <wp:positionH relativeFrom="margin">
                  <wp:align>center</wp:align>
                </wp:positionH>
                <wp:positionV relativeFrom="paragraph">
                  <wp:posOffset>34290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7CC15" id="Straight Connector 8"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0shdr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riZg5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NLIXa9gAAAADAQAADwAAAAAAAAAAAAAA&#10;AAAgBAAAZHJzL2Rvd25yZXYueG1sUEsFBgAAAAAEAAQA8wAAACUFAAAAAA==&#10;" strokecolor="#ee2a24" strokeweight="2.25pt">
                <v:stroke joinstyle="miter"/>
                <w10:wrap anchorx="margin"/>
              </v:line>
            </w:pict>
          </mc:Fallback>
        </mc:AlternateContent>
      </w:r>
    </w:p>
    <w:p w14:paraId="367ED8A1" w14:textId="7E377CF1" w:rsidR="00BA2267" w:rsidRDefault="0044083A" w:rsidP="005C133F">
      <w:pPr>
        <w:spacing w:after="0" w:line="360" w:lineRule="auto"/>
        <w:jc w:val="center"/>
        <w:rPr>
          <w:rFonts w:eastAsia="Calibri"/>
          <w:lang w:val="es-DO"/>
        </w:rPr>
      </w:pPr>
      <w:r w:rsidRPr="005C133F">
        <w:rPr>
          <w:rFonts w:eastAsia="Calibri"/>
          <w:lang w:val="es-DO"/>
        </w:rPr>
        <w:t xml:space="preserve">Memoria Institucional </w:t>
      </w:r>
      <w:r w:rsidR="007471AC" w:rsidRPr="005C133F">
        <w:rPr>
          <w:rFonts w:eastAsia="Calibri"/>
          <w:lang w:val="es-DO"/>
        </w:rPr>
        <w:t>202</w:t>
      </w:r>
      <w:r w:rsidR="0051332F" w:rsidRPr="005C133F">
        <w:rPr>
          <w:rFonts w:eastAsia="Calibri"/>
          <w:lang w:val="es-DO"/>
        </w:rPr>
        <w:t>5</w:t>
      </w:r>
    </w:p>
    <w:p w14:paraId="72059582" w14:textId="77777777" w:rsidR="00BD1E94" w:rsidRDefault="00BD1E94" w:rsidP="005C133F">
      <w:pPr>
        <w:spacing w:after="0" w:line="360" w:lineRule="auto"/>
        <w:jc w:val="center"/>
        <w:rPr>
          <w:rFonts w:eastAsia="Calibri"/>
          <w:lang w:val="es-DO"/>
        </w:rPr>
      </w:pPr>
    </w:p>
    <w:p w14:paraId="5F477522" w14:textId="5C5592A4" w:rsidR="000A2A59" w:rsidRPr="005C133F" w:rsidRDefault="000A2A59" w:rsidP="005C133F">
      <w:pPr>
        <w:pStyle w:val="SUBTITULITO"/>
        <w:spacing w:after="0"/>
        <w:rPr>
          <w:rFonts w:eastAsia="Calibri"/>
          <w:b w:val="0"/>
        </w:rPr>
      </w:pPr>
      <w:bookmarkStart w:id="5" w:name="_Toc219121831"/>
      <w:r w:rsidRPr="005C133F">
        <w:rPr>
          <w:rFonts w:eastAsia="Calibri"/>
          <w:noProof/>
        </w:rPr>
        <w:t xml:space="preserve">2.1 Marco </w:t>
      </w:r>
      <w:r w:rsidR="00C922B5" w:rsidRPr="005C133F">
        <w:rPr>
          <w:rFonts w:eastAsia="Calibri"/>
          <w:noProof/>
        </w:rPr>
        <w:t>F</w:t>
      </w:r>
      <w:r w:rsidRPr="005C133F">
        <w:rPr>
          <w:rFonts w:eastAsia="Calibri"/>
          <w:noProof/>
        </w:rPr>
        <w:t xml:space="preserve">ilosófico </w:t>
      </w:r>
      <w:r w:rsidR="00C922B5" w:rsidRPr="005C133F">
        <w:rPr>
          <w:rFonts w:eastAsia="Calibri"/>
          <w:noProof/>
        </w:rPr>
        <w:t>I</w:t>
      </w:r>
      <w:r w:rsidRPr="005C133F">
        <w:rPr>
          <w:rFonts w:eastAsia="Calibri"/>
          <w:noProof/>
        </w:rPr>
        <w:t>nstitucional</w:t>
      </w:r>
      <w:bookmarkEnd w:id="5"/>
    </w:p>
    <w:p w14:paraId="2BCA22D4" w14:textId="77777777" w:rsidR="00C922B5" w:rsidRPr="005C133F" w:rsidRDefault="00C922B5" w:rsidP="005C133F">
      <w:pPr>
        <w:spacing w:after="0" w:line="360" w:lineRule="auto"/>
        <w:jc w:val="center"/>
        <w:rPr>
          <w:rFonts w:eastAsia="Calibri"/>
          <w:b/>
          <w:bCs/>
          <w:noProof/>
          <w:lang w:val="es-DO"/>
        </w:rPr>
      </w:pPr>
    </w:p>
    <w:p w14:paraId="1298EE9C" w14:textId="100F62DC" w:rsidR="005923F6" w:rsidRPr="005C133F" w:rsidRDefault="000A2A59" w:rsidP="005C133F">
      <w:pPr>
        <w:spacing w:after="0" w:line="360" w:lineRule="auto"/>
        <w:jc w:val="center"/>
        <w:rPr>
          <w:rFonts w:eastAsia="Calibri"/>
          <w:b/>
          <w:bCs/>
          <w:noProof/>
          <w:lang w:val="es-DO"/>
        </w:rPr>
      </w:pPr>
      <w:r w:rsidRPr="005C133F">
        <w:rPr>
          <w:rFonts w:eastAsia="Calibri"/>
          <w:b/>
          <w:bCs/>
          <w:noProof/>
          <w:lang w:val="es-DO"/>
        </w:rPr>
        <w:t>Misión</w:t>
      </w:r>
    </w:p>
    <w:p w14:paraId="132635E5" w14:textId="628F291D" w:rsidR="006365C5" w:rsidRPr="005C133F" w:rsidRDefault="00195EE8" w:rsidP="005C133F">
      <w:pPr>
        <w:spacing w:after="0" w:line="360" w:lineRule="auto"/>
        <w:jc w:val="both"/>
        <w:rPr>
          <w:rFonts w:eastAsia="Calibri"/>
          <w:noProof/>
          <w:lang w:val="es-DO"/>
        </w:rPr>
      </w:pPr>
      <w:r w:rsidRPr="005C133F">
        <w:rPr>
          <w:rFonts w:eastAsia="Calibri"/>
          <w:noProof/>
          <w:lang w:val="es-DO"/>
        </w:rPr>
        <w:t xml:space="preserve">Garantizar a los afiliados al Sistema de Seguridad Social la protección del aseguramiento en salud y riesgos laborales en condiciones de calidad, equidad y sostenibilidad, mediante la regulación, supervisión y fiscalización de las entidades administradoras y prestadoras de servicios. </w:t>
      </w:r>
    </w:p>
    <w:p w14:paraId="296404AF" w14:textId="77777777" w:rsidR="00195EE8" w:rsidRPr="005C133F" w:rsidRDefault="00195EE8" w:rsidP="005C133F">
      <w:pPr>
        <w:spacing w:after="0" w:line="360" w:lineRule="auto"/>
        <w:jc w:val="center"/>
        <w:rPr>
          <w:rFonts w:eastAsia="Calibri"/>
          <w:noProof/>
          <w:lang w:val="es-DO"/>
        </w:rPr>
      </w:pPr>
    </w:p>
    <w:p w14:paraId="5302EE24" w14:textId="3E57BCD1" w:rsidR="00601928" w:rsidRPr="005C133F" w:rsidRDefault="000A2A59" w:rsidP="005C133F">
      <w:pPr>
        <w:spacing w:after="0" w:line="360" w:lineRule="auto"/>
        <w:jc w:val="center"/>
        <w:rPr>
          <w:rFonts w:eastAsia="Calibri"/>
          <w:b/>
          <w:bCs/>
          <w:noProof/>
          <w:lang w:val="es-DO"/>
        </w:rPr>
      </w:pPr>
      <w:r w:rsidRPr="005C133F">
        <w:rPr>
          <w:rFonts w:eastAsia="Calibri"/>
          <w:b/>
          <w:bCs/>
          <w:noProof/>
          <w:lang w:val="es-DO"/>
        </w:rPr>
        <w:t>Visión</w:t>
      </w:r>
    </w:p>
    <w:p w14:paraId="100D0147" w14:textId="32DFB580" w:rsidR="00601928" w:rsidRPr="005C133F" w:rsidRDefault="00601928" w:rsidP="005C133F">
      <w:pPr>
        <w:spacing w:after="0" w:line="360" w:lineRule="auto"/>
        <w:jc w:val="both"/>
        <w:rPr>
          <w:rFonts w:eastAsia="Calibri"/>
          <w:noProof/>
          <w:lang w:val="es-DO"/>
        </w:rPr>
      </w:pPr>
      <w:r w:rsidRPr="005C133F">
        <w:rPr>
          <w:rFonts w:eastAsia="Calibri"/>
          <w:noProof/>
          <w:lang w:val="es-DO"/>
        </w:rPr>
        <w:t>Consolidarse como institución reguladora en la garantía efectiva del aseguramiento en salud y riesgos laborales de los afiliados al Sistema Dominicano de Seguridad Social, velando por su accesibilidad, confiabilidad y sostenibilidad.</w:t>
      </w:r>
    </w:p>
    <w:p w14:paraId="2E611587" w14:textId="77777777" w:rsidR="00882479" w:rsidRPr="005C133F" w:rsidRDefault="00882479" w:rsidP="005C133F">
      <w:pPr>
        <w:spacing w:after="0" w:line="360" w:lineRule="auto"/>
        <w:jc w:val="both"/>
        <w:rPr>
          <w:rFonts w:eastAsia="Calibri"/>
          <w:noProof/>
          <w:lang w:val="es-DO"/>
        </w:rPr>
      </w:pPr>
    </w:p>
    <w:p w14:paraId="04F1F54E" w14:textId="77777777" w:rsidR="000A2A59" w:rsidRPr="005C133F" w:rsidRDefault="000A2A59" w:rsidP="005C133F">
      <w:pPr>
        <w:spacing w:after="0" w:line="360" w:lineRule="auto"/>
        <w:jc w:val="center"/>
        <w:rPr>
          <w:rFonts w:eastAsia="Calibri"/>
          <w:b/>
          <w:bCs/>
          <w:noProof/>
          <w:lang w:val="es-DO"/>
        </w:rPr>
      </w:pPr>
      <w:r w:rsidRPr="005C133F">
        <w:rPr>
          <w:rFonts w:eastAsia="Calibri"/>
          <w:b/>
          <w:bCs/>
          <w:noProof/>
          <w:lang w:val="es-DO"/>
        </w:rPr>
        <w:t>Valores</w:t>
      </w:r>
    </w:p>
    <w:p w14:paraId="515C6D5A" w14:textId="77777777" w:rsidR="000A2A59" w:rsidRPr="005C133F" w:rsidRDefault="000A2A59" w:rsidP="005C133F">
      <w:pPr>
        <w:spacing w:after="0" w:line="360" w:lineRule="auto"/>
        <w:jc w:val="both"/>
        <w:rPr>
          <w:rFonts w:eastAsia="Calibri"/>
          <w:noProof/>
          <w:lang w:val="es-DO"/>
        </w:rPr>
      </w:pPr>
      <w:r w:rsidRPr="005C133F">
        <w:rPr>
          <w:rFonts w:eastAsia="Calibri"/>
          <w:noProof/>
          <w:lang w:val="es-DO"/>
        </w:rPr>
        <w:t>Los valores que guían la gestión de la SISALRIL son los siguientes:</w:t>
      </w:r>
    </w:p>
    <w:p w14:paraId="39049DE1" w14:textId="0C9227C8" w:rsidR="0043557E" w:rsidRPr="005C133F" w:rsidRDefault="0043557E" w:rsidP="005C133F">
      <w:pPr>
        <w:pStyle w:val="Prrafodelista"/>
        <w:numPr>
          <w:ilvl w:val="0"/>
          <w:numId w:val="1"/>
        </w:numPr>
        <w:spacing w:after="0" w:line="360" w:lineRule="auto"/>
        <w:jc w:val="both"/>
        <w:rPr>
          <w:rFonts w:eastAsia="Calibri"/>
          <w:noProof/>
          <w:lang w:val="es-DO"/>
        </w:rPr>
      </w:pPr>
      <w:r w:rsidRPr="005C133F">
        <w:rPr>
          <w:rFonts w:eastAsia="Calibri"/>
          <w:noProof/>
          <w:lang w:val="es-DO"/>
        </w:rPr>
        <w:t xml:space="preserve">Copromiso </w:t>
      </w:r>
    </w:p>
    <w:p w14:paraId="2BB4BB66" w14:textId="0E48B3CA" w:rsidR="0043557E" w:rsidRPr="005C133F" w:rsidRDefault="0043557E" w:rsidP="005C133F">
      <w:pPr>
        <w:pStyle w:val="Prrafodelista"/>
        <w:numPr>
          <w:ilvl w:val="0"/>
          <w:numId w:val="1"/>
        </w:numPr>
        <w:spacing w:after="0" w:line="360" w:lineRule="auto"/>
        <w:jc w:val="both"/>
        <w:rPr>
          <w:rFonts w:eastAsia="Calibri"/>
          <w:noProof/>
          <w:lang w:val="es-DO"/>
        </w:rPr>
      </w:pPr>
      <w:r w:rsidRPr="005C133F">
        <w:rPr>
          <w:rFonts w:eastAsia="Calibri"/>
          <w:noProof/>
          <w:lang w:val="es-DO"/>
        </w:rPr>
        <w:t xml:space="preserve">Integridad </w:t>
      </w:r>
    </w:p>
    <w:p w14:paraId="4C7BF995" w14:textId="6C0684BA" w:rsidR="0043557E" w:rsidRPr="005C133F" w:rsidRDefault="0043557E" w:rsidP="005C133F">
      <w:pPr>
        <w:pStyle w:val="Prrafodelista"/>
        <w:numPr>
          <w:ilvl w:val="0"/>
          <w:numId w:val="1"/>
        </w:numPr>
        <w:spacing w:after="0" w:line="360" w:lineRule="auto"/>
        <w:jc w:val="both"/>
        <w:rPr>
          <w:rFonts w:eastAsia="Calibri"/>
          <w:noProof/>
          <w:lang w:val="es-DO"/>
        </w:rPr>
      </w:pPr>
      <w:r w:rsidRPr="005C133F">
        <w:rPr>
          <w:rFonts w:eastAsia="Calibri"/>
          <w:noProof/>
          <w:lang w:val="es-DO"/>
        </w:rPr>
        <w:t xml:space="preserve">Excelencia </w:t>
      </w:r>
    </w:p>
    <w:p w14:paraId="24ED48F5" w14:textId="149824A7" w:rsidR="0043557E" w:rsidRPr="005C133F" w:rsidRDefault="0043557E" w:rsidP="005C133F">
      <w:pPr>
        <w:pStyle w:val="Prrafodelista"/>
        <w:numPr>
          <w:ilvl w:val="0"/>
          <w:numId w:val="1"/>
        </w:numPr>
        <w:spacing w:after="0" w:line="360" w:lineRule="auto"/>
        <w:jc w:val="both"/>
        <w:rPr>
          <w:rFonts w:eastAsia="Calibri"/>
          <w:noProof/>
          <w:lang w:val="es-DO"/>
        </w:rPr>
      </w:pPr>
      <w:r w:rsidRPr="005C133F">
        <w:rPr>
          <w:rFonts w:eastAsia="Calibri"/>
          <w:noProof/>
          <w:lang w:val="es-DO"/>
        </w:rPr>
        <w:t xml:space="preserve">Equidad </w:t>
      </w:r>
    </w:p>
    <w:p w14:paraId="30A07C9B" w14:textId="60F3A94B" w:rsidR="008A296A" w:rsidRDefault="0043557E" w:rsidP="008A296A">
      <w:pPr>
        <w:pStyle w:val="Prrafodelista"/>
        <w:numPr>
          <w:ilvl w:val="0"/>
          <w:numId w:val="1"/>
        </w:numPr>
        <w:spacing w:after="0" w:line="360" w:lineRule="auto"/>
        <w:jc w:val="both"/>
        <w:rPr>
          <w:rFonts w:eastAsia="Calibri"/>
          <w:noProof/>
          <w:lang w:val="es-DO"/>
        </w:rPr>
      </w:pPr>
      <w:r w:rsidRPr="005C133F">
        <w:rPr>
          <w:rFonts w:eastAsia="Calibri"/>
          <w:noProof/>
          <w:lang w:val="es-DO"/>
        </w:rPr>
        <w:t xml:space="preserve">Transparencia </w:t>
      </w:r>
    </w:p>
    <w:p w14:paraId="296D03F4" w14:textId="77777777" w:rsidR="00BD1E94" w:rsidRDefault="00BD1E94" w:rsidP="00BD1E94">
      <w:pPr>
        <w:spacing w:after="0" w:line="360" w:lineRule="auto"/>
        <w:jc w:val="both"/>
        <w:rPr>
          <w:rFonts w:eastAsia="Calibri"/>
          <w:noProof/>
          <w:lang w:val="es-DO"/>
        </w:rPr>
      </w:pPr>
    </w:p>
    <w:p w14:paraId="1214D603" w14:textId="77777777" w:rsidR="00BD1E94" w:rsidRDefault="00BD1E94" w:rsidP="00BD1E94">
      <w:pPr>
        <w:spacing w:after="0" w:line="360" w:lineRule="auto"/>
        <w:jc w:val="both"/>
        <w:rPr>
          <w:rFonts w:eastAsia="Calibri"/>
          <w:noProof/>
          <w:lang w:val="es-DO"/>
        </w:rPr>
      </w:pPr>
    </w:p>
    <w:p w14:paraId="3D693AFA" w14:textId="22D20D36" w:rsidR="007F4F98" w:rsidRPr="005C133F" w:rsidRDefault="00C922B5" w:rsidP="005C133F">
      <w:pPr>
        <w:pStyle w:val="SUBTITULITO"/>
        <w:spacing w:after="0"/>
        <w:rPr>
          <w:rFonts w:eastAsia="Calibri"/>
          <w:b w:val="0"/>
        </w:rPr>
      </w:pPr>
      <w:bookmarkStart w:id="6" w:name="_Toc219121832"/>
      <w:r w:rsidRPr="005C133F">
        <w:rPr>
          <w:rFonts w:eastAsia="Calibri"/>
          <w:noProof/>
        </w:rPr>
        <w:lastRenderedPageBreak/>
        <w:t>2.2 Base</w:t>
      </w:r>
      <w:r w:rsidR="007F4F98" w:rsidRPr="005C133F">
        <w:rPr>
          <w:rFonts w:eastAsia="Calibri"/>
          <w:noProof/>
        </w:rPr>
        <w:t xml:space="preserve"> Legal</w:t>
      </w:r>
      <w:bookmarkEnd w:id="6"/>
    </w:p>
    <w:p w14:paraId="4983AC90" w14:textId="41B58930" w:rsidR="00EA213B" w:rsidRPr="005C133F" w:rsidRDefault="00EA213B" w:rsidP="005C133F">
      <w:pPr>
        <w:spacing w:after="0" w:line="360" w:lineRule="auto"/>
        <w:rPr>
          <w:rFonts w:eastAsia="Calibri"/>
          <w:b/>
          <w:bCs/>
          <w:noProof/>
          <w:lang w:val="es-DO"/>
        </w:rPr>
      </w:pPr>
      <w:r w:rsidRPr="005C133F">
        <w:rPr>
          <w:rFonts w:eastAsia="Calibri"/>
          <w:b/>
          <w:bCs/>
          <w:noProof/>
          <w:lang w:val="es-DO"/>
        </w:rPr>
        <w:t xml:space="preserve">Leyes </w:t>
      </w:r>
    </w:p>
    <w:p w14:paraId="7692496D" w14:textId="77777777" w:rsidR="001A1E35" w:rsidRPr="005C133F" w:rsidRDefault="001A1E35" w:rsidP="005C133F">
      <w:pPr>
        <w:numPr>
          <w:ilvl w:val="0"/>
          <w:numId w:val="2"/>
        </w:numPr>
        <w:spacing w:after="0" w:line="360" w:lineRule="auto"/>
        <w:jc w:val="both"/>
        <w:rPr>
          <w:rFonts w:eastAsia="Calibri"/>
          <w:noProof/>
          <w:lang w:val="es-DO"/>
        </w:rPr>
      </w:pPr>
      <w:r w:rsidRPr="005C133F">
        <w:rPr>
          <w:rFonts w:eastAsia="Calibri"/>
          <w:noProof/>
          <w:lang w:val="es-DO"/>
        </w:rPr>
        <w:t>Ley 87-01, que crea el Sistema Dominicano de Seguridad Social, de fecha 9 de mayo del año 2001.  </w:t>
      </w:r>
    </w:p>
    <w:p w14:paraId="6517C572" w14:textId="77777777" w:rsidR="001A1E35" w:rsidRPr="005C133F" w:rsidRDefault="001A1E35" w:rsidP="005C133F">
      <w:pPr>
        <w:numPr>
          <w:ilvl w:val="0"/>
          <w:numId w:val="3"/>
        </w:numPr>
        <w:spacing w:after="0" w:line="360" w:lineRule="auto"/>
        <w:jc w:val="both"/>
        <w:rPr>
          <w:rFonts w:eastAsia="Calibri"/>
          <w:noProof/>
          <w:lang w:val="es-DO"/>
        </w:rPr>
      </w:pPr>
      <w:r w:rsidRPr="005C133F">
        <w:rPr>
          <w:rFonts w:eastAsia="Calibri"/>
          <w:noProof/>
          <w:lang w:val="es-DO"/>
        </w:rPr>
        <w:t>Ley 370-05, que modifica el artículo 1 de la Ley 87-01. </w:t>
      </w:r>
    </w:p>
    <w:p w14:paraId="5BFE8127" w14:textId="77777777" w:rsidR="001A1E35" w:rsidRPr="005C133F" w:rsidRDefault="001A1E35" w:rsidP="005C133F">
      <w:pPr>
        <w:numPr>
          <w:ilvl w:val="0"/>
          <w:numId w:val="4"/>
        </w:numPr>
        <w:spacing w:after="0" w:line="360" w:lineRule="auto"/>
        <w:jc w:val="both"/>
        <w:rPr>
          <w:rFonts w:eastAsia="Calibri"/>
          <w:noProof/>
          <w:lang w:val="es-DO"/>
        </w:rPr>
      </w:pPr>
      <w:r w:rsidRPr="005C133F">
        <w:rPr>
          <w:rFonts w:eastAsia="Calibri"/>
          <w:noProof/>
          <w:lang w:val="es-DO"/>
        </w:rPr>
        <w:t>Ley 188, que introduce modificaciones a la Ley 87-01, de fecha 9 de agosto del año 2007 </w:t>
      </w:r>
    </w:p>
    <w:p w14:paraId="4DAD8DBC" w14:textId="77777777" w:rsidR="001A1E35" w:rsidRPr="005C133F" w:rsidRDefault="001A1E35" w:rsidP="005C133F">
      <w:pPr>
        <w:numPr>
          <w:ilvl w:val="0"/>
          <w:numId w:val="5"/>
        </w:numPr>
        <w:spacing w:after="0" w:line="360" w:lineRule="auto"/>
        <w:jc w:val="both"/>
        <w:rPr>
          <w:rFonts w:eastAsia="Calibri"/>
          <w:noProof/>
          <w:lang w:val="es-DO"/>
        </w:rPr>
      </w:pPr>
      <w:r w:rsidRPr="005C133F">
        <w:rPr>
          <w:rFonts w:eastAsia="Calibri"/>
          <w:noProof/>
          <w:lang w:val="es-DO"/>
        </w:rPr>
        <w:t>Ley 189-07, que facilita el pago a los empleadores con deudas pendientes con el Sistema Dominicano de Seguridad Social. </w:t>
      </w:r>
    </w:p>
    <w:p w14:paraId="1623339A" w14:textId="77777777" w:rsidR="001A1E35" w:rsidRPr="005C133F" w:rsidRDefault="001A1E35" w:rsidP="005C133F">
      <w:pPr>
        <w:numPr>
          <w:ilvl w:val="0"/>
          <w:numId w:val="6"/>
        </w:numPr>
        <w:spacing w:after="0" w:line="360" w:lineRule="auto"/>
        <w:jc w:val="both"/>
        <w:rPr>
          <w:rFonts w:eastAsia="Calibri"/>
          <w:noProof/>
          <w:lang w:val="es-DO"/>
        </w:rPr>
      </w:pPr>
      <w:r w:rsidRPr="005C133F">
        <w:rPr>
          <w:rFonts w:eastAsia="Calibri"/>
          <w:noProof/>
          <w:lang w:val="es-DO"/>
        </w:rPr>
        <w:t>Ley 177-09, que otorga la amnistía a todos los empleadores públicos y privados con atrasos en las cotizaciones al SDSS y que introduce modificaciones a la Ley 87-01, de fecha 22 de junio de 2009. </w:t>
      </w:r>
    </w:p>
    <w:p w14:paraId="5F7F474D" w14:textId="77777777" w:rsidR="001A1E35" w:rsidRPr="005C133F" w:rsidRDefault="001A1E35" w:rsidP="005C133F">
      <w:pPr>
        <w:numPr>
          <w:ilvl w:val="0"/>
          <w:numId w:val="7"/>
        </w:numPr>
        <w:spacing w:after="0" w:line="360" w:lineRule="auto"/>
        <w:jc w:val="both"/>
        <w:rPr>
          <w:rFonts w:eastAsia="Calibri"/>
          <w:noProof/>
          <w:lang w:val="es-DO"/>
        </w:rPr>
      </w:pPr>
      <w:r w:rsidRPr="005C133F">
        <w:rPr>
          <w:rFonts w:eastAsia="Calibri"/>
          <w:noProof/>
          <w:lang w:val="es-DO"/>
        </w:rPr>
        <w:t>Ley 397-19, que crea el Instituto Dominicano de Prevención y Protección de Riesgos Laborales, de fecha 30 de septiembre de 2019. </w:t>
      </w:r>
    </w:p>
    <w:p w14:paraId="30DF4332" w14:textId="77777777" w:rsidR="001A1E35" w:rsidRPr="005C133F" w:rsidRDefault="001A1E35" w:rsidP="005C133F">
      <w:pPr>
        <w:numPr>
          <w:ilvl w:val="0"/>
          <w:numId w:val="8"/>
        </w:numPr>
        <w:spacing w:after="0" w:line="360" w:lineRule="auto"/>
        <w:jc w:val="both"/>
        <w:rPr>
          <w:rFonts w:eastAsia="Calibri"/>
          <w:noProof/>
          <w:lang w:val="es-DO"/>
        </w:rPr>
      </w:pPr>
      <w:r w:rsidRPr="005C133F">
        <w:rPr>
          <w:rFonts w:eastAsia="Calibri"/>
          <w:noProof/>
          <w:lang w:val="es-DO"/>
        </w:rPr>
        <w:t>Ley No. 42-2001, Ley General de Salud, de fecha 8 de marzo del año 2001. </w:t>
      </w:r>
    </w:p>
    <w:p w14:paraId="00219010" w14:textId="77777777" w:rsidR="001A1E35" w:rsidRPr="005C133F" w:rsidRDefault="001A1E35" w:rsidP="005C133F">
      <w:pPr>
        <w:numPr>
          <w:ilvl w:val="0"/>
          <w:numId w:val="9"/>
        </w:numPr>
        <w:spacing w:after="0" w:line="360" w:lineRule="auto"/>
        <w:jc w:val="both"/>
        <w:rPr>
          <w:rFonts w:eastAsia="Calibri"/>
          <w:noProof/>
          <w:lang w:val="es-DO"/>
        </w:rPr>
      </w:pPr>
      <w:r w:rsidRPr="005C133F">
        <w:rPr>
          <w:rFonts w:eastAsia="Calibri"/>
          <w:noProof/>
          <w:lang w:val="es-DO"/>
        </w:rPr>
        <w:t>Ley No. 68-03, que crea el Colegio Médico Dominicano y otras disposiciones, de fecha 19 de febrero de 2003. </w:t>
      </w:r>
    </w:p>
    <w:p w14:paraId="22A06073" w14:textId="77777777" w:rsidR="001A1E35" w:rsidRPr="005C133F" w:rsidRDefault="001A1E35" w:rsidP="005C133F">
      <w:pPr>
        <w:numPr>
          <w:ilvl w:val="0"/>
          <w:numId w:val="10"/>
        </w:numPr>
        <w:spacing w:after="0" w:line="360" w:lineRule="auto"/>
        <w:jc w:val="both"/>
        <w:rPr>
          <w:rFonts w:eastAsia="Calibri"/>
          <w:noProof/>
          <w:lang w:val="es-DO"/>
        </w:rPr>
      </w:pPr>
      <w:r w:rsidRPr="005C133F">
        <w:rPr>
          <w:rFonts w:eastAsia="Calibri"/>
          <w:noProof/>
          <w:lang w:val="es-DO"/>
        </w:rPr>
        <w:t>Ley No. 200-04, sobre Libre Acceso a la Información Pública, de fecha 28 de julio de 2004 </w:t>
      </w:r>
    </w:p>
    <w:p w14:paraId="7DA0DCD0" w14:textId="77777777" w:rsidR="001A1E35" w:rsidRPr="005C133F" w:rsidRDefault="001A1E35" w:rsidP="005C133F">
      <w:pPr>
        <w:numPr>
          <w:ilvl w:val="0"/>
          <w:numId w:val="11"/>
        </w:numPr>
        <w:spacing w:after="0" w:line="360" w:lineRule="auto"/>
        <w:jc w:val="both"/>
        <w:rPr>
          <w:rFonts w:eastAsia="Calibri"/>
          <w:noProof/>
          <w:lang w:val="es-DO"/>
        </w:rPr>
      </w:pPr>
      <w:r w:rsidRPr="005C133F">
        <w:rPr>
          <w:rFonts w:eastAsia="Calibri"/>
          <w:noProof/>
          <w:lang w:val="es-DO"/>
        </w:rPr>
        <w:t>Ley No. 340-06, sobre Compras y Contrataciones de Bienes, Servicios, Obras y Concesiones, de fecha 18 de agosto de 2006 </w:t>
      </w:r>
    </w:p>
    <w:p w14:paraId="1F441944" w14:textId="77777777" w:rsidR="001A1E35" w:rsidRPr="005C133F" w:rsidRDefault="001A1E35" w:rsidP="005C133F">
      <w:pPr>
        <w:numPr>
          <w:ilvl w:val="0"/>
          <w:numId w:val="12"/>
        </w:numPr>
        <w:spacing w:after="0" w:line="360" w:lineRule="auto"/>
        <w:jc w:val="both"/>
        <w:rPr>
          <w:rFonts w:eastAsia="Calibri"/>
          <w:noProof/>
          <w:lang w:val="es-DO"/>
        </w:rPr>
      </w:pPr>
      <w:r w:rsidRPr="005C133F">
        <w:rPr>
          <w:rFonts w:eastAsia="Calibri"/>
          <w:noProof/>
          <w:lang w:val="es-DO"/>
        </w:rPr>
        <w:t>Ley No. 449-06, que modifica la Ley 340-06, de fecha 6 de diciembre de 2006. </w:t>
      </w:r>
    </w:p>
    <w:p w14:paraId="128A095E" w14:textId="77777777" w:rsidR="001A1E35" w:rsidRPr="005C133F" w:rsidRDefault="001A1E35" w:rsidP="005C133F">
      <w:pPr>
        <w:numPr>
          <w:ilvl w:val="0"/>
          <w:numId w:val="13"/>
        </w:numPr>
        <w:spacing w:after="0" w:line="360" w:lineRule="auto"/>
        <w:jc w:val="both"/>
        <w:rPr>
          <w:rFonts w:eastAsia="Calibri"/>
          <w:noProof/>
          <w:lang w:val="es-DO"/>
        </w:rPr>
      </w:pPr>
      <w:r w:rsidRPr="005C133F">
        <w:rPr>
          <w:rFonts w:eastAsia="Calibri"/>
          <w:noProof/>
          <w:lang w:val="es-DO"/>
        </w:rPr>
        <w:t>Ley No. 423-06, Orgánica de Presupuesto para el Sector Público, de fecha 17 de noviembre de 2006. </w:t>
      </w:r>
    </w:p>
    <w:p w14:paraId="54960F73" w14:textId="77777777" w:rsidR="001A1E35" w:rsidRPr="005C133F" w:rsidRDefault="001A1E35" w:rsidP="005C133F">
      <w:pPr>
        <w:numPr>
          <w:ilvl w:val="0"/>
          <w:numId w:val="14"/>
        </w:numPr>
        <w:spacing w:after="0" w:line="360" w:lineRule="auto"/>
        <w:jc w:val="both"/>
        <w:rPr>
          <w:rFonts w:eastAsia="Calibri"/>
          <w:noProof/>
          <w:lang w:val="es-DO"/>
        </w:rPr>
      </w:pPr>
      <w:r w:rsidRPr="005C133F">
        <w:rPr>
          <w:rFonts w:eastAsia="Calibri"/>
          <w:noProof/>
          <w:lang w:val="es-DO"/>
        </w:rPr>
        <w:t>Ley No.41-08, Sobre Función Pública, de fecha 16 de enero de 2008 </w:t>
      </w:r>
    </w:p>
    <w:p w14:paraId="1BDB8060" w14:textId="77777777" w:rsidR="001A1E35" w:rsidRPr="005C133F" w:rsidRDefault="001A1E35" w:rsidP="005C133F">
      <w:pPr>
        <w:numPr>
          <w:ilvl w:val="0"/>
          <w:numId w:val="15"/>
        </w:numPr>
        <w:spacing w:after="0" w:line="360" w:lineRule="auto"/>
        <w:jc w:val="both"/>
        <w:rPr>
          <w:rFonts w:eastAsia="Calibri"/>
          <w:noProof/>
          <w:lang w:val="es-DO"/>
        </w:rPr>
      </w:pPr>
      <w:r w:rsidRPr="005C133F">
        <w:rPr>
          <w:rFonts w:eastAsia="Calibri"/>
          <w:noProof/>
          <w:lang w:val="es-DO"/>
        </w:rPr>
        <w:lastRenderedPageBreak/>
        <w:t>Ley No.247-12, Orgánica de la Administración Pública, de fecha 9 de agosto de 2012. </w:t>
      </w:r>
    </w:p>
    <w:p w14:paraId="4ED8B54C" w14:textId="77777777" w:rsidR="001A1E35" w:rsidRPr="005C133F" w:rsidRDefault="001A1E35" w:rsidP="005C133F">
      <w:pPr>
        <w:numPr>
          <w:ilvl w:val="0"/>
          <w:numId w:val="16"/>
        </w:numPr>
        <w:spacing w:after="0" w:line="360" w:lineRule="auto"/>
        <w:jc w:val="both"/>
        <w:rPr>
          <w:rFonts w:eastAsia="Calibri"/>
          <w:noProof/>
          <w:lang w:val="es-DO"/>
        </w:rPr>
      </w:pPr>
      <w:r w:rsidRPr="005C133F">
        <w:rPr>
          <w:rFonts w:eastAsia="Calibri"/>
          <w:noProof/>
          <w:lang w:val="es-DO"/>
        </w:rPr>
        <w:t>Ley No.107-13, sobre los Derechos de las Personas en sus relaciones con la Administración y de Procedimiento Administrativo, de fecha 6 de agosto de 2013. </w:t>
      </w:r>
    </w:p>
    <w:p w14:paraId="6AAFF6F4" w14:textId="77777777" w:rsidR="001A1E35" w:rsidRPr="005C133F" w:rsidRDefault="001A1E35" w:rsidP="005C133F">
      <w:pPr>
        <w:numPr>
          <w:ilvl w:val="0"/>
          <w:numId w:val="17"/>
        </w:numPr>
        <w:spacing w:after="0" w:line="360" w:lineRule="auto"/>
        <w:jc w:val="both"/>
        <w:rPr>
          <w:rFonts w:eastAsia="Calibri"/>
          <w:noProof/>
          <w:lang w:val="es-DO"/>
        </w:rPr>
      </w:pPr>
      <w:r w:rsidRPr="005C133F">
        <w:rPr>
          <w:rFonts w:eastAsia="Calibri"/>
          <w:noProof/>
          <w:lang w:val="es-DO"/>
        </w:rPr>
        <w:t>Ley No.123-15, sobre el Servicio Nacional de Salud, de fecha 16 de julio de 2015. </w:t>
      </w:r>
    </w:p>
    <w:p w14:paraId="4097DAFD" w14:textId="601BE71A" w:rsidR="00EA213B" w:rsidRPr="005C133F" w:rsidRDefault="001A1E35" w:rsidP="005C133F">
      <w:pPr>
        <w:numPr>
          <w:ilvl w:val="0"/>
          <w:numId w:val="18"/>
        </w:numPr>
        <w:spacing w:after="0" w:line="360" w:lineRule="auto"/>
        <w:jc w:val="both"/>
        <w:rPr>
          <w:rFonts w:eastAsia="Calibri"/>
          <w:noProof/>
          <w:lang w:val="es-DO"/>
        </w:rPr>
      </w:pPr>
      <w:r w:rsidRPr="005C133F">
        <w:rPr>
          <w:rFonts w:eastAsia="Calibri"/>
          <w:noProof/>
          <w:lang w:val="es-DO"/>
        </w:rPr>
        <w:t>Ley No. 5-13 sobre discapacidad. </w:t>
      </w:r>
    </w:p>
    <w:p w14:paraId="00620549" w14:textId="7B5199AA" w:rsidR="00EA213B" w:rsidRPr="005C133F" w:rsidRDefault="00EA213B" w:rsidP="005C133F">
      <w:pPr>
        <w:spacing w:after="0" w:line="360" w:lineRule="auto"/>
        <w:rPr>
          <w:rFonts w:eastAsia="Calibri"/>
          <w:b/>
          <w:bCs/>
          <w:noProof/>
          <w:lang w:val="es-DO"/>
        </w:rPr>
      </w:pPr>
      <w:r w:rsidRPr="005C133F">
        <w:rPr>
          <w:rFonts w:eastAsia="Calibri"/>
          <w:b/>
          <w:bCs/>
          <w:noProof/>
          <w:lang w:val="es-DO"/>
        </w:rPr>
        <w:t xml:space="preserve">Decretos </w:t>
      </w:r>
    </w:p>
    <w:p w14:paraId="1305F92B" w14:textId="77777777" w:rsidR="00930B7C" w:rsidRPr="005C133F" w:rsidRDefault="00930B7C" w:rsidP="005C133F">
      <w:pPr>
        <w:numPr>
          <w:ilvl w:val="0"/>
          <w:numId w:val="19"/>
        </w:numPr>
        <w:spacing w:after="0" w:line="360" w:lineRule="auto"/>
        <w:jc w:val="both"/>
        <w:rPr>
          <w:rFonts w:eastAsia="Calibri"/>
          <w:noProof/>
          <w:lang w:val="es-DO"/>
        </w:rPr>
      </w:pPr>
      <w:r w:rsidRPr="005C133F">
        <w:rPr>
          <w:rFonts w:eastAsia="Calibri"/>
          <w:noProof/>
          <w:lang w:val="es-DO"/>
        </w:rPr>
        <w:t>Decreto No. 130-05, de fecha 23 de febrero de 2005, que aprueba el Reglamento de la Ley 200-04 </w:t>
      </w:r>
    </w:p>
    <w:p w14:paraId="67349DD7" w14:textId="77777777" w:rsidR="00930B7C" w:rsidRPr="005C133F" w:rsidRDefault="00930B7C" w:rsidP="005C133F">
      <w:pPr>
        <w:numPr>
          <w:ilvl w:val="0"/>
          <w:numId w:val="20"/>
        </w:numPr>
        <w:spacing w:after="0" w:line="360" w:lineRule="auto"/>
        <w:jc w:val="both"/>
        <w:rPr>
          <w:rFonts w:eastAsia="Calibri"/>
          <w:noProof/>
          <w:lang w:val="es-DO"/>
        </w:rPr>
      </w:pPr>
      <w:r w:rsidRPr="005C133F">
        <w:rPr>
          <w:rFonts w:eastAsia="Calibri"/>
          <w:noProof/>
          <w:lang w:val="es-DO"/>
        </w:rPr>
        <w:t>Decreto No. 492-07, de fecha 30 de agosto de 2007, que aprueba el Reglamento de Aplicación de la Ley Orgánica de Presupuesto para el Sector Público. </w:t>
      </w:r>
    </w:p>
    <w:p w14:paraId="11D309B8" w14:textId="7CC48D51" w:rsidR="00247F10" w:rsidRPr="005C133F" w:rsidRDefault="00930B7C" w:rsidP="005C133F">
      <w:pPr>
        <w:numPr>
          <w:ilvl w:val="0"/>
          <w:numId w:val="21"/>
        </w:numPr>
        <w:spacing w:after="0" w:line="360" w:lineRule="auto"/>
        <w:jc w:val="both"/>
        <w:rPr>
          <w:rFonts w:eastAsia="Calibri"/>
          <w:noProof/>
          <w:lang w:val="es-DO"/>
        </w:rPr>
      </w:pPr>
      <w:r w:rsidRPr="005C133F">
        <w:rPr>
          <w:rFonts w:eastAsia="Calibri"/>
          <w:noProof/>
          <w:lang w:val="es-DO"/>
        </w:rPr>
        <w:t>Decreto No. 525-08, de fecha 11 de septiembre de 2008, sobre Gabinetes de Comunicación Gubernamental </w:t>
      </w:r>
    </w:p>
    <w:p w14:paraId="334DAE09" w14:textId="2BCF1105" w:rsidR="00930B7C" w:rsidRPr="005C133F" w:rsidRDefault="00930B7C" w:rsidP="005C133F">
      <w:pPr>
        <w:numPr>
          <w:ilvl w:val="0"/>
          <w:numId w:val="22"/>
        </w:numPr>
        <w:spacing w:after="0" w:line="360" w:lineRule="auto"/>
        <w:jc w:val="both"/>
        <w:rPr>
          <w:rFonts w:eastAsia="Calibri"/>
          <w:noProof/>
          <w:lang w:val="es-DO"/>
        </w:rPr>
      </w:pPr>
      <w:r w:rsidRPr="005C133F">
        <w:rPr>
          <w:rFonts w:eastAsia="Calibri"/>
          <w:noProof/>
          <w:lang w:val="es-DO"/>
        </w:rPr>
        <w:t>Decreto No. 342-09, de fecha 28 de abril del 2009, que crea Plan de Servicios de Salud Especial y Transitorio para Pensionados y Jubilados y sus modificaciones mediante los</w:t>
      </w:r>
      <w:r w:rsidR="001243AC" w:rsidRPr="005C133F">
        <w:rPr>
          <w:rFonts w:eastAsia="Calibri"/>
          <w:noProof/>
          <w:lang w:val="es-DO"/>
        </w:rPr>
        <w:t xml:space="preserve"> d</w:t>
      </w:r>
      <w:r w:rsidRPr="005C133F">
        <w:rPr>
          <w:rFonts w:eastAsia="Calibri"/>
          <w:noProof/>
          <w:lang w:val="es-DO"/>
        </w:rPr>
        <w:t>ecretos</w:t>
      </w:r>
      <w:r w:rsidR="00985289" w:rsidRPr="005C133F">
        <w:rPr>
          <w:rFonts w:eastAsia="Calibri"/>
          <w:noProof/>
          <w:lang w:val="es-DO"/>
        </w:rPr>
        <w:t xml:space="preserve"> </w:t>
      </w:r>
      <w:r w:rsidRPr="005C133F">
        <w:rPr>
          <w:rFonts w:eastAsia="Calibri"/>
          <w:noProof/>
          <w:lang w:val="es-DO"/>
        </w:rPr>
        <w:t>No. 213-10 y No. 327-11, de fecha 15 de abril de 2010 y 17 de mayo de 2011, respectivamente. </w:t>
      </w:r>
    </w:p>
    <w:p w14:paraId="461A703A" w14:textId="77777777" w:rsidR="00930B7C" w:rsidRPr="005C133F" w:rsidRDefault="00930B7C" w:rsidP="005C133F">
      <w:pPr>
        <w:numPr>
          <w:ilvl w:val="0"/>
          <w:numId w:val="23"/>
        </w:numPr>
        <w:spacing w:after="0" w:line="360" w:lineRule="auto"/>
        <w:jc w:val="both"/>
        <w:rPr>
          <w:rFonts w:eastAsia="Calibri"/>
          <w:noProof/>
          <w:lang w:val="es-DO"/>
        </w:rPr>
      </w:pPr>
      <w:r w:rsidRPr="005C133F">
        <w:rPr>
          <w:rFonts w:eastAsia="Calibri"/>
          <w:noProof/>
          <w:lang w:val="es-DO"/>
        </w:rPr>
        <w:t>Decreto No. 694-09, de fecha 17 de septiembre de 2009, que crea el Sistema 311 de denuncias, quejas y reclamaciones. </w:t>
      </w:r>
    </w:p>
    <w:p w14:paraId="7F503C8E" w14:textId="77777777" w:rsidR="00930B7C" w:rsidRPr="005C133F" w:rsidRDefault="00930B7C" w:rsidP="005C133F">
      <w:pPr>
        <w:numPr>
          <w:ilvl w:val="0"/>
          <w:numId w:val="24"/>
        </w:numPr>
        <w:spacing w:after="0" w:line="360" w:lineRule="auto"/>
        <w:jc w:val="both"/>
        <w:rPr>
          <w:rFonts w:eastAsia="Calibri"/>
          <w:noProof/>
          <w:lang w:val="es-DO"/>
        </w:rPr>
      </w:pPr>
      <w:r w:rsidRPr="005C133F">
        <w:rPr>
          <w:rFonts w:eastAsia="Calibri"/>
          <w:noProof/>
          <w:lang w:val="es-DO"/>
        </w:rPr>
        <w:t>Decreto No. 543-12, de fecha 6 de septiembre de 2012, que aprueba el Reglamento de la Ley sobre Compras y Contrataciones de Bienes, Servicios, Obras y Concesiones del Estado </w:t>
      </w:r>
    </w:p>
    <w:p w14:paraId="700D872A" w14:textId="08EC8DE5" w:rsidR="00474F5A" w:rsidRDefault="00930B7C" w:rsidP="005C133F">
      <w:pPr>
        <w:numPr>
          <w:ilvl w:val="0"/>
          <w:numId w:val="25"/>
        </w:numPr>
        <w:spacing w:after="0" w:line="360" w:lineRule="auto"/>
        <w:jc w:val="both"/>
        <w:rPr>
          <w:rFonts w:eastAsia="Calibri"/>
          <w:b/>
          <w:bCs/>
          <w:noProof/>
          <w:lang w:val="es-DO"/>
        </w:rPr>
      </w:pPr>
      <w:r w:rsidRPr="005C133F">
        <w:rPr>
          <w:rFonts w:eastAsia="Calibri"/>
          <w:noProof/>
          <w:lang w:val="es-DO"/>
        </w:rPr>
        <w:t>Decreto No. 644-24, de fecha 13 de noviembre 2024, que reduce al 3.2% el aporte de los pensionados y jubilados.</w:t>
      </w:r>
      <w:r w:rsidRPr="005C133F">
        <w:rPr>
          <w:rFonts w:eastAsia="Calibri"/>
          <w:b/>
          <w:bCs/>
          <w:noProof/>
          <w:lang w:val="es-DO"/>
        </w:rPr>
        <w:t> </w:t>
      </w:r>
    </w:p>
    <w:p w14:paraId="1A50FBBC" w14:textId="77777777" w:rsidR="008A296A" w:rsidRDefault="008A296A" w:rsidP="008A296A">
      <w:pPr>
        <w:spacing w:after="0" w:line="360" w:lineRule="auto"/>
        <w:jc w:val="both"/>
        <w:rPr>
          <w:rFonts w:eastAsia="Calibri"/>
          <w:b/>
          <w:bCs/>
          <w:noProof/>
          <w:lang w:val="es-DO"/>
        </w:rPr>
      </w:pPr>
    </w:p>
    <w:p w14:paraId="7BD9E52F" w14:textId="2C3B0A79" w:rsidR="00A7228C" w:rsidRPr="005C133F" w:rsidRDefault="00EA213B" w:rsidP="005C133F">
      <w:pPr>
        <w:spacing w:after="0" w:line="360" w:lineRule="auto"/>
        <w:rPr>
          <w:rFonts w:eastAsia="Calibri"/>
          <w:b/>
          <w:bCs/>
          <w:noProof/>
          <w:lang w:val="es-DO"/>
        </w:rPr>
      </w:pPr>
      <w:r w:rsidRPr="005C133F">
        <w:rPr>
          <w:rFonts w:eastAsia="Calibri"/>
          <w:b/>
          <w:bCs/>
          <w:noProof/>
          <w:lang w:val="es-DO"/>
        </w:rPr>
        <w:lastRenderedPageBreak/>
        <w:t xml:space="preserve">Reglamentos </w:t>
      </w:r>
    </w:p>
    <w:p w14:paraId="1F689EE4" w14:textId="77777777" w:rsidR="00A7228C" w:rsidRPr="005C133F" w:rsidRDefault="00A7228C" w:rsidP="005C133F">
      <w:pPr>
        <w:numPr>
          <w:ilvl w:val="0"/>
          <w:numId w:val="26"/>
        </w:numPr>
        <w:spacing w:after="0" w:line="360" w:lineRule="auto"/>
        <w:jc w:val="both"/>
        <w:rPr>
          <w:rFonts w:eastAsia="Calibri"/>
          <w:noProof/>
          <w:lang w:val="es-DO"/>
        </w:rPr>
      </w:pPr>
      <w:r w:rsidRPr="005C133F">
        <w:rPr>
          <w:rFonts w:eastAsia="Calibri"/>
          <w:noProof/>
          <w:lang w:val="es-DO"/>
        </w:rPr>
        <w:t>Reglamento sobre el Seguro Familiar de Salud y el Plan Básico de Salud, aprobado por el CNSS mediante Resolución No.48-13, 10 octubre 2002. </w:t>
      </w:r>
    </w:p>
    <w:p w14:paraId="0BA446B5" w14:textId="77777777" w:rsidR="00A7228C" w:rsidRPr="005C133F" w:rsidRDefault="00A7228C" w:rsidP="005C133F">
      <w:pPr>
        <w:numPr>
          <w:ilvl w:val="0"/>
          <w:numId w:val="27"/>
        </w:numPr>
        <w:spacing w:after="0" w:line="360" w:lineRule="auto"/>
        <w:jc w:val="both"/>
        <w:rPr>
          <w:rFonts w:eastAsia="Calibri"/>
          <w:noProof/>
          <w:lang w:val="es-DO"/>
        </w:rPr>
      </w:pPr>
      <w:r w:rsidRPr="005C133F">
        <w:rPr>
          <w:rFonts w:eastAsia="Calibri"/>
          <w:noProof/>
          <w:lang w:val="es-DO"/>
        </w:rPr>
        <w:t>Reglamento del Seguro de Riesgos Laborales, como norma complementaria a la Ley 87-01 que crea el SDSS, 6 junio 2003. </w:t>
      </w:r>
    </w:p>
    <w:p w14:paraId="383931DF" w14:textId="77777777" w:rsidR="00A7228C" w:rsidRPr="005C133F" w:rsidRDefault="00A7228C" w:rsidP="005C133F">
      <w:pPr>
        <w:numPr>
          <w:ilvl w:val="0"/>
          <w:numId w:val="28"/>
        </w:numPr>
        <w:spacing w:after="0" w:line="360" w:lineRule="auto"/>
        <w:jc w:val="both"/>
        <w:rPr>
          <w:rFonts w:eastAsia="Calibri"/>
          <w:noProof/>
          <w:lang w:val="es-DO"/>
        </w:rPr>
      </w:pPr>
      <w:r w:rsidRPr="005C133F">
        <w:rPr>
          <w:rFonts w:eastAsia="Calibri"/>
          <w:noProof/>
          <w:lang w:val="es-DO"/>
        </w:rPr>
        <w:t>Reglamento para la Organización y Regulación de las ARS, aprobado por el CNSS mediante Resolución No.47-04, 3 octubre 2002. </w:t>
      </w:r>
    </w:p>
    <w:p w14:paraId="053B009F" w14:textId="77777777" w:rsidR="00A7228C" w:rsidRPr="005C133F" w:rsidRDefault="00A7228C" w:rsidP="005C133F">
      <w:pPr>
        <w:numPr>
          <w:ilvl w:val="0"/>
          <w:numId w:val="29"/>
        </w:numPr>
        <w:spacing w:after="0" w:line="360" w:lineRule="auto"/>
        <w:jc w:val="both"/>
        <w:rPr>
          <w:rFonts w:eastAsia="Calibri"/>
          <w:noProof/>
          <w:lang w:val="es-DO"/>
        </w:rPr>
      </w:pPr>
      <w:r w:rsidRPr="005C133F">
        <w:rPr>
          <w:rFonts w:eastAsia="Calibri"/>
          <w:noProof/>
          <w:lang w:val="es-DO"/>
        </w:rPr>
        <w:t>Reglamento para el Control de los medicamentos del Plan Básico de Salud, aprobado por el CNSS mediante las Resoluciones No. 44-03 y 45-04 del 12 y 19 de septiembre del 2002, respectivamente. </w:t>
      </w:r>
    </w:p>
    <w:p w14:paraId="4393879D" w14:textId="77777777" w:rsidR="00A7228C" w:rsidRPr="005C133F" w:rsidRDefault="00A7228C" w:rsidP="005C133F">
      <w:pPr>
        <w:numPr>
          <w:ilvl w:val="0"/>
          <w:numId w:val="30"/>
        </w:numPr>
        <w:spacing w:after="0" w:line="360" w:lineRule="auto"/>
        <w:jc w:val="both"/>
        <w:rPr>
          <w:rFonts w:eastAsia="Calibri"/>
          <w:noProof/>
          <w:lang w:val="es-DO"/>
        </w:rPr>
      </w:pPr>
      <w:r w:rsidRPr="005C133F">
        <w:rPr>
          <w:rFonts w:eastAsia="Calibri"/>
          <w:noProof/>
          <w:lang w:val="es-DO"/>
        </w:rPr>
        <w:t>Reglamento sobre Aspectos Generales de Afiliación al Seguro Familiar de Salud Régimen o Contributivo, aprobado mediante Decreto No.234-07. </w:t>
      </w:r>
    </w:p>
    <w:p w14:paraId="0DC66030" w14:textId="77777777" w:rsidR="00A7228C" w:rsidRPr="005C133F" w:rsidRDefault="00A7228C" w:rsidP="005C133F">
      <w:pPr>
        <w:numPr>
          <w:ilvl w:val="0"/>
          <w:numId w:val="31"/>
        </w:numPr>
        <w:spacing w:after="0" w:line="360" w:lineRule="auto"/>
        <w:jc w:val="both"/>
        <w:rPr>
          <w:rFonts w:eastAsia="Calibri"/>
          <w:noProof/>
          <w:lang w:val="es-DO"/>
        </w:rPr>
      </w:pPr>
      <w:r w:rsidRPr="005C133F">
        <w:rPr>
          <w:rFonts w:eastAsia="Calibri"/>
          <w:noProof/>
          <w:lang w:val="es-DO"/>
        </w:rPr>
        <w:t>Reglamentos para la Prescripción y Dispensación de Medicamentos Ambulatorios en el SDSS, aprobado mediante Decreto No.665-12. </w:t>
      </w:r>
    </w:p>
    <w:p w14:paraId="0E64D63A" w14:textId="77777777" w:rsidR="00A7228C" w:rsidRPr="005C133F" w:rsidRDefault="00A7228C" w:rsidP="005C133F">
      <w:pPr>
        <w:numPr>
          <w:ilvl w:val="0"/>
          <w:numId w:val="32"/>
        </w:numPr>
        <w:spacing w:after="0" w:line="360" w:lineRule="auto"/>
        <w:jc w:val="both"/>
        <w:rPr>
          <w:rFonts w:eastAsia="Calibri"/>
          <w:noProof/>
          <w:lang w:val="es-DO"/>
        </w:rPr>
      </w:pPr>
      <w:r w:rsidRPr="005C133F">
        <w:rPr>
          <w:rFonts w:eastAsia="Calibri"/>
          <w:noProof/>
          <w:lang w:val="es-DO"/>
        </w:rPr>
        <w:t>Reglamento de infracciones y Sanciones al Seguro Familiar de Salud y al Seguro de Riesgos Laborales, aprobado por el CNSS mediante las Resoluciones No.169-04 de 25 octubre 2007. </w:t>
      </w:r>
    </w:p>
    <w:p w14:paraId="4D7B18CE" w14:textId="309896E7" w:rsidR="00A7228C" w:rsidRPr="005C133F" w:rsidRDefault="00A7228C" w:rsidP="005C133F">
      <w:pPr>
        <w:numPr>
          <w:ilvl w:val="0"/>
          <w:numId w:val="33"/>
        </w:numPr>
        <w:spacing w:after="0" w:line="360" w:lineRule="auto"/>
        <w:jc w:val="both"/>
        <w:rPr>
          <w:rFonts w:eastAsia="Calibri"/>
          <w:noProof/>
          <w:lang w:val="es-DO"/>
        </w:rPr>
      </w:pPr>
      <w:r w:rsidRPr="005C133F">
        <w:rPr>
          <w:rFonts w:eastAsia="Calibri"/>
          <w:noProof/>
          <w:lang w:val="es-DO"/>
        </w:rPr>
        <w:t>Reglamento de Subsidios por Maternidad</w:t>
      </w:r>
      <w:r w:rsidR="00247F10" w:rsidRPr="005C133F">
        <w:rPr>
          <w:rFonts w:eastAsia="Calibri"/>
          <w:noProof/>
          <w:lang w:val="es-DO"/>
        </w:rPr>
        <w:t xml:space="preserve"> </w:t>
      </w:r>
      <w:r w:rsidRPr="005C133F">
        <w:rPr>
          <w:rFonts w:eastAsia="Calibri"/>
          <w:noProof/>
          <w:lang w:val="es-DO"/>
        </w:rPr>
        <w:t>y Lactancia, Modificado mediante Resolución No. 185-01, en la Sesión Extraordinaria 185, del CNSS, 14 de julio del año 2008. </w:t>
      </w:r>
    </w:p>
    <w:p w14:paraId="06737759" w14:textId="77777777" w:rsidR="00A7228C" w:rsidRPr="005C133F" w:rsidRDefault="00A7228C" w:rsidP="005C133F">
      <w:pPr>
        <w:numPr>
          <w:ilvl w:val="0"/>
          <w:numId w:val="34"/>
        </w:numPr>
        <w:spacing w:after="0" w:line="360" w:lineRule="auto"/>
        <w:jc w:val="both"/>
        <w:rPr>
          <w:rFonts w:eastAsia="Calibri"/>
          <w:noProof/>
          <w:lang w:val="es-DO"/>
        </w:rPr>
      </w:pPr>
      <w:r w:rsidRPr="005C133F">
        <w:rPr>
          <w:rFonts w:eastAsia="Calibri"/>
          <w:noProof/>
          <w:lang w:val="es-DO"/>
        </w:rPr>
        <w:t>Reglamento sobre Subsidios por Enfermedad Común. </w:t>
      </w:r>
    </w:p>
    <w:p w14:paraId="16B64303" w14:textId="77777777" w:rsidR="00A7228C" w:rsidRPr="005C133F" w:rsidRDefault="00A7228C" w:rsidP="005C133F">
      <w:pPr>
        <w:numPr>
          <w:ilvl w:val="0"/>
          <w:numId w:val="35"/>
        </w:numPr>
        <w:spacing w:after="0" w:line="360" w:lineRule="auto"/>
        <w:jc w:val="both"/>
        <w:rPr>
          <w:rFonts w:eastAsia="Calibri"/>
          <w:noProof/>
          <w:lang w:val="es-DO"/>
        </w:rPr>
      </w:pPr>
      <w:r w:rsidRPr="005C133F">
        <w:rPr>
          <w:rFonts w:eastAsia="Calibri"/>
          <w:noProof/>
          <w:lang w:val="es-DO"/>
        </w:rPr>
        <w:t>Reglamento Operativo de la SISALRIL, 13 junio 2002. </w:t>
      </w:r>
    </w:p>
    <w:p w14:paraId="69358DF9" w14:textId="77777777" w:rsidR="00A7228C" w:rsidRPr="005C133F" w:rsidRDefault="00A7228C" w:rsidP="005C133F">
      <w:pPr>
        <w:numPr>
          <w:ilvl w:val="0"/>
          <w:numId w:val="36"/>
        </w:numPr>
        <w:spacing w:after="0" w:line="360" w:lineRule="auto"/>
        <w:jc w:val="both"/>
        <w:rPr>
          <w:rFonts w:eastAsia="Calibri"/>
          <w:noProof/>
          <w:lang w:val="es-DO"/>
        </w:rPr>
      </w:pPr>
      <w:r w:rsidRPr="005C133F">
        <w:rPr>
          <w:rFonts w:eastAsia="Calibri"/>
          <w:noProof/>
          <w:lang w:val="es-DO"/>
        </w:rPr>
        <w:lastRenderedPageBreak/>
        <w:t>Reglamento sobre el Régimen Subsidiado del Seguro Familiar de Salud, aprobado mediante Decreto No.136-13. Deroga el Reglamento No. 549-03. G. O. No. 10715 del22 de mayo de 2013. </w:t>
      </w:r>
    </w:p>
    <w:p w14:paraId="46947906" w14:textId="77777777" w:rsidR="00A7228C" w:rsidRPr="005C133F" w:rsidRDefault="00A7228C" w:rsidP="005C133F">
      <w:pPr>
        <w:numPr>
          <w:ilvl w:val="0"/>
          <w:numId w:val="37"/>
        </w:numPr>
        <w:spacing w:after="0" w:line="360" w:lineRule="auto"/>
        <w:jc w:val="both"/>
        <w:rPr>
          <w:rFonts w:eastAsia="Calibri"/>
          <w:noProof/>
          <w:lang w:val="es-DO"/>
        </w:rPr>
      </w:pPr>
      <w:r w:rsidRPr="005C133F">
        <w:rPr>
          <w:rFonts w:eastAsia="Calibri"/>
          <w:noProof/>
          <w:lang w:val="es-DO"/>
        </w:rPr>
        <w:t>Reglamento del Comité Nacional de Honorarios Profesionales, aprobado por el CNSS mediante Res. No. 76-05 del 29 de mayo de 2003. </w:t>
      </w:r>
    </w:p>
    <w:p w14:paraId="48F3C6C7" w14:textId="77777777" w:rsidR="00A7228C" w:rsidRPr="005C133F" w:rsidRDefault="00A7228C" w:rsidP="005C133F">
      <w:pPr>
        <w:numPr>
          <w:ilvl w:val="0"/>
          <w:numId w:val="38"/>
        </w:numPr>
        <w:spacing w:after="0" w:line="360" w:lineRule="auto"/>
        <w:jc w:val="both"/>
        <w:rPr>
          <w:rFonts w:eastAsia="Calibri"/>
          <w:noProof/>
          <w:lang w:val="es-DO"/>
        </w:rPr>
      </w:pPr>
      <w:r w:rsidRPr="005C133F">
        <w:rPr>
          <w:rFonts w:eastAsia="Calibri"/>
          <w:noProof/>
          <w:lang w:val="es-DO"/>
        </w:rPr>
        <w:t>Reglamento de la Dirección de Información y Defensa de los Afiliados, aprobado por el CNSS, mediante Resolución No. 182-06, 12 de junio del año 2008. </w:t>
      </w:r>
    </w:p>
    <w:p w14:paraId="4B1D93D6" w14:textId="77777777" w:rsidR="00A7228C" w:rsidRPr="005C133F" w:rsidRDefault="00A7228C" w:rsidP="005C133F">
      <w:pPr>
        <w:numPr>
          <w:ilvl w:val="0"/>
          <w:numId w:val="39"/>
        </w:numPr>
        <w:spacing w:after="0" w:line="360" w:lineRule="auto"/>
        <w:jc w:val="both"/>
        <w:rPr>
          <w:rFonts w:eastAsia="Calibri"/>
          <w:noProof/>
          <w:lang w:val="es-DO"/>
        </w:rPr>
      </w:pPr>
      <w:r w:rsidRPr="005C133F">
        <w:rPr>
          <w:rFonts w:eastAsia="Calibri"/>
          <w:noProof/>
          <w:lang w:val="es-DO"/>
        </w:rPr>
        <w:t>Reglamento Interno del Consejo Nacional de Seguridad Social, aprobado por el CNSS, mediante Resolución No.30-05, 13 junio del año 2002. </w:t>
      </w:r>
    </w:p>
    <w:p w14:paraId="48BD66E3" w14:textId="77777777" w:rsidR="00A7228C" w:rsidRPr="005C133F" w:rsidRDefault="00A7228C" w:rsidP="005C133F">
      <w:pPr>
        <w:numPr>
          <w:ilvl w:val="0"/>
          <w:numId w:val="40"/>
        </w:numPr>
        <w:spacing w:after="0" w:line="360" w:lineRule="auto"/>
        <w:jc w:val="both"/>
        <w:rPr>
          <w:rFonts w:eastAsia="Calibri"/>
          <w:noProof/>
          <w:lang w:val="es-DO"/>
        </w:rPr>
      </w:pPr>
      <w:r w:rsidRPr="005C133F">
        <w:rPr>
          <w:rFonts w:eastAsia="Calibri"/>
          <w:noProof/>
          <w:lang w:val="es-DO"/>
        </w:rPr>
        <w:t>Reglamento que establece Normas y Procedimientos para las Apelaciones ante el Consejo Nacional de Seguridad Social, aprobado por el CNSS mediante Resolución 124-02 del 16 de febrero del 2005 y Resolución No. 125-02 del 1ero de marzo del 2005. </w:t>
      </w:r>
    </w:p>
    <w:p w14:paraId="2520ECC1" w14:textId="77777777" w:rsidR="00A7228C" w:rsidRPr="005C133F" w:rsidRDefault="00A7228C" w:rsidP="005C133F">
      <w:pPr>
        <w:numPr>
          <w:ilvl w:val="0"/>
          <w:numId w:val="41"/>
        </w:numPr>
        <w:spacing w:after="0" w:line="360" w:lineRule="auto"/>
        <w:jc w:val="both"/>
        <w:rPr>
          <w:rFonts w:eastAsia="Calibri"/>
          <w:noProof/>
          <w:lang w:val="es-DO"/>
        </w:rPr>
      </w:pPr>
      <w:r w:rsidRPr="005C133F">
        <w:rPr>
          <w:rFonts w:eastAsia="Calibri"/>
          <w:noProof/>
          <w:lang w:val="es-DO"/>
        </w:rPr>
        <w:t>Reglamento del Subsidio por Discapacidad Temporal, aprobado por el CNSS mediante Resolución No. 102-01 del 18 de marzo del 2004. </w:t>
      </w:r>
    </w:p>
    <w:p w14:paraId="57E880A8" w14:textId="6CC4D2A7" w:rsidR="008A296A" w:rsidRPr="00F26B9E" w:rsidRDefault="00A7228C" w:rsidP="00F26B9E">
      <w:pPr>
        <w:numPr>
          <w:ilvl w:val="0"/>
          <w:numId w:val="42"/>
        </w:numPr>
        <w:spacing w:after="0" w:line="360" w:lineRule="auto"/>
        <w:jc w:val="both"/>
        <w:rPr>
          <w:rFonts w:eastAsia="Calibri"/>
          <w:noProof/>
          <w:lang w:val="es-DO"/>
        </w:rPr>
      </w:pPr>
      <w:r w:rsidRPr="005C133F">
        <w:rPr>
          <w:rFonts w:eastAsia="Calibri"/>
          <w:noProof/>
          <w:lang w:val="es-DO"/>
        </w:rPr>
        <w:t>Reglamento de la Tesorería de la Seguridad Social, aprobado mediante Decreto No.775-03. </w:t>
      </w:r>
    </w:p>
    <w:p w14:paraId="004112AE" w14:textId="46D9DC2F" w:rsidR="00033D05" w:rsidRPr="005C133F" w:rsidRDefault="00EA213B" w:rsidP="005C133F">
      <w:pPr>
        <w:tabs>
          <w:tab w:val="left" w:pos="2110"/>
        </w:tabs>
        <w:spacing w:after="0" w:line="360" w:lineRule="auto"/>
        <w:rPr>
          <w:rFonts w:eastAsia="Calibri"/>
          <w:b/>
          <w:bCs/>
          <w:noProof/>
          <w:lang w:val="es-DO"/>
        </w:rPr>
      </w:pPr>
      <w:r w:rsidRPr="005C133F">
        <w:rPr>
          <w:rFonts w:eastAsia="Calibri"/>
          <w:b/>
          <w:bCs/>
          <w:noProof/>
          <w:lang w:val="es-DO"/>
        </w:rPr>
        <w:t xml:space="preserve">Normativas </w:t>
      </w:r>
      <w:r w:rsidR="00033D05" w:rsidRPr="005C133F">
        <w:rPr>
          <w:rFonts w:eastAsia="Calibri"/>
          <w:b/>
          <w:bCs/>
          <w:noProof/>
          <w:lang w:val="es-DO"/>
        </w:rPr>
        <w:tab/>
      </w:r>
    </w:p>
    <w:p w14:paraId="6928C6E0" w14:textId="77777777" w:rsidR="00033D05" w:rsidRPr="005C133F" w:rsidRDefault="00033D05" w:rsidP="005C133F">
      <w:pPr>
        <w:numPr>
          <w:ilvl w:val="0"/>
          <w:numId w:val="43"/>
        </w:numPr>
        <w:tabs>
          <w:tab w:val="left" w:pos="2110"/>
        </w:tabs>
        <w:spacing w:after="0" w:line="360" w:lineRule="auto"/>
        <w:jc w:val="both"/>
        <w:rPr>
          <w:rFonts w:eastAsia="Calibri"/>
          <w:noProof/>
          <w:lang w:val="es-DO"/>
        </w:rPr>
      </w:pPr>
      <w:r w:rsidRPr="005C133F">
        <w:rPr>
          <w:rFonts w:eastAsia="Calibri"/>
          <w:noProof/>
          <w:lang w:val="es-DO"/>
        </w:rPr>
        <w:t>Normativa sobre los Accidentes en Trayecto, aprobada por el CNSS mediante Resolución No.168-02, el 04 de octubre del 2007. </w:t>
      </w:r>
    </w:p>
    <w:p w14:paraId="5C626D85" w14:textId="77777777" w:rsidR="00033D05" w:rsidRPr="005C133F" w:rsidRDefault="00033D05" w:rsidP="005C133F">
      <w:pPr>
        <w:numPr>
          <w:ilvl w:val="0"/>
          <w:numId w:val="44"/>
        </w:numPr>
        <w:tabs>
          <w:tab w:val="left" w:pos="2110"/>
        </w:tabs>
        <w:spacing w:after="0" w:line="360" w:lineRule="auto"/>
        <w:jc w:val="both"/>
        <w:rPr>
          <w:rFonts w:eastAsia="Calibri"/>
          <w:noProof/>
          <w:lang w:val="es-DO"/>
        </w:rPr>
      </w:pPr>
      <w:r w:rsidRPr="005C133F">
        <w:rPr>
          <w:rFonts w:eastAsia="Calibri"/>
          <w:noProof/>
          <w:lang w:val="es-DO"/>
        </w:rPr>
        <w:t>Normativa sobre Contratos de Gestión entre ARS y PSS, SISALRIL, 3 de abril 2007. </w:t>
      </w:r>
    </w:p>
    <w:p w14:paraId="4710619B" w14:textId="77777777" w:rsidR="00033D05" w:rsidRPr="005C133F" w:rsidRDefault="00033D05" w:rsidP="005C133F">
      <w:pPr>
        <w:numPr>
          <w:ilvl w:val="0"/>
          <w:numId w:val="45"/>
        </w:numPr>
        <w:tabs>
          <w:tab w:val="left" w:pos="2110"/>
        </w:tabs>
        <w:spacing w:after="0" w:line="360" w:lineRule="auto"/>
        <w:jc w:val="both"/>
        <w:rPr>
          <w:rFonts w:eastAsia="Calibri"/>
          <w:noProof/>
          <w:lang w:val="es-DO"/>
        </w:rPr>
      </w:pPr>
      <w:r w:rsidRPr="005C133F">
        <w:rPr>
          <w:rFonts w:eastAsia="Calibri"/>
          <w:noProof/>
          <w:lang w:val="es-DO"/>
        </w:rPr>
        <w:lastRenderedPageBreak/>
        <w:t>Normativa sobre Fondo Nacional de Atención Médica por Accidentes de Tránsito (FONAMAT) para Regímenes Subsidiado y Contributivo, aprobado por el CNSS mediante Resolución No. 332-03 el 11 de diciembre del año 2013. </w:t>
      </w:r>
    </w:p>
    <w:p w14:paraId="5A7D4C6D" w14:textId="77777777" w:rsidR="00033D05" w:rsidRPr="005C133F" w:rsidRDefault="00033D05" w:rsidP="005C133F">
      <w:pPr>
        <w:numPr>
          <w:ilvl w:val="0"/>
          <w:numId w:val="46"/>
        </w:numPr>
        <w:tabs>
          <w:tab w:val="left" w:pos="2110"/>
        </w:tabs>
        <w:spacing w:after="0" w:line="360" w:lineRule="auto"/>
        <w:jc w:val="both"/>
        <w:rPr>
          <w:rFonts w:eastAsia="Calibri"/>
          <w:noProof/>
          <w:lang w:val="es-DO"/>
        </w:rPr>
      </w:pPr>
      <w:r w:rsidRPr="005C133F">
        <w:rPr>
          <w:rFonts w:eastAsia="Calibri"/>
          <w:noProof/>
          <w:lang w:val="es-DO"/>
        </w:rPr>
        <w:t>Normativa sobre Traspaso de Afiliados entre ARS, SISALRIL, 17 mayo 2006. </w:t>
      </w:r>
    </w:p>
    <w:p w14:paraId="64670898" w14:textId="27366CD5" w:rsidR="00033D05" w:rsidRPr="005C133F" w:rsidRDefault="00033D05" w:rsidP="005C133F">
      <w:pPr>
        <w:numPr>
          <w:ilvl w:val="0"/>
          <w:numId w:val="47"/>
        </w:numPr>
        <w:tabs>
          <w:tab w:val="left" w:pos="2110"/>
        </w:tabs>
        <w:spacing w:after="0" w:line="360" w:lineRule="auto"/>
        <w:jc w:val="both"/>
        <w:rPr>
          <w:rFonts w:eastAsia="Calibri"/>
          <w:noProof/>
          <w:lang w:val="es-DO"/>
        </w:rPr>
      </w:pPr>
      <w:r w:rsidRPr="005C133F">
        <w:rPr>
          <w:rFonts w:eastAsia="Calibri"/>
          <w:noProof/>
          <w:lang w:val="es-DO"/>
        </w:rPr>
        <w:t>Normativas sobre el Subsidio por Enfermedad Común y sobre el Subsidio por Maternidad y Lactancia, aprobada por el CNSS mediante Resolución No. 560-04, d/f 15/12/2022. Derogando el Reglamento sobre el Subsidio por Maternidad y el Subsidio por Lactancia, aprobado por el Consejo Nacional de Seguridad Social (CNSS), mediante la Resolución No. 98-02, d/f 19/02/2004 y sus modificaciones sólo en los aspectos que se sean contrarios. </w:t>
      </w:r>
    </w:p>
    <w:p w14:paraId="68298DEB" w14:textId="77777777" w:rsidR="009E3211" w:rsidRPr="005C133F" w:rsidRDefault="009E3211" w:rsidP="005C133F">
      <w:pPr>
        <w:spacing w:after="0" w:line="360" w:lineRule="auto"/>
        <w:rPr>
          <w:rFonts w:eastAsia="Calibri"/>
          <w:b/>
          <w:bCs/>
          <w:noProof/>
          <w:lang w:val="es-DO"/>
        </w:rPr>
        <w:sectPr w:rsidR="009E3211" w:rsidRPr="005C133F" w:rsidSect="00FF6DA7">
          <w:headerReference w:type="default" r:id="rId17"/>
          <w:footerReference w:type="default" r:id="rId18"/>
          <w:pgSz w:w="12240" w:h="15840"/>
          <w:pgMar w:top="1440" w:right="2160" w:bottom="1440" w:left="2160" w:header="720" w:footer="720" w:gutter="0"/>
          <w:pgNumType w:start="3"/>
          <w:cols w:space="720"/>
          <w:docGrid w:linePitch="360"/>
        </w:sectPr>
      </w:pPr>
    </w:p>
    <w:p w14:paraId="4FAA6119" w14:textId="77777777" w:rsidR="0079740C" w:rsidRPr="005C133F" w:rsidRDefault="0079740C" w:rsidP="005C133F">
      <w:pPr>
        <w:pStyle w:val="SUBTITULITO"/>
        <w:spacing w:after="0"/>
        <w:rPr>
          <w:rFonts w:eastAsia="Calibri"/>
          <w:b w:val="0"/>
        </w:rPr>
      </w:pPr>
      <w:bookmarkStart w:id="7" w:name="_Toc123834331"/>
      <w:bookmarkStart w:id="8" w:name="_Toc121397673"/>
      <w:bookmarkStart w:id="9" w:name="_Toc92459059"/>
      <w:bookmarkStart w:id="10" w:name="_Toc154674856"/>
      <w:bookmarkStart w:id="11" w:name="_Toc187914179"/>
      <w:bookmarkStart w:id="12" w:name="_Toc219121833"/>
      <w:r w:rsidRPr="005C133F">
        <w:rPr>
          <w:rFonts w:eastAsia="Calibri"/>
          <w:noProof/>
        </w:rPr>
        <w:lastRenderedPageBreak/>
        <w:t>2.3 Estructura organizativa</w:t>
      </w:r>
      <w:bookmarkEnd w:id="7"/>
      <w:bookmarkEnd w:id="8"/>
      <w:bookmarkEnd w:id="9"/>
      <w:bookmarkEnd w:id="10"/>
      <w:bookmarkEnd w:id="11"/>
      <w:bookmarkEnd w:id="12"/>
    </w:p>
    <w:p w14:paraId="50866A57" w14:textId="44758DB0" w:rsidR="0079740C" w:rsidRPr="005C133F" w:rsidRDefault="00023EB3" w:rsidP="005C133F">
      <w:pPr>
        <w:spacing w:after="0" w:line="360" w:lineRule="auto"/>
        <w:jc w:val="center"/>
        <w:rPr>
          <w:rFonts w:eastAsia="Calibri"/>
          <w:b/>
          <w:bCs/>
          <w:noProof/>
          <w:lang w:val="es-DO"/>
        </w:rPr>
      </w:pPr>
      <w:bookmarkStart w:id="13" w:name="_Toc187914180"/>
      <w:r w:rsidRPr="005C133F">
        <w:rPr>
          <w:rFonts w:eastAsia="Calibri"/>
          <w:b/>
          <w:bCs/>
          <w:noProof/>
          <w:lang w:val="es-DO"/>
        </w:rPr>
        <w:t>Organigrama aprobado</w:t>
      </w:r>
      <w:bookmarkEnd w:id="13"/>
    </w:p>
    <w:p w14:paraId="5E169D6C" w14:textId="618AD779" w:rsidR="00A75CB6" w:rsidRPr="005C133F" w:rsidRDefault="00CD1D50" w:rsidP="005C133F">
      <w:pPr>
        <w:spacing w:after="0" w:line="360" w:lineRule="auto"/>
        <w:jc w:val="center"/>
        <w:rPr>
          <w:rFonts w:eastAsia="Calibri"/>
          <w:b/>
          <w:bCs/>
          <w:noProof/>
          <w:lang w:val="es-DO"/>
        </w:rPr>
      </w:pPr>
      <w:r w:rsidRPr="005C133F">
        <w:rPr>
          <w:rFonts w:eastAsia="Calibri"/>
          <w:b/>
          <w:bCs/>
          <w:noProof/>
          <w:lang w:val="es-DO"/>
        </w:rPr>
        <w:drawing>
          <wp:inline distT="0" distB="0" distL="0" distR="0" wp14:anchorId="267927F5" wp14:editId="5CDA1036">
            <wp:extent cx="11738344" cy="7231645"/>
            <wp:effectExtent l="0" t="0" r="0" b="7620"/>
            <wp:docPr id="765561019" name="Imagen 2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61019" name="Imagen 26" descr="Diagrama&#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40479" cy="7232960"/>
                    </a:xfrm>
                    <a:prstGeom prst="rect">
                      <a:avLst/>
                    </a:prstGeom>
                    <a:noFill/>
                    <a:ln>
                      <a:noFill/>
                    </a:ln>
                  </pic:spPr>
                </pic:pic>
              </a:graphicData>
            </a:graphic>
          </wp:inline>
        </w:drawing>
      </w:r>
    </w:p>
    <w:p w14:paraId="6FDEF5F2" w14:textId="77777777" w:rsidR="00555EF1" w:rsidRPr="005C133F" w:rsidRDefault="00555EF1" w:rsidP="005C133F">
      <w:pPr>
        <w:spacing w:after="0" w:line="360" w:lineRule="auto"/>
        <w:rPr>
          <w:rFonts w:eastAsia="Calibri"/>
          <w:b/>
          <w:bCs/>
          <w:noProof/>
          <w:lang w:val="es-DO"/>
        </w:rPr>
        <w:sectPr w:rsidR="00555EF1" w:rsidRPr="005C133F" w:rsidSect="002614CE">
          <w:pgSz w:w="24480" w:h="15840" w:orient="landscape" w:code="3"/>
          <w:pgMar w:top="851" w:right="851" w:bottom="851" w:left="851" w:header="720" w:footer="720" w:gutter="0"/>
          <w:cols w:space="720"/>
          <w:docGrid w:linePitch="360"/>
        </w:sectPr>
      </w:pPr>
    </w:p>
    <w:p w14:paraId="695E6E34" w14:textId="41899E4B" w:rsidR="00BF0A6B" w:rsidRPr="005C133F" w:rsidRDefault="00B55096" w:rsidP="005C133F">
      <w:pPr>
        <w:spacing w:after="0" w:line="360" w:lineRule="auto"/>
        <w:rPr>
          <w:rFonts w:eastAsia="Calibri"/>
          <w:b/>
          <w:bCs/>
          <w:noProof/>
          <w:lang w:val="es-DO"/>
        </w:rPr>
      </w:pPr>
      <w:r w:rsidRPr="005C133F">
        <w:rPr>
          <w:rFonts w:eastAsia="Calibri"/>
          <w:b/>
          <w:bCs/>
          <w:noProof/>
          <w:lang w:val="es-DO"/>
        </w:rPr>
        <w:lastRenderedPageBreak/>
        <w:t>Principales funcionarios</w:t>
      </w:r>
    </w:p>
    <w:tbl>
      <w:tblPr>
        <w:tblW w:w="815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109"/>
        <w:gridCol w:w="5044"/>
      </w:tblGrid>
      <w:tr w:rsidR="005C133F" w:rsidRPr="005C133F" w14:paraId="39CF7A25" w14:textId="77777777" w:rsidTr="00E34EB6">
        <w:trPr>
          <w:trHeight w:val="340"/>
          <w:tblHeader/>
        </w:trPr>
        <w:tc>
          <w:tcPr>
            <w:tcW w:w="3109" w:type="dxa"/>
            <w:shd w:val="clear" w:color="auto" w:fill="011C50"/>
            <w:vAlign w:val="center"/>
            <w:hideMark/>
          </w:tcPr>
          <w:p w14:paraId="39F3748A" w14:textId="77777777" w:rsidR="00BF0A6B" w:rsidRPr="005C133F" w:rsidRDefault="00BF0A6B" w:rsidP="005C133F">
            <w:pPr>
              <w:spacing w:after="0" w:line="360" w:lineRule="auto"/>
              <w:jc w:val="center"/>
              <w:rPr>
                <w:rFonts w:eastAsia="Times New Roman"/>
                <w:b/>
                <w:color w:val="FFFFFF" w:themeColor="background1"/>
                <w:lang w:eastAsia="es-DO"/>
              </w:rPr>
            </w:pPr>
            <w:r w:rsidRPr="005C133F">
              <w:rPr>
                <w:rFonts w:eastAsia="Times New Roman"/>
                <w:b/>
                <w:color w:val="FFFFFF" w:themeColor="background1"/>
                <w:lang w:eastAsia="es-DO"/>
              </w:rPr>
              <w:t>Nombre</w:t>
            </w:r>
          </w:p>
        </w:tc>
        <w:tc>
          <w:tcPr>
            <w:tcW w:w="0" w:type="auto"/>
            <w:shd w:val="clear" w:color="auto" w:fill="011C50"/>
            <w:vAlign w:val="center"/>
            <w:hideMark/>
          </w:tcPr>
          <w:p w14:paraId="4BCAB004" w14:textId="77777777" w:rsidR="00BF0A6B" w:rsidRPr="005C133F" w:rsidRDefault="00BF0A6B" w:rsidP="005C133F">
            <w:pPr>
              <w:spacing w:after="0" w:line="360" w:lineRule="auto"/>
              <w:jc w:val="center"/>
              <w:rPr>
                <w:rFonts w:eastAsia="Times New Roman"/>
                <w:b/>
                <w:color w:val="FFFFFF" w:themeColor="background1"/>
                <w:lang w:eastAsia="es-DO"/>
              </w:rPr>
            </w:pPr>
            <w:r w:rsidRPr="005C133F">
              <w:rPr>
                <w:rFonts w:eastAsia="Times New Roman"/>
                <w:b/>
                <w:color w:val="FFFFFF" w:themeColor="background1"/>
                <w:lang w:eastAsia="es-DO"/>
              </w:rPr>
              <w:t>Cargo</w:t>
            </w:r>
          </w:p>
        </w:tc>
      </w:tr>
      <w:tr w:rsidR="004921FF" w:rsidRPr="00CD02F5" w14:paraId="458951E9" w14:textId="77777777" w:rsidTr="00E34EB6">
        <w:trPr>
          <w:trHeight w:val="340"/>
        </w:trPr>
        <w:tc>
          <w:tcPr>
            <w:tcW w:w="3109" w:type="dxa"/>
            <w:vAlign w:val="center"/>
            <w:hideMark/>
          </w:tcPr>
          <w:p w14:paraId="678DBE79" w14:textId="77777777" w:rsidR="00BF0A6B" w:rsidRPr="005C133F" w:rsidRDefault="00BF0A6B" w:rsidP="005C133F">
            <w:pPr>
              <w:spacing w:after="0" w:line="360" w:lineRule="auto"/>
              <w:rPr>
                <w:rFonts w:eastAsia="Calibri"/>
                <w:noProof/>
                <w:lang w:val="es-DO"/>
              </w:rPr>
            </w:pPr>
            <w:r w:rsidRPr="005C133F">
              <w:rPr>
                <w:rFonts w:eastAsia="Calibri"/>
                <w:noProof/>
                <w:lang w:val="es-DO"/>
              </w:rPr>
              <w:t>Miguel De Jesus Ceara Hatton</w:t>
            </w:r>
          </w:p>
        </w:tc>
        <w:tc>
          <w:tcPr>
            <w:tcW w:w="0" w:type="auto"/>
            <w:vAlign w:val="center"/>
            <w:hideMark/>
          </w:tcPr>
          <w:p w14:paraId="43D10A6A" w14:textId="77777777" w:rsidR="00BF0A6B" w:rsidRPr="005C133F" w:rsidRDefault="00BF0A6B" w:rsidP="005C133F">
            <w:pPr>
              <w:spacing w:after="0" w:line="360" w:lineRule="auto"/>
              <w:rPr>
                <w:rFonts w:eastAsia="Calibri"/>
                <w:noProof/>
                <w:lang w:val="es-DO"/>
              </w:rPr>
            </w:pPr>
            <w:r w:rsidRPr="005C133F">
              <w:rPr>
                <w:rFonts w:eastAsia="Calibri"/>
                <w:noProof/>
                <w:lang w:val="es-DO"/>
              </w:rPr>
              <w:t>Superintendente de Salud y Riesgos Laborales</w:t>
            </w:r>
          </w:p>
        </w:tc>
      </w:tr>
      <w:tr w:rsidR="004921FF" w:rsidRPr="005C133F" w14:paraId="4F7099AE" w14:textId="77777777" w:rsidTr="00E34EB6">
        <w:trPr>
          <w:trHeight w:val="340"/>
        </w:trPr>
        <w:tc>
          <w:tcPr>
            <w:tcW w:w="3109" w:type="dxa"/>
            <w:vAlign w:val="center"/>
            <w:hideMark/>
          </w:tcPr>
          <w:p w14:paraId="40182379" w14:textId="42620D09" w:rsidR="00BF0A6B" w:rsidRPr="005C133F" w:rsidRDefault="00BF0A6B" w:rsidP="005C133F">
            <w:pPr>
              <w:spacing w:after="0" w:line="360" w:lineRule="auto"/>
              <w:rPr>
                <w:rFonts w:eastAsia="Calibri"/>
                <w:noProof/>
                <w:lang w:val="es-DO"/>
              </w:rPr>
            </w:pPr>
            <w:r w:rsidRPr="005C133F">
              <w:rPr>
                <w:rFonts w:eastAsia="Calibri"/>
                <w:noProof/>
                <w:lang w:val="es-DO"/>
              </w:rPr>
              <w:t>Hugo</w:t>
            </w:r>
            <w:r w:rsidR="00642349" w:rsidRPr="005C133F">
              <w:rPr>
                <w:rFonts w:eastAsia="Calibri"/>
                <w:noProof/>
                <w:lang w:val="es-DO"/>
              </w:rPr>
              <w:t xml:space="preserve"> </w:t>
            </w:r>
            <w:r w:rsidRPr="005C133F">
              <w:rPr>
                <w:rFonts w:eastAsia="Calibri"/>
                <w:noProof/>
                <w:lang w:val="es-DO"/>
              </w:rPr>
              <w:t>Abreu González</w:t>
            </w:r>
          </w:p>
        </w:tc>
        <w:tc>
          <w:tcPr>
            <w:tcW w:w="0" w:type="auto"/>
            <w:vAlign w:val="center"/>
            <w:hideMark/>
          </w:tcPr>
          <w:p w14:paraId="7915ABE6"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 de Despacho</w:t>
            </w:r>
          </w:p>
        </w:tc>
      </w:tr>
      <w:tr w:rsidR="004921FF" w:rsidRPr="00CD02F5" w14:paraId="103AC915" w14:textId="77777777" w:rsidTr="00E34EB6">
        <w:trPr>
          <w:trHeight w:val="340"/>
        </w:trPr>
        <w:tc>
          <w:tcPr>
            <w:tcW w:w="3109" w:type="dxa"/>
            <w:vAlign w:val="center"/>
            <w:hideMark/>
          </w:tcPr>
          <w:p w14:paraId="2DC47D42" w14:textId="77777777" w:rsidR="00BF0A6B" w:rsidRPr="005C133F" w:rsidRDefault="00BF0A6B" w:rsidP="005C133F">
            <w:pPr>
              <w:spacing w:after="0" w:line="360" w:lineRule="auto"/>
              <w:rPr>
                <w:rFonts w:eastAsia="Calibri"/>
                <w:noProof/>
                <w:lang w:val="es-DO"/>
              </w:rPr>
            </w:pPr>
            <w:r w:rsidRPr="005C133F">
              <w:rPr>
                <w:rFonts w:eastAsia="Calibri"/>
                <w:noProof/>
                <w:lang w:val="es-DO"/>
              </w:rPr>
              <w:t>Carolina Cáceres Reyes</w:t>
            </w:r>
          </w:p>
        </w:tc>
        <w:tc>
          <w:tcPr>
            <w:tcW w:w="0" w:type="auto"/>
            <w:vAlign w:val="center"/>
            <w:hideMark/>
          </w:tcPr>
          <w:p w14:paraId="660606AB"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Aseguramiento en Salud Régimen Subsidiado</w:t>
            </w:r>
          </w:p>
        </w:tc>
      </w:tr>
      <w:tr w:rsidR="004921FF" w:rsidRPr="00CD02F5" w14:paraId="240F2D08" w14:textId="77777777" w:rsidTr="00E34EB6">
        <w:trPr>
          <w:trHeight w:val="340"/>
        </w:trPr>
        <w:tc>
          <w:tcPr>
            <w:tcW w:w="3109" w:type="dxa"/>
            <w:vAlign w:val="center"/>
            <w:hideMark/>
          </w:tcPr>
          <w:p w14:paraId="3A40E0E1" w14:textId="77777777" w:rsidR="00BF0A6B" w:rsidRPr="005C133F" w:rsidRDefault="00BF0A6B" w:rsidP="005C133F">
            <w:pPr>
              <w:spacing w:after="0" w:line="360" w:lineRule="auto"/>
              <w:rPr>
                <w:rFonts w:eastAsia="Calibri"/>
                <w:noProof/>
                <w:lang w:val="es-DO"/>
              </w:rPr>
            </w:pPr>
            <w:r w:rsidRPr="005C133F">
              <w:rPr>
                <w:rFonts w:eastAsia="Calibri"/>
                <w:noProof/>
                <w:lang w:val="es-DO"/>
              </w:rPr>
              <w:t>Yesenia Díaz Medina</w:t>
            </w:r>
          </w:p>
        </w:tc>
        <w:tc>
          <w:tcPr>
            <w:tcW w:w="0" w:type="auto"/>
            <w:vAlign w:val="center"/>
            <w:hideMark/>
          </w:tcPr>
          <w:p w14:paraId="65FFDEB2"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Aseguramiento en Salud Regímenes Contributivos y Planes</w:t>
            </w:r>
          </w:p>
        </w:tc>
      </w:tr>
      <w:tr w:rsidR="004921FF" w:rsidRPr="00CD02F5" w14:paraId="36A7138A" w14:textId="77777777" w:rsidTr="00E34EB6">
        <w:trPr>
          <w:trHeight w:val="340"/>
        </w:trPr>
        <w:tc>
          <w:tcPr>
            <w:tcW w:w="3109" w:type="dxa"/>
            <w:vAlign w:val="center"/>
            <w:hideMark/>
          </w:tcPr>
          <w:p w14:paraId="753F41A0" w14:textId="77777777" w:rsidR="00BF0A6B" w:rsidRPr="005C133F" w:rsidRDefault="00BF0A6B" w:rsidP="005C133F">
            <w:pPr>
              <w:spacing w:after="0" w:line="360" w:lineRule="auto"/>
              <w:rPr>
                <w:rFonts w:eastAsia="Calibri"/>
                <w:noProof/>
                <w:lang w:val="es-DO"/>
              </w:rPr>
            </w:pPr>
            <w:r w:rsidRPr="005C133F">
              <w:rPr>
                <w:rFonts w:eastAsia="Calibri"/>
                <w:noProof/>
                <w:lang w:val="es-DO"/>
              </w:rPr>
              <w:t>Graciela Gil Montalvo</w:t>
            </w:r>
          </w:p>
        </w:tc>
        <w:tc>
          <w:tcPr>
            <w:tcW w:w="0" w:type="auto"/>
            <w:vAlign w:val="center"/>
            <w:hideMark/>
          </w:tcPr>
          <w:p w14:paraId="16C5A065"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Aseguramiento de Riesgos Laborales</w:t>
            </w:r>
          </w:p>
        </w:tc>
      </w:tr>
      <w:tr w:rsidR="004921FF" w:rsidRPr="00CD02F5" w14:paraId="4E0D71ED" w14:textId="77777777" w:rsidTr="00E34EB6">
        <w:trPr>
          <w:trHeight w:val="340"/>
        </w:trPr>
        <w:tc>
          <w:tcPr>
            <w:tcW w:w="3109" w:type="dxa"/>
            <w:vAlign w:val="center"/>
            <w:hideMark/>
          </w:tcPr>
          <w:p w14:paraId="42A56E99" w14:textId="77777777" w:rsidR="00BF0A6B" w:rsidRPr="005C133F" w:rsidRDefault="00BF0A6B" w:rsidP="005C133F">
            <w:pPr>
              <w:spacing w:after="0" w:line="360" w:lineRule="auto"/>
              <w:rPr>
                <w:rFonts w:eastAsia="Calibri"/>
                <w:noProof/>
                <w:lang w:val="es-DO"/>
              </w:rPr>
            </w:pPr>
            <w:r w:rsidRPr="005C133F">
              <w:rPr>
                <w:rFonts w:eastAsia="Calibri"/>
                <w:noProof/>
              </w:rPr>
              <w:t>Ernesto Antonio Bussi</w:t>
            </w:r>
          </w:p>
        </w:tc>
        <w:tc>
          <w:tcPr>
            <w:tcW w:w="0" w:type="auto"/>
            <w:vAlign w:val="center"/>
            <w:hideMark/>
          </w:tcPr>
          <w:p w14:paraId="5F90B8C6"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 de Control de Subsidios</w:t>
            </w:r>
          </w:p>
        </w:tc>
      </w:tr>
      <w:tr w:rsidR="004921FF" w:rsidRPr="00CD02F5" w14:paraId="4A413F24" w14:textId="77777777" w:rsidTr="00E34EB6">
        <w:trPr>
          <w:trHeight w:val="340"/>
        </w:trPr>
        <w:tc>
          <w:tcPr>
            <w:tcW w:w="3109" w:type="dxa"/>
            <w:vAlign w:val="center"/>
            <w:hideMark/>
          </w:tcPr>
          <w:p w14:paraId="74D85D72" w14:textId="77777777" w:rsidR="00BF0A6B" w:rsidRPr="005C133F" w:rsidRDefault="00BF0A6B" w:rsidP="005C133F">
            <w:pPr>
              <w:spacing w:after="0" w:line="360" w:lineRule="auto"/>
              <w:rPr>
                <w:rFonts w:eastAsia="Calibri"/>
                <w:noProof/>
                <w:lang w:val="es-DO"/>
              </w:rPr>
            </w:pPr>
            <w:r w:rsidRPr="005C133F">
              <w:rPr>
                <w:rFonts w:eastAsia="Calibri"/>
                <w:noProof/>
              </w:rPr>
              <w:t>Karina Mena Fernández </w:t>
            </w:r>
          </w:p>
        </w:tc>
        <w:tc>
          <w:tcPr>
            <w:tcW w:w="0" w:type="auto"/>
            <w:vAlign w:val="center"/>
            <w:hideMark/>
          </w:tcPr>
          <w:p w14:paraId="2B85E224"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Monitoreo y Supervisión de la Gestión de Riesgos</w:t>
            </w:r>
          </w:p>
        </w:tc>
      </w:tr>
      <w:tr w:rsidR="004921FF" w:rsidRPr="00CD02F5" w14:paraId="3610CA70" w14:textId="77777777" w:rsidTr="00E34EB6">
        <w:trPr>
          <w:trHeight w:val="340"/>
        </w:trPr>
        <w:tc>
          <w:tcPr>
            <w:tcW w:w="3109" w:type="dxa"/>
            <w:vAlign w:val="center"/>
            <w:hideMark/>
          </w:tcPr>
          <w:p w14:paraId="44202D88" w14:textId="77777777" w:rsidR="00BF0A6B" w:rsidRPr="005C133F" w:rsidRDefault="00BF0A6B" w:rsidP="005C133F">
            <w:pPr>
              <w:spacing w:after="0" w:line="360" w:lineRule="auto"/>
              <w:rPr>
                <w:rFonts w:eastAsia="Calibri"/>
                <w:noProof/>
                <w:lang w:val="es-DO"/>
              </w:rPr>
            </w:pPr>
            <w:r w:rsidRPr="005C133F">
              <w:rPr>
                <w:rFonts w:eastAsia="Calibri"/>
                <w:noProof/>
                <w:lang w:val="es-DO"/>
              </w:rPr>
              <w:t>Rafael Báez Pérez</w:t>
            </w:r>
          </w:p>
        </w:tc>
        <w:tc>
          <w:tcPr>
            <w:tcW w:w="0" w:type="auto"/>
            <w:vAlign w:val="center"/>
            <w:hideMark/>
          </w:tcPr>
          <w:p w14:paraId="217F9200"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 Estudios Económicos y Estadísticos </w:t>
            </w:r>
          </w:p>
        </w:tc>
      </w:tr>
      <w:tr w:rsidR="004921FF" w:rsidRPr="00CD02F5" w14:paraId="16A87210" w14:textId="77777777" w:rsidTr="00E34EB6">
        <w:trPr>
          <w:trHeight w:val="340"/>
        </w:trPr>
        <w:tc>
          <w:tcPr>
            <w:tcW w:w="3109" w:type="dxa"/>
            <w:vAlign w:val="center"/>
            <w:hideMark/>
          </w:tcPr>
          <w:p w14:paraId="3D330C9F" w14:textId="77777777" w:rsidR="00BF0A6B" w:rsidRPr="005C133F" w:rsidRDefault="00BF0A6B" w:rsidP="005C133F">
            <w:pPr>
              <w:spacing w:after="0" w:line="360" w:lineRule="auto"/>
              <w:rPr>
                <w:rFonts w:eastAsia="Calibri"/>
                <w:noProof/>
                <w:lang w:val="es-DO"/>
              </w:rPr>
            </w:pPr>
            <w:r w:rsidRPr="005C133F">
              <w:rPr>
                <w:rFonts w:eastAsia="Calibri"/>
                <w:noProof/>
                <w:lang w:val="es-DO"/>
              </w:rPr>
              <w:t>Leticia Martínez Martiñón</w:t>
            </w:r>
          </w:p>
        </w:tc>
        <w:tc>
          <w:tcPr>
            <w:tcW w:w="0" w:type="auto"/>
            <w:vAlign w:val="center"/>
            <w:hideMark/>
          </w:tcPr>
          <w:p w14:paraId="6A77F2BF"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Gestión Actuarial del SFS y SRL </w:t>
            </w:r>
          </w:p>
        </w:tc>
      </w:tr>
      <w:tr w:rsidR="004921FF" w:rsidRPr="00CD02F5" w14:paraId="62D083E1" w14:textId="77777777" w:rsidTr="00E34EB6">
        <w:trPr>
          <w:trHeight w:val="340"/>
        </w:trPr>
        <w:tc>
          <w:tcPr>
            <w:tcW w:w="3109" w:type="dxa"/>
            <w:vAlign w:val="center"/>
            <w:hideMark/>
          </w:tcPr>
          <w:p w14:paraId="572CA022" w14:textId="77777777" w:rsidR="00BF0A6B" w:rsidRPr="005C133F" w:rsidRDefault="00BF0A6B" w:rsidP="005C133F">
            <w:pPr>
              <w:spacing w:after="0" w:line="360" w:lineRule="auto"/>
              <w:rPr>
                <w:rFonts w:eastAsia="Calibri"/>
                <w:noProof/>
                <w:lang w:val="es-DO"/>
              </w:rPr>
            </w:pPr>
            <w:r w:rsidRPr="005C133F">
              <w:rPr>
                <w:rFonts w:eastAsia="Calibri"/>
                <w:noProof/>
                <w:lang w:val="es-DO"/>
              </w:rPr>
              <w:t>Luis Coronado Suárez</w:t>
            </w:r>
          </w:p>
        </w:tc>
        <w:tc>
          <w:tcPr>
            <w:tcW w:w="0" w:type="auto"/>
            <w:vAlign w:val="center"/>
            <w:hideMark/>
          </w:tcPr>
          <w:p w14:paraId="66082DC3"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 de Interacción y Asistencia al Usuario  </w:t>
            </w:r>
          </w:p>
        </w:tc>
      </w:tr>
      <w:tr w:rsidR="004921FF" w:rsidRPr="005C133F" w14:paraId="2A12777E" w14:textId="77777777" w:rsidTr="00E34EB6">
        <w:trPr>
          <w:trHeight w:val="340"/>
        </w:trPr>
        <w:tc>
          <w:tcPr>
            <w:tcW w:w="3109" w:type="dxa"/>
            <w:vAlign w:val="center"/>
            <w:hideMark/>
          </w:tcPr>
          <w:p w14:paraId="74603A1C" w14:textId="77777777" w:rsidR="00BF0A6B" w:rsidRPr="005C133F" w:rsidRDefault="00BF0A6B" w:rsidP="005C133F">
            <w:pPr>
              <w:spacing w:after="0" w:line="360" w:lineRule="auto"/>
              <w:rPr>
                <w:rFonts w:eastAsia="Calibri"/>
                <w:noProof/>
                <w:lang w:val="es-DO"/>
              </w:rPr>
            </w:pPr>
            <w:r w:rsidRPr="005C133F">
              <w:rPr>
                <w:rFonts w:eastAsia="Calibri"/>
                <w:noProof/>
                <w:lang w:val="es-DO"/>
              </w:rPr>
              <w:t>Carmen Mata Geraldo</w:t>
            </w:r>
          </w:p>
        </w:tc>
        <w:tc>
          <w:tcPr>
            <w:tcW w:w="0" w:type="auto"/>
            <w:vAlign w:val="center"/>
            <w:hideMark/>
          </w:tcPr>
          <w:p w14:paraId="2AA2292D"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Administrativa y Financiera</w:t>
            </w:r>
          </w:p>
        </w:tc>
      </w:tr>
      <w:tr w:rsidR="004921FF" w:rsidRPr="005C133F" w14:paraId="0E3F5E21" w14:textId="77777777" w:rsidTr="00E34EB6">
        <w:trPr>
          <w:trHeight w:val="340"/>
        </w:trPr>
        <w:tc>
          <w:tcPr>
            <w:tcW w:w="3109" w:type="dxa"/>
            <w:vAlign w:val="center"/>
            <w:hideMark/>
          </w:tcPr>
          <w:p w14:paraId="217EF5F1" w14:textId="77777777" w:rsidR="00BF0A6B" w:rsidRPr="005C133F" w:rsidRDefault="00BF0A6B" w:rsidP="005C133F">
            <w:pPr>
              <w:spacing w:after="0" w:line="360" w:lineRule="auto"/>
              <w:rPr>
                <w:rFonts w:eastAsia="Calibri"/>
                <w:noProof/>
                <w:lang w:val="es-DO"/>
              </w:rPr>
            </w:pPr>
            <w:r w:rsidRPr="005C133F">
              <w:rPr>
                <w:rFonts w:eastAsia="Calibri"/>
                <w:noProof/>
                <w:lang w:val="es-DO"/>
              </w:rPr>
              <w:t>Ana Ossers Gerónimo</w:t>
            </w:r>
          </w:p>
        </w:tc>
        <w:tc>
          <w:tcPr>
            <w:tcW w:w="0" w:type="auto"/>
            <w:vAlign w:val="center"/>
            <w:hideMark/>
          </w:tcPr>
          <w:p w14:paraId="1EADD7E0"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Jurídica</w:t>
            </w:r>
          </w:p>
        </w:tc>
      </w:tr>
      <w:tr w:rsidR="004921FF" w:rsidRPr="005C133F" w14:paraId="0D1F3633" w14:textId="77777777" w:rsidTr="00E34EB6">
        <w:trPr>
          <w:trHeight w:val="340"/>
        </w:trPr>
        <w:tc>
          <w:tcPr>
            <w:tcW w:w="3109" w:type="dxa"/>
            <w:vAlign w:val="center"/>
            <w:hideMark/>
          </w:tcPr>
          <w:p w14:paraId="300AE2D8" w14:textId="77777777" w:rsidR="00BF0A6B" w:rsidRPr="005C133F" w:rsidRDefault="00BF0A6B" w:rsidP="005C133F">
            <w:pPr>
              <w:spacing w:after="0" w:line="360" w:lineRule="auto"/>
              <w:rPr>
                <w:rFonts w:eastAsia="Calibri"/>
                <w:noProof/>
                <w:lang w:val="es-DO"/>
              </w:rPr>
            </w:pPr>
            <w:r w:rsidRPr="005C133F">
              <w:rPr>
                <w:rFonts w:eastAsia="Calibri"/>
                <w:noProof/>
                <w:lang w:val="es-DO"/>
              </w:rPr>
              <w:t>Indhira Navarro Caraballo</w:t>
            </w:r>
          </w:p>
        </w:tc>
        <w:tc>
          <w:tcPr>
            <w:tcW w:w="0" w:type="auto"/>
            <w:vAlign w:val="center"/>
            <w:hideMark/>
          </w:tcPr>
          <w:p w14:paraId="2CAD3D8E"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Comunicaciones</w:t>
            </w:r>
          </w:p>
        </w:tc>
      </w:tr>
      <w:tr w:rsidR="004921FF" w:rsidRPr="00CD02F5" w14:paraId="034940FD" w14:textId="77777777" w:rsidTr="00E34EB6">
        <w:trPr>
          <w:trHeight w:val="340"/>
        </w:trPr>
        <w:tc>
          <w:tcPr>
            <w:tcW w:w="3109" w:type="dxa"/>
            <w:vAlign w:val="center"/>
            <w:hideMark/>
          </w:tcPr>
          <w:p w14:paraId="016EEC31" w14:textId="77777777" w:rsidR="00BF0A6B" w:rsidRPr="005C133F" w:rsidRDefault="00BF0A6B" w:rsidP="005C133F">
            <w:pPr>
              <w:spacing w:after="0" w:line="360" w:lineRule="auto"/>
              <w:rPr>
                <w:rFonts w:eastAsia="Calibri"/>
                <w:noProof/>
                <w:lang w:val="es-DO"/>
              </w:rPr>
            </w:pPr>
            <w:r w:rsidRPr="005C133F">
              <w:rPr>
                <w:rFonts w:eastAsia="Calibri"/>
                <w:noProof/>
                <w:lang w:val="es-DO"/>
              </w:rPr>
              <w:t>Yuderka Arrendell Holguín</w:t>
            </w:r>
          </w:p>
        </w:tc>
        <w:tc>
          <w:tcPr>
            <w:tcW w:w="0" w:type="auto"/>
            <w:vAlign w:val="center"/>
            <w:hideMark/>
          </w:tcPr>
          <w:p w14:paraId="1767C6FB"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Planificación y Desarrollo</w:t>
            </w:r>
          </w:p>
        </w:tc>
      </w:tr>
      <w:tr w:rsidR="004921FF" w:rsidRPr="005C133F" w14:paraId="3650C868" w14:textId="77777777" w:rsidTr="00E34EB6">
        <w:trPr>
          <w:trHeight w:val="340"/>
        </w:trPr>
        <w:tc>
          <w:tcPr>
            <w:tcW w:w="3109" w:type="dxa"/>
            <w:vAlign w:val="center"/>
            <w:hideMark/>
          </w:tcPr>
          <w:p w14:paraId="2C4ED28F" w14:textId="77777777" w:rsidR="00BF0A6B" w:rsidRPr="005C133F" w:rsidRDefault="00BF0A6B" w:rsidP="005C133F">
            <w:pPr>
              <w:spacing w:after="0" w:line="360" w:lineRule="auto"/>
              <w:rPr>
                <w:rFonts w:eastAsia="Calibri"/>
                <w:noProof/>
                <w:lang w:val="es-DO"/>
              </w:rPr>
            </w:pPr>
            <w:r w:rsidRPr="005C133F">
              <w:rPr>
                <w:rFonts w:eastAsia="Calibri"/>
                <w:noProof/>
                <w:lang w:val="es-DO"/>
              </w:rPr>
              <w:t>Luz del Carmen Félix</w:t>
            </w:r>
          </w:p>
        </w:tc>
        <w:tc>
          <w:tcPr>
            <w:tcW w:w="0" w:type="auto"/>
            <w:vAlign w:val="center"/>
            <w:hideMark/>
          </w:tcPr>
          <w:p w14:paraId="66F09353" w14:textId="77777777" w:rsidR="00BF0A6B" w:rsidRPr="005C133F" w:rsidRDefault="00BF0A6B" w:rsidP="005C133F">
            <w:pPr>
              <w:spacing w:after="0" w:line="360" w:lineRule="auto"/>
              <w:rPr>
                <w:rFonts w:eastAsia="Calibri"/>
                <w:noProof/>
                <w:lang w:val="es-DO"/>
              </w:rPr>
            </w:pPr>
            <w:r w:rsidRPr="005C133F">
              <w:rPr>
                <w:rFonts w:eastAsia="Calibri"/>
                <w:noProof/>
              </w:rPr>
              <w:t>Directora de Transformación Digital </w:t>
            </w:r>
          </w:p>
        </w:tc>
      </w:tr>
      <w:tr w:rsidR="004921FF" w:rsidRPr="00CD02F5" w14:paraId="48E5D2FB" w14:textId="77777777" w:rsidTr="00E34EB6">
        <w:trPr>
          <w:trHeight w:val="340"/>
        </w:trPr>
        <w:tc>
          <w:tcPr>
            <w:tcW w:w="3109" w:type="dxa"/>
            <w:vAlign w:val="center"/>
          </w:tcPr>
          <w:p w14:paraId="5425197E" w14:textId="77777777" w:rsidR="00BF0A6B" w:rsidRPr="005C133F" w:rsidRDefault="00BF0A6B" w:rsidP="005C133F">
            <w:pPr>
              <w:spacing w:after="0" w:line="360" w:lineRule="auto"/>
              <w:rPr>
                <w:rFonts w:eastAsia="Calibri"/>
                <w:noProof/>
                <w:lang w:val="es-DO"/>
              </w:rPr>
            </w:pPr>
            <w:r w:rsidRPr="005C133F">
              <w:rPr>
                <w:rFonts w:eastAsia="Calibri"/>
                <w:noProof/>
              </w:rPr>
              <w:t>Marchelo Robles De Jesús </w:t>
            </w:r>
          </w:p>
        </w:tc>
        <w:tc>
          <w:tcPr>
            <w:tcW w:w="0" w:type="auto"/>
            <w:vAlign w:val="center"/>
          </w:tcPr>
          <w:p w14:paraId="2E4FDD34" w14:textId="77777777" w:rsidR="00BF0A6B" w:rsidRPr="005C133F" w:rsidRDefault="00BF0A6B" w:rsidP="005C133F">
            <w:pPr>
              <w:spacing w:after="0" w:line="360" w:lineRule="auto"/>
              <w:rPr>
                <w:rFonts w:eastAsia="Calibri"/>
                <w:noProof/>
                <w:lang w:val="es-DO"/>
              </w:rPr>
            </w:pPr>
            <w:r w:rsidRPr="005C133F">
              <w:rPr>
                <w:rFonts w:eastAsia="Calibri"/>
                <w:noProof/>
                <w:lang w:val="es-DO"/>
              </w:rPr>
              <w:t xml:space="preserve">Dirección de Revisión y Analisis de Operciones </w:t>
            </w:r>
          </w:p>
        </w:tc>
      </w:tr>
      <w:tr w:rsidR="004921FF" w:rsidRPr="005C133F" w14:paraId="001A1FDE" w14:textId="77777777" w:rsidTr="00E34EB6">
        <w:trPr>
          <w:trHeight w:val="340"/>
        </w:trPr>
        <w:tc>
          <w:tcPr>
            <w:tcW w:w="3109" w:type="dxa"/>
            <w:vAlign w:val="center"/>
            <w:hideMark/>
          </w:tcPr>
          <w:p w14:paraId="33DBBEC7" w14:textId="77777777" w:rsidR="00BF0A6B" w:rsidRPr="005C133F" w:rsidRDefault="00BF0A6B" w:rsidP="005C133F">
            <w:pPr>
              <w:spacing w:after="0" w:line="360" w:lineRule="auto"/>
              <w:rPr>
                <w:rFonts w:eastAsia="Calibri"/>
                <w:noProof/>
                <w:lang w:val="es-DO"/>
              </w:rPr>
            </w:pPr>
            <w:r w:rsidRPr="005C133F">
              <w:rPr>
                <w:rFonts w:eastAsia="Calibri"/>
                <w:noProof/>
              </w:rPr>
              <w:lastRenderedPageBreak/>
              <w:t>Dhariana  Valdez Ferreira </w:t>
            </w:r>
          </w:p>
        </w:tc>
        <w:tc>
          <w:tcPr>
            <w:tcW w:w="0" w:type="auto"/>
            <w:vAlign w:val="center"/>
            <w:hideMark/>
          </w:tcPr>
          <w:p w14:paraId="103298BC" w14:textId="77777777" w:rsidR="00BF0A6B" w:rsidRPr="005C133F" w:rsidRDefault="00BF0A6B" w:rsidP="005C133F">
            <w:pPr>
              <w:spacing w:after="0" w:line="360" w:lineRule="auto"/>
              <w:rPr>
                <w:rFonts w:eastAsia="Calibri"/>
                <w:noProof/>
                <w:lang w:val="es-DO"/>
              </w:rPr>
            </w:pPr>
            <w:r w:rsidRPr="005C133F">
              <w:rPr>
                <w:rFonts w:eastAsia="Calibri"/>
                <w:noProof/>
                <w:lang w:val="es-DO"/>
              </w:rPr>
              <w:t>Directora de Recursos Humanos</w:t>
            </w:r>
          </w:p>
        </w:tc>
      </w:tr>
      <w:tr w:rsidR="004921FF" w:rsidRPr="00CD02F5" w14:paraId="7DA646BC" w14:textId="77777777" w:rsidTr="00E34EB6">
        <w:trPr>
          <w:trHeight w:val="340"/>
        </w:trPr>
        <w:tc>
          <w:tcPr>
            <w:tcW w:w="3109" w:type="dxa"/>
            <w:vAlign w:val="center"/>
            <w:hideMark/>
          </w:tcPr>
          <w:p w14:paraId="05454AA3" w14:textId="77777777" w:rsidR="00BF0A6B" w:rsidRPr="005C133F" w:rsidRDefault="00BF0A6B" w:rsidP="005C133F">
            <w:pPr>
              <w:spacing w:after="0" w:line="360" w:lineRule="auto"/>
              <w:rPr>
                <w:rFonts w:eastAsia="Calibri"/>
                <w:noProof/>
                <w:lang w:val="es-DO"/>
              </w:rPr>
            </w:pPr>
            <w:r w:rsidRPr="005C133F">
              <w:rPr>
                <w:rFonts w:eastAsia="Calibri"/>
                <w:noProof/>
              </w:rPr>
              <w:t>Sergio Guzmán Durán </w:t>
            </w:r>
          </w:p>
        </w:tc>
        <w:tc>
          <w:tcPr>
            <w:tcW w:w="0" w:type="auto"/>
            <w:vAlign w:val="center"/>
            <w:hideMark/>
          </w:tcPr>
          <w:p w14:paraId="4E4D1187" w14:textId="77777777" w:rsidR="00BF0A6B" w:rsidRPr="005C133F" w:rsidRDefault="00BF0A6B" w:rsidP="005C133F">
            <w:pPr>
              <w:spacing w:after="0" w:line="360" w:lineRule="auto"/>
              <w:rPr>
                <w:rFonts w:eastAsia="Calibri"/>
                <w:noProof/>
                <w:lang w:val="es-DO"/>
              </w:rPr>
            </w:pPr>
            <w:r w:rsidRPr="005C133F">
              <w:rPr>
                <w:rFonts w:eastAsia="Calibri"/>
                <w:noProof/>
                <w:lang w:val="es-DO"/>
              </w:rPr>
              <w:t>Encargado Departamento Región Cibao Norte</w:t>
            </w:r>
          </w:p>
        </w:tc>
      </w:tr>
      <w:tr w:rsidR="00BF0A6B" w:rsidRPr="005C133F" w14:paraId="6131B14C" w14:textId="77777777" w:rsidTr="00E34EB6">
        <w:trPr>
          <w:trHeight w:val="340"/>
        </w:trPr>
        <w:tc>
          <w:tcPr>
            <w:tcW w:w="3109" w:type="dxa"/>
            <w:vAlign w:val="center"/>
            <w:hideMark/>
          </w:tcPr>
          <w:p w14:paraId="6EF49A6C" w14:textId="77777777" w:rsidR="00BF0A6B" w:rsidRPr="005C133F" w:rsidRDefault="00BF0A6B" w:rsidP="005C133F">
            <w:pPr>
              <w:spacing w:after="0" w:line="360" w:lineRule="auto"/>
              <w:rPr>
                <w:rFonts w:eastAsia="Calibri"/>
                <w:noProof/>
                <w:lang w:val="es-DO"/>
              </w:rPr>
            </w:pPr>
            <w:r w:rsidRPr="005C133F">
              <w:rPr>
                <w:rFonts w:eastAsia="Calibri"/>
                <w:noProof/>
              </w:rPr>
              <w:t>Pastor Palmero Guerrero </w:t>
            </w:r>
          </w:p>
        </w:tc>
        <w:tc>
          <w:tcPr>
            <w:tcW w:w="0" w:type="auto"/>
            <w:vAlign w:val="center"/>
            <w:hideMark/>
          </w:tcPr>
          <w:p w14:paraId="38D51274" w14:textId="77777777" w:rsidR="00BF0A6B" w:rsidRPr="005C133F" w:rsidRDefault="00BF0A6B" w:rsidP="005C133F">
            <w:pPr>
              <w:spacing w:after="0" w:line="360" w:lineRule="auto"/>
              <w:rPr>
                <w:rFonts w:eastAsia="Calibri"/>
                <w:noProof/>
                <w:lang w:val="es-DO"/>
              </w:rPr>
            </w:pPr>
            <w:r w:rsidRPr="005C133F">
              <w:rPr>
                <w:rFonts w:eastAsia="Calibri"/>
                <w:noProof/>
              </w:rPr>
              <w:t>Encarado Departamento Región Higuamo </w:t>
            </w:r>
          </w:p>
        </w:tc>
      </w:tr>
    </w:tbl>
    <w:p w14:paraId="5C1942FF" w14:textId="77777777" w:rsidR="003C2676" w:rsidRPr="005C133F" w:rsidRDefault="003C2676" w:rsidP="008A296A">
      <w:pPr>
        <w:spacing w:after="0" w:line="360" w:lineRule="auto"/>
        <w:rPr>
          <w:rFonts w:eastAsia="Calibri"/>
          <w:noProof/>
          <w:lang w:val="es-DO"/>
        </w:rPr>
      </w:pPr>
    </w:p>
    <w:p w14:paraId="7BF24B2E" w14:textId="699F32BA" w:rsidR="00B55096" w:rsidRPr="005C133F" w:rsidRDefault="003C2676">
      <w:pPr>
        <w:pStyle w:val="SUBTITULITO"/>
        <w:numPr>
          <w:ilvl w:val="1"/>
          <w:numId w:val="206"/>
        </w:numPr>
        <w:spacing w:after="0"/>
        <w:rPr>
          <w:rFonts w:eastAsia="Calibri"/>
          <w:b w:val="0"/>
        </w:rPr>
      </w:pPr>
      <w:bookmarkStart w:id="14" w:name="_Toc219121834"/>
      <w:r w:rsidRPr="005C133F">
        <w:rPr>
          <w:rFonts w:eastAsia="Calibri"/>
          <w:noProof/>
        </w:rPr>
        <w:t>Planificación estratégica institucional</w:t>
      </w:r>
      <w:bookmarkEnd w:id="14"/>
    </w:p>
    <w:p w14:paraId="0E68E829" w14:textId="77777777" w:rsidR="000717B7" w:rsidRPr="005C133F" w:rsidRDefault="000717B7" w:rsidP="005C133F">
      <w:pPr>
        <w:spacing w:after="0" w:line="360" w:lineRule="auto"/>
        <w:rPr>
          <w:noProof/>
        </w:rPr>
      </w:pPr>
    </w:p>
    <w:p w14:paraId="5190D3F8" w14:textId="77777777" w:rsidR="00180757" w:rsidRPr="005C133F" w:rsidRDefault="00180757" w:rsidP="005C133F">
      <w:pPr>
        <w:spacing w:after="0" w:line="360" w:lineRule="auto"/>
        <w:jc w:val="both"/>
        <w:rPr>
          <w:rFonts w:eastAsia="Calibri"/>
          <w:noProof/>
          <w:lang w:val="es-DO"/>
        </w:rPr>
      </w:pPr>
      <w:r w:rsidRPr="005C133F">
        <w:rPr>
          <w:rFonts w:eastAsia="Calibri"/>
          <w:noProof/>
          <w:lang w:val="es-DO"/>
        </w:rPr>
        <w:t>Para el período 2025–2028, la Superintendencia de Salud y Riesgos Laborales (SISALRIL) orientó su gestión al cumplimiento de los mandatos constitucionales establecidos en los artículos 60 y 61 de la Constitución de la República Dominicana, que garantizan el derecho a la seguridad social y a la salud integral. En este contexto, la institución ejerció su rol legal como ente regulador, supervisor, fiscalizador y sancionador del Seguro Familiar de Salud (SFS) y del Seguro de Riesgos Laborales (SRL),conforme a las competencias que le otorga la Ley núm. 87-01 y sus normativas complementarias.</w:t>
      </w:r>
    </w:p>
    <w:p w14:paraId="3C20BB91" w14:textId="0AB7037A" w:rsidR="00180757" w:rsidRPr="005C133F" w:rsidRDefault="00180757" w:rsidP="005C133F">
      <w:pPr>
        <w:spacing w:after="0" w:line="360" w:lineRule="auto"/>
        <w:jc w:val="both"/>
        <w:rPr>
          <w:rFonts w:eastAsia="Calibri"/>
          <w:noProof/>
          <w:lang w:val="es-DO"/>
        </w:rPr>
      </w:pPr>
      <w:r w:rsidRPr="005C133F">
        <w:rPr>
          <w:rFonts w:eastAsia="Calibri"/>
          <w:noProof/>
          <w:lang w:val="es-DO"/>
        </w:rPr>
        <w:t>En el marco de estas atribuciones, la SISALRIL asumió con firme determinación la funcion de regular y supervisar el funcionamiento de las Administradoras de Riesgos de Salud (ARS) y de las entidadades del sistema de riesgos laborales, dando seguimiento a su desempeño técnico y financiero, a fin de promover la protección de los derechos de los afiliados, velar por el cumplimiento de las prestaciones establecidas en el Plan Básico de Salud y en el seguro de riesgos laborales, as</w:t>
      </w:r>
      <w:r w:rsidR="00E16FCB" w:rsidRPr="005C133F">
        <w:rPr>
          <w:rFonts w:eastAsia="Calibri"/>
          <w:noProof/>
          <w:lang w:val="es-DO"/>
        </w:rPr>
        <w:t>í</w:t>
      </w:r>
      <w:r w:rsidRPr="005C133F">
        <w:rPr>
          <w:rFonts w:eastAsia="Calibri"/>
          <w:noProof/>
          <w:lang w:val="es-DO"/>
        </w:rPr>
        <w:t xml:space="preserve"> como gestionar los procesos de conciliación, arbitraje y aplicación de medidas previstas en el marco normativo vigente, contribuyendo a la calidad, equidad y sostenibilidad del sistema.</w:t>
      </w:r>
    </w:p>
    <w:p w14:paraId="4EC887C9" w14:textId="77777777" w:rsidR="00180757" w:rsidRPr="005C133F" w:rsidRDefault="00180757" w:rsidP="005C133F">
      <w:pPr>
        <w:spacing w:after="0" w:line="360" w:lineRule="auto"/>
        <w:jc w:val="both"/>
        <w:rPr>
          <w:rFonts w:eastAsia="Calibri"/>
          <w:noProof/>
          <w:lang w:val="es-DO"/>
        </w:rPr>
      </w:pPr>
      <w:r w:rsidRPr="005C133F">
        <w:rPr>
          <w:rFonts w:eastAsia="Calibri"/>
          <w:noProof/>
          <w:lang w:val="es-DO"/>
        </w:rPr>
        <w:lastRenderedPageBreak/>
        <w:t>La SISALRIL alineó sus acciones con los principales instrumentos de planificación del ámbito nacional e internacional, especialmente la Estrategia Nacional de Desarrollo (END) 2030 y los Objetivos de Desarrollo Sostenible (ODS), con énfasis en el ODS 3 “Salud y Bienestar”, orientado a garantizar una vida sana y promover el bienestar para toda la población en el marco del desarrollo sostenible.</w:t>
      </w:r>
    </w:p>
    <w:p w14:paraId="3A9B75C0" w14:textId="49640870" w:rsidR="008C55FE" w:rsidRPr="005C133F" w:rsidRDefault="00180757" w:rsidP="005C133F">
      <w:pPr>
        <w:spacing w:after="0" w:line="360" w:lineRule="auto"/>
        <w:jc w:val="both"/>
        <w:rPr>
          <w:rFonts w:eastAsia="Calibri"/>
          <w:noProof/>
          <w:lang w:val="es-DO"/>
        </w:rPr>
      </w:pPr>
      <w:r w:rsidRPr="005C133F">
        <w:rPr>
          <w:rFonts w:eastAsia="Calibri"/>
          <w:noProof/>
          <w:lang w:val="es-DO"/>
        </w:rPr>
        <w:t>El Marco Estratégico plasmado en el Plan Estratégico Institucional (PEI) 2025–2028 estructura la actuación de la SISALRIL a través de cinco ejes estratégicos: cobertura universal en salud y riesgos laborales; eficiencia en el gasto del SFS y del SRL; fortalecimiento del sistema de regulación, supervisión, conciliación y fiscalización; excelencia en el servicio; y fortalecimiento de las capacidades institucionales. Estos ejes se concretan en objetivos estratégicos, indicadores clave de desempeño, resultados estratégicos</w:t>
      </w:r>
      <w:r w:rsidR="00455193" w:rsidRPr="005C133F">
        <w:rPr>
          <w:rFonts w:eastAsia="Calibri"/>
          <w:noProof/>
          <w:lang w:val="es-DO"/>
        </w:rPr>
        <w:t xml:space="preserve"> </w:t>
      </w:r>
      <w:r w:rsidRPr="005C133F">
        <w:rPr>
          <w:rFonts w:eastAsia="Calibri"/>
          <w:noProof/>
          <w:lang w:val="es-DO"/>
        </w:rPr>
        <w:t>e intermedios y la producción que orienta de manera integral la gestión institucional durante el período, según se detalla a continuación:</w:t>
      </w:r>
    </w:p>
    <w:p w14:paraId="43D7DAE1" w14:textId="77777777" w:rsidR="00071C0A" w:rsidRPr="005C133F" w:rsidRDefault="00071C0A" w:rsidP="005C133F">
      <w:pPr>
        <w:spacing w:after="0" w:line="360" w:lineRule="auto"/>
        <w:jc w:val="both"/>
        <w:rPr>
          <w:rFonts w:eastAsia="Calibri"/>
          <w:noProof/>
          <w:lang w:val="es-DO"/>
        </w:rPr>
        <w:sectPr w:rsidR="00071C0A" w:rsidRPr="005C133F" w:rsidSect="00764E6B">
          <w:pgSz w:w="12240" w:h="15840"/>
          <w:pgMar w:top="1440" w:right="2160" w:bottom="1440" w:left="2160" w:header="720" w:footer="720" w:gutter="0"/>
          <w:cols w:space="720"/>
          <w:docGrid w:linePitch="360"/>
        </w:sectPr>
      </w:pPr>
    </w:p>
    <w:p w14:paraId="08A76B36" w14:textId="344800DE" w:rsidR="005F2989" w:rsidRPr="005C133F" w:rsidRDefault="005F2989" w:rsidP="00E05B71">
      <w:pPr>
        <w:pStyle w:val="Descripcin"/>
        <w:keepNext/>
        <w:spacing w:after="0" w:line="360" w:lineRule="auto"/>
        <w:jc w:val="center"/>
        <w:rPr>
          <w:rFonts w:eastAsia="Calibri"/>
          <w:b/>
          <w:bCs/>
          <w:noProof/>
          <w:color w:val="767171"/>
          <w:sz w:val="24"/>
          <w:szCs w:val="24"/>
          <w:lang w:val="es-DO"/>
        </w:rPr>
      </w:pPr>
      <w:bookmarkStart w:id="15" w:name="_Toc216808358"/>
      <w:bookmarkStart w:id="16" w:name="_Toc218784133"/>
      <w:r w:rsidRPr="005C133F">
        <w:rPr>
          <w:rFonts w:eastAsia="Calibri"/>
          <w:b/>
          <w:bCs/>
          <w:noProof/>
          <w:color w:val="767171"/>
          <w:sz w:val="24"/>
          <w:szCs w:val="24"/>
          <w:lang w:val="es-DO"/>
        </w:rPr>
        <w:lastRenderedPageBreak/>
        <w:t xml:space="preserve">Tabla </w:t>
      </w:r>
      <w:r w:rsidRPr="005C133F">
        <w:rPr>
          <w:rFonts w:eastAsia="Calibri"/>
          <w:b/>
          <w:bCs/>
          <w:noProof/>
          <w:color w:val="767171"/>
          <w:sz w:val="24"/>
          <w:szCs w:val="24"/>
          <w:lang w:val="es-DO"/>
        </w:rPr>
        <w:fldChar w:fldCharType="begin"/>
      </w:r>
      <w:r w:rsidRPr="005C133F">
        <w:rPr>
          <w:rFonts w:eastAsia="Calibri"/>
          <w:b/>
          <w:bCs/>
          <w:noProof/>
          <w:color w:val="767171"/>
          <w:sz w:val="24"/>
          <w:szCs w:val="24"/>
          <w:lang w:val="es-DO"/>
        </w:rPr>
        <w:instrText xml:space="preserve"> SEQ Tabla \* ARABIC </w:instrText>
      </w:r>
      <w:r w:rsidRPr="005C133F">
        <w:rPr>
          <w:rFonts w:eastAsia="Calibri"/>
          <w:b/>
          <w:bCs/>
          <w:noProof/>
          <w:color w:val="767171"/>
          <w:sz w:val="24"/>
          <w:szCs w:val="24"/>
          <w:lang w:val="es-DO"/>
        </w:rPr>
        <w:fldChar w:fldCharType="separate"/>
      </w:r>
      <w:r w:rsidR="00814341">
        <w:rPr>
          <w:rFonts w:eastAsia="Calibri"/>
          <w:b/>
          <w:bCs/>
          <w:noProof/>
          <w:color w:val="767171"/>
          <w:sz w:val="24"/>
          <w:szCs w:val="24"/>
          <w:lang w:val="es-DO"/>
        </w:rPr>
        <w:t>1</w:t>
      </w:r>
      <w:r w:rsidRPr="005C133F">
        <w:rPr>
          <w:rFonts w:eastAsia="Calibri"/>
          <w:b/>
          <w:bCs/>
          <w:noProof/>
          <w:color w:val="767171"/>
          <w:sz w:val="24"/>
          <w:szCs w:val="24"/>
          <w:lang w:val="es-DO"/>
        </w:rPr>
        <w:fldChar w:fldCharType="end"/>
      </w:r>
      <w:r w:rsidRPr="005C133F">
        <w:rPr>
          <w:rFonts w:eastAsia="Calibri"/>
          <w:b/>
          <w:bCs/>
          <w:noProof/>
          <w:color w:val="767171"/>
          <w:sz w:val="24"/>
          <w:szCs w:val="24"/>
          <w:lang w:val="es-DO"/>
        </w:rPr>
        <w:t>. Marco Estratégico Institucional</w:t>
      </w:r>
      <w:r w:rsidR="00372DC4" w:rsidRPr="005C133F">
        <w:rPr>
          <w:rFonts w:eastAsia="Calibri"/>
          <w:b/>
          <w:bCs/>
          <w:noProof/>
          <w:color w:val="767171"/>
          <w:sz w:val="24"/>
          <w:szCs w:val="24"/>
          <w:lang w:val="es-DO"/>
        </w:rPr>
        <w:t xml:space="preserve">, </w:t>
      </w:r>
      <w:r w:rsidRPr="005C133F">
        <w:rPr>
          <w:rFonts w:eastAsia="Calibri"/>
          <w:b/>
          <w:bCs/>
          <w:noProof/>
          <w:color w:val="767171"/>
          <w:sz w:val="24"/>
          <w:szCs w:val="24"/>
          <w:lang w:val="es-DO"/>
        </w:rPr>
        <w:t xml:space="preserve"> PEI 2025-2028</w:t>
      </w:r>
      <w:bookmarkEnd w:id="15"/>
      <w:bookmarkEnd w:id="16"/>
    </w:p>
    <w:tbl>
      <w:tblPr>
        <w:tblW w:w="0" w:type="auto"/>
        <w:jc w:val="center"/>
        <w:tblCellMar>
          <w:left w:w="70" w:type="dxa"/>
          <w:right w:w="70" w:type="dxa"/>
        </w:tblCellMar>
        <w:tblLook w:val="04A0" w:firstRow="1" w:lastRow="0" w:firstColumn="1" w:lastColumn="0" w:noHBand="0" w:noVBand="1"/>
      </w:tblPr>
      <w:tblGrid>
        <w:gridCol w:w="2336"/>
        <w:gridCol w:w="2263"/>
        <w:gridCol w:w="2861"/>
        <w:gridCol w:w="2944"/>
        <w:gridCol w:w="2546"/>
      </w:tblGrid>
      <w:tr w:rsidR="005C133F" w:rsidRPr="00CD02F5" w14:paraId="10F2DAD5" w14:textId="77777777" w:rsidTr="00E05B71">
        <w:trPr>
          <w:trHeight w:val="408"/>
          <w:tblHeader/>
          <w:jc w:val="center"/>
        </w:trPr>
        <w:tc>
          <w:tcPr>
            <w:tcW w:w="0" w:type="auto"/>
            <w:gridSpan w:val="5"/>
            <w:tcBorders>
              <w:top w:val="nil"/>
              <w:left w:val="single" w:sz="4" w:space="0" w:color="808080"/>
              <w:bottom w:val="single" w:sz="4" w:space="0" w:color="808080"/>
              <w:right w:val="single" w:sz="4" w:space="0" w:color="808080"/>
            </w:tcBorders>
            <w:shd w:val="clear" w:color="auto" w:fill="011C50"/>
            <w:vAlign w:val="center"/>
          </w:tcPr>
          <w:p w14:paraId="7EAB6948" w14:textId="1477869D" w:rsidR="00E4687C" w:rsidRPr="005C133F" w:rsidRDefault="00E4687C" w:rsidP="00F26B9E">
            <w:pPr>
              <w:spacing w:after="0" w:line="240" w:lineRule="auto"/>
              <w:jc w:val="center"/>
              <w:rPr>
                <w:rFonts w:eastAsia="Times New Roman"/>
                <w:b/>
                <w:bCs/>
                <w:color w:val="FFFFFF" w:themeColor="background1"/>
                <w:spacing w:val="0"/>
                <w:lang w:val="es-DO" w:eastAsia="es-DO"/>
              </w:rPr>
            </w:pPr>
            <w:r w:rsidRPr="005C133F">
              <w:rPr>
                <w:rFonts w:eastAsia="Calibri"/>
                <w:b/>
                <w:bCs/>
                <w:noProof/>
                <w:color w:val="FFFFFF" w:themeColor="background1"/>
                <w:lang w:val="es-DO"/>
              </w:rPr>
              <w:t>Eje 1. Cobertura Universal en Salud y Riesgos Laborales</w:t>
            </w:r>
          </w:p>
        </w:tc>
      </w:tr>
      <w:tr w:rsidR="005C133F" w:rsidRPr="005C133F" w14:paraId="4E38326C" w14:textId="77777777" w:rsidTr="00E05B71">
        <w:trPr>
          <w:trHeight w:val="709"/>
          <w:tblHeader/>
          <w:jc w:val="center"/>
        </w:trPr>
        <w:tc>
          <w:tcPr>
            <w:tcW w:w="0" w:type="auto"/>
            <w:tcBorders>
              <w:top w:val="nil"/>
              <w:left w:val="single" w:sz="4" w:space="0" w:color="808080"/>
              <w:bottom w:val="single" w:sz="4" w:space="0" w:color="808080"/>
              <w:right w:val="single" w:sz="4" w:space="0" w:color="808080"/>
            </w:tcBorders>
            <w:shd w:val="clear" w:color="auto" w:fill="011C50"/>
            <w:vAlign w:val="center"/>
          </w:tcPr>
          <w:p w14:paraId="6D19C481" w14:textId="50690612" w:rsidR="00071C0A" w:rsidRPr="005C133F" w:rsidRDefault="00071C0A"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Resultado estratégico</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1094681A" w14:textId="5DDBD741" w:rsidR="00071C0A" w:rsidRPr="005C133F" w:rsidRDefault="00071C0A"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Indicador</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286A5BD4" w14:textId="3E68FF97" w:rsidR="00071C0A" w:rsidRPr="005C133F" w:rsidRDefault="00071C0A"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Resultados intermedios</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13519834" w14:textId="6B5BA4EC" w:rsidR="00071C0A" w:rsidRPr="005C133F" w:rsidRDefault="00071C0A"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Indicadores</w:t>
            </w:r>
          </w:p>
        </w:tc>
        <w:tc>
          <w:tcPr>
            <w:tcW w:w="0" w:type="auto"/>
            <w:tcBorders>
              <w:top w:val="nil"/>
              <w:left w:val="nil"/>
              <w:bottom w:val="single" w:sz="4" w:space="0" w:color="808080"/>
              <w:right w:val="single" w:sz="4" w:space="0" w:color="808080"/>
            </w:tcBorders>
            <w:shd w:val="clear" w:color="auto" w:fill="011C50"/>
            <w:vAlign w:val="center"/>
          </w:tcPr>
          <w:p w14:paraId="3C48C19B" w14:textId="21C97B7C" w:rsidR="00071C0A" w:rsidRPr="005C133F" w:rsidRDefault="00071C0A"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Productos Estratégicos</w:t>
            </w:r>
          </w:p>
        </w:tc>
      </w:tr>
      <w:tr w:rsidR="004921FF" w:rsidRPr="00CD02F5" w14:paraId="7240BD5F" w14:textId="77777777" w:rsidTr="00E05B71">
        <w:trPr>
          <w:trHeight w:val="709"/>
          <w:jc w:val="center"/>
        </w:trPr>
        <w:tc>
          <w:tcPr>
            <w:tcW w:w="0" w:type="auto"/>
            <w:vMerge w:val="restart"/>
            <w:tcBorders>
              <w:top w:val="nil"/>
              <w:left w:val="single" w:sz="4" w:space="0" w:color="808080"/>
              <w:bottom w:val="single" w:sz="4" w:space="0" w:color="808080"/>
              <w:right w:val="single" w:sz="4" w:space="0" w:color="808080"/>
            </w:tcBorders>
            <w:vAlign w:val="center"/>
            <w:hideMark/>
          </w:tcPr>
          <w:p w14:paraId="72E6DFA6" w14:textId="6B6904B3"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 Aumentada la protección de la población en el aseguramiento en salud y riesgos laborales, garantizando equidad y calidad  en el acceso </w:t>
            </w:r>
          </w:p>
        </w:tc>
        <w:tc>
          <w:tcPr>
            <w:tcW w:w="0" w:type="auto"/>
            <w:vMerge w:val="restart"/>
            <w:tcBorders>
              <w:top w:val="nil"/>
              <w:left w:val="single" w:sz="4" w:space="0" w:color="808080"/>
              <w:bottom w:val="single" w:sz="4" w:space="0" w:color="808080"/>
              <w:right w:val="single" w:sz="4" w:space="0" w:color="808080"/>
            </w:tcBorders>
            <w:vAlign w:val="center"/>
            <w:hideMark/>
          </w:tcPr>
          <w:p w14:paraId="1E1ECE01"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RE.1.1 Porcentaje de afiliación al Seguro Familiar de Salud (SFS) desagregado por régimen de financiamiento </w:t>
            </w:r>
          </w:p>
        </w:tc>
        <w:tc>
          <w:tcPr>
            <w:tcW w:w="0" w:type="auto"/>
            <w:vMerge w:val="restart"/>
            <w:tcBorders>
              <w:top w:val="nil"/>
              <w:left w:val="single" w:sz="4" w:space="0" w:color="808080"/>
              <w:bottom w:val="single" w:sz="4" w:space="0" w:color="808080"/>
              <w:right w:val="single" w:sz="4" w:space="0" w:color="808080"/>
            </w:tcBorders>
            <w:vAlign w:val="center"/>
            <w:hideMark/>
          </w:tcPr>
          <w:p w14:paraId="71197152" w14:textId="77F3D8B2" w:rsidR="00E4687C" w:rsidRPr="005C133F" w:rsidRDefault="00E4687C" w:rsidP="00F26B9E">
            <w:pPr>
              <w:spacing w:after="0" w:line="240" w:lineRule="auto"/>
              <w:rPr>
                <w:rFonts w:eastAsia="Calibri"/>
                <w:noProof/>
                <w:lang w:val="es-DO"/>
              </w:rPr>
            </w:pPr>
            <w:r w:rsidRPr="005C133F">
              <w:rPr>
                <w:rFonts w:eastAsia="Calibri"/>
                <w:noProof/>
                <w:lang w:val="es-DO"/>
              </w:rPr>
              <w:t>RI.1 Ampliado el aseguramiento de los pensionados y jubilados que reciben su pensión a través de la Dirección General de Jubilaciones y Pensiones del Ministerio de Hacienda, que no cuentan con la cobertura del Plan Básico de Salud del Seguro Familiar de Salud.</w:t>
            </w:r>
          </w:p>
        </w:tc>
        <w:tc>
          <w:tcPr>
            <w:tcW w:w="0" w:type="auto"/>
            <w:vMerge w:val="restart"/>
            <w:tcBorders>
              <w:top w:val="nil"/>
              <w:left w:val="single" w:sz="4" w:space="0" w:color="808080"/>
              <w:bottom w:val="single" w:sz="4" w:space="0" w:color="808080"/>
              <w:right w:val="single" w:sz="4" w:space="0" w:color="808080"/>
            </w:tcBorders>
            <w:vAlign w:val="center"/>
            <w:hideMark/>
          </w:tcPr>
          <w:p w14:paraId="781D52F1"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RI.1.1 Porcentaje de afiliación en SFS del Régimen Subsidiado de los pensionados y jubilados que reciben su pensión a través de la Dirección General de Jubilaciones y Pensiones del Ministerio de Hacienda y que tienen pensiones por debajo del salario mínimo establecido</w:t>
            </w:r>
          </w:p>
        </w:tc>
        <w:tc>
          <w:tcPr>
            <w:tcW w:w="0" w:type="auto"/>
            <w:tcBorders>
              <w:top w:val="nil"/>
              <w:left w:val="nil"/>
              <w:bottom w:val="single" w:sz="4" w:space="0" w:color="808080"/>
              <w:right w:val="single" w:sz="4" w:space="0" w:color="808080"/>
            </w:tcBorders>
            <w:vAlign w:val="center"/>
            <w:hideMark/>
          </w:tcPr>
          <w:p w14:paraId="1803E702"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ARS SENASA supervisada respecto a la gestión de la afiliación al Régimen Subsidiado </w:t>
            </w:r>
          </w:p>
        </w:tc>
      </w:tr>
      <w:tr w:rsidR="004921FF" w:rsidRPr="00CD02F5" w14:paraId="705C73E3" w14:textId="77777777" w:rsidTr="00E05B71">
        <w:trPr>
          <w:trHeight w:val="558"/>
          <w:jc w:val="center"/>
        </w:trPr>
        <w:tc>
          <w:tcPr>
            <w:tcW w:w="0" w:type="auto"/>
            <w:vMerge/>
            <w:tcBorders>
              <w:top w:val="nil"/>
              <w:left w:val="single" w:sz="4" w:space="0" w:color="808080"/>
              <w:bottom w:val="single" w:sz="4" w:space="0" w:color="808080"/>
              <w:right w:val="single" w:sz="4" w:space="0" w:color="808080"/>
            </w:tcBorders>
            <w:vAlign w:val="center"/>
            <w:hideMark/>
          </w:tcPr>
          <w:p w14:paraId="7F6710D9"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2FFE58DB"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6010CE1B"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7FBFBAE5" w14:textId="77777777" w:rsidR="00E4687C" w:rsidRPr="005C133F" w:rsidRDefault="00E4687C" w:rsidP="00F26B9E">
            <w:pPr>
              <w:spacing w:after="0" w:line="240" w:lineRule="auto"/>
              <w:rPr>
                <w:rFonts w:eastAsia="Calibri"/>
                <w:noProof/>
                <w:lang w:val="es-DO"/>
              </w:rPr>
            </w:pPr>
          </w:p>
        </w:tc>
        <w:tc>
          <w:tcPr>
            <w:tcW w:w="0" w:type="auto"/>
            <w:tcBorders>
              <w:top w:val="nil"/>
              <w:left w:val="nil"/>
              <w:bottom w:val="single" w:sz="4" w:space="0" w:color="808080"/>
              <w:right w:val="single" w:sz="4" w:space="0" w:color="808080"/>
            </w:tcBorders>
            <w:vAlign w:val="center"/>
            <w:hideMark/>
          </w:tcPr>
          <w:p w14:paraId="7971E244" w14:textId="77777777" w:rsidR="00E4687C" w:rsidRPr="005C133F" w:rsidRDefault="00E4687C" w:rsidP="00F26B9E">
            <w:pPr>
              <w:spacing w:after="0" w:line="240" w:lineRule="auto"/>
              <w:rPr>
                <w:rFonts w:eastAsia="Calibri"/>
                <w:noProof/>
                <w:lang w:val="es-DO"/>
              </w:rPr>
            </w:pPr>
            <w:r w:rsidRPr="005C133F">
              <w:rPr>
                <w:rFonts w:eastAsia="Calibri"/>
                <w:noProof/>
                <w:lang w:val="es-DO"/>
              </w:rPr>
              <w:t>CNSS recibe propuestas para la afiliación universal, incluyendo los pensionados, jubilados, y los sectores o grupos vulnerables, en cumplimiento con el marco legal vigente, consensuada con los actores del SFS</w:t>
            </w:r>
          </w:p>
        </w:tc>
      </w:tr>
      <w:tr w:rsidR="004921FF" w:rsidRPr="00CD02F5" w14:paraId="05D48284" w14:textId="77777777" w:rsidTr="00E05B71">
        <w:trPr>
          <w:trHeight w:val="1872"/>
          <w:jc w:val="center"/>
        </w:trPr>
        <w:tc>
          <w:tcPr>
            <w:tcW w:w="0" w:type="auto"/>
            <w:vMerge/>
            <w:tcBorders>
              <w:top w:val="nil"/>
              <w:left w:val="single" w:sz="4" w:space="0" w:color="808080"/>
              <w:bottom w:val="single" w:sz="4" w:space="0" w:color="808080"/>
              <w:right w:val="single" w:sz="4" w:space="0" w:color="808080"/>
            </w:tcBorders>
            <w:vAlign w:val="center"/>
            <w:hideMark/>
          </w:tcPr>
          <w:p w14:paraId="3AC662A9"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67C3C9DB" w14:textId="77777777" w:rsidR="00E4687C" w:rsidRPr="005C133F" w:rsidRDefault="00E4687C" w:rsidP="00F26B9E">
            <w:pPr>
              <w:spacing w:after="0" w:line="240" w:lineRule="auto"/>
              <w:rPr>
                <w:rFonts w:eastAsia="Calibri"/>
                <w:noProof/>
                <w:lang w:val="es-DO"/>
              </w:rPr>
            </w:pPr>
          </w:p>
        </w:tc>
        <w:tc>
          <w:tcPr>
            <w:tcW w:w="0" w:type="auto"/>
            <w:vMerge w:val="restart"/>
            <w:tcBorders>
              <w:top w:val="nil"/>
              <w:left w:val="single" w:sz="4" w:space="0" w:color="808080"/>
              <w:bottom w:val="single" w:sz="4" w:space="0" w:color="808080"/>
              <w:right w:val="single" w:sz="4" w:space="0" w:color="808080"/>
            </w:tcBorders>
            <w:vAlign w:val="center"/>
            <w:hideMark/>
          </w:tcPr>
          <w:p w14:paraId="3E07C128" w14:textId="20A8740E" w:rsidR="00E4687C" w:rsidRPr="005C133F" w:rsidRDefault="00E4687C" w:rsidP="00F26B9E">
            <w:pPr>
              <w:spacing w:after="0" w:line="240" w:lineRule="auto"/>
              <w:rPr>
                <w:rFonts w:eastAsia="Calibri"/>
                <w:noProof/>
                <w:lang w:val="es-DO"/>
              </w:rPr>
            </w:pPr>
            <w:r w:rsidRPr="005C133F">
              <w:rPr>
                <w:rFonts w:eastAsia="Calibri"/>
                <w:noProof/>
                <w:lang w:val="es-DO"/>
              </w:rPr>
              <w:t xml:space="preserve">RI.2 Mejoradas las condiciones de acceso a los servicios de salud </w:t>
            </w:r>
          </w:p>
        </w:tc>
        <w:tc>
          <w:tcPr>
            <w:tcW w:w="0" w:type="auto"/>
            <w:tcBorders>
              <w:top w:val="nil"/>
              <w:left w:val="nil"/>
              <w:bottom w:val="single" w:sz="4" w:space="0" w:color="808080"/>
              <w:right w:val="single" w:sz="4" w:space="0" w:color="808080"/>
            </w:tcBorders>
            <w:vAlign w:val="center"/>
            <w:hideMark/>
          </w:tcPr>
          <w:p w14:paraId="4A89F6DE" w14:textId="4828B941" w:rsidR="00E4687C" w:rsidRPr="005C133F" w:rsidRDefault="00E4687C" w:rsidP="00F26B9E">
            <w:pPr>
              <w:spacing w:after="0" w:line="240" w:lineRule="auto"/>
              <w:rPr>
                <w:rFonts w:eastAsia="Calibri"/>
                <w:noProof/>
                <w:lang w:val="es-DO"/>
              </w:rPr>
            </w:pPr>
            <w:r w:rsidRPr="005C133F">
              <w:rPr>
                <w:rFonts w:eastAsia="Calibri"/>
                <w:noProof/>
                <w:lang w:val="es-DO"/>
              </w:rPr>
              <w:t xml:space="preserve">RI.2.1 Porcentaje de iniciativas implementadas para reducir las barreras de acceso a los servicios de salud. </w:t>
            </w:r>
            <w:r w:rsidRPr="005C133F">
              <w:rPr>
                <w:rFonts w:eastAsia="Calibri"/>
                <w:noProof/>
                <w:lang w:val="es-DO"/>
              </w:rPr>
              <w:br/>
              <w:t>(13 iniciativas priorizadas para el período 2025-2028)</w:t>
            </w:r>
          </w:p>
        </w:tc>
        <w:tc>
          <w:tcPr>
            <w:tcW w:w="0" w:type="auto"/>
            <w:vMerge w:val="restart"/>
            <w:tcBorders>
              <w:top w:val="nil"/>
              <w:left w:val="single" w:sz="4" w:space="0" w:color="808080"/>
              <w:bottom w:val="single" w:sz="4" w:space="0" w:color="808080"/>
              <w:right w:val="single" w:sz="4" w:space="0" w:color="808080"/>
            </w:tcBorders>
            <w:vAlign w:val="center"/>
            <w:hideMark/>
          </w:tcPr>
          <w:p w14:paraId="29D08C99" w14:textId="77777777" w:rsidR="00E4687C" w:rsidRPr="005C133F" w:rsidRDefault="00E4687C" w:rsidP="00F26B9E">
            <w:pPr>
              <w:spacing w:after="0" w:line="240" w:lineRule="auto"/>
              <w:rPr>
                <w:rFonts w:eastAsia="Calibri"/>
                <w:noProof/>
                <w:lang w:val="es-DO"/>
              </w:rPr>
            </w:pPr>
            <w:r w:rsidRPr="005C133F">
              <w:rPr>
                <w:rFonts w:eastAsia="Calibri"/>
                <w:noProof/>
                <w:lang w:val="es-DO"/>
              </w:rPr>
              <w:t>CNSS recibe propuestas para la reducción de barreras de acceso a los servicios de salud  en  los sectores o grupos vulnerables, en cumplimiento con el marco legal vigente, consensuada con los actores del SFS</w:t>
            </w:r>
          </w:p>
        </w:tc>
      </w:tr>
      <w:tr w:rsidR="004921FF" w:rsidRPr="00CD02F5" w14:paraId="339E276A" w14:textId="77777777" w:rsidTr="00E05B71">
        <w:trPr>
          <w:trHeight w:val="960"/>
          <w:jc w:val="center"/>
        </w:trPr>
        <w:tc>
          <w:tcPr>
            <w:tcW w:w="0" w:type="auto"/>
            <w:vMerge/>
            <w:tcBorders>
              <w:top w:val="nil"/>
              <w:left w:val="single" w:sz="4" w:space="0" w:color="808080"/>
              <w:bottom w:val="single" w:sz="4" w:space="0" w:color="808080"/>
              <w:right w:val="single" w:sz="4" w:space="0" w:color="808080"/>
            </w:tcBorders>
            <w:vAlign w:val="center"/>
            <w:hideMark/>
          </w:tcPr>
          <w:p w14:paraId="3CD51C15"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56A3319C"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6C1F3120" w14:textId="77777777" w:rsidR="00E4687C" w:rsidRPr="005C133F" w:rsidRDefault="00E4687C" w:rsidP="00F26B9E">
            <w:pPr>
              <w:spacing w:after="0" w:line="240" w:lineRule="auto"/>
              <w:rPr>
                <w:rFonts w:eastAsia="Calibri"/>
                <w:noProof/>
                <w:lang w:val="es-DO"/>
              </w:rPr>
            </w:pPr>
          </w:p>
        </w:tc>
        <w:tc>
          <w:tcPr>
            <w:tcW w:w="0" w:type="auto"/>
            <w:tcBorders>
              <w:top w:val="nil"/>
              <w:left w:val="single" w:sz="4" w:space="0" w:color="808080"/>
              <w:bottom w:val="single" w:sz="4" w:space="0" w:color="808080"/>
              <w:right w:val="single" w:sz="4" w:space="0" w:color="808080"/>
            </w:tcBorders>
            <w:vAlign w:val="center"/>
            <w:hideMark/>
          </w:tcPr>
          <w:p w14:paraId="03AC8593"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RI.2.2 Porcentaje de reclamaciones por negación de coberturas resueltas en menos de 60 días </w:t>
            </w:r>
          </w:p>
        </w:tc>
        <w:tc>
          <w:tcPr>
            <w:tcW w:w="0" w:type="auto"/>
            <w:vMerge/>
            <w:tcBorders>
              <w:top w:val="nil"/>
              <w:left w:val="single" w:sz="4" w:space="0" w:color="808080"/>
              <w:bottom w:val="single" w:sz="4" w:space="0" w:color="808080"/>
              <w:right w:val="single" w:sz="4" w:space="0" w:color="808080"/>
            </w:tcBorders>
            <w:vAlign w:val="center"/>
            <w:hideMark/>
          </w:tcPr>
          <w:p w14:paraId="0C8D1014" w14:textId="77777777" w:rsidR="00E4687C" w:rsidRPr="005C133F" w:rsidRDefault="00E4687C" w:rsidP="00F26B9E">
            <w:pPr>
              <w:spacing w:after="0" w:line="240" w:lineRule="auto"/>
              <w:rPr>
                <w:rFonts w:eastAsia="Calibri"/>
                <w:noProof/>
                <w:lang w:val="es-DO"/>
              </w:rPr>
            </w:pPr>
          </w:p>
        </w:tc>
      </w:tr>
      <w:tr w:rsidR="004921FF" w:rsidRPr="00CD02F5" w14:paraId="185DE97C" w14:textId="77777777" w:rsidTr="00E05B71">
        <w:trPr>
          <w:trHeight w:val="1162"/>
          <w:jc w:val="center"/>
        </w:trPr>
        <w:tc>
          <w:tcPr>
            <w:tcW w:w="0" w:type="auto"/>
            <w:vMerge/>
            <w:tcBorders>
              <w:top w:val="nil"/>
              <w:left w:val="single" w:sz="4" w:space="0" w:color="808080"/>
              <w:bottom w:val="single" w:sz="4" w:space="0" w:color="808080"/>
              <w:right w:val="single" w:sz="4" w:space="0" w:color="808080"/>
            </w:tcBorders>
            <w:vAlign w:val="center"/>
            <w:hideMark/>
          </w:tcPr>
          <w:p w14:paraId="61BE1BF6"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5543A06E" w14:textId="77777777" w:rsidR="00E4687C" w:rsidRPr="005C133F" w:rsidRDefault="00E4687C" w:rsidP="00F26B9E">
            <w:pPr>
              <w:spacing w:after="0" w:line="240" w:lineRule="auto"/>
              <w:rPr>
                <w:rFonts w:eastAsia="Calibri"/>
                <w:noProof/>
                <w:lang w:val="es-DO"/>
              </w:rPr>
            </w:pPr>
          </w:p>
        </w:tc>
        <w:tc>
          <w:tcPr>
            <w:tcW w:w="0" w:type="auto"/>
            <w:vMerge w:val="restart"/>
            <w:tcBorders>
              <w:top w:val="nil"/>
              <w:left w:val="single" w:sz="4" w:space="0" w:color="808080"/>
              <w:bottom w:val="single" w:sz="4" w:space="0" w:color="808080"/>
              <w:right w:val="single" w:sz="4" w:space="0" w:color="808080"/>
            </w:tcBorders>
            <w:vAlign w:val="center"/>
            <w:hideMark/>
          </w:tcPr>
          <w:p w14:paraId="10BDD339" w14:textId="2067F7CB" w:rsidR="00E4687C" w:rsidRPr="005C133F" w:rsidRDefault="00E4687C" w:rsidP="00F26B9E">
            <w:pPr>
              <w:spacing w:after="0" w:line="240" w:lineRule="auto"/>
              <w:rPr>
                <w:rFonts w:eastAsia="Calibri"/>
                <w:noProof/>
                <w:lang w:val="es-DO"/>
              </w:rPr>
            </w:pPr>
            <w:r w:rsidRPr="005C133F">
              <w:rPr>
                <w:rFonts w:eastAsia="Calibri"/>
                <w:noProof/>
                <w:lang w:val="es-DO"/>
              </w:rPr>
              <w:t>RI.3 Ampliada la cobertura efectiva de los servicios básicos de salud</w:t>
            </w:r>
          </w:p>
        </w:tc>
        <w:tc>
          <w:tcPr>
            <w:tcW w:w="0" w:type="auto"/>
            <w:vMerge w:val="restart"/>
            <w:tcBorders>
              <w:top w:val="nil"/>
              <w:left w:val="single" w:sz="4" w:space="0" w:color="808080"/>
              <w:bottom w:val="single" w:sz="4" w:space="0" w:color="808080"/>
              <w:right w:val="single" w:sz="4" w:space="0" w:color="808080"/>
            </w:tcBorders>
            <w:vAlign w:val="center"/>
            <w:hideMark/>
          </w:tcPr>
          <w:p w14:paraId="5D5CE99A"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RI.3.1 Porcentaje de la población afiliada al SFS que utiliza los nuevos servicios del PBS, desagregado por tema</w:t>
            </w:r>
          </w:p>
        </w:tc>
        <w:tc>
          <w:tcPr>
            <w:tcW w:w="0" w:type="auto"/>
            <w:tcBorders>
              <w:top w:val="nil"/>
              <w:left w:val="nil"/>
              <w:bottom w:val="single" w:sz="4" w:space="0" w:color="808080"/>
              <w:right w:val="single" w:sz="4" w:space="0" w:color="808080"/>
            </w:tcBorders>
            <w:vAlign w:val="center"/>
            <w:hideMark/>
          </w:tcPr>
          <w:p w14:paraId="507AA61D" w14:textId="77777777" w:rsidR="00E4687C" w:rsidRPr="005C133F" w:rsidRDefault="00E4687C" w:rsidP="00F26B9E">
            <w:pPr>
              <w:spacing w:after="0" w:line="240" w:lineRule="auto"/>
              <w:rPr>
                <w:rFonts w:eastAsia="Calibri"/>
                <w:noProof/>
                <w:lang w:val="es-DO"/>
              </w:rPr>
            </w:pPr>
            <w:r w:rsidRPr="005C133F">
              <w:rPr>
                <w:rFonts w:eastAsia="Calibri"/>
                <w:noProof/>
                <w:lang w:val="es-DO"/>
              </w:rPr>
              <w:t>ARS y PSS disponen Catálogo de Prestaciones de Servicios de Salud (PDSS) actualizado.</w:t>
            </w:r>
          </w:p>
        </w:tc>
      </w:tr>
      <w:tr w:rsidR="004921FF" w:rsidRPr="00CD02F5" w14:paraId="516B518E" w14:textId="77777777" w:rsidTr="00E05B71">
        <w:trPr>
          <w:trHeight w:val="1111"/>
          <w:jc w:val="center"/>
        </w:trPr>
        <w:tc>
          <w:tcPr>
            <w:tcW w:w="0" w:type="auto"/>
            <w:vMerge/>
            <w:tcBorders>
              <w:top w:val="nil"/>
              <w:left w:val="single" w:sz="4" w:space="0" w:color="808080"/>
              <w:bottom w:val="single" w:sz="4" w:space="0" w:color="808080"/>
              <w:right w:val="single" w:sz="4" w:space="0" w:color="808080"/>
            </w:tcBorders>
            <w:vAlign w:val="center"/>
            <w:hideMark/>
          </w:tcPr>
          <w:p w14:paraId="692E10FF" w14:textId="77777777" w:rsidR="00E4687C" w:rsidRPr="005C133F" w:rsidRDefault="00E4687C"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274EE2F3"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0296850F"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637B44AC" w14:textId="77777777" w:rsidR="00E4687C" w:rsidRPr="005C133F" w:rsidRDefault="00E4687C" w:rsidP="00F26B9E">
            <w:pPr>
              <w:spacing w:after="0" w:line="240" w:lineRule="auto"/>
              <w:rPr>
                <w:rFonts w:eastAsia="Calibri"/>
                <w:noProof/>
                <w:lang w:val="es-DO"/>
              </w:rPr>
            </w:pPr>
          </w:p>
        </w:tc>
        <w:tc>
          <w:tcPr>
            <w:tcW w:w="0" w:type="auto"/>
            <w:tcBorders>
              <w:top w:val="nil"/>
              <w:left w:val="nil"/>
              <w:bottom w:val="single" w:sz="4" w:space="0" w:color="808080"/>
              <w:right w:val="single" w:sz="4" w:space="0" w:color="808080"/>
            </w:tcBorders>
            <w:vAlign w:val="center"/>
            <w:hideMark/>
          </w:tcPr>
          <w:p w14:paraId="0B066B7B"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CNSS recibe Estudios Actuariales y propuestas para la mejora de </w:t>
            </w:r>
            <w:r w:rsidRPr="005C133F">
              <w:rPr>
                <w:rFonts w:eastAsia="Calibri"/>
                <w:noProof/>
                <w:lang w:val="es-DO"/>
              </w:rPr>
              <w:lastRenderedPageBreak/>
              <w:t>coberturas y capitas del SFS y SRL</w:t>
            </w:r>
          </w:p>
        </w:tc>
      </w:tr>
      <w:tr w:rsidR="004921FF" w:rsidRPr="00CD02F5" w14:paraId="7EBFD781" w14:textId="77777777" w:rsidTr="00E05B71">
        <w:trPr>
          <w:trHeight w:val="1872"/>
          <w:jc w:val="center"/>
        </w:trPr>
        <w:tc>
          <w:tcPr>
            <w:tcW w:w="0" w:type="auto"/>
            <w:vMerge/>
            <w:tcBorders>
              <w:top w:val="nil"/>
              <w:left w:val="single" w:sz="4" w:space="0" w:color="808080"/>
              <w:bottom w:val="single" w:sz="4" w:space="0" w:color="808080"/>
              <w:right w:val="single" w:sz="4" w:space="0" w:color="808080"/>
            </w:tcBorders>
            <w:vAlign w:val="center"/>
            <w:hideMark/>
          </w:tcPr>
          <w:p w14:paraId="1CF4AEBB" w14:textId="77777777" w:rsidR="00E4687C" w:rsidRPr="005C133F" w:rsidRDefault="00E4687C"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71E00237"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5DC8DDF2"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7DF7736A" w14:textId="77777777" w:rsidR="00E4687C" w:rsidRPr="005C133F" w:rsidRDefault="00E4687C" w:rsidP="00F26B9E">
            <w:pPr>
              <w:spacing w:after="0" w:line="240" w:lineRule="auto"/>
              <w:rPr>
                <w:rFonts w:eastAsia="Calibri"/>
                <w:noProof/>
                <w:lang w:val="es-DO"/>
              </w:rPr>
            </w:pPr>
          </w:p>
        </w:tc>
        <w:tc>
          <w:tcPr>
            <w:tcW w:w="0" w:type="auto"/>
            <w:tcBorders>
              <w:top w:val="nil"/>
              <w:left w:val="nil"/>
              <w:bottom w:val="single" w:sz="4" w:space="0" w:color="808080"/>
              <w:right w:val="single" w:sz="4" w:space="0" w:color="808080"/>
            </w:tcBorders>
            <w:vAlign w:val="center"/>
            <w:hideMark/>
          </w:tcPr>
          <w:p w14:paraId="191395EF" w14:textId="77777777" w:rsidR="00E4687C" w:rsidRPr="005C133F" w:rsidRDefault="00E4687C" w:rsidP="00F26B9E">
            <w:pPr>
              <w:spacing w:after="0" w:line="240" w:lineRule="auto"/>
              <w:rPr>
                <w:rFonts w:eastAsia="Calibri"/>
                <w:noProof/>
                <w:lang w:val="es-DO"/>
              </w:rPr>
            </w:pPr>
            <w:r w:rsidRPr="005C133F">
              <w:rPr>
                <w:rFonts w:eastAsia="Calibri"/>
                <w:noProof/>
                <w:lang w:val="es-DO"/>
              </w:rPr>
              <w:t>CNSS recibe propuestas para actualización y mejora del Catálogo de Prestaciones de Servicios de Salud (PDSS), consensuada con los actores del SFS y del SRL</w:t>
            </w:r>
          </w:p>
        </w:tc>
      </w:tr>
      <w:tr w:rsidR="004921FF" w:rsidRPr="00CD02F5" w14:paraId="13417E33" w14:textId="77777777" w:rsidTr="00E05B71">
        <w:trPr>
          <w:trHeight w:val="313"/>
          <w:jc w:val="center"/>
        </w:trPr>
        <w:tc>
          <w:tcPr>
            <w:tcW w:w="0" w:type="auto"/>
            <w:vMerge/>
            <w:tcBorders>
              <w:top w:val="nil"/>
              <w:left w:val="single" w:sz="4" w:space="0" w:color="808080"/>
              <w:bottom w:val="single" w:sz="4" w:space="0" w:color="808080"/>
              <w:right w:val="single" w:sz="4" w:space="0" w:color="808080"/>
            </w:tcBorders>
            <w:vAlign w:val="center"/>
            <w:hideMark/>
          </w:tcPr>
          <w:p w14:paraId="51D84D25" w14:textId="77777777" w:rsidR="00E4687C" w:rsidRPr="005C133F" w:rsidRDefault="00E4687C" w:rsidP="00F26B9E">
            <w:pPr>
              <w:spacing w:after="0" w:line="240" w:lineRule="auto"/>
              <w:rPr>
                <w:rFonts w:eastAsia="Times New Roman"/>
                <w:i/>
                <w:iCs/>
                <w:spacing w:val="0"/>
                <w:lang w:val="es-DO" w:eastAsia="es-DO"/>
              </w:rPr>
            </w:pPr>
          </w:p>
        </w:tc>
        <w:tc>
          <w:tcPr>
            <w:tcW w:w="0" w:type="auto"/>
            <w:tcBorders>
              <w:top w:val="nil"/>
              <w:left w:val="nil"/>
              <w:bottom w:val="single" w:sz="4" w:space="0" w:color="808080"/>
              <w:right w:val="single" w:sz="4" w:space="0" w:color="808080"/>
            </w:tcBorders>
            <w:vAlign w:val="center"/>
            <w:hideMark/>
          </w:tcPr>
          <w:p w14:paraId="7214726F" w14:textId="77777777" w:rsidR="00E4687C" w:rsidRPr="005C133F" w:rsidRDefault="00E4687C" w:rsidP="00F26B9E">
            <w:pPr>
              <w:spacing w:after="0" w:line="240" w:lineRule="auto"/>
              <w:rPr>
                <w:rFonts w:eastAsia="Calibri"/>
                <w:noProof/>
                <w:lang w:val="es-DO"/>
              </w:rPr>
            </w:pPr>
            <w:r w:rsidRPr="005C133F">
              <w:rPr>
                <w:rFonts w:eastAsia="Calibri"/>
                <w:noProof/>
                <w:lang w:val="es-DO"/>
              </w:rPr>
              <w:br/>
              <w:t xml:space="preserve">RE.1.2. Porcentaje de afiliación en el  Seguro de Riesgos Laborales (SRL)  </w:t>
            </w:r>
          </w:p>
        </w:tc>
        <w:tc>
          <w:tcPr>
            <w:tcW w:w="0" w:type="auto"/>
            <w:tcBorders>
              <w:top w:val="nil"/>
              <w:left w:val="nil"/>
              <w:bottom w:val="single" w:sz="4" w:space="0" w:color="808080"/>
              <w:right w:val="single" w:sz="4" w:space="0" w:color="808080"/>
            </w:tcBorders>
            <w:vAlign w:val="center"/>
            <w:hideMark/>
          </w:tcPr>
          <w:p w14:paraId="11230012" w14:textId="1497E615" w:rsidR="00E4687C" w:rsidRPr="005C133F" w:rsidRDefault="00E4687C" w:rsidP="00F26B9E">
            <w:pPr>
              <w:spacing w:after="0" w:line="240" w:lineRule="auto"/>
              <w:rPr>
                <w:rFonts w:eastAsia="Calibri"/>
                <w:noProof/>
                <w:lang w:val="es-DO"/>
              </w:rPr>
            </w:pPr>
            <w:r w:rsidRPr="005C133F">
              <w:rPr>
                <w:rFonts w:eastAsia="Calibri"/>
                <w:noProof/>
                <w:lang w:val="es-DO"/>
              </w:rPr>
              <w:t>RI.4. Mejorado el alcance  de la protección social y los beneficios del sistema de aseguramiento de los riesgos laborales del SDSS</w:t>
            </w:r>
          </w:p>
        </w:tc>
        <w:tc>
          <w:tcPr>
            <w:tcW w:w="0" w:type="auto"/>
            <w:tcBorders>
              <w:top w:val="nil"/>
              <w:left w:val="nil"/>
              <w:bottom w:val="single" w:sz="4" w:space="0" w:color="808080"/>
              <w:right w:val="single" w:sz="4" w:space="0" w:color="808080"/>
            </w:tcBorders>
            <w:vAlign w:val="center"/>
            <w:hideMark/>
          </w:tcPr>
          <w:p w14:paraId="06C6796D"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RI.4.1 Porcentaje de casos reportados de personas con condición de contingencia que fueron reconocidos</w:t>
            </w:r>
          </w:p>
        </w:tc>
        <w:tc>
          <w:tcPr>
            <w:tcW w:w="0" w:type="auto"/>
            <w:tcBorders>
              <w:top w:val="nil"/>
              <w:left w:val="nil"/>
              <w:bottom w:val="single" w:sz="4" w:space="0" w:color="808080"/>
              <w:right w:val="single" w:sz="4" w:space="0" w:color="808080"/>
            </w:tcBorders>
            <w:vAlign w:val="center"/>
            <w:hideMark/>
          </w:tcPr>
          <w:p w14:paraId="072CF7A2" w14:textId="77777777" w:rsidR="00E4687C" w:rsidRPr="005C133F" w:rsidRDefault="00E4687C" w:rsidP="00F26B9E">
            <w:pPr>
              <w:spacing w:after="0" w:line="240" w:lineRule="auto"/>
              <w:rPr>
                <w:rFonts w:eastAsia="Calibri"/>
                <w:noProof/>
                <w:lang w:val="es-DO"/>
              </w:rPr>
            </w:pPr>
            <w:r w:rsidRPr="005C133F">
              <w:rPr>
                <w:rFonts w:eastAsia="Calibri"/>
                <w:noProof/>
                <w:lang w:val="es-DO"/>
              </w:rPr>
              <w:t>Actores del SDSS reciben propuestas normativas para mejorar y ampliar los beneficios del Seguro de Riesgos Laborales (SRL)</w:t>
            </w:r>
          </w:p>
        </w:tc>
      </w:tr>
    </w:tbl>
    <w:p w14:paraId="510D7972" w14:textId="77777777" w:rsidR="00D65678" w:rsidRPr="005C133F" w:rsidRDefault="00D65678" w:rsidP="005C133F">
      <w:pPr>
        <w:spacing w:after="0" w:line="360" w:lineRule="auto"/>
        <w:rPr>
          <w:rFonts w:eastAsia="Calibri"/>
          <w:b/>
          <w:bCs/>
          <w:noProof/>
          <w:lang w:val="es-DO"/>
        </w:rPr>
      </w:pPr>
    </w:p>
    <w:tbl>
      <w:tblPr>
        <w:tblW w:w="0" w:type="auto"/>
        <w:jc w:val="center"/>
        <w:tblCellMar>
          <w:left w:w="70" w:type="dxa"/>
          <w:right w:w="70" w:type="dxa"/>
        </w:tblCellMar>
        <w:tblLook w:val="04A0" w:firstRow="1" w:lastRow="0" w:firstColumn="1" w:lastColumn="0" w:noHBand="0" w:noVBand="1"/>
      </w:tblPr>
      <w:tblGrid>
        <w:gridCol w:w="2762"/>
        <w:gridCol w:w="2581"/>
        <w:gridCol w:w="2701"/>
        <w:gridCol w:w="2456"/>
        <w:gridCol w:w="2455"/>
      </w:tblGrid>
      <w:tr w:rsidR="005C133F" w:rsidRPr="00CD02F5" w14:paraId="259BB4E8" w14:textId="77777777" w:rsidTr="00E05B71">
        <w:trPr>
          <w:trHeight w:val="173"/>
          <w:tblHeader/>
          <w:jc w:val="center"/>
        </w:trPr>
        <w:tc>
          <w:tcPr>
            <w:tcW w:w="0" w:type="auto"/>
            <w:gridSpan w:val="5"/>
            <w:tcBorders>
              <w:top w:val="single" w:sz="4" w:space="0" w:color="808080"/>
              <w:left w:val="nil"/>
              <w:bottom w:val="single" w:sz="4" w:space="0" w:color="808080"/>
              <w:right w:val="single" w:sz="4" w:space="0" w:color="808080"/>
            </w:tcBorders>
            <w:shd w:val="clear" w:color="auto" w:fill="011C50"/>
            <w:vAlign w:val="center"/>
            <w:hideMark/>
          </w:tcPr>
          <w:p w14:paraId="092683D2" w14:textId="532A83B2" w:rsidR="00E4687C" w:rsidRPr="005C133F" w:rsidRDefault="00E4687C" w:rsidP="00F26B9E">
            <w:pPr>
              <w:spacing w:after="0" w:line="240" w:lineRule="auto"/>
              <w:jc w:val="center"/>
              <w:rPr>
                <w:rFonts w:eastAsia="Calibri"/>
                <w:b/>
                <w:bCs/>
                <w:noProof/>
                <w:color w:val="FFFFFF" w:themeColor="background1"/>
                <w:lang w:val="es-DO"/>
              </w:rPr>
            </w:pPr>
            <w:r w:rsidRPr="005C133F">
              <w:rPr>
                <w:rFonts w:eastAsia="Calibri"/>
                <w:b/>
                <w:bCs/>
                <w:noProof/>
                <w:color w:val="FFFFFF" w:themeColor="background1"/>
                <w:lang w:val="es-DO"/>
              </w:rPr>
              <w:lastRenderedPageBreak/>
              <w:t>Eje 2. Eficientizar el gasto del SFS y SRL</w:t>
            </w:r>
          </w:p>
        </w:tc>
      </w:tr>
      <w:tr w:rsidR="005C133F" w:rsidRPr="005C133F" w14:paraId="30AE1D76" w14:textId="77777777" w:rsidTr="00E05B71">
        <w:trPr>
          <w:trHeight w:val="452"/>
          <w:tblHeader/>
          <w:jc w:val="center"/>
        </w:trPr>
        <w:tc>
          <w:tcPr>
            <w:tcW w:w="0" w:type="auto"/>
            <w:tcBorders>
              <w:top w:val="nil"/>
              <w:left w:val="single" w:sz="4" w:space="0" w:color="808080"/>
              <w:bottom w:val="single" w:sz="4" w:space="0" w:color="808080"/>
              <w:right w:val="single" w:sz="4" w:space="0" w:color="808080"/>
            </w:tcBorders>
            <w:shd w:val="clear" w:color="auto" w:fill="011C50"/>
            <w:vAlign w:val="center"/>
          </w:tcPr>
          <w:p w14:paraId="61FB2773" w14:textId="41900960" w:rsidR="0068601E" w:rsidRPr="005C133F" w:rsidRDefault="0068601E" w:rsidP="00F26B9E">
            <w:pPr>
              <w:spacing w:after="0" w:line="240" w:lineRule="auto"/>
              <w:rPr>
                <w:rFonts w:eastAsia="Calibri"/>
                <w:noProof/>
                <w:color w:val="FFFFFF" w:themeColor="background1"/>
                <w:lang w:val="es-DO"/>
              </w:rPr>
            </w:pPr>
            <w:r w:rsidRPr="005C133F">
              <w:rPr>
                <w:rFonts w:eastAsia="Times New Roman"/>
                <w:b/>
                <w:bCs/>
                <w:color w:val="FFFFFF" w:themeColor="background1"/>
                <w:spacing w:val="0"/>
                <w:lang w:val="es-DO" w:eastAsia="es-DO"/>
              </w:rPr>
              <w:t>Resultado estratégico</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7B25616F" w14:textId="2BA1D1FB" w:rsidR="0068601E" w:rsidRPr="005C133F" w:rsidRDefault="0068601E" w:rsidP="00F26B9E">
            <w:pPr>
              <w:spacing w:after="0" w:line="240" w:lineRule="auto"/>
              <w:rPr>
                <w:rFonts w:eastAsia="Calibri"/>
                <w:noProof/>
                <w:color w:val="FFFFFF" w:themeColor="background1"/>
                <w:lang w:val="es-DO"/>
              </w:rPr>
            </w:pPr>
            <w:r w:rsidRPr="005C133F">
              <w:rPr>
                <w:rFonts w:eastAsia="Times New Roman"/>
                <w:b/>
                <w:bCs/>
                <w:color w:val="FFFFFF" w:themeColor="background1"/>
                <w:spacing w:val="0"/>
                <w:lang w:val="es-DO" w:eastAsia="es-DO"/>
              </w:rPr>
              <w:t>Indicador</w:t>
            </w:r>
          </w:p>
        </w:tc>
        <w:tc>
          <w:tcPr>
            <w:tcW w:w="2701" w:type="dxa"/>
            <w:tcBorders>
              <w:top w:val="nil"/>
              <w:left w:val="single" w:sz="4" w:space="0" w:color="808080"/>
              <w:bottom w:val="single" w:sz="4" w:space="0" w:color="808080"/>
              <w:right w:val="single" w:sz="4" w:space="0" w:color="808080"/>
            </w:tcBorders>
            <w:shd w:val="clear" w:color="auto" w:fill="011C50"/>
            <w:vAlign w:val="center"/>
          </w:tcPr>
          <w:p w14:paraId="6417C66C" w14:textId="63064D5B" w:rsidR="0068601E" w:rsidRPr="005C133F" w:rsidRDefault="0068601E" w:rsidP="00F26B9E">
            <w:pPr>
              <w:spacing w:after="0" w:line="240" w:lineRule="auto"/>
              <w:rPr>
                <w:rFonts w:eastAsia="Calibri"/>
                <w:noProof/>
                <w:color w:val="FFFFFF" w:themeColor="background1"/>
                <w:lang w:val="es-DO"/>
              </w:rPr>
            </w:pPr>
            <w:r w:rsidRPr="005C133F">
              <w:rPr>
                <w:rFonts w:eastAsia="Times New Roman"/>
                <w:b/>
                <w:bCs/>
                <w:color w:val="FFFFFF" w:themeColor="background1"/>
                <w:spacing w:val="0"/>
                <w:lang w:val="es-DO" w:eastAsia="es-DO"/>
              </w:rPr>
              <w:t>Resultado intermedio</w:t>
            </w:r>
          </w:p>
        </w:tc>
        <w:tc>
          <w:tcPr>
            <w:tcW w:w="2456" w:type="dxa"/>
            <w:tcBorders>
              <w:top w:val="nil"/>
              <w:left w:val="single" w:sz="4" w:space="0" w:color="808080"/>
              <w:bottom w:val="single" w:sz="4" w:space="0" w:color="808080"/>
              <w:right w:val="single" w:sz="4" w:space="0" w:color="808080"/>
            </w:tcBorders>
            <w:shd w:val="clear" w:color="auto" w:fill="011C50"/>
            <w:vAlign w:val="center"/>
          </w:tcPr>
          <w:p w14:paraId="7F241B09" w14:textId="51A510A6" w:rsidR="0068601E" w:rsidRPr="005C133F" w:rsidRDefault="0068601E" w:rsidP="00F26B9E">
            <w:pPr>
              <w:spacing w:after="0" w:line="240" w:lineRule="auto"/>
              <w:rPr>
                <w:rFonts w:eastAsia="Calibri"/>
                <w:noProof/>
                <w:color w:val="FFFFFF" w:themeColor="background1"/>
                <w:lang w:val="es-DO"/>
              </w:rPr>
            </w:pPr>
            <w:r w:rsidRPr="005C133F">
              <w:rPr>
                <w:rFonts w:eastAsia="Times New Roman"/>
                <w:b/>
                <w:bCs/>
                <w:color w:val="FFFFFF" w:themeColor="background1"/>
                <w:spacing w:val="0"/>
                <w:lang w:val="es-DO" w:eastAsia="es-DO"/>
              </w:rPr>
              <w:t>Indicador</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272E2780" w14:textId="3C5CE847" w:rsidR="0068601E" w:rsidRPr="005C133F" w:rsidRDefault="0068601E" w:rsidP="00F26B9E">
            <w:pPr>
              <w:spacing w:after="0" w:line="240" w:lineRule="auto"/>
              <w:rPr>
                <w:rFonts w:eastAsia="Calibri"/>
                <w:noProof/>
                <w:color w:val="FFFFFF" w:themeColor="background1"/>
                <w:lang w:val="es-DO"/>
              </w:rPr>
            </w:pPr>
            <w:r w:rsidRPr="005C133F">
              <w:rPr>
                <w:rFonts w:eastAsia="Times New Roman"/>
                <w:b/>
                <w:bCs/>
                <w:color w:val="FFFFFF" w:themeColor="background1"/>
                <w:spacing w:val="0"/>
                <w:lang w:val="es-DO" w:eastAsia="es-DO"/>
              </w:rPr>
              <w:t>Productos estratégicos</w:t>
            </w:r>
          </w:p>
        </w:tc>
      </w:tr>
      <w:tr w:rsidR="004921FF" w:rsidRPr="00CD02F5" w14:paraId="3A923CE7" w14:textId="77777777" w:rsidTr="00E05B71">
        <w:trPr>
          <w:trHeight w:val="1095"/>
          <w:jc w:val="center"/>
        </w:trPr>
        <w:tc>
          <w:tcPr>
            <w:tcW w:w="0" w:type="auto"/>
            <w:vMerge w:val="restart"/>
            <w:tcBorders>
              <w:top w:val="nil"/>
              <w:left w:val="single" w:sz="4" w:space="0" w:color="808080"/>
              <w:bottom w:val="single" w:sz="4" w:space="0" w:color="808080"/>
              <w:right w:val="single" w:sz="4" w:space="0" w:color="808080"/>
            </w:tcBorders>
            <w:vAlign w:val="center"/>
            <w:hideMark/>
          </w:tcPr>
          <w:p w14:paraId="5CECC56E" w14:textId="7B1075DD"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 Aumentada la protección de la población en el aseguramiento en salud y riesgos laborales, garantizando equidad y calidad  en el acceso. </w:t>
            </w:r>
          </w:p>
        </w:tc>
        <w:tc>
          <w:tcPr>
            <w:tcW w:w="0" w:type="auto"/>
            <w:vMerge w:val="restart"/>
            <w:tcBorders>
              <w:top w:val="nil"/>
              <w:left w:val="single" w:sz="4" w:space="0" w:color="808080"/>
              <w:bottom w:val="single" w:sz="4" w:space="0" w:color="808080"/>
              <w:right w:val="single" w:sz="4" w:space="0" w:color="808080"/>
            </w:tcBorders>
            <w:vAlign w:val="center"/>
            <w:hideMark/>
          </w:tcPr>
          <w:p w14:paraId="025EF8A3"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RE.1.1 Porcentaje de afiliación al Seguro Familiar de Salud (SFS) desagregado por régimen de financiamiento </w:t>
            </w:r>
            <w:r w:rsidRPr="005C133F">
              <w:rPr>
                <w:rFonts w:eastAsia="Calibri"/>
                <w:noProof/>
                <w:lang w:val="es-DO"/>
              </w:rPr>
              <w:br/>
            </w:r>
            <w:r w:rsidRPr="005C133F">
              <w:rPr>
                <w:rFonts w:eastAsia="Calibri"/>
                <w:noProof/>
                <w:lang w:val="es-DO"/>
              </w:rPr>
              <w:br/>
            </w:r>
            <w:r w:rsidRPr="005C133F">
              <w:rPr>
                <w:rFonts w:eastAsia="Calibri"/>
                <w:noProof/>
                <w:lang w:val="es-DO"/>
              </w:rPr>
              <w:br/>
              <w:t xml:space="preserve">RE.1.2. Porcentaje de afiliación en el  Seguro de Riesgos Laborales (SRL)  </w:t>
            </w:r>
          </w:p>
        </w:tc>
        <w:tc>
          <w:tcPr>
            <w:tcW w:w="2701" w:type="dxa"/>
            <w:vMerge w:val="restart"/>
            <w:tcBorders>
              <w:top w:val="nil"/>
              <w:left w:val="single" w:sz="4" w:space="0" w:color="808080"/>
              <w:bottom w:val="single" w:sz="4" w:space="0" w:color="808080"/>
              <w:right w:val="single" w:sz="4" w:space="0" w:color="808080"/>
            </w:tcBorders>
            <w:vAlign w:val="center"/>
            <w:hideMark/>
          </w:tcPr>
          <w:p w14:paraId="1075395E" w14:textId="7B1422FE" w:rsidR="00E4687C" w:rsidRPr="005C133F" w:rsidRDefault="00E4687C" w:rsidP="00F26B9E">
            <w:pPr>
              <w:spacing w:after="0" w:line="240" w:lineRule="auto"/>
              <w:rPr>
                <w:rFonts w:eastAsia="Calibri"/>
                <w:noProof/>
                <w:lang w:val="es-DO"/>
              </w:rPr>
            </w:pPr>
            <w:r w:rsidRPr="005C133F">
              <w:rPr>
                <w:rFonts w:eastAsia="Calibri"/>
                <w:noProof/>
                <w:lang w:val="es-DO"/>
              </w:rPr>
              <w:t>RI.5 Aumentada la eficiencia en la supervisión y regulación del uso de los recursos financieros de aseguramiento en salud a través de mecanismos robustos</w:t>
            </w:r>
          </w:p>
        </w:tc>
        <w:tc>
          <w:tcPr>
            <w:tcW w:w="2456" w:type="dxa"/>
            <w:vMerge w:val="restart"/>
            <w:tcBorders>
              <w:top w:val="nil"/>
              <w:left w:val="single" w:sz="4" w:space="0" w:color="808080"/>
              <w:bottom w:val="single" w:sz="4" w:space="0" w:color="808080"/>
              <w:right w:val="single" w:sz="4" w:space="0" w:color="808080"/>
            </w:tcBorders>
            <w:vAlign w:val="center"/>
            <w:hideMark/>
          </w:tcPr>
          <w:p w14:paraId="7C268ECF"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RI.5.1 Porcentaje  de Siniestralidad</w:t>
            </w:r>
          </w:p>
        </w:tc>
        <w:tc>
          <w:tcPr>
            <w:tcW w:w="0" w:type="auto"/>
            <w:vMerge w:val="restart"/>
            <w:tcBorders>
              <w:top w:val="nil"/>
              <w:left w:val="single" w:sz="4" w:space="0" w:color="808080"/>
              <w:bottom w:val="single" w:sz="4" w:space="0" w:color="808080"/>
              <w:right w:val="single" w:sz="4" w:space="0" w:color="808080"/>
            </w:tcBorders>
            <w:vAlign w:val="center"/>
            <w:hideMark/>
          </w:tcPr>
          <w:p w14:paraId="6E418CDD"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ARS e IDOPPRIL monitoreadas respecto uso de los recursos financieros para aseguramiento en salud </w:t>
            </w:r>
          </w:p>
        </w:tc>
      </w:tr>
      <w:tr w:rsidR="004921FF" w:rsidRPr="00CD02F5" w14:paraId="58F4FC75" w14:textId="77777777" w:rsidTr="00E05B71">
        <w:trPr>
          <w:trHeight w:val="458"/>
          <w:jc w:val="center"/>
        </w:trPr>
        <w:tc>
          <w:tcPr>
            <w:tcW w:w="0" w:type="auto"/>
            <w:vMerge/>
            <w:tcBorders>
              <w:top w:val="nil"/>
              <w:left w:val="single" w:sz="4" w:space="0" w:color="808080"/>
              <w:bottom w:val="single" w:sz="4" w:space="0" w:color="808080"/>
              <w:right w:val="single" w:sz="4" w:space="0" w:color="808080"/>
            </w:tcBorders>
            <w:vAlign w:val="center"/>
            <w:hideMark/>
          </w:tcPr>
          <w:p w14:paraId="17373F0A"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3D7A234C" w14:textId="77777777" w:rsidR="00E4687C" w:rsidRPr="005C133F" w:rsidRDefault="00E4687C" w:rsidP="00F26B9E">
            <w:pPr>
              <w:spacing w:after="0" w:line="240" w:lineRule="auto"/>
              <w:rPr>
                <w:rFonts w:eastAsia="Calibri"/>
                <w:noProof/>
                <w:lang w:val="es-DO"/>
              </w:rPr>
            </w:pPr>
          </w:p>
        </w:tc>
        <w:tc>
          <w:tcPr>
            <w:tcW w:w="2701" w:type="dxa"/>
            <w:vMerge/>
            <w:tcBorders>
              <w:top w:val="nil"/>
              <w:left w:val="single" w:sz="4" w:space="0" w:color="808080"/>
              <w:bottom w:val="single" w:sz="4" w:space="0" w:color="808080"/>
              <w:right w:val="single" w:sz="4" w:space="0" w:color="808080"/>
            </w:tcBorders>
            <w:vAlign w:val="center"/>
            <w:hideMark/>
          </w:tcPr>
          <w:p w14:paraId="11A8EB16" w14:textId="77777777" w:rsidR="00E4687C" w:rsidRPr="005C133F" w:rsidRDefault="00E4687C" w:rsidP="00F26B9E">
            <w:pPr>
              <w:spacing w:after="0" w:line="240" w:lineRule="auto"/>
              <w:rPr>
                <w:rFonts w:eastAsia="Calibri"/>
                <w:noProof/>
                <w:lang w:val="es-DO"/>
              </w:rPr>
            </w:pPr>
          </w:p>
        </w:tc>
        <w:tc>
          <w:tcPr>
            <w:tcW w:w="2456" w:type="dxa"/>
            <w:vMerge/>
            <w:tcBorders>
              <w:top w:val="nil"/>
              <w:left w:val="single" w:sz="4" w:space="0" w:color="808080"/>
              <w:bottom w:val="single" w:sz="4" w:space="0" w:color="808080"/>
              <w:right w:val="single" w:sz="4" w:space="0" w:color="808080"/>
            </w:tcBorders>
            <w:vAlign w:val="center"/>
            <w:hideMark/>
          </w:tcPr>
          <w:p w14:paraId="184F619E"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3860ADD6"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6FB30C9F" w14:textId="77777777" w:rsidTr="00E05B71">
        <w:trPr>
          <w:trHeight w:val="810"/>
          <w:jc w:val="center"/>
        </w:trPr>
        <w:tc>
          <w:tcPr>
            <w:tcW w:w="0" w:type="auto"/>
            <w:vMerge/>
            <w:tcBorders>
              <w:top w:val="nil"/>
              <w:left w:val="single" w:sz="4" w:space="0" w:color="808080"/>
              <w:bottom w:val="single" w:sz="4" w:space="0" w:color="808080"/>
              <w:right w:val="single" w:sz="4" w:space="0" w:color="808080"/>
            </w:tcBorders>
            <w:vAlign w:val="center"/>
            <w:hideMark/>
          </w:tcPr>
          <w:p w14:paraId="49860C50"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369343E9" w14:textId="77777777" w:rsidR="00E4687C" w:rsidRPr="005C133F" w:rsidRDefault="00E4687C" w:rsidP="00F26B9E">
            <w:pPr>
              <w:spacing w:after="0" w:line="240" w:lineRule="auto"/>
              <w:rPr>
                <w:rFonts w:eastAsia="Calibri"/>
                <w:noProof/>
                <w:lang w:val="es-DO"/>
              </w:rPr>
            </w:pPr>
          </w:p>
        </w:tc>
        <w:tc>
          <w:tcPr>
            <w:tcW w:w="2701" w:type="dxa"/>
            <w:vMerge/>
            <w:tcBorders>
              <w:top w:val="nil"/>
              <w:left w:val="single" w:sz="4" w:space="0" w:color="808080"/>
              <w:bottom w:val="single" w:sz="4" w:space="0" w:color="808080"/>
              <w:right w:val="single" w:sz="4" w:space="0" w:color="808080"/>
            </w:tcBorders>
            <w:vAlign w:val="center"/>
            <w:hideMark/>
          </w:tcPr>
          <w:p w14:paraId="4AA11C3C" w14:textId="77777777" w:rsidR="00E4687C" w:rsidRPr="005C133F" w:rsidRDefault="00E4687C" w:rsidP="00F26B9E">
            <w:pPr>
              <w:spacing w:after="0" w:line="240" w:lineRule="auto"/>
              <w:rPr>
                <w:rFonts w:eastAsia="Calibri"/>
                <w:noProof/>
                <w:lang w:val="es-DO"/>
              </w:rPr>
            </w:pPr>
          </w:p>
        </w:tc>
        <w:tc>
          <w:tcPr>
            <w:tcW w:w="2456" w:type="dxa"/>
            <w:vMerge w:val="restart"/>
            <w:tcBorders>
              <w:top w:val="nil"/>
              <w:left w:val="single" w:sz="4" w:space="0" w:color="808080"/>
              <w:bottom w:val="single" w:sz="4" w:space="0" w:color="808080"/>
              <w:right w:val="single" w:sz="4" w:space="0" w:color="808080"/>
            </w:tcBorders>
            <w:vAlign w:val="center"/>
            <w:hideMark/>
          </w:tcPr>
          <w:p w14:paraId="21C4F46D"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RI.5.2 Índice de Inversiones de las Reservas Técnicas (RT)</w:t>
            </w:r>
          </w:p>
        </w:tc>
        <w:tc>
          <w:tcPr>
            <w:tcW w:w="0" w:type="auto"/>
            <w:vMerge/>
            <w:tcBorders>
              <w:top w:val="nil"/>
              <w:left w:val="single" w:sz="4" w:space="0" w:color="808080"/>
              <w:bottom w:val="single" w:sz="4" w:space="0" w:color="808080"/>
              <w:right w:val="single" w:sz="4" w:space="0" w:color="808080"/>
            </w:tcBorders>
            <w:vAlign w:val="center"/>
            <w:hideMark/>
          </w:tcPr>
          <w:p w14:paraId="1BE1D024"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50F5ED72" w14:textId="77777777" w:rsidTr="00E05B71">
        <w:trPr>
          <w:trHeight w:val="458"/>
          <w:jc w:val="center"/>
        </w:trPr>
        <w:tc>
          <w:tcPr>
            <w:tcW w:w="0" w:type="auto"/>
            <w:vMerge/>
            <w:tcBorders>
              <w:top w:val="nil"/>
              <w:left w:val="single" w:sz="4" w:space="0" w:color="808080"/>
              <w:bottom w:val="single" w:sz="4" w:space="0" w:color="808080"/>
              <w:right w:val="single" w:sz="4" w:space="0" w:color="808080"/>
            </w:tcBorders>
            <w:vAlign w:val="center"/>
            <w:hideMark/>
          </w:tcPr>
          <w:p w14:paraId="42F813DE"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421EF8E6" w14:textId="77777777" w:rsidR="00E4687C" w:rsidRPr="005C133F" w:rsidRDefault="00E4687C" w:rsidP="00F26B9E">
            <w:pPr>
              <w:spacing w:after="0" w:line="240" w:lineRule="auto"/>
              <w:rPr>
                <w:rFonts w:eastAsia="Calibri"/>
                <w:noProof/>
                <w:lang w:val="es-DO"/>
              </w:rPr>
            </w:pPr>
          </w:p>
        </w:tc>
        <w:tc>
          <w:tcPr>
            <w:tcW w:w="2701" w:type="dxa"/>
            <w:vMerge/>
            <w:tcBorders>
              <w:top w:val="nil"/>
              <w:left w:val="single" w:sz="4" w:space="0" w:color="808080"/>
              <w:bottom w:val="single" w:sz="4" w:space="0" w:color="808080"/>
              <w:right w:val="single" w:sz="4" w:space="0" w:color="808080"/>
            </w:tcBorders>
            <w:vAlign w:val="center"/>
            <w:hideMark/>
          </w:tcPr>
          <w:p w14:paraId="393F73CF" w14:textId="77777777" w:rsidR="00E4687C" w:rsidRPr="005C133F" w:rsidRDefault="00E4687C" w:rsidP="00F26B9E">
            <w:pPr>
              <w:spacing w:after="0" w:line="240" w:lineRule="auto"/>
              <w:rPr>
                <w:rFonts w:eastAsia="Calibri"/>
                <w:noProof/>
                <w:lang w:val="es-DO"/>
              </w:rPr>
            </w:pPr>
          </w:p>
        </w:tc>
        <w:tc>
          <w:tcPr>
            <w:tcW w:w="2456" w:type="dxa"/>
            <w:vMerge/>
            <w:tcBorders>
              <w:top w:val="nil"/>
              <w:left w:val="single" w:sz="4" w:space="0" w:color="808080"/>
              <w:bottom w:val="single" w:sz="4" w:space="0" w:color="808080"/>
              <w:right w:val="single" w:sz="4" w:space="0" w:color="808080"/>
            </w:tcBorders>
            <w:vAlign w:val="center"/>
            <w:hideMark/>
          </w:tcPr>
          <w:p w14:paraId="524AA763"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15045CFB"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7669250C" w14:textId="77777777" w:rsidTr="00E05B71">
        <w:trPr>
          <w:trHeight w:val="1238"/>
          <w:jc w:val="center"/>
        </w:trPr>
        <w:tc>
          <w:tcPr>
            <w:tcW w:w="0" w:type="auto"/>
            <w:vMerge/>
            <w:tcBorders>
              <w:top w:val="nil"/>
              <w:left w:val="single" w:sz="4" w:space="0" w:color="808080"/>
              <w:bottom w:val="single" w:sz="4" w:space="0" w:color="808080"/>
              <w:right w:val="single" w:sz="4" w:space="0" w:color="808080"/>
            </w:tcBorders>
            <w:vAlign w:val="center"/>
            <w:hideMark/>
          </w:tcPr>
          <w:p w14:paraId="05A30782"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5A63B894" w14:textId="77777777" w:rsidR="00E4687C" w:rsidRPr="005C133F" w:rsidRDefault="00E4687C" w:rsidP="00F26B9E">
            <w:pPr>
              <w:spacing w:after="0" w:line="240" w:lineRule="auto"/>
              <w:rPr>
                <w:rFonts w:eastAsia="Calibri"/>
                <w:noProof/>
                <w:lang w:val="es-DO"/>
              </w:rPr>
            </w:pPr>
          </w:p>
        </w:tc>
        <w:tc>
          <w:tcPr>
            <w:tcW w:w="2701" w:type="dxa"/>
            <w:vMerge/>
            <w:tcBorders>
              <w:top w:val="nil"/>
              <w:left w:val="single" w:sz="4" w:space="0" w:color="808080"/>
              <w:bottom w:val="single" w:sz="4" w:space="0" w:color="808080"/>
              <w:right w:val="single" w:sz="4" w:space="0" w:color="808080"/>
            </w:tcBorders>
            <w:vAlign w:val="center"/>
            <w:hideMark/>
          </w:tcPr>
          <w:p w14:paraId="3EACE201" w14:textId="77777777" w:rsidR="00E4687C" w:rsidRPr="005C133F" w:rsidRDefault="00E4687C" w:rsidP="00F26B9E">
            <w:pPr>
              <w:spacing w:after="0" w:line="240" w:lineRule="auto"/>
              <w:rPr>
                <w:rFonts w:eastAsia="Calibri"/>
                <w:noProof/>
                <w:lang w:val="es-DO"/>
              </w:rPr>
            </w:pPr>
          </w:p>
        </w:tc>
        <w:tc>
          <w:tcPr>
            <w:tcW w:w="2456" w:type="dxa"/>
            <w:tcBorders>
              <w:top w:val="nil"/>
              <w:left w:val="nil"/>
              <w:bottom w:val="single" w:sz="4" w:space="0" w:color="808080"/>
              <w:right w:val="single" w:sz="4" w:space="0" w:color="808080"/>
            </w:tcBorders>
            <w:vAlign w:val="center"/>
            <w:hideMark/>
          </w:tcPr>
          <w:p w14:paraId="09670AD8"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RI.5.3 Porcentaje de Gastos Generales y Administrativos (GGA)</w:t>
            </w:r>
          </w:p>
        </w:tc>
        <w:tc>
          <w:tcPr>
            <w:tcW w:w="0" w:type="auto"/>
            <w:vMerge/>
            <w:tcBorders>
              <w:top w:val="nil"/>
              <w:left w:val="single" w:sz="4" w:space="0" w:color="808080"/>
              <w:bottom w:val="single" w:sz="4" w:space="0" w:color="808080"/>
              <w:right w:val="single" w:sz="4" w:space="0" w:color="808080"/>
            </w:tcBorders>
            <w:vAlign w:val="center"/>
            <w:hideMark/>
          </w:tcPr>
          <w:p w14:paraId="5117C913"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7D5AA5B7" w14:textId="77777777" w:rsidTr="00E05B71">
        <w:trPr>
          <w:trHeight w:val="885"/>
          <w:jc w:val="center"/>
        </w:trPr>
        <w:tc>
          <w:tcPr>
            <w:tcW w:w="0" w:type="auto"/>
            <w:vMerge/>
            <w:tcBorders>
              <w:top w:val="nil"/>
              <w:left w:val="single" w:sz="4" w:space="0" w:color="808080"/>
              <w:bottom w:val="single" w:sz="4" w:space="0" w:color="808080"/>
              <w:right w:val="single" w:sz="4" w:space="0" w:color="808080"/>
            </w:tcBorders>
            <w:vAlign w:val="center"/>
            <w:hideMark/>
          </w:tcPr>
          <w:p w14:paraId="3ABF2882" w14:textId="77777777" w:rsidR="00E4687C" w:rsidRPr="005C133F" w:rsidRDefault="00E4687C"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5281D379" w14:textId="77777777" w:rsidR="00E4687C" w:rsidRPr="005C133F" w:rsidRDefault="00E4687C" w:rsidP="00F26B9E">
            <w:pPr>
              <w:spacing w:after="0" w:line="240" w:lineRule="auto"/>
              <w:rPr>
                <w:rFonts w:eastAsia="Calibri"/>
                <w:noProof/>
                <w:lang w:val="es-DO"/>
              </w:rPr>
            </w:pPr>
          </w:p>
        </w:tc>
        <w:tc>
          <w:tcPr>
            <w:tcW w:w="2701" w:type="dxa"/>
            <w:vMerge/>
            <w:tcBorders>
              <w:top w:val="nil"/>
              <w:left w:val="single" w:sz="4" w:space="0" w:color="808080"/>
              <w:bottom w:val="single" w:sz="4" w:space="0" w:color="808080"/>
              <w:right w:val="single" w:sz="4" w:space="0" w:color="808080"/>
            </w:tcBorders>
            <w:vAlign w:val="center"/>
            <w:hideMark/>
          </w:tcPr>
          <w:p w14:paraId="599AB766" w14:textId="77777777" w:rsidR="00E4687C" w:rsidRPr="005C133F" w:rsidRDefault="00E4687C" w:rsidP="00F26B9E">
            <w:pPr>
              <w:spacing w:after="0" w:line="240" w:lineRule="auto"/>
              <w:rPr>
                <w:rFonts w:eastAsia="Calibri"/>
                <w:noProof/>
                <w:lang w:val="es-DO"/>
              </w:rPr>
            </w:pPr>
          </w:p>
        </w:tc>
        <w:tc>
          <w:tcPr>
            <w:tcW w:w="2456" w:type="dxa"/>
            <w:vMerge w:val="restart"/>
            <w:tcBorders>
              <w:top w:val="nil"/>
              <w:left w:val="single" w:sz="4" w:space="0" w:color="808080"/>
              <w:bottom w:val="single" w:sz="4" w:space="0" w:color="808080"/>
              <w:right w:val="single" w:sz="4" w:space="0" w:color="808080"/>
            </w:tcBorders>
            <w:vAlign w:val="center"/>
            <w:hideMark/>
          </w:tcPr>
          <w:p w14:paraId="1F7ABA38"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RI.5.4 Índice de Capital Mínimo Requerido (CMR)</w:t>
            </w:r>
          </w:p>
        </w:tc>
        <w:tc>
          <w:tcPr>
            <w:tcW w:w="0" w:type="auto"/>
            <w:vMerge/>
            <w:tcBorders>
              <w:top w:val="nil"/>
              <w:left w:val="single" w:sz="4" w:space="0" w:color="808080"/>
              <w:bottom w:val="single" w:sz="4" w:space="0" w:color="808080"/>
              <w:right w:val="single" w:sz="4" w:space="0" w:color="808080"/>
            </w:tcBorders>
            <w:vAlign w:val="center"/>
            <w:hideMark/>
          </w:tcPr>
          <w:p w14:paraId="4246BAFA"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46FE1BFD" w14:textId="77777777" w:rsidTr="00E05B71">
        <w:trPr>
          <w:trHeight w:val="939"/>
          <w:jc w:val="center"/>
        </w:trPr>
        <w:tc>
          <w:tcPr>
            <w:tcW w:w="0" w:type="auto"/>
            <w:vMerge/>
            <w:tcBorders>
              <w:top w:val="nil"/>
              <w:left w:val="single" w:sz="4" w:space="0" w:color="808080"/>
              <w:bottom w:val="single" w:sz="4" w:space="0" w:color="808080"/>
              <w:right w:val="single" w:sz="4" w:space="0" w:color="808080"/>
            </w:tcBorders>
            <w:vAlign w:val="center"/>
            <w:hideMark/>
          </w:tcPr>
          <w:p w14:paraId="19945B23" w14:textId="77777777" w:rsidR="00E4687C" w:rsidRPr="005C133F" w:rsidRDefault="00E4687C"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6B7918B7" w14:textId="77777777" w:rsidR="00E4687C" w:rsidRPr="005C133F" w:rsidRDefault="00E4687C" w:rsidP="00F26B9E">
            <w:pPr>
              <w:spacing w:after="0" w:line="240" w:lineRule="auto"/>
              <w:rPr>
                <w:rFonts w:eastAsia="Times New Roman"/>
                <w:i/>
                <w:iCs/>
                <w:spacing w:val="0"/>
                <w:lang w:val="es-DO" w:eastAsia="es-DO"/>
              </w:rPr>
            </w:pPr>
          </w:p>
        </w:tc>
        <w:tc>
          <w:tcPr>
            <w:tcW w:w="2701" w:type="dxa"/>
            <w:vMerge/>
            <w:tcBorders>
              <w:top w:val="nil"/>
              <w:left w:val="single" w:sz="4" w:space="0" w:color="808080"/>
              <w:bottom w:val="single" w:sz="4" w:space="0" w:color="808080"/>
              <w:right w:val="single" w:sz="4" w:space="0" w:color="808080"/>
            </w:tcBorders>
            <w:vAlign w:val="center"/>
            <w:hideMark/>
          </w:tcPr>
          <w:p w14:paraId="1FB61DDE" w14:textId="77777777" w:rsidR="00E4687C" w:rsidRPr="005C133F" w:rsidRDefault="00E4687C" w:rsidP="00F26B9E">
            <w:pPr>
              <w:spacing w:after="0" w:line="240" w:lineRule="auto"/>
              <w:rPr>
                <w:rFonts w:eastAsia="Times New Roman"/>
                <w:i/>
                <w:iCs/>
                <w:spacing w:val="0"/>
                <w:lang w:val="es-DO" w:eastAsia="es-DO"/>
              </w:rPr>
            </w:pPr>
          </w:p>
        </w:tc>
        <w:tc>
          <w:tcPr>
            <w:tcW w:w="2456" w:type="dxa"/>
            <w:vMerge/>
            <w:tcBorders>
              <w:top w:val="nil"/>
              <w:left w:val="single" w:sz="4" w:space="0" w:color="808080"/>
              <w:bottom w:val="single" w:sz="4" w:space="0" w:color="808080"/>
              <w:right w:val="single" w:sz="4" w:space="0" w:color="808080"/>
            </w:tcBorders>
            <w:vAlign w:val="center"/>
            <w:hideMark/>
          </w:tcPr>
          <w:p w14:paraId="28A48B04" w14:textId="77777777" w:rsidR="00E4687C" w:rsidRPr="005C133F" w:rsidRDefault="00E4687C"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4B75E93A" w14:textId="77777777" w:rsidR="00E4687C" w:rsidRPr="005C133F" w:rsidRDefault="00E4687C" w:rsidP="00F26B9E">
            <w:pPr>
              <w:spacing w:after="0" w:line="240" w:lineRule="auto"/>
              <w:rPr>
                <w:rFonts w:eastAsia="Times New Roman"/>
                <w:i/>
                <w:iCs/>
                <w:spacing w:val="0"/>
                <w:lang w:val="es-DO" w:eastAsia="es-DO"/>
              </w:rPr>
            </w:pPr>
          </w:p>
        </w:tc>
      </w:tr>
    </w:tbl>
    <w:p w14:paraId="77930DC9" w14:textId="77777777" w:rsidR="000F1043" w:rsidRPr="005C133F" w:rsidRDefault="000F1043" w:rsidP="005C133F">
      <w:pPr>
        <w:spacing w:after="0" w:line="360" w:lineRule="auto"/>
        <w:rPr>
          <w:rFonts w:eastAsia="Calibri"/>
          <w:b/>
          <w:bCs/>
          <w:noProof/>
          <w:lang w:val="es-DO"/>
        </w:rPr>
      </w:pP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2298"/>
        <w:gridCol w:w="2279"/>
        <w:gridCol w:w="2081"/>
        <w:gridCol w:w="3393"/>
        <w:gridCol w:w="2899"/>
      </w:tblGrid>
      <w:tr w:rsidR="005C133F" w:rsidRPr="00CD02F5" w14:paraId="4128E5C2" w14:textId="77777777" w:rsidTr="006A7520">
        <w:trPr>
          <w:trHeight w:val="567"/>
          <w:tblHeader/>
        </w:trPr>
        <w:tc>
          <w:tcPr>
            <w:tcW w:w="0" w:type="auto"/>
            <w:gridSpan w:val="5"/>
            <w:shd w:val="clear" w:color="auto" w:fill="011C50"/>
            <w:vAlign w:val="center"/>
          </w:tcPr>
          <w:p w14:paraId="511581FF" w14:textId="601C6EF0" w:rsidR="00E4687C" w:rsidRPr="005C133F" w:rsidRDefault="00E4687C" w:rsidP="00F26B9E">
            <w:pPr>
              <w:spacing w:after="0" w:line="240" w:lineRule="auto"/>
              <w:jc w:val="center"/>
              <w:rPr>
                <w:rFonts w:eastAsia="Calibri"/>
                <w:b/>
                <w:bCs/>
                <w:noProof/>
                <w:color w:val="FFFFFF" w:themeColor="background1"/>
                <w:lang w:val="es-DO"/>
              </w:rPr>
            </w:pPr>
            <w:r w:rsidRPr="005C133F">
              <w:rPr>
                <w:rFonts w:eastAsia="Calibri"/>
                <w:b/>
                <w:bCs/>
                <w:noProof/>
                <w:color w:val="FFFFFF" w:themeColor="background1"/>
                <w:lang w:val="es-DO"/>
              </w:rPr>
              <w:lastRenderedPageBreak/>
              <w:t xml:space="preserve">Eje 3. </w:t>
            </w:r>
            <w:r w:rsidR="001C16AE" w:rsidRPr="005C133F">
              <w:rPr>
                <w:rFonts w:eastAsia="Calibri"/>
                <w:b/>
                <w:bCs/>
                <w:noProof/>
                <w:color w:val="FFFFFF" w:themeColor="background1"/>
                <w:lang w:val="es-DO"/>
              </w:rPr>
              <w:t>Fortalecimiento del Sistema de Regulación, Supervisión, Conciliación y Fiscalización</w:t>
            </w:r>
          </w:p>
        </w:tc>
      </w:tr>
      <w:tr w:rsidR="005C133F" w:rsidRPr="005C133F" w14:paraId="5333D5B6" w14:textId="77777777" w:rsidTr="006A7520">
        <w:trPr>
          <w:trHeight w:val="558"/>
          <w:tblHeader/>
        </w:trPr>
        <w:tc>
          <w:tcPr>
            <w:tcW w:w="2298" w:type="dxa"/>
            <w:shd w:val="clear" w:color="auto" w:fill="011C50"/>
            <w:vAlign w:val="center"/>
          </w:tcPr>
          <w:p w14:paraId="61A7A8B1" w14:textId="305EE3BA" w:rsidR="0068601E" w:rsidRPr="005C133F" w:rsidRDefault="0068601E"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Resultado estratégico</w:t>
            </w:r>
          </w:p>
        </w:tc>
        <w:tc>
          <w:tcPr>
            <w:tcW w:w="2279" w:type="dxa"/>
            <w:shd w:val="clear" w:color="auto" w:fill="011C50"/>
            <w:vAlign w:val="center"/>
          </w:tcPr>
          <w:p w14:paraId="77FF7CD1" w14:textId="4B34EBDD" w:rsidR="0068601E" w:rsidRPr="005C133F" w:rsidRDefault="0068601E"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Indicador</w:t>
            </w:r>
          </w:p>
        </w:tc>
        <w:tc>
          <w:tcPr>
            <w:tcW w:w="2081" w:type="dxa"/>
            <w:shd w:val="clear" w:color="auto" w:fill="011C50"/>
            <w:vAlign w:val="center"/>
          </w:tcPr>
          <w:p w14:paraId="1F645B0F" w14:textId="00C009F0" w:rsidR="0068601E" w:rsidRPr="005C133F" w:rsidRDefault="40F6F7AB"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Resultados</w:t>
            </w:r>
            <w:r w:rsidR="0068601E" w:rsidRPr="005C133F">
              <w:rPr>
                <w:rFonts w:eastAsia="Times New Roman"/>
                <w:b/>
                <w:bCs/>
                <w:color w:val="FFFFFF" w:themeColor="background1"/>
                <w:spacing w:val="0"/>
                <w:lang w:val="es-DO" w:eastAsia="es-DO"/>
              </w:rPr>
              <w:t xml:space="preserve"> intermedios</w:t>
            </w:r>
          </w:p>
        </w:tc>
        <w:tc>
          <w:tcPr>
            <w:tcW w:w="3393" w:type="dxa"/>
            <w:shd w:val="clear" w:color="auto" w:fill="011C50"/>
            <w:vAlign w:val="center"/>
          </w:tcPr>
          <w:p w14:paraId="68060F1C" w14:textId="52211251" w:rsidR="0068601E" w:rsidRPr="005C133F" w:rsidRDefault="0068601E"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Indicadores</w:t>
            </w:r>
          </w:p>
        </w:tc>
        <w:tc>
          <w:tcPr>
            <w:tcW w:w="2899" w:type="dxa"/>
            <w:shd w:val="clear" w:color="auto" w:fill="011C50"/>
            <w:vAlign w:val="center"/>
          </w:tcPr>
          <w:p w14:paraId="4B7E9C02" w14:textId="50972D6C" w:rsidR="0068601E" w:rsidRPr="005C133F" w:rsidRDefault="0068601E" w:rsidP="00F26B9E">
            <w:pPr>
              <w:spacing w:after="0" w:line="240" w:lineRule="auto"/>
              <w:jc w:val="center"/>
              <w:rPr>
                <w:rFonts w:eastAsia="Calibri"/>
                <w:noProof/>
                <w:color w:val="FFFFFF" w:themeColor="background1"/>
                <w:lang w:val="es-DO"/>
              </w:rPr>
            </w:pPr>
            <w:r w:rsidRPr="005C133F">
              <w:rPr>
                <w:rFonts w:eastAsia="Times New Roman"/>
                <w:b/>
                <w:bCs/>
                <w:color w:val="FFFFFF" w:themeColor="background1"/>
                <w:spacing w:val="0"/>
                <w:lang w:val="es-DO" w:eastAsia="es-DO"/>
              </w:rPr>
              <w:t>Productos estratégicos</w:t>
            </w:r>
          </w:p>
        </w:tc>
      </w:tr>
      <w:tr w:rsidR="004921FF" w:rsidRPr="00CD02F5" w14:paraId="3A50CDEA" w14:textId="77777777" w:rsidTr="00455193">
        <w:trPr>
          <w:trHeight w:val="1164"/>
        </w:trPr>
        <w:tc>
          <w:tcPr>
            <w:tcW w:w="2298" w:type="dxa"/>
            <w:vMerge w:val="restart"/>
            <w:shd w:val="clear" w:color="auto" w:fill="FFFFFF" w:themeFill="background1"/>
            <w:vAlign w:val="center"/>
            <w:hideMark/>
          </w:tcPr>
          <w:p w14:paraId="2DC8B620" w14:textId="50786362" w:rsidR="00E4687C" w:rsidRPr="005C133F" w:rsidRDefault="00E4687C" w:rsidP="00F26B9E">
            <w:pPr>
              <w:spacing w:after="0" w:line="240" w:lineRule="auto"/>
              <w:rPr>
                <w:rFonts w:eastAsia="Calibri"/>
                <w:noProof/>
                <w:lang w:val="es-DO"/>
              </w:rPr>
            </w:pPr>
            <w:r w:rsidRPr="005C133F">
              <w:rPr>
                <w:rFonts w:eastAsia="Calibri"/>
                <w:noProof/>
                <w:lang w:val="es-DO"/>
              </w:rPr>
              <w:t>RE.1 Aumentada la protección de la población en el aseguramiento en salud y riesgos laborales, garantizando equidad en el acceso</w:t>
            </w:r>
          </w:p>
        </w:tc>
        <w:tc>
          <w:tcPr>
            <w:tcW w:w="2279" w:type="dxa"/>
            <w:vMerge w:val="restart"/>
            <w:shd w:val="clear" w:color="auto" w:fill="FFFFFF" w:themeFill="background1"/>
            <w:vAlign w:val="center"/>
            <w:hideMark/>
          </w:tcPr>
          <w:p w14:paraId="07FFA3EC"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RE.1.1 Porcentaje de afiliación al Seguro Familiar de Salud (SFS) desagregado por régimen de financiamiento </w:t>
            </w:r>
            <w:r w:rsidRPr="005C133F">
              <w:rPr>
                <w:rFonts w:eastAsia="Calibri"/>
                <w:noProof/>
                <w:lang w:val="es-DO"/>
              </w:rPr>
              <w:br/>
            </w:r>
            <w:r w:rsidRPr="005C133F">
              <w:rPr>
                <w:rFonts w:eastAsia="Calibri"/>
                <w:noProof/>
                <w:lang w:val="es-DO"/>
              </w:rPr>
              <w:br/>
            </w:r>
            <w:r w:rsidRPr="005C133F">
              <w:rPr>
                <w:rFonts w:eastAsia="Calibri"/>
                <w:noProof/>
                <w:lang w:val="es-DO"/>
              </w:rPr>
              <w:br/>
              <w:t xml:space="preserve">RE.1.2. Porcentaje de afiliación en el  Seguro de Riesgos Laborales (SRL) </w:t>
            </w:r>
          </w:p>
        </w:tc>
        <w:tc>
          <w:tcPr>
            <w:tcW w:w="2081" w:type="dxa"/>
            <w:vMerge w:val="restart"/>
            <w:shd w:val="clear" w:color="auto" w:fill="FFFFFF" w:themeFill="background1"/>
            <w:vAlign w:val="center"/>
            <w:hideMark/>
          </w:tcPr>
          <w:p w14:paraId="3FF0BC57" w14:textId="2BE693C7" w:rsidR="00E4687C" w:rsidRPr="005C133F" w:rsidRDefault="00E4687C" w:rsidP="00F26B9E">
            <w:pPr>
              <w:spacing w:after="0" w:line="240" w:lineRule="auto"/>
              <w:rPr>
                <w:rFonts w:eastAsia="Calibri"/>
                <w:noProof/>
                <w:lang w:val="es-DO"/>
              </w:rPr>
            </w:pPr>
            <w:r w:rsidRPr="005C133F">
              <w:rPr>
                <w:rFonts w:eastAsia="Calibri"/>
                <w:noProof/>
                <w:lang w:val="es-DO"/>
              </w:rPr>
              <w:t>RI.6 Fortalecido el cumplimiento de las normativas del SFS y SRL por parte de los actores regulados mediante mecanismos efectivos de supervisión y control</w:t>
            </w:r>
          </w:p>
        </w:tc>
        <w:tc>
          <w:tcPr>
            <w:tcW w:w="3393" w:type="dxa"/>
            <w:vMerge w:val="restart"/>
            <w:shd w:val="clear" w:color="auto" w:fill="FFFFFF" w:themeFill="background1"/>
            <w:vAlign w:val="center"/>
            <w:hideMark/>
          </w:tcPr>
          <w:p w14:paraId="11761F90"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RI.6.1 Promedio del nivel de cumplimiento normativo del Seguro Familiar de Salud (SFS) en las ARS supervisadas</w:t>
            </w:r>
            <w:r w:rsidRPr="005C133F">
              <w:rPr>
                <w:rFonts w:eastAsia="Calibri"/>
                <w:noProof/>
                <w:lang w:val="es-DO"/>
              </w:rPr>
              <w:br/>
              <w:t xml:space="preserve">                                                                                                                                                                                                                                                                                                                                                                                                                                                                                                                                                                                                                                                                                                                    </w:t>
            </w:r>
          </w:p>
        </w:tc>
        <w:tc>
          <w:tcPr>
            <w:tcW w:w="2899" w:type="dxa"/>
            <w:vAlign w:val="center"/>
            <w:hideMark/>
          </w:tcPr>
          <w:p w14:paraId="7BA59580" w14:textId="77777777" w:rsidR="00E4687C" w:rsidRPr="005C133F" w:rsidRDefault="00E4687C" w:rsidP="00F26B9E">
            <w:pPr>
              <w:spacing w:after="0" w:line="240" w:lineRule="auto"/>
              <w:rPr>
                <w:rFonts w:eastAsia="Calibri"/>
                <w:noProof/>
                <w:lang w:val="es-DO"/>
              </w:rPr>
            </w:pPr>
            <w:r w:rsidRPr="005C133F">
              <w:rPr>
                <w:rFonts w:eastAsia="Calibri"/>
                <w:noProof/>
                <w:lang w:val="es-DO"/>
              </w:rPr>
              <w:t>ARS supervisadas y/o monitoreadas respecto al cumplimiento del marco normativo del Seguro Familiar de Salud (SFS)</w:t>
            </w:r>
          </w:p>
        </w:tc>
      </w:tr>
      <w:tr w:rsidR="004921FF" w:rsidRPr="00CD02F5" w14:paraId="66899692" w14:textId="77777777" w:rsidTr="00455193">
        <w:trPr>
          <w:trHeight w:val="1179"/>
        </w:trPr>
        <w:tc>
          <w:tcPr>
            <w:tcW w:w="2298" w:type="dxa"/>
            <w:vMerge/>
            <w:vAlign w:val="center"/>
            <w:hideMark/>
          </w:tcPr>
          <w:p w14:paraId="7DB09B44"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7B4179D5"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098680B5"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ign w:val="center"/>
            <w:hideMark/>
          </w:tcPr>
          <w:p w14:paraId="08044E5D" w14:textId="77777777" w:rsidR="00E4687C" w:rsidRPr="005C133F" w:rsidRDefault="00E4687C" w:rsidP="00F26B9E">
            <w:pPr>
              <w:spacing w:after="0" w:line="240" w:lineRule="auto"/>
              <w:rPr>
                <w:rFonts w:eastAsia="Calibri"/>
                <w:noProof/>
                <w:lang w:val="es-DO"/>
              </w:rPr>
            </w:pPr>
          </w:p>
        </w:tc>
        <w:tc>
          <w:tcPr>
            <w:tcW w:w="2899" w:type="dxa"/>
            <w:vAlign w:val="center"/>
            <w:hideMark/>
          </w:tcPr>
          <w:p w14:paraId="283EF883" w14:textId="77777777" w:rsidR="00E4687C" w:rsidRPr="005C133F" w:rsidRDefault="00E4687C" w:rsidP="00F26B9E">
            <w:pPr>
              <w:spacing w:after="0" w:line="240" w:lineRule="auto"/>
              <w:rPr>
                <w:rFonts w:eastAsia="Calibri"/>
                <w:noProof/>
                <w:lang w:val="es-DO"/>
              </w:rPr>
            </w:pPr>
            <w:r w:rsidRPr="005C133F">
              <w:rPr>
                <w:rFonts w:eastAsia="Calibri"/>
                <w:noProof/>
                <w:lang w:val="es-DO"/>
              </w:rPr>
              <w:t>ARS SeNaSa supervisada y/o monitoreada respecto al cumplimiento del marco normativo del Seguro Familiar de Salud (SFS)</w:t>
            </w:r>
          </w:p>
        </w:tc>
      </w:tr>
      <w:tr w:rsidR="004921FF" w:rsidRPr="00CD02F5" w14:paraId="760FCD3A" w14:textId="77777777" w:rsidTr="00455193">
        <w:trPr>
          <w:trHeight w:val="1380"/>
        </w:trPr>
        <w:tc>
          <w:tcPr>
            <w:tcW w:w="2298" w:type="dxa"/>
            <w:vMerge/>
            <w:vAlign w:val="center"/>
            <w:hideMark/>
          </w:tcPr>
          <w:p w14:paraId="219F59B6"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79414EF7"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03E98BC0"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ign w:val="center"/>
            <w:hideMark/>
          </w:tcPr>
          <w:p w14:paraId="31A2F574" w14:textId="77777777" w:rsidR="00E4687C" w:rsidRPr="005C133F" w:rsidRDefault="00E4687C" w:rsidP="00F26B9E">
            <w:pPr>
              <w:spacing w:after="0" w:line="240" w:lineRule="auto"/>
              <w:rPr>
                <w:rFonts w:eastAsia="Calibri"/>
                <w:noProof/>
                <w:lang w:val="es-DO"/>
              </w:rPr>
            </w:pPr>
          </w:p>
        </w:tc>
        <w:tc>
          <w:tcPr>
            <w:tcW w:w="2899" w:type="dxa"/>
            <w:vAlign w:val="center"/>
            <w:hideMark/>
          </w:tcPr>
          <w:p w14:paraId="53AF3F87" w14:textId="77777777" w:rsidR="00E4687C" w:rsidRPr="005C133F" w:rsidRDefault="00E4687C" w:rsidP="00F26B9E">
            <w:pPr>
              <w:spacing w:after="0" w:line="240" w:lineRule="auto"/>
              <w:rPr>
                <w:rFonts w:eastAsia="Calibri"/>
                <w:noProof/>
                <w:lang w:val="es-DO"/>
              </w:rPr>
            </w:pPr>
            <w:r w:rsidRPr="005C133F">
              <w:rPr>
                <w:rFonts w:eastAsia="Calibri"/>
                <w:noProof/>
                <w:lang w:val="es-DO"/>
              </w:rPr>
              <w:t>PSS supervisadas y/o monitoreadas respecto al cumplimiento del marco normativo del Seguro Familiar de Salud (SFS)</w:t>
            </w:r>
          </w:p>
        </w:tc>
      </w:tr>
      <w:tr w:rsidR="004921FF" w:rsidRPr="00CD02F5" w14:paraId="78AB2AF6" w14:textId="77777777" w:rsidTr="00455193">
        <w:trPr>
          <w:trHeight w:val="2820"/>
        </w:trPr>
        <w:tc>
          <w:tcPr>
            <w:tcW w:w="2298" w:type="dxa"/>
            <w:vMerge/>
            <w:vAlign w:val="center"/>
            <w:hideMark/>
          </w:tcPr>
          <w:p w14:paraId="7A2AAF4F"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52945FEF"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7A54FA86"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ign w:val="center"/>
            <w:hideMark/>
          </w:tcPr>
          <w:p w14:paraId="291BEDED" w14:textId="77777777" w:rsidR="00E4687C" w:rsidRPr="005C133F" w:rsidRDefault="00E4687C" w:rsidP="00F26B9E">
            <w:pPr>
              <w:spacing w:after="0" w:line="240" w:lineRule="auto"/>
              <w:rPr>
                <w:rFonts w:eastAsia="Calibri"/>
                <w:noProof/>
                <w:lang w:val="es-DO"/>
              </w:rPr>
            </w:pPr>
          </w:p>
        </w:tc>
        <w:tc>
          <w:tcPr>
            <w:tcW w:w="2899" w:type="dxa"/>
            <w:vAlign w:val="center"/>
            <w:hideMark/>
          </w:tcPr>
          <w:p w14:paraId="2F8371B1" w14:textId="77777777" w:rsidR="00E4687C" w:rsidRPr="005C133F" w:rsidRDefault="00E4687C" w:rsidP="00F26B9E">
            <w:pPr>
              <w:spacing w:after="0" w:line="240" w:lineRule="auto"/>
              <w:rPr>
                <w:rFonts w:eastAsia="Calibri"/>
                <w:noProof/>
                <w:lang w:val="es-DO"/>
              </w:rPr>
            </w:pPr>
            <w:r w:rsidRPr="005C133F">
              <w:rPr>
                <w:rFonts w:eastAsia="Calibri"/>
                <w:noProof/>
                <w:lang w:val="es-DO"/>
              </w:rPr>
              <w:t>PSS supervisadas y/o monitoreadas respecto al cumplimiento del marco normativo del Seguro Familiar de Salud (SFS) con contratación con ARS SeNaSa para los afiliados del Régimen Subsidiado</w:t>
            </w:r>
          </w:p>
        </w:tc>
      </w:tr>
      <w:tr w:rsidR="004921FF" w:rsidRPr="00CD02F5" w14:paraId="6C4971C0" w14:textId="77777777" w:rsidTr="00455193">
        <w:trPr>
          <w:trHeight w:val="1284"/>
        </w:trPr>
        <w:tc>
          <w:tcPr>
            <w:tcW w:w="2298" w:type="dxa"/>
            <w:vMerge/>
            <w:vAlign w:val="center"/>
            <w:hideMark/>
          </w:tcPr>
          <w:p w14:paraId="558814F4"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6098C57B"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39BC56E2"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restart"/>
            <w:shd w:val="clear" w:color="auto" w:fill="FFFFFF" w:themeFill="background1"/>
            <w:vAlign w:val="center"/>
            <w:hideMark/>
          </w:tcPr>
          <w:p w14:paraId="095DEA41"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RI.6.2 Nivel de cumplimiento normativo del IDOPPRIL</w:t>
            </w:r>
            <w:r w:rsidRPr="005C133F">
              <w:rPr>
                <w:rFonts w:eastAsia="Calibri"/>
                <w:noProof/>
                <w:lang w:val="es-DO"/>
              </w:rPr>
              <w:br/>
              <w:t>.</w:t>
            </w:r>
          </w:p>
        </w:tc>
        <w:tc>
          <w:tcPr>
            <w:tcW w:w="2899" w:type="dxa"/>
            <w:vAlign w:val="center"/>
            <w:hideMark/>
          </w:tcPr>
          <w:p w14:paraId="72F08465" w14:textId="77777777" w:rsidR="00E4687C" w:rsidRPr="005C133F" w:rsidRDefault="00E4687C" w:rsidP="00F26B9E">
            <w:pPr>
              <w:spacing w:after="0" w:line="240" w:lineRule="auto"/>
              <w:rPr>
                <w:rFonts w:eastAsia="Calibri"/>
                <w:noProof/>
                <w:lang w:val="es-DO"/>
              </w:rPr>
            </w:pPr>
            <w:r w:rsidRPr="005C133F">
              <w:rPr>
                <w:rFonts w:eastAsia="Calibri"/>
                <w:noProof/>
                <w:lang w:val="es-DO"/>
              </w:rPr>
              <w:t>IDOPPRIL supervisado y/o monitoreado respecto al cumplimiento del marco normativo del Seguro de Riesgos Laborales (SRL)</w:t>
            </w:r>
          </w:p>
        </w:tc>
      </w:tr>
      <w:tr w:rsidR="004921FF" w:rsidRPr="00CD02F5" w14:paraId="0D5CA771" w14:textId="77777777" w:rsidTr="00455193">
        <w:trPr>
          <w:trHeight w:val="400"/>
        </w:trPr>
        <w:tc>
          <w:tcPr>
            <w:tcW w:w="2298" w:type="dxa"/>
            <w:vMerge/>
            <w:vAlign w:val="center"/>
            <w:hideMark/>
          </w:tcPr>
          <w:p w14:paraId="34B9459B"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42B014E3"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39390370"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ign w:val="center"/>
            <w:hideMark/>
          </w:tcPr>
          <w:p w14:paraId="5B45A957" w14:textId="77777777" w:rsidR="00E4687C" w:rsidRPr="005C133F" w:rsidRDefault="00E4687C" w:rsidP="00F26B9E">
            <w:pPr>
              <w:spacing w:after="0" w:line="240" w:lineRule="auto"/>
              <w:rPr>
                <w:rFonts w:eastAsia="Calibri"/>
                <w:noProof/>
                <w:lang w:val="es-DO"/>
              </w:rPr>
            </w:pPr>
          </w:p>
        </w:tc>
        <w:tc>
          <w:tcPr>
            <w:tcW w:w="2899" w:type="dxa"/>
            <w:vAlign w:val="center"/>
            <w:hideMark/>
          </w:tcPr>
          <w:p w14:paraId="1A7E5DA7" w14:textId="77777777" w:rsidR="00E4687C" w:rsidRPr="005C133F" w:rsidRDefault="00E4687C" w:rsidP="00F26B9E">
            <w:pPr>
              <w:spacing w:after="0" w:line="240" w:lineRule="auto"/>
              <w:rPr>
                <w:rFonts w:eastAsia="Calibri"/>
                <w:noProof/>
                <w:lang w:val="es-DO"/>
              </w:rPr>
            </w:pPr>
            <w:r w:rsidRPr="005C133F">
              <w:rPr>
                <w:rFonts w:eastAsia="Calibri"/>
                <w:noProof/>
                <w:lang w:val="es-DO"/>
              </w:rPr>
              <w:t>IDOPPRIL supervisado y/o monitoreado respecto al cumplimiento del pago de las prestaciones por discapacidad permanente</w:t>
            </w:r>
          </w:p>
        </w:tc>
      </w:tr>
      <w:tr w:rsidR="004921FF" w:rsidRPr="00CD02F5" w14:paraId="1F551A66" w14:textId="77777777" w:rsidTr="00455193">
        <w:trPr>
          <w:trHeight w:val="1440"/>
        </w:trPr>
        <w:tc>
          <w:tcPr>
            <w:tcW w:w="2298" w:type="dxa"/>
            <w:vMerge/>
            <w:vAlign w:val="center"/>
            <w:hideMark/>
          </w:tcPr>
          <w:p w14:paraId="5BA16731"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5A00B511"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73FB75FE" w14:textId="77777777" w:rsidR="00E4687C" w:rsidRPr="005C133F" w:rsidRDefault="00E4687C" w:rsidP="00F26B9E">
            <w:pPr>
              <w:spacing w:after="0" w:line="240" w:lineRule="auto"/>
              <w:rPr>
                <w:rFonts w:eastAsia="Times New Roman"/>
                <w:i/>
                <w:iCs/>
                <w:spacing w:val="0"/>
                <w:lang w:val="es-DO" w:eastAsia="es-DO"/>
              </w:rPr>
            </w:pPr>
          </w:p>
        </w:tc>
        <w:tc>
          <w:tcPr>
            <w:tcW w:w="3393" w:type="dxa"/>
            <w:shd w:val="clear" w:color="auto" w:fill="FFFFFF" w:themeFill="background1"/>
            <w:vAlign w:val="center"/>
            <w:hideMark/>
          </w:tcPr>
          <w:p w14:paraId="10EA8CE9"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RI.6.3 Promedio del nivel de cumplimiento normativo de los entes supervisados en el marco de los riesgos operativos y financieros </w:t>
            </w:r>
          </w:p>
        </w:tc>
        <w:tc>
          <w:tcPr>
            <w:tcW w:w="2899" w:type="dxa"/>
            <w:vAlign w:val="center"/>
            <w:hideMark/>
          </w:tcPr>
          <w:p w14:paraId="112C6F09"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Entes supervisados respecto al cumplimiento del marco normativo del SFS y el SRL en el marco de los riesgos operativos y financieros </w:t>
            </w:r>
          </w:p>
        </w:tc>
      </w:tr>
      <w:tr w:rsidR="004921FF" w:rsidRPr="00CD02F5" w14:paraId="7B289D0F" w14:textId="77777777" w:rsidTr="00455193">
        <w:trPr>
          <w:trHeight w:val="553"/>
        </w:trPr>
        <w:tc>
          <w:tcPr>
            <w:tcW w:w="2298" w:type="dxa"/>
            <w:vMerge/>
            <w:vAlign w:val="center"/>
            <w:hideMark/>
          </w:tcPr>
          <w:p w14:paraId="712CD843"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60718371"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24598192"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restart"/>
            <w:shd w:val="clear" w:color="auto" w:fill="FFFFFF" w:themeFill="background1"/>
            <w:vAlign w:val="center"/>
            <w:hideMark/>
          </w:tcPr>
          <w:p w14:paraId="18CC8CCB"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RI.6.4 Porcentaje de resoluciones emitidas a ARS, PSS, IDOPPRIL o Promotores de Seguros de Salud por incumplimiento de las regulaciones del SFS y del SRL</w:t>
            </w:r>
          </w:p>
        </w:tc>
        <w:tc>
          <w:tcPr>
            <w:tcW w:w="2899" w:type="dxa"/>
            <w:vAlign w:val="center"/>
            <w:hideMark/>
          </w:tcPr>
          <w:p w14:paraId="7A41F78C" w14:textId="77777777" w:rsidR="00E4687C" w:rsidRPr="005C133F" w:rsidRDefault="00E4687C" w:rsidP="00F26B9E">
            <w:pPr>
              <w:spacing w:after="0" w:line="240" w:lineRule="auto"/>
              <w:rPr>
                <w:rFonts w:eastAsia="Calibri"/>
                <w:noProof/>
                <w:lang w:val="es-DO"/>
              </w:rPr>
            </w:pPr>
            <w:r w:rsidRPr="005C133F">
              <w:rPr>
                <w:rFonts w:eastAsia="Calibri"/>
                <w:noProof/>
                <w:lang w:val="es-DO"/>
              </w:rPr>
              <w:t>Entidades (ARS, PSS, IDOPPRIL o Promotor de Seguros de Salud) reciben instrucciones y normativas de cumplimiento obligatorio a la administración del SFS y SRL</w:t>
            </w:r>
          </w:p>
        </w:tc>
      </w:tr>
      <w:tr w:rsidR="004921FF" w:rsidRPr="00CD02F5" w14:paraId="282B80FA" w14:textId="77777777" w:rsidTr="00455193">
        <w:trPr>
          <w:trHeight w:val="1970"/>
        </w:trPr>
        <w:tc>
          <w:tcPr>
            <w:tcW w:w="2298" w:type="dxa"/>
            <w:vMerge/>
            <w:vAlign w:val="center"/>
            <w:hideMark/>
          </w:tcPr>
          <w:p w14:paraId="0163880C"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6266E68F" w14:textId="77777777" w:rsidR="00E4687C" w:rsidRPr="005C133F" w:rsidRDefault="00E4687C" w:rsidP="00F26B9E">
            <w:pPr>
              <w:spacing w:after="0" w:line="240" w:lineRule="auto"/>
              <w:rPr>
                <w:rFonts w:eastAsia="Times New Roman"/>
                <w:i/>
                <w:iCs/>
                <w:spacing w:val="0"/>
                <w:lang w:val="es-DO" w:eastAsia="es-DO"/>
              </w:rPr>
            </w:pPr>
          </w:p>
        </w:tc>
        <w:tc>
          <w:tcPr>
            <w:tcW w:w="2081" w:type="dxa"/>
            <w:vMerge/>
            <w:vAlign w:val="center"/>
            <w:hideMark/>
          </w:tcPr>
          <w:p w14:paraId="65C69538" w14:textId="77777777" w:rsidR="00E4687C" w:rsidRPr="005C133F" w:rsidRDefault="00E4687C" w:rsidP="00F26B9E">
            <w:pPr>
              <w:spacing w:after="0" w:line="240" w:lineRule="auto"/>
              <w:rPr>
                <w:rFonts w:eastAsia="Times New Roman"/>
                <w:i/>
                <w:iCs/>
                <w:spacing w:val="0"/>
                <w:lang w:val="es-DO" w:eastAsia="es-DO"/>
              </w:rPr>
            </w:pPr>
          </w:p>
        </w:tc>
        <w:tc>
          <w:tcPr>
            <w:tcW w:w="3393" w:type="dxa"/>
            <w:vMerge/>
            <w:vAlign w:val="center"/>
            <w:hideMark/>
          </w:tcPr>
          <w:p w14:paraId="0E576B8D" w14:textId="77777777" w:rsidR="00E4687C" w:rsidRPr="005C133F" w:rsidRDefault="00E4687C" w:rsidP="00F26B9E">
            <w:pPr>
              <w:spacing w:after="0" w:line="240" w:lineRule="auto"/>
              <w:rPr>
                <w:rFonts w:eastAsia="Times New Roman"/>
                <w:i/>
                <w:iCs/>
                <w:spacing w:val="0"/>
                <w:lang w:val="es-DO" w:eastAsia="es-DO"/>
              </w:rPr>
            </w:pPr>
          </w:p>
        </w:tc>
        <w:tc>
          <w:tcPr>
            <w:tcW w:w="2899" w:type="dxa"/>
            <w:vAlign w:val="center"/>
            <w:hideMark/>
          </w:tcPr>
          <w:p w14:paraId="4AC5AA68"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Entidades (ARS, PSS, IDOPPRIL o Promotor de Seguros de Salud) reciben resoluciones sancionadoras, de inconformidad y arbitrales sobre </w:t>
            </w:r>
            <w:r w:rsidRPr="005C133F">
              <w:rPr>
                <w:rFonts w:eastAsia="Calibri"/>
                <w:noProof/>
                <w:lang w:val="es-DO"/>
              </w:rPr>
              <w:lastRenderedPageBreak/>
              <w:t xml:space="preserve">incumplimientos de la Ley 87-01 y aquellos vinculados  al SFS y el SRL </w:t>
            </w:r>
          </w:p>
        </w:tc>
      </w:tr>
      <w:tr w:rsidR="004921FF" w:rsidRPr="00CD02F5" w14:paraId="684C81E1" w14:textId="77777777" w:rsidTr="00455193">
        <w:trPr>
          <w:trHeight w:val="85"/>
        </w:trPr>
        <w:tc>
          <w:tcPr>
            <w:tcW w:w="2298" w:type="dxa"/>
            <w:vMerge/>
            <w:vAlign w:val="center"/>
            <w:hideMark/>
          </w:tcPr>
          <w:p w14:paraId="1900B715" w14:textId="77777777" w:rsidR="00E4687C" w:rsidRPr="005C133F" w:rsidRDefault="00E4687C" w:rsidP="00F26B9E">
            <w:pPr>
              <w:spacing w:after="0" w:line="240" w:lineRule="auto"/>
              <w:rPr>
                <w:rFonts w:eastAsia="Times New Roman"/>
                <w:i/>
                <w:iCs/>
                <w:spacing w:val="0"/>
                <w:lang w:val="es-DO" w:eastAsia="es-DO"/>
              </w:rPr>
            </w:pPr>
          </w:p>
        </w:tc>
        <w:tc>
          <w:tcPr>
            <w:tcW w:w="2279" w:type="dxa"/>
            <w:vMerge/>
            <w:vAlign w:val="center"/>
            <w:hideMark/>
          </w:tcPr>
          <w:p w14:paraId="4B7C5D52" w14:textId="77777777" w:rsidR="00E4687C" w:rsidRPr="005C133F" w:rsidRDefault="00E4687C" w:rsidP="00F26B9E">
            <w:pPr>
              <w:spacing w:after="0" w:line="240" w:lineRule="auto"/>
              <w:rPr>
                <w:rFonts w:eastAsia="Times New Roman"/>
                <w:i/>
                <w:iCs/>
                <w:spacing w:val="0"/>
                <w:lang w:val="es-DO" w:eastAsia="es-DO"/>
              </w:rPr>
            </w:pPr>
          </w:p>
        </w:tc>
        <w:tc>
          <w:tcPr>
            <w:tcW w:w="2081" w:type="dxa"/>
            <w:shd w:val="clear" w:color="auto" w:fill="FFFFFF" w:themeFill="background1"/>
            <w:vAlign w:val="center"/>
            <w:hideMark/>
          </w:tcPr>
          <w:p w14:paraId="278465A0" w14:textId="0540DBC7" w:rsidR="00E4687C" w:rsidRPr="005C133F" w:rsidRDefault="00E4687C" w:rsidP="00F26B9E">
            <w:pPr>
              <w:spacing w:after="0" w:line="240" w:lineRule="auto"/>
              <w:rPr>
                <w:rFonts w:eastAsia="Calibri"/>
                <w:noProof/>
                <w:lang w:val="es-DO"/>
              </w:rPr>
            </w:pPr>
            <w:r w:rsidRPr="005C133F">
              <w:rPr>
                <w:rFonts w:eastAsia="Calibri"/>
                <w:noProof/>
                <w:lang w:val="es-DO"/>
              </w:rPr>
              <w:t>RI.7 Fortalecida la coordinación para la gestión de convenios en el régimen contributivo de los prestadores públicos que cumplan con los requisitos de contratación</w:t>
            </w:r>
          </w:p>
        </w:tc>
        <w:tc>
          <w:tcPr>
            <w:tcW w:w="3393" w:type="dxa"/>
            <w:shd w:val="clear" w:color="auto" w:fill="FFFFFF" w:themeFill="background1"/>
            <w:vAlign w:val="center"/>
            <w:hideMark/>
          </w:tcPr>
          <w:p w14:paraId="1D3B8112"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RI.7.1 Porcentaje de prestadores públicos que tienen convenios vigentes con ARS del régimen contributivo para la prestación de servicios</w:t>
            </w:r>
          </w:p>
        </w:tc>
        <w:tc>
          <w:tcPr>
            <w:tcW w:w="2899" w:type="dxa"/>
            <w:vAlign w:val="center"/>
            <w:hideMark/>
          </w:tcPr>
          <w:p w14:paraId="0ED35021" w14:textId="77777777" w:rsidR="00E4687C" w:rsidRPr="005C133F" w:rsidRDefault="00E4687C" w:rsidP="00F26B9E">
            <w:pPr>
              <w:spacing w:after="0" w:line="240" w:lineRule="auto"/>
              <w:rPr>
                <w:rFonts w:eastAsia="Calibri"/>
                <w:noProof/>
                <w:lang w:val="es-DO"/>
              </w:rPr>
            </w:pPr>
            <w:r w:rsidRPr="005C133F">
              <w:rPr>
                <w:rFonts w:eastAsia="Calibri"/>
                <w:noProof/>
                <w:lang w:val="es-DO"/>
              </w:rPr>
              <w:t>Prestadores públicos de salud (PSS) disponen de requisitos de contratación y sistema de facturación para su integración en el régimen contributivo.</w:t>
            </w:r>
          </w:p>
        </w:tc>
      </w:tr>
    </w:tbl>
    <w:p w14:paraId="5172B2B9" w14:textId="77777777" w:rsidR="00FA26CE" w:rsidRPr="005C133F" w:rsidRDefault="00FA26CE" w:rsidP="005C133F">
      <w:pPr>
        <w:spacing w:after="0" w:line="360" w:lineRule="auto"/>
        <w:rPr>
          <w:rFonts w:eastAsia="Calibri"/>
          <w:b/>
          <w:bCs/>
          <w:noProof/>
          <w:color w:val="FFFFFF" w:themeColor="background1"/>
          <w:lang w:val="es-DO"/>
        </w:rPr>
      </w:pPr>
    </w:p>
    <w:tbl>
      <w:tblPr>
        <w:tblpPr w:leftFromText="141" w:rightFromText="141" w:vertAnchor="text" w:tblpY="1"/>
        <w:tblOverlap w:val="never"/>
        <w:tblW w:w="0" w:type="auto"/>
        <w:tblCellMar>
          <w:left w:w="70" w:type="dxa"/>
          <w:right w:w="70" w:type="dxa"/>
        </w:tblCellMar>
        <w:tblLook w:val="04A0" w:firstRow="1" w:lastRow="0" w:firstColumn="1" w:lastColumn="0" w:noHBand="0" w:noVBand="1"/>
      </w:tblPr>
      <w:tblGrid>
        <w:gridCol w:w="2330"/>
        <w:gridCol w:w="2259"/>
        <w:gridCol w:w="1927"/>
        <w:gridCol w:w="3260"/>
        <w:gridCol w:w="3174"/>
      </w:tblGrid>
      <w:tr w:rsidR="005C133F" w:rsidRPr="00CD02F5" w14:paraId="63EA6E9F" w14:textId="77777777" w:rsidTr="006A7520">
        <w:trPr>
          <w:trHeight w:val="112"/>
          <w:tblHeader/>
        </w:trPr>
        <w:tc>
          <w:tcPr>
            <w:tcW w:w="0" w:type="auto"/>
            <w:gridSpan w:val="5"/>
            <w:tcBorders>
              <w:top w:val="nil"/>
              <w:left w:val="single" w:sz="4" w:space="0" w:color="808080"/>
              <w:bottom w:val="single" w:sz="4" w:space="0" w:color="808080"/>
              <w:right w:val="single" w:sz="4" w:space="0" w:color="808080"/>
            </w:tcBorders>
            <w:shd w:val="clear" w:color="auto" w:fill="011C50"/>
            <w:vAlign w:val="center"/>
          </w:tcPr>
          <w:p w14:paraId="18B14680" w14:textId="77777777" w:rsidR="00A07F6B" w:rsidRPr="005C133F" w:rsidRDefault="00A07F6B" w:rsidP="00F26B9E">
            <w:pPr>
              <w:spacing w:after="0" w:line="240" w:lineRule="auto"/>
              <w:jc w:val="center"/>
              <w:rPr>
                <w:rFonts w:eastAsia="Calibri"/>
                <w:b/>
                <w:bCs/>
                <w:noProof/>
                <w:color w:val="FFFFFF" w:themeColor="background1"/>
                <w:lang w:val="es-DO"/>
              </w:rPr>
            </w:pPr>
            <w:r w:rsidRPr="005C133F">
              <w:rPr>
                <w:rFonts w:eastAsia="Calibri"/>
                <w:b/>
                <w:bCs/>
                <w:noProof/>
                <w:color w:val="FFFFFF" w:themeColor="background1"/>
                <w:lang w:val="es-DO"/>
              </w:rPr>
              <w:lastRenderedPageBreak/>
              <w:t>Eje 4. Excelencia en el Servicio</w:t>
            </w:r>
          </w:p>
        </w:tc>
      </w:tr>
      <w:tr w:rsidR="005C133F" w:rsidRPr="005C133F" w14:paraId="1C398D78" w14:textId="77777777" w:rsidTr="006A7520">
        <w:trPr>
          <w:trHeight w:val="389"/>
          <w:tblHeader/>
        </w:trPr>
        <w:tc>
          <w:tcPr>
            <w:tcW w:w="0" w:type="auto"/>
            <w:tcBorders>
              <w:top w:val="nil"/>
              <w:left w:val="single" w:sz="4" w:space="0" w:color="808080"/>
              <w:bottom w:val="single" w:sz="4" w:space="0" w:color="808080"/>
              <w:right w:val="single" w:sz="4" w:space="0" w:color="808080"/>
            </w:tcBorders>
            <w:shd w:val="clear" w:color="auto" w:fill="011C50"/>
            <w:vAlign w:val="center"/>
          </w:tcPr>
          <w:p w14:paraId="240F6271" w14:textId="72940B00" w:rsidR="00A07F6B" w:rsidRPr="005C133F" w:rsidRDefault="00A07F6B" w:rsidP="00F26B9E">
            <w:pPr>
              <w:spacing w:after="0" w:line="240" w:lineRule="auto"/>
              <w:rPr>
                <w:rFonts w:eastAsia="Calibri"/>
                <w:b/>
                <w:bCs/>
                <w:noProof/>
                <w:color w:val="FFFFFF" w:themeColor="background1"/>
                <w:lang w:val="es-DO"/>
              </w:rPr>
            </w:pPr>
            <w:r w:rsidRPr="005C133F">
              <w:rPr>
                <w:rFonts w:eastAsia="Times New Roman"/>
                <w:b/>
                <w:bCs/>
                <w:color w:val="FFFFFF" w:themeColor="background1"/>
                <w:spacing w:val="0"/>
                <w:lang w:val="es-DO" w:eastAsia="es-DO"/>
              </w:rPr>
              <w:t>Resultado estratégico</w:t>
            </w:r>
          </w:p>
        </w:tc>
        <w:tc>
          <w:tcPr>
            <w:tcW w:w="0" w:type="auto"/>
            <w:tcBorders>
              <w:top w:val="nil"/>
              <w:left w:val="single" w:sz="4" w:space="0" w:color="808080"/>
              <w:bottom w:val="single" w:sz="4" w:space="0" w:color="808080"/>
              <w:right w:val="single" w:sz="4" w:space="0" w:color="808080"/>
            </w:tcBorders>
            <w:shd w:val="clear" w:color="auto" w:fill="011C50"/>
            <w:vAlign w:val="center"/>
          </w:tcPr>
          <w:p w14:paraId="7D405506" w14:textId="402F8283" w:rsidR="00A07F6B" w:rsidRPr="005C133F" w:rsidRDefault="00A07F6B" w:rsidP="00F26B9E">
            <w:pPr>
              <w:spacing w:after="0" w:line="240" w:lineRule="auto"/>
              <w:rPr>
                <w:rFonts w:eastAsia="Calibri"/>
                <w:b/>
                <w:bCs/>
                <w:noProof/>
                <w:color w:val="FFFFFF" w:themeColor="background1"/>
                <w:lang w:val="es-DO"/>
              </w:rPr>
            </w:pPr>
            <w:r w:rsidRPr="005C133F">
              <w:rPr>
                <w:rFonts w:eastAsia="Times New Roman"/>
                <w:b/>
                <w:bCs/>
                <w:color w:val="FFFFFF" w:themeColor="background1"/>
                <w:spacing w:val="0"/>
                <w:lang w:val="es-DO" w:eastAsia="es-DO"/>
              </w:rPr>
              <w:t>Indicador</w:t>
            </w:r>
          </w:p>
        </w:tc>
        <w:tc>
          <w:tcPr>
            <w:tcW w:w="1712" w:type="dxa"/>
            <w:tcBorders>
              <w:top w:val="nil"/>
              <w:left w:val="single" w:sz="4" w:space="0" w:color="808080"/>
              <w:bottom w:val="single" w:sz="4" w:space="0" w:color="808080"/>
              <w:right w:val="single" w:sz="4" w:space="0" w:color="808080"/>
            </w:tcBorders>
            <w:shd w:val="clear" w:color="auto" w:fill="011C50"/>
            <w:vAlign w:val="center"/>
          </w:tcPr>
          <w:p w14:paraId="280ACE6D" w14:textId="298BDBF3" w:rsidR="00A07F6B" w:rsidRPr="005C133F" w:rsidRDefault="00A07F6B" w:rsidP="00F26B9E">
            <w:pPr>
              <w:spacing w:after="0" w:line="240" w:lineRule="auto"/>
              <w:rPr>
                <w:rFonts w:eastAsia="Calibri"/>
                <w:b/>
                <w:bCs/>
                <w:noProof/>
                <w:color w:val="FFFFFF" w:themeColor="background1"/>
                <w:lang w:val="es-DO"/>
              </w:rPr>
            </w:pPr>
            <w:r w:rsidRPr="005C133F">
              <w:rPr>
                <w:rFonts w:eastAsia="Times New Roman"/>
                <w:b/>
                <w:bCs/>
                <w:color w:val="FFFFFF" w:themeColor="background1"/>
                <w:spacing w:val="0"/>
                <w:lang w:val="es-DO" w:eastAsia="es-DO"/>
              </w:rPr>
              <w:t>Resultados intermedios</w:t>
            </w:r>
          </w:p>
        </w:tc>
        <w:tc>
          <w:tcPr>
            <w:tcW w:w="3260" w:type="dxa"/>
            <w:tcBorders>
              <w:top w:val="nil"/>
              <w:left w:val="nil"/>
              <w:bottom w:val="single" w:sz="4" w:space="0" w:color="808080"/>
              <w:right w:val="single" w:sz="4" w:space="0" w:color="808080"/>
            </w:tcBorders>
            <w:shd w:val="clear" w:color="auto" w:fill="011C50"/>
            <w:vAlign w:val="center"/>
          </w:tcPr>
          <w:p w14:paraId="419E0031" w14:textId="131E7DE1" w:rsidR="00A07F6B" w:rsidRPr="005C133F" w:rsidRDefault="00A07F6B" w:rsidP="00F26B9E">
            <w:pPr>
              <w:spacing w:after="0" w:line="240" w:lineRule="auto"/>
              <w:rPr>
                <w:rFonts w:eastAsia="Calibri"/>
                <w:b/>
                <w:bCs/>
                <w:noProof/>
                <w:color w:val="FFFFFF" w:themeColor="background1"/>
                <w:lang w:val="es-DO"/>
              </w:rPr>
            </w:pPr>
            <w:r w:rsidRPr="005C133F">
              <w:rPr>
                <w:rFonts w:eastAsia="Times New Roman"/>
                <w:b/>
                <w:bCs/>
                <w:color w:val="FFFFFF" w:themeColor="background1"/>
                <w:spacing w:val="0"/>
                <w:lang w:val="es-DO" w:eastAsia="es-DO"/>
              </w:rPr>
              <w:t>Indicadores</w:t>
            </w:r>
          </w:p>
        </w:tc>
        <w:tc>
          <w:tcPr>
            <w:tcW w:w="3174" w:type="dxa"/>
            <w:tcBorders>
              <w:top w:val="nil"/>
              <w:left w:val="nil"/>
              <w:bottom w:val="single" w:sz="4" w:space="0" w:color="808080"/>
              <w:right w:val="single" w:sz="4" w:space="0" w:color="808080"/>
            </w:tcBorders>
            <w:shd w:val="clear" w:color="auto" w:fill="011C50"/>
            <w:vAlign w:val="center"/>
          </w:tcPr>
          <w:p w14:paraId="657A3469" w14:textId="104497E7" w:rsidR="00A07F6B" w:rsidRPr="005C133F" w:rsidRDefault="00A07F6B" w:rsidP="00F26B9E">
            <w:pPr>
              <w:spacing w:after="0" w:line="240" w:lineRule="auto"/>
              <w:rPr>
                <w:rFonts w:eastAsia="Calibri"/>
                <w:b/>
                <w:bCs/>
                <w:noProof/>
                <w:color w:val="FFFFFF" w:themeColor="background1"/>
                <w:lang w:val="es-DO"/>
              </w:rPr>
            </w:pPr>
            <w:r w:rsidRPr="005C133F">
              <w:rPr>
                <w:rFonts w:eastAsia="Times New Roman"/>
                <w:b/>
                <w:bCs/>
                <w:color w:val="FFFFFF" w:themeColor="background1"/>
                <w:spacing w:val="0"/>
                <w:lang w:val="es-DO" w:eastAsia="es-DO"/>
              </w:rPr>
              <w:t>Productos estratégicos</w:t>
            </w:r>
          </w:p>
        </w:tc>
      </w:tr>
      <w:tr w:rsidR="004921FF" w:rsidRPr="00CD02F5" w14:paraId="2EC06F32" w14:textId="77777777" w:rsidTr="00FA26CE">
        <w:trPr>
          <w:trHeight w:val="534"/>
        </w:trPr>
        <w:tc>
          <w:tcPr>
            <w:tcW w:w="0" w:type="auto"/>
            <w:vMerge w:val="restart"/>
            <w:tcBorders>
              <w:top w:val="nil"/>
              <w:left w:val="single" w:sz="4" w:space="0" w:color="808080"/>
              <w:bottom w:val="single" w:sz="4" w:space="0" w:color="808080"/>
              <w:right w:val="single" w:sz="4" w:space="0" w:color="808080"/>
            </w:tcBorders>
            <w:vAlign w:val="center"/>
            <w:hideMark/>
          </w:tcPr>
          <w:p w14:paraId="2F850CAB"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RE.1 Aumentada la protección de la población en el aseguramiento en salud y riesgos laborales, garantizando equidad y calidad  en el acceso </w:t>
            </w:r>
          </w:p>
        </w:tc>
        <w:tc>
          <w:tcPr>
            <w:tcW w:w="0" w:type="auto"/>
            <w:vMerge w:val="restart"/>
            <w:tcBorders>
              <w:top w:val="nil"/>
              <w:left w:val="single" w:sz="4" w:space="0" w:color="808080"/>
              <w:bottom w:val="single" w:sz="4" w:space="0" w:color="808080"/>
              <w:right w:val="single" w:sz="4" w:space="0" w:color="808080"/>
            </w:tcBorders>
            <w:vAlign w:val="center"/>
            <w:hideMark/>
          </w:tcPr>
          <w:p w14:paraId="1E43BE23"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RE.1.1 Porcentaje de afiliación al Seguro Familiar de Salud (SFS) desagregado por régimen de financiamiento </w:t>
            </w:r>
            <w:r w:rsidRPr="005C133F">
              <w:rPr>
                <w:rFonts w:eastAsia="Calibri"/>
                <w:noProof/>
                <w:lang w:val="es-DO"/>
              </w:rPr>
              <w:br/>
            </w:r>
            <w:r w:rsidRPr="005C133F">
              <w:rPr>
                <w:rFonts w:eastAsia="Calibri"/>
                <w:noProof/>
                <w:lang w:val="es-DO"/>
              </w:rPr>
              <w:br/>
            </w:r>
            <w:r w:rsidRPr="005C133F">
              <w:rPr>
                <w:rFonts w:eastAsia="Calibri"/>
                <w:noProof/>
                <w:lang w:val="es-DO"/>
              </w:rPr>
              <w:br/>
              <w:t>RE.1.2. Porcentaje de afiliación en el  Seguro de Riesgos Laborales (SRL)</w:t>
            </w:r>
          </w:p>
        </w:tc>
        <w:tc>
          <w:tcPr>
            <w:tcW w:w="171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7E1F92B" w14:textId="77777777" w:rsidR="00A07F6B" w:rsidRPr="005C133F" w:rsidRDefault="00A07F6B" w:rsidP="00F26B9E">
            <w:pPr>
              <w:spacing w:after="0" w:line="240" w:lineRule="auto"/>
              <w:rPr>
                <w:rFonts w:eastAsia="Calibri"/>
                <w:noProof/>
                <w:lang w:val="es-DO"/>
              </w:rPr>
            </w:pPr>
            <w:r w:rsidRPr="005C133F">
              <w:rPr>
                <w:rFonts w:eastAsia="Calibri"/>
                <w:noProof/>
                <w:lang w:val="es-DO"/>
              </w:rPr>
              <w:t>RI.8  Mejorada la supervisión del recaudo y la entrega oportuna de los subsidios de Maternidad, Lactancia y enfermedad común.</w:t>
            </w:r>
          </w:p>
        </w:tc>
        <w:tc>
          <w:tcPr>
            <w:tcW w:w="3260" w:type="dxa"/>
            <w:tcBorders>
              <w:top w:val="nil"/>
              <w:left w:val="nil"/>
              <w:bottom w:val="single" w:sz="4" w:space="0" w:color="808080"/>
              <w:right w:val="single" w:sz="4" w:space="0" w:color="808080"/>
            </w:tcBorders>
            <w:shd w:val="clear" w:color="000000" w:fill="FFFFFF"/>
            <w:vAlign w:val="center"/>
            <w:hideMark/>
          </w:tcPr>
          <w:p w14:paraId="23209FCB" w14:textId="77777777" w:rsidR="00A07F6B" w:rsidRPr="005C133F" w:rsidRDefault="00A07F6B" w:rsidP="00F26B9E">
            <w:pPr>
              <w:spacing w:after="0" w:line="240" w:lineRule="auto"/>
              <w:rPr>
                <w:rFonts w:eastAsia="Calibri"/>
                <w:noProof/>
                <w:lang w:val="es-DO"/>
              </w:rPr>
            </w:pPr>
            <w:r w:rsidRPr="005C133F">
              <w:rPr>
                <w:rFonts w:eastAsia="Calibri"/>
                <w:noProof/>
                <w:lang w:val="es-DO"/>
              </w:rPr>
              <w:t>RI.8.1 Índice de Suficiencia del Recaudo</w:t>
            </w:r>
          </w:p>
        </w:tc>
        <w:tc>
          <w:tcPr>
            <w:tcW w:w="3174" w:type="dxa"/>
            <w:tcBorders>
              <w:top w:val="nil"/>
              <w:left w:val="nil"/>
              <w:bottom w:val="single" w:sz="4" w:space="0" w:color="808080"/>
              <w:right w:val="single" w:sz="4" w:space="0" w:color="808080"/>
            </w:tcBorders>
            <w:shd w:val="clear" w:color="000000" w:fill="FFFFFF"/>
            <w:vAlign w:val="center"/>
            <w:hideMark/>
          </w:tcPr>
          <w:p w14:paraId="359EF8ED" w14:textId="77777777" w:rsidR="00A07F6B" w:rsidRPr="005C133F" w:rsidRDefault="00A07F6B" w:rsidP="00F26B9E">
            <w:pPr>
              <w:spacing w:after="0" w:line="240" w:lineRule="auto"/>
              <w:rPr>
                <w:rFonts w:eastAsia="Calibri"/>
                <w:noProof/>
                <w:lang w:val="es-DO"/>
              </w:rPr>
            </w:pPr>
            <w:r w:rsidRPr="005C133F">
              <w:rPr>
                <w:rFonts w:eastAsia="Calibri"/>
                <w:noProof/>
                <w:lang w:val="es-DO"/>
              </w:rPr>
              <w:t>Evaluada la suficiencia del recaudo para los Subsidios de Maternidad, Lactancia y Enfermedad Común</w:t>
            </w:r>
          </w:p>
        </w:tc>
      </w:tr>
      <w:tr w:rsidR="004921FF" w:rsidRPr="00CD02F5" w14:paraId="5CD5FEC8" w14:textId="77777777" w:rsidTr="00FA26CE">
        <w:trPr>
          <w:trHeight w:val="1404"/>
        </w:trPr>
        <w:tc>
          <w:tcPr>
            <w:tcW w:w="0" w:type="auto"/>
            <w:vMerge/>
            <w:tcBorders>
              <w:top w:val="nil"/>
              <w:left w:val="single" w:sz="4" w:space="0" w:color="808080"/>
              <w:bottom w:val="single" w:sz="4" w:space="0" w:color="808080"/>
              <w:right w:val="single" w:sz="4" w:space="0" w:color="808080"/>
            </w:tcBorders>
            <w:vAlign w:val="center"/>
            <w:hideMark/>
          </w:tcPr>
          <w:p w14:paraId="27769580" w14:textId="77777777" w:rsidR="00A07F6B" w:rsidRPr="005C133F" w:rsidRDefault="00A07F6B" w:rsidP="00F26B9E">
            <w:pPr>
              <w:spacing w:after="0" w:line="240" w:lineRule="auto"/>
              <w:rPr>
                <w:rFonts w:eastAsia="Calibri"/>
                <w:noProof/>
                <w:lang w:val="es-DO"/>
              </w:rPr>
            </w:pPr>
          </w:p>
        </w:tc>
        <w:tc>
          <w:tcPr>
            <w:tcW w:w="0" w:type="auto"/>
            <w:vMerge/>
            <w:tcBorders>
              <w:top w:val="nil"/>
              <w:left w:val="single" w:sz="4" w:space="0" w:color="808080"/>
              <w:bottom w:val="single" w:sz="4" w:space="0" w:color="808080"/>
              <w:right w:val="single" w:sz="4" w:space="0" w:color="808080"/>
            </w:tcBorders>
            <w:vAlign w:val="center"/>
            <w:hideMark/>
          </w:tcPr>
          <w:p w14:paraId="0B521C28" w14:textId="77777777" w:rsidR="00A07F6B" w:rsidRPr="005C133F" w:rsidRDefault="00A07F6B" w:rsidP="00F26B9E">
            <w:pPr>
              <w:spacing w:after="0" w:line="240" w:lineRule="auto"/>
              <w:rPr>
                <w:rFonts w:eastAsia="Calibri"/>
                <w:noProof/>
                <w:lang w:val="es-DO"/>
              </w:rPr>
            </w:pPr>
          </w:p>
        </w:tc>
        <w:tc>
          <w:tcPr>
            <w:tcW w:w="1712" w:type="dxa"/>
            <w:vMerge/>
            <w:tcBorders>
              <w:top w:val="nil"/>
              <w:left w:val="single" w:sz="4" w:space="0" w:color="808080"/>
              <w:bottom w:val="single" w:sz="4" w:space="0" w:color="808080"/>
              <w:right w:val="single" w:sz="4" w:space="0" w:color="808080"/>
            </w:tcBorders>
            <w:vAlign w:val="center"/>
            <w:hideMark/>
          </w:tcPr>
          <w:p w14:paraId="680ED709" w14:textId="77777777" w:rsidR="00A07F6B" w:rsidRPr="005C133F" w:rsidRDefault="00A07F6B" w:rsidP="00F26B9E">
            <w:pPr>
              <w:spacing w:after="0" w:line="240" w:lineRule="auto"/>
              <w:rPr>
                <w:rFonts w:eastAsia="Calibri"/>
                <w:noProof/>
                <w:lang w:val="es-DO"/>
              </w:rPr>
            </w:pPr>
          </w:p>
        </w:tc>
        <w:tc>
          <w:tcPr>
            <w:tcW w:w="3260" w:type="dxa"/>
            <w:tcBorders>
              <w:top w:val="nil"/>
              <w:left w:val="nil"/>
              <w:bottom w:val="single" w:sz="4" w:space="0" w:color="808080"/>
              <w:right w:val="single" w:sz="4" w:space="0" w:color="808080"/>
            </w:tcBorders>
            <w:shd w:val="clear" w:color="000000" w:fill="FFFFFF"/>
            <w:vAlign w:val="center"/>
            <w:hideMark/>
          </w:tcPr>
          <w:p w14:paraId="1C5C706E" w14:textId="77777777" w:rsidR="00A07F6B" w:rsidRPr="005C133F" w:rsidRDefault="00A07F6B" w:rsidP="00F26B9E">
            <w:pPr>
              <w:spacing w:after="0" w:line="240" w:lineRule="auto"/>
              <w:rPr>
                <w:rFonts w:eastAsia="Calibri"/>
                <w:noProof/>
                <w:lang w:val="es-DO"/>
              </w:rPr>
            </w:pPr>
            <w:r w:rsidRPr="005C133F">
              <w:rPr>
                <w:rFonts w:eastAsia="Calibri"/>
                <w:noProof/>
                <w:lang w:val="es-DO"/>
              </w:rPr>
              <w:t>RI.8.2 Porcentaje de subsidios entregados oportunamente</w:t>
            </w:r>
            <w:r w:rsidRPr="005C133F">
              <w:rPr>
                <w:rFonts w:eastAsia="Calibri"/>
                <w:noProof/>
                <w:lang w:val="es-DO"/>
              </w:rPr>
              <w:br/>
              <w:t>Fórmula: (Numero de subsidios entregados dentro del plazo / Total de subsidios programados para entrega) ×100</w:t>
            </w:r>
          </w:p>
        </w:tc>
        <w:tc>
          <w:tcPr>
            <w:tcW w:w="3174"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151DE9D"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Trabajadores y/o madres trabajadoras con hijos recién nacidos se benefician de subsidios por Maternidad, Lactancia y Enfermedad Común  </w:t>
            </w:r>
          </w:p>
        </w:tc>
      </w:tr>
      <w:tr w:rsidR="004921FF" w:rsidRPr="00CD02F5" w14:paraId="47EEA370" w14:textId="77777777" w:rsidTr="00FA26CE">
        <w:trPr>
          <w:trHeight w:val="1752"/>
        </w:trPr>
        <w:tc>
          <w:tcPr>
            <w:tcW w:w="0" w:type="auto"/>
            <w:vMerge/>
            <w:tcBorders>
              <w:top w:val="nil"/>
              <w:left w:val="single" w:sz="4" w:space="0" w:color="808080"/>
              <w:bottom w:val="single" w:sz="4" w:space="0" w:color="808080"/>
              <w:right w:val="single" w:sz="4" w:space="0" w:color="808080"/>
            </w:tcBorders>
            <w:vAlign w:val="center"/>
            <w:hideMark/>
          </w:tcPr>
          <w:p w14:paraId="189C1F04" w14:textId="77777777" w:rsidR="00A07F6B" w:rsidRPr="005C133F" w:rsidRDefault="00A07F6B"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385EA68F" w14:textId="77777777" w:rsidR="00A07F6B" w:rsidRPr="005C133F" w:rsidRDefault="00A07F6B" w:rsidP="00F26B9E">
            <w:pPr>
              <w:spacing w:after="0" w:line="240" w:lineRule="auto"/>
              <w:rPr>
                <w:rFonts w:eastAsia="Times New Roman"/>
                <w:i/>
                <w:iCs/>
                <w:spacing w:val="0"/>
                <w:lang w:val="es-DO" w:eastAsia="es-DO"/>
              </w:rPr>
            </w:pPr>
          </w:p>
        </w:tc>
        <w:tc>
          <w:tcPr>
            <w:tcW w:w="1712" w:type="dxa"/>
            <w:vMerge/>
            <w:tcBorders>
              <w:top w:val="nil"/>
              <w:left w:val="single" w:sz="4" w:space="0" w:color="808080"/>
              <w:bottom w:val="single" w:sz="4" w:space="0" w:color="808080"/>
              <w:right w:val="single" w:sz="4" w:space="0" w:color="808080"/>
            </w:tcBorders>
            <w:vAlign w:val="center"/>
            <w:hideMark/>
          </w:tcPr>
          <w:p w14:paraId="22288814" w14:textId="77777777" w:rsidR="00A07F6B" w:rsidRPr="005C133F" w:rsidRDefault="00A07F6B" w:rsidP="00F26B9E">
            <w:pPr>
              <w:spacing w:after="0" w:line="240" w:lineRule="auto"/>
              <w:rPr>
                <w:rFonts w:eastAsia="Times New Roman"/>
                <w:i/>
                <w:iCs/>
                <w:spacing w:val="0"/>
                <w:lang w:val="es-DO" w:eastAsia="es-DO"/>
              </w:rPr>
            </w:pPr>
          </w:p>
        </w:tc>
        <w:tc>
          <w:tcPr>
            <w:tcW w:w="3260" w:type="dxa"/>
            <w:tcBorders>
              <w:top w:val="nil"/>
              <w:left w:val="nil"/>
              <w:bottom w:val="single" w:sz="4" w:space="0" w:color="808080"/>
              <w:right w:val="single" w:sz="4" w:space="0" w:color="808080"/>
            </w:tcBorders>
            <w:shd w:val="clear" w:color="000000" w:fill="FFFFFF"/>
            <w:vAlign w:val="center"/>
            <w:hideMark/>
          </w:tcPr>
          <w:p w14:paraId="07F92FBA"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RI.8.3 Porcentaje de subsidios de años anteriores pagados </w:t>
            </w:r>
            <w:r w:rsidRPr="005C133F">
              <w:rPr>
                <w:rFonts w:eastAsia="Calibri"/>
                <w:noProof/>
                <w:lang w:val="es-DO"/>
              </w:rPr>
              <w:br/>
              <w:t>Fórmula: (Número de subsidios de años anteriores pagados / Entre número de solicitudes de subsidios cerradas en años anteriores)*100</w:t>
            </w:r>
          </w:p>
        </w:tc>
        <w:tc>
          <w:tcPr>
            <w:tcW w:w="3174" w:type="dxa"/>
            <w:vMerge/>
            <w:tcBorders>
              <w:top w:val="nil"/>
              <w:left w:val="single" w:sz="4" w:space="0" w:color="808080"/>
              <w:bottom w:val="single" w:sz="4" w:space="0" w:color="808080"/>
              <w:right w:val="single" w:sz="4" w:space="0" w:color="808080"/>
            </w:tcBorders>
            <w:vAlign w:val="center"/>
            <w:hideMark/>
          </w:tcPr>
          <w:p w14:paraId="7DA8987B" w14:textId="77777777" w:rsidR="00A07F6B" w:rsidRPr="005C133F" w:rsidRDefault="00A07F6B" w:rsidP="00F26B9E">
            <w:pPr>
              <w:spacing w:after="0" w:line="240" w:lineRule="auto"/>
              <w:rPr>
                <w:rFonts w:eastAsia="Times New Roman"/>
                <w:i/>
                <w:iCs/>
                <w:spacing w:val="0"/>
                <w:lang w:val="es-DO" w:eastAsia="es-DO"/>
              </w:rPr>
            </w:pPr>
          </w:p>
        </w:tc>
      </w:tr>
      <w:tr w:rsidR="004921FF" w:rsidRPr="00CD02F5" w14:paraId="5C548037" w14:textId="77777777" w:rsidTr="00FA26CE">
        <w:trPr>
          <w:trHeight w:val="77"/>
        </w:trPr>
        <w:tc>
          <w:tcPr>
            <w:tcW w:w="0" w:type="auto"/>
            <w:vMerge/>
            <w:tcBorders>
              <w:top w:val="nil"/>
              <w:left w:val="single" w:sz="4" w:space="0" w:color="808080"/>
              <w:bottom w:val="single" w:sz="4" w:space="0" w:color="808080"/>
              <w:right w:val="single" w:sz="4" w:space="0" w:color="808080"/>
            </w:tcBorders>
            <w:vAlign w:val="center"/>
            <w:hideMark/>
          </w:tcPr>
          <w:p w14:paraId="2900EA2A" w14:textId="77777777" w:rsidR="00A07F6B" w:rsidRPr="005C133F" w:rsidRDefault="00A07F6B"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23240502" w14:textId="77777777" w:rsidR="00A07F6B" w:rsidRPr="005C133F" w:rsidRDefault="00A07F6B" w:rsidP="00F26B9E">
            <w:pPr>
              <w:spacing w:after="0" w:line="240" w:lineRule="auto"/>
              <w:rPr>
                <w:rFonts w:eastAsia="Times New Roman"/>
                <w:i/>
                <w:iCs/>
                <w:spacing w:val="0"/>
                <w:lang w:val="es-DO" w:eastAsia="es-DO"/>
              </w:rPr>
            </w:pPr>
          </w:p>
        </w:tc>
        <w:tc>
          <w:tcPr>
            <w:tcW w:w="1712" w:type="dxa"/>
            <w:vMerge/>
            <w:tcBorders>
              <w:top w:val="nil"/>
              <w:left w:val="single" w:sz="4" w:space="0" w:color="808080"/>
              <w:bottom w:val="single" w:sz="4" w:space="0" w:color="808080"/>
              <w:right w:val="single" w:sz="4" w:space="0" w:color="808080"/>
            </w:tcBorders>
            <w:vAlign w:val="center"/>
            <w:hideMark/>
          </w:tcPr>
          <w:p w14:paraId="37E0D699" w14:textId="77777777" w:rsidR="00A07F6B" w:rsidRPr="005C133F" w:rsidRDefault="00A07F6B" w:rsidP="00F26B9E">
            <w:pPr>
              <w:spacing w:after="0" w:line="240" w:lineRule="auto"/>
              <w:rPr>
                <w:rFonts w:eastAsia="Times New Roman"/>
                <w:i/>
                <w:iCs/>
                <w:spacing w:val="0"/>
                <w:lang w:val="es-DO" w:eastAsia="es-DO"/>
              </w:rPr>
            </w:pPr>
          </w:p>
        </w:tc>
        <w:tc>
          <w:tcPr>
            <w:tcW w:w="3260" w:type="dxa"/>
            <w:tcBorders>
              <w:top w:val="nil"/>
              <w:left w:val="nil"/>
              <w:bottom w:val="single" w:sz="4" w:space="0" w:color="808080"/>
              <w:right w:val="single" w:sz="4" w:space="0" w:color="808080"/>
            </w:tcBorders>
            <w:shd w:val="clear" w:color="000000" w:fill="FFFFFF"/>
            <w:vAlign w:val="center"/>
            <w:hideMark/>
          </w:tcPr>
          <w:p w14:paraId="47958040"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RI.8.4 Eficiencia en la capacidad de evaluación de solicitudes de subsidios </w:t>
            </w:r>
            <w:r w:rsidRPr="005C133F">
              <w:rPr>
                <w:rFonts w:eastAsia="Calibri"/>
                <w:noProof/>
                <w:lang w:val="es-DO"/>
              </w:rPr>
              <w:br/>
            </w:r>
            <w:r w:rsidRPr="005C133F">
              <w:rPr>
                <w:rFonts w:eastAsia="Calibri"/>
                <w:noProof/>
                <w:lang w:val="es-DO"/>
              </w:rPr>
              <w:lastRenderedPageBreak/>
              <w:t xml:space="preserve">Fórmula: (total de subsidios evaluados / total de subsidios sometidos) </w:t>
            </w:r>
          </w:p>
        </w:tc>
        <w:tc>
          <w:tcPr>
            <w:tcW w:w="3174" w:type="dxa"/>
            <w:vMerge/>
            <w:tcBorders>
              <w:top w:val="nil"/>
              <w:left w:val="single" w:sz="4" w:space="0" w:color="808080"/>
              <w:bottom w:val="single" w:sz="4" w:space="0" w:color="808080"/>
              <w:right w:val="single" w:sz="4" w:space="0" w:color="808080"/>
            </w:tcBorders>
            <w:vAlign w:val="center"/>
            <w:hideMark/>
          </w:tcPr>
          <w:p w14:paraId="4D65FAD4" w14:textId="77777777" w:rsidR="00A07F6B" w:rsidRPr="005C133F" w:rsidRDefault="00A07F6B" w:rsidP="00F26B9E">
            <w:pPr>
              <w:spacing w:after="0" w:line="240" w:lineRule="auto"/>
              <w:rPr>
                <w:rFonts w:eastAsia="Times New Roman"/>
                <w:i/>
                <w:iCs/>
                <w:spacing w:val="0"/>
                <w:lang w:val="es-DO" w:eastAsia="es-DO"/>
              </w:rPr>
            </w:pPr>
          </w:p>
        </w:tc>
      </w:tr>
      <w:tr w:rsidR="004921FF" w:rsidRPr="00CD02F5" w14:paraId="6F6F472F" w14:textId="77777777" w:rsidTr="00432BDF">
        <w:trPr>
          <w:trHeight w:val="817"/>
        </w:trPr>
        <w:tc>
          <w:tcPr>
            <w:tcW w:w="0" w:type="auto"/>
            <w:vMerge/>
            <w:tcBorders>
              <w:top w:val="nil"/>
              <w:left w:val="single" w:sz="4" w:space="0" w:color="808080"/>
              <w:bottom w:val="single" w:sz="4" w:space="0" w:color="808080"/>
              <w:right w:val="single" w:sz="4" w:space="0" w:color="808080"/>
            </w:tcBorders>
            <w:vAlign w:val="center"/>
            <w:hideMark/>
          </w:tcPr>
          <w:p w14:paraId="30C798B8" w14:textId="77777777" w:rsidR="00A07F6B" w:rsidRPr="005C133F" w:rsidRDefault="00A07F6B"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743AA368" w14:textId="77777777" w:rsidR="00A07F6B" w:rsidRPr="005C133F" w:rsidRDefault="00A07F6B" w:rsidP="00F26B9E">
            <w:pPr>
              <w:spacing w:after="0" w:line="240" w:lineRule="auto"/>
              <w:rPr>
                <w:rFonts w:eastAsia="Times New Roman"/>
                <w:i/>
                <w:iCs/>
                <w:spacing w:val="0"/>
                <w:lang w:val="es-DO" w:eastAsia="es-DO"/>
              </w:rPr>
            </w:pPr>
          </w:p>
        </w:tc>
        <w:tc>
          <w:tcPr>
            <w:tcW w:w="171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9BC173" w14:textId="77777777" w:rsidR="00A07F6B" w:rsidRPr="005C133F" w:rsidRDefault="00A07F6B" w:rsidP="00F26B9E">
            <w:pPr>
              <w:spacing w:after="0" w:line="240" w:lineRule="auto"/>
              <w:rPr>
                <w:rFonts w:eastAsia="Times New Roman"/>
                <w:i/>
                <w:iCs/>
                <w:spacing w:val="0"/>
                <w:lang w:val="es-DO" w:eastAsia="es-DO"/>
              </w:rPr>
            </w:pPr>
            <w:r w:rsidRPr="005C133F">
              <w:rPr>
                <w:rFonts w:eastAsia="Calibri"/>
                <w:noProof/>
                <w:lang w:val="es-DO"/>
              </w:rPr>
              <w:t>RI.9  Mejorada la gestión de las peticiones, quejas, reclamos y sugerencias (PQRS)</w:t>
            </w:r>
          </w:p>
        </w:tc>
        <w:tc>
          <w:tcPr>
            <w:tcW w:w="3260"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590535"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RI.9.1 Porcentaje de PQRS  atendidas del total de recibidas, desagregado por tipo </w:t>
            </w:r>
            <w:r w:rsidRPr="005C133F">
              <w:rPr>
                <w:rFonts w:eastAsia="Calibri"/>
                <w:noProof/>
                <w:lang w:val="es-DO"/>
              </w:rPr>
              <w:br/>
              <w:t>Fórmula: (Número de PQRS respondidas dentro del tiempo de respuesta establecido/Número de PQRS recibidas)*100 - DIAU</w:t>
            </w:r>
          </w:p>
        </w:tc>
        <w:tc>
          <w:tcPr>
            <w:tcW w:w="3174" w:type="dxa"/>
            <w:tcBorders>
              <w:top w:val="nil"/>
              <w:left w:val="nil"/>
              <w:bottom w:val="single" w:sz="4" w:space="0" w:color="808080"/>
              <w:right w:val="single" w:sz="4" w:space="0" w:color="808080"/>
            </w:tcBorders>
            <w:shd w:val="clear" w:color="000000" w:fill="FFFFFF"/>
            <w:vAlign w:val="center"/>
            <w:hideMark/>
          </w:tcPr>
          <w:p w14:paraId="2429B772" w14:textId="77777777" w:rsidR="00A07F6B" w:rsidRPr="005C133F" w:rsidRDefault="00A07F6B" w:rsidP="00F26B9E">
            <w:pPr>
              <w:spacing w:after="0" w:line="240" w:lineRule="auto"/>
              <w:rPr>
                <w:rFonts w:eastAsia="Calibri"/>
                <w:noProof/>
                <w:lang w:val="es-DO"/>
              </w:rPr>
            </w:pPr>
            <w:r w:rsidRPr="005C133F">
              <w:rPr>
                <w:rFonts w:eastAsia="Calibri"/>
                <w:noProof/>
                <w:lang w:val="es-DO"/>
              </w:rPr>
              <w:t>Afiliados reciben atención y respuesta a sus PQRS, a través de los diferentes canales habilitados.</w:t>
            </w:r>
          </w:p>
        </w:tc>
      </w:tr>
      <w:tr w:rsidR="004921FF" w:rsidRPr="005C133F" w14:paraId="1F209F0C" w14:textId="77777777" w:rsidTr="00432BDF">
        <w:trPr>
          <w:trHeight w:val="1122"/>
        </w:trPr>
        <w:tc>
          <w:tcPr>
            <w:tcW w:w="0" w:type="auto"/>
            <w:vMerge/>
            <w:tcBorders>
              <w:top w:val="nil"/>
              <w:left w:val="single" w:sz="4" w:space="0" w:color="808080"/>
              <w:bottom w:val="single" w:sz="4" w:space="0" w:color="808080"/>
              <w:right w:val="single" w:sz="4" w:space="0" w:color="808080"/>
            </w:tcBorders>
            <w:vAlign w:val="center"/>
            <w:hideMark/>
          </w:tcPr>
          <w:p w14:paraId="1B0ACDD0" w14:textId="77777777" w:rsidR="00A07F6B" w:rsidRPr="005C133F" w:rsidRDefault="00A07F6B"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0886623B" w14:textId="77777777" w:rsidR="00A07F6B" w:rsidRPr="005C133F" w:rsidRDefault="00A07F6B" w:rsidP="00F26B9E">
            <w:pPr>
              <w:spacing w:after="0" w:line="240" w:lineRule="auto"/>
              <w:rPr>
                <w:rFonts w:eastAsia="Times New Roman"/>
                <w:i/>
                <w:iCs/>
                <w:spacing w:val="0"/>
                <w:lang w:val="es-DO" w:eastAsia="es-DO"/>
              </w:rPr>
            </w:pPr>
          </w:p>
        </w:tc>
        <w:tc>
          <w:tcPr>
            <w:tcW w:w="1712" w:type="dxa"/>
            <w:vMerge/>
            <w:tcBorders>
              <w:top w:val="nil"/>
              <w:left w:val="single" w:sz="4" w:space="0" w:color="808080"/>
              <w:bottom w:val="single" w:sz="4" w:space="0" w:color="808080"/>
              <w:right w:val="single" w:sz="4" w:space="0" w:color="808080"/>
            </w:tcBorders>
            <w:vAlign w:val="center"/>
            <w:hideMark/>
          </w:tcPr>
          <w:p w14:paraId="267337B8" w14:textId="77777777" w:rsidR="00A07F6B" w:rsidRPr="005C133F" w:rsidRDefault="00A07F6B" w:rsidP="00F26B9E">
            <w:pPr>
              <w:spacing w:after="0" w:line="240" w:lineRule="auto"/>
              <w:rPr>
                <w:rFonts w:eastAsia="Times New Roman"/>
                <w:i/>
                <w:iCs/>
                <w:spacing w:val="0"/>
                <w:lang w:val="es-DO" w:eastAsia="es-DO"/>
              </w:rPr>
            </w:pPr>
          </w:p>
        </w:tc>
        <w:tc>
          <w:tcPr>
            <w:tcW w:w="3260" w:type="dxa"/>
            <w:vMerge/>
            <w:tcBorders>
              <w:top w:val="nil"/>
              <w:left w:val="single" w:sz="4" w:space="0" w:color="808080"/>
              <w:bottom w:val="single" w:sz="4" w:space="0" w:color="808080"/>
              <w:right w:val="single" w:sz="4" w:space="0" w:color="808080"/>
            </w:tcBorders>
            <w:vAlign w:val="center"/>
            <w:hideMark/>
          </w:tcPr>
          <w:p w14:paraId="2D2D4FDB" w14:textId="77777777" w:rsidR="00A07F6B" w:rsidRPr="005C133F" w:rsidRDefault="00A07F6B" w:rsidP="00F26B9E">
            <w:pPr>
              <w:spacing w:after="0" w:line="240" w:lineRule="auto"/>
              <w:rPr>
                <w:rFonts w:eastAsia="Calibri"/>
                <w:noProof/>
                <w:lang w:val="es-DO"/>
              </w:rPr>
            </w:pPr>
          </w:p>
        </w:tc>
        <w:tc>
          <w:tcPr>
            <w:tcW w:w="3174" w:type="dxa"/>
            <w:tcBorders>
              <w:top w:val="nil"/>
              <w:left w:val="nil"/>
              <w:bottom w:val="single" w:sz="4" w:space="0" w:color="808080"/>
              <w:right w:val="single" w:sz="4" w:space="0" w:color="808080"/>
            </w:tcBorders>
            <w:vAlign w:val="center"/>
            <w:hideMark/>
          </w:tcPr>
          <w:p w14:paraId="3E5D5F5F" w14:textId="77777777" w:rsidR="00A07F6B" w:rsidRPr="005C133F" w:rsidRDefault="00A07F6B" w:rsidP="00F26B9E">
            <w:pPr>
              <w:spacing w:after="0" w:line="240" w:lineRule="auto"/>
              <w:rPr>
                <w:rFonts w:eastAsia="Calibri"/>
                <w:noProof/>
                <w:lang w:val="es-DO"/>
              </w:rPr>
            </w:pPr>
            <w:r w:rsidRPr="005C133F">
              <w:rPr>
                <w:rFonts w:eastAsia="Calibri"/>
                <w:noProof/>
                <w:lang w:val="es-DO"/>
              </w:rPr>
              <w:t>Actores del SFS y SRL  reciben atención y respuesta oportuna en relación a sus PQRS, a través de los diferentes canales habilitados. (DARCP)</w:t>
            </w:r>
          </w:p>
        </w:tc>
      </w:tr>
      <w:tr w:rsidR="004921FF" w:rsidRPr="00CD02F5" w14:paraId="2086393D" w14:textId="77777777" w:rsidTr="00FA26CE">
        <w:trPr>
          <w:trHeight w:val="77"/>
        </w:trPr>
        <w:tc>
          <w:tcPr>
            <w:tcW w:w="0" w:type="auto"/>
            <w:vMerge/>
            <w:tcBorders>
              <w:top w:val="nil"/>
              <w:left w:val="single" w:sz="4" w:space="0" w:color="808080"/>
              <w:bottom w:val="single" w:sz="4" w:space="0" w:color="808080"/>
              <w:right w:val="single" w:sz="4" w:space="0" w:color="808080"/>
            </w:tcBorders>
            <w:vAlign w:val="center"/>
            <w:hideMark/>
          </w:tcPr>
          <w:p w14:paraId="4182598A" w14:textId="77777777" w:rsidR="00A07F6B" w:rsidRPr="005C133F" w:rsidRDefault="00A07F6B" w:rsidP="00F26B9E">
            <w:pPr>
              <w:spacing w:after="0" w:line="240" w:lineRule="auto"/>
              <w:rPr>
                <w:rFonts w:eastAsia="Times New Roman"/>
                <w:i/>
                <w:iCs/>
                <w:spacing w:val="0"/>
                <w:lang w:val="es-DO" w:eastAsia="es-DO"/>
              </w:rPr>
            </w:pPr>
          </w:p>
        </w:tc>
        <w:tc>
          <w:tcPr>
            <w:tcW w:w="0" w:type="auto"/>
            <w:vMerge/>
            <w:tcBorders>
              <w:top w:val="nil"/>
              <w:left w:val="single" w:sz="4" w:space="0" w:color="808080"/>
              <w:bottom w:val="single" w:sz="4" w:space="0" w:color="808080"/>
              <w:right w:val="single" w:sz="4" w:space="0" w:color="808080"/>
            </w:tcBorders>
            <w:vAlign w:val="center"/>
            <w:hideMark/>
          </w:tcPr>
          <w:p w14:paraId="40B1D63B" w14:textId="77777777" w:rsidR="00A07F6B" w:rsidRPr="005C133F" w:rsidRDefault="00A07F6B" w:rsidP="00F26B9E">
            <w:pPr>
              <w:spacing w:after="0" w:line="240" w:lineRule="auto"/>
              <w:rPr>
                <w:rFonts w:eastAsia="Times New Roman"/>
                <w:i/>
                <w:iCs/>
                <w:spacing w:val="0"/>
                <w:lang w:val="es-DO" w:eastAsia="es-DO"/>
              </w:rPr>
            </w:pPr>
          </w:p>
        </w:tc>
        <w:tc>
          <w:tcPr>
            <w:tcW w:w="1712" w:type="dxa"/>
            <w:tcBorders>
              <w:top w:val="nil"/>
              <w:left w:val="nil"/>
              <w:bottom w:val="single" w:sz="4" w:space="0" w:color="808080"/>
              <w:right w:val="single" w:sz="4" w:space="0" w:color="808080"/>
            </w:tcBorders>
            <w:vAlign w:val="center"/>
            <w:hideMark/>
          </w:tcPr>
          <w:p w14:paraId="017459C6" w14:textId="77777777" w:rsidR="00A07F6B" w:rsidRPr="005C133F" w:rsidRDefault="00A07F6B" w:rsidP="00F26B9E">
            <w:pPr>
              <w:spacing w:after="0" w:line="240" w:lineRule="auto"/>
              <w:rPr>
                <w:rFonts w:eastAsia="Calibri"/>
                <w:noProof/>
                <w:lang w:val="es-DO"/>
              </w:rPr>
            </w:pPr>
            <w:r w:rsidRPr="005C133F">
              <w:rPr>
                <w:rFonts w:eastAsia="Calibri"/>
                <w:noProof/>
                <w:lang w:val="es-DO"/>
              </w:rPr>
              <w:t xml:space="preserve">RI.10  Ampliado el alcance de los programas de información y sensibilización sobre derechos, deberes, funcionamiento </w:t>
            </w:r>
            <w:r w:rsidRPr="005C133F">
              <w:rPr>
                <w:rFonts w:eastAsia="Calibri"/>
                <w:noProof/>
                <w:lang w:val="es-DO"/>
              </w:rPr>
              <w:lastRenderedPageBreak/>
              <w:t>del SFS y SRL y canales institucionales disponibles</w:t>
            </w:r>
          </w:p>
        </w:tc>
        <w:tc>
          <w:tcPr>
            <w:tcW w:w="3260" w:type="dxa"/>
            <w:tcBorders>
              <w:top w:val="nil"/>
              <w:left w:val="nil"/>
              <w:bottom w:val="single" w:sz="4" w:space="0" w:color="808080"/>
              <w:right w:val="single" w:sz="4" w:space="0" w:color="808080"/>
            </w:tcBorders>
            <w:vAlign w:val="center"/>
            <w:hideMark/>
          </w:tcPr>
          <w:p w14:paraId="67A4A737" w14:textId="77777777" w:rsidR="00A07F6B" w:rsidRPr="005C133F" w:rsidRDefault="00A07F6B" w:rsidP="00F26B9E">
            <w:pPr>
              <w:spacing w:after="0" w:line="240" w:lineRule="auto"/>
              <w:rPr>
                <w:rFonts w:eastAsia="Calibri"/>
                <w:noProof/>
                <w:lang w:val="es-DO"/>
              </w:rPr>
            </w:pPr>
            <w:r w:rsidRPr="005C133F">
              <w:rPr>
                <w:rFonts w:eastAsia="Calibri"/>
                <w:noProof/>
                <w:lang w:val="es-DO"/>
              </w:rPr>
              <w:lastRenderedPageBreak/>
              <w:t>RI.10.1 Porcentaje de personas que conocen sus derechos y deberes en  el marco del SFS y el SRL y los canales institucionales de PQRS</w:t>
            </w:r>
            <w:r w:rsidRPr="005C133F">
              <w:rPr>
                <w:rFonts w:eastAsia="Calibri"/>
                <w:noProof/>
                <w:lang w:val="es-DO"/>
              </w:rPr>
              <w:br/>
              <w:t xml:space="preserve">Fórmula: (Número de personas que declaran conocer sus derechos, deberes y canales PQRS / </w:t>
            </w:r>
            <w:r w:rsidRPr="005C133F">
              <w:rPr>
                <w:rFonts w:eastAsia="Calibri"/>
                <w:noProof/>
                <w:lang w:val="es-DO"/>
              </w:rPr>
              <w:lastRenderedPageBreak/>
              <w:t xml:space="preserve">Total de personas encuestadas) ×100  </w:t>
            </w:r>
            <w:r w:rsidRPr="005C133F">
              <w:rPr>
                <w:rFonts w:eastAsia="Calibri"/>
                <w:noProof/>
                <w:lang w:val="es-DO"/>
              </w:rPr>
              <w:br/>
              <w:t>Fuente: Encuesta institucional de SISALRIL o encuesta contratada (puede ser encuesta de satisfacción o medición de percepción)</w:t>
            </w:r>
          </w:p>
        </w:tc>
        <w:tc>
          <w:tcPr>
            <w:tcW w:w="3174" w:type="dxa"/>
            <w:tcBorders>
              <w:top w:val="nil"/>
              <w:left w:val="nil"/>
              <w:bottom w:val="single" w:sz="4" w:space="0" w:color="808080"/>
              <w:right w:val="single" w:sz="4" w:space="0" w:color="808080"/>
            </w:tcBorders>
            <w:vAlign w:val="center"/>
            <w:hideMark/>
          </w:tcPr>
          <w:p w14:paraId="32AFE237" w14:textId="77777777" w:rsidR="00A07F6B" w:rsidRPr="005C133F" w:rsidRDefault="00A07F6B" w:rsidP="00F26B9E">
            <w:pPr>
              <w:spacing w:after="0" w:line="240" w:lineRule="auto"/>
              <w:rPr>
                <w:rFonts w:eastAsia="Calibri"/>
                <w:noProof/>
                <w:lang w:val="es-DO"/>
              </w:rPr>
            </w:pPr>
            <w:r w:rsidRPr="005C133F">
              <w:rPr>
                <w:rFonts w:eastAsia="Calibri"/>
                <w:noProof/>
                <w:lang w:val="es-DO"/>
              </w:rPr>
              <w:lastRenderedPageBreak/>
              <w:t xml:space="preserve">Afiliados al SFS y SRL reciben información sobre beneficios del SFS y SRL a través de actividades de divulgación y promoción </w:t>
            </w:r>
          </w:p>
        </w:tc>
      </w:tr>
    </w:tbl>
    <w:p w14:paraId="4EAE8857" w14:textId="77777777" w:rsidR="00A07F6B" w:rsidRPr="005C133F" w:rsidRDefault="00A07F6B" w:rsidP="00F26B9E">
      <w:pPr>
        <w:spacing w:after="0" w:line="240" w:lineRule="auto"/>
        <w:rPr>
          <w:rFonts w:eastAsia="Calibri"/>
          <w:b/>
          <w:bCs/>
          <w:noProof/>
          <w:lang w:val="es-DO"/>
        </w:rPr>
      </w:pPr>
    </w:p>
    <w:tbl>
      <w:tblPr>
        <w:tblpPr w:leftFromText="141" w:rightFromText="141" w:vertAnchor="text" w:tblpY="1"/>
        <w:tblOverlap w:val="never"/>
        <w:tblW w:w="0" w:type="auto"/>
        <w:tblCellMar>
          <w:left w:w="70" w:type="dxa"/>
          <w:right w:w="70" w:type="dxa"/>
        </w:tblCellMar>
        <w:tblLook w:val="04A0" w:firstRow="1" w:lastRow="0" w:firstColumn="1" w:lastColumn="0" w:noHBand="0" w:noVBand="1"/>
      </w:tblPr>
      <w:tblGrid>
        <w:gridCol w:w="1966"/>
        <w:gridCol w:w="1964"/>
        <w:gridCol w:w="2120"/>
        <w:gridCol w:w="2502"/>
        <w:gridCol w:w="4398"/>
      </w:tblGrid>
      <w:tr w:rsidR="005C133F" w:rsidRPr="00CD02F5" w14:paraId="4A1EDD2B" w14:textId="77777777" w:rsidTr="006A7520">
        <w:trPr>
          <w:trHeight w:val="281"/>
          <w:tblHeader/>
        </w:trPr>
        <w:tc>
          <w:tcPr>
            <w:tcW w:w="0" w:type="auto"/>
            <w:gridSpan w:val="5"/>
            <w:tcBorders>
              <w:top w:val="nil"/>
              <w:left w:val="single" w:sz="4" w:space="0" w:color="808080"/>
              <w:bottom w:val="single" w:sz="4" w:space="0" w:color="808080"/>
              <w:right w:val="single" w:sz="4" w:space="0" w:color="808080"/>
            </w:tcBorders>
            <w:shd w:val="clear" w:color="auto" w:fill="011C50"/>
            <w:vAlign w:val="center"/>
          </w:tcPr>
          <w:p w14:paraId="1FDBB0EB" w14:textId="06A71414" w:rsidR="00E4687C" w:rsidRPr="005C133F" w:rsidRDefault="00E4687C" w:rsidP="00F26B9E">
            <w:pPr>
              <w:spacing w:after="0" w:line="240" w:lineRule="auto"/>
              <w:jc w:val="center"/>
              <w:rPr>
                <w:rFonts w:eastAsia="Calibri"/>
                <w:b/>
                <w:bCs/>
                <w:noProof/>
                <w:color w:val="FFFFFF" w:themeColor="background1"/>
                <w:lang w:val="es-DO"/>
              </w:rPr>
            </w:pPr>
            <w:r w:rsidRPr="005C133F">
              <w:rPr>
                <w:rFonts w:eastAsia="Calibri"/>
                <w:b/>
                <w:bCs/>
                <w:noProof/>
                <w:color w:val="FFFFFF" w:themeColor="background1"/>
                <w:lang w:val="es-DO"/>
              </w:rPr>
              <w:t>5. Fortalecimiento de las capacidades institucionales</w:t>
            </w:r>
          </w:p>
        </w:tc>
      </w:tr>
      <w:tr w:rsidR="005C133F" w:rsidRPr="005C133F" w14:paraId="7AE89AA0" w14:textId="77777777" w:rsidTr="006A7520">
        <w:trPr>
          <w:trHeight w:val="271"/>
          <w:tblHeader/>
        </w:trPr>
        <w:tc>
          <w:tcPr>
            <w:tcW w:w="1980" w:type="dxa"/>
            <w:tcBorders>
              <w:top w:val="nil"/>
              <w:left w:val="single" w:sz="4" w:space="0" w:color="808080"/>
              <w:bottom w:val="single" w:sz="4" w:space="0" w:color="808080"/>
              <w:right w:val="single" w:sz="4" w:space="0" w:color="808080"/>
            </w:tcBorders>
            <w:shd w:val="clear" w:color="auto" w:fill="011C50"/>
            <w:vAlign w:val="center"/>
          </w:tcPr>
          <w:p w14:paraId="49A19BCD" w14:textId="7E9A5149" w:rsidR="000323BD" w:rsidRPr="005C133F" w:rsidRDefault="000323BD" w:rsidP="00F26B9E">
            <w:pPr>
              <w:spacing w:after="0" w:line="240" w:lineRule="auto"/>
              <w:jc w:val="center"/>
              <w:rPr>
                <w:rFonts w:eastAsia="Calibri"/>
                <w:noProof/>
                <w:color w:val="FFFFFF" w:themeColor="background1"/>
                <w:lang w:val="es-DO"/>
              </w:rPr>
            </w:pPr>
            <w:r w:rsidRPr="005C133F">
              <w:rPr>
                <w:rFonts w:eastAsia="Times New Roman"/>
                <w:b/>
                <w:bCs/>
                <w:i/>
                <w:iCs/>
                <w:color w:val="FFFFFF" w:themeColor="background1"/>
                <w:spacing w:val="0"/>
                <w:lang w:val="es-DO" w:eastAsia="es-DO"/>
              </w:rPr>
              <w:t>Resultado estratégico</w:t>
            </w:r>
          </w:p>
        </w:tc>
        <w:tc>
          <w:tcPr>
            <w:tcW w:w="1998" w:type="dxa"/>
            <w:tcBorders>
              <w:top w:val="nil"/>
              <w:left w:val="single" w:sz="4" w:space="0" w:color="808080"/>
              <w:bottom w:val="single" w:sz="4" w:space="0" w:color="808080"/>
              <w:right w:val="single" w:sz="4" w:space="0" w:color="808080"/>
            </w:tcBorders>
            <w:shd w:val="clear" w:color="auto" w:fill="011C50"/>
            <w:vAlign w:val="center"/>
          </w:tcPr>
          <w:p w14:paraId="57E2F41E" w14:textId="004BC659" w:rsidR="000323BD" w:rsidRPr="005C133F" w:rsidRDefault="000323BD" w:rsidP="00F26B9E">
            <w:pPr>
              <w:spacing w:after="0" w:line="240" w:lineRule="auto"/>
              <w:jc w:val="center"/>
              <w:rPr>
                <w:rFonts w:eastAsia="Calibri"/>
                <w:noProof/>
                <w:color w:val="FFFFFF" w:themeColor="background1"/>
                <w:lang w:val="es-DO"/>
              </w:rPr>
            </w:pPr>
            <w:r w:rsidRPr="005C133F">
              <w:rPr>
                <w:rFonts w:eastAsia="Times New Roman"/>
                <w:b/>
                <w:bCs/>
                <w:i/>
                <w:iCs/>
                <w:color w:val="FFFFFF" w:themeColor="background1"/>
                <w:spacing w:val="0"/>
                <w:lang w:val="es-DO" w:eastAsia="es-DO"/>
              </w:rPr>
              <w:t>Indicador</w:t>
            </w:r>
          </w:p>
        </w:tc>
        <w:tc>
          <w:tcPr>
            <w:tcW w:w="1847" w:type="dxa"/>
            <w:tcBorders>
              <w:top w:val="nil"/>
              <w:left w:val="single" w:sz="4" w:space="0" w:color="808080"/>
              <w:bottom w:val="single" w:sz="4" w:space="0" w:color="808080"/>
              <w:right w:val="single" w:sz="4" w:space="0" w:color="808080"/>
            </w:tcBorders>
            <w:shd w:val="clear" w:color="auto" w:fill="011C50"/>
            <w:vAlign w:val="center"/>
          </w:tcPr>
          <w:p w14:paraId="38BC0B46" w14:textId="67AF97EE" w:rsidR="000323BD" w:rsidRPr="005C133F" w:rsidRDefault="000323BD" w:rsidP="00F26B9E">
            <w:pPr>
              <w:spacing w:after="0" w:line="240" w:lineRule="auto"/>
              <w:jc w:val="center"/>
              <w:rPr>
                <w:rFonts w:eastAsia="Calibri"/>
                <w:noProof/>
                <w:color w:val="FFFFFF" w:themeColor="background1"/>
                <w:lang w:val="es-DO"/>
              </w:rPr>
            </w:pPr>
            <w:r w:rsidRPr="005C133F">
              <w:rPr>
                <w:rFonts w:eastAsia="Times New Roman"/>
                <w:b/>
                <w:bCs/>
                <w:i/>
                <w:iCs/>
                <w:color w:val="FFFFFF" w:themeColor="background1"/>
                <w:spacing w:val="0"/>
                <w:lang w:val="es-DO" w:eastAsia="es-DO"/>
              </w:rPr>
              <w:t>Resultados intermedios</w:t>
            </w:r>
          </w:p>
        </w:tc>
        <w:tc>
          <w:tcPr>
            <w:tcW w:w="2534" w:type="dxa"/>
            <w:tcBorders>
              <w:top w:val="nil"/>
              <w:left w:val="single" w:sz="4" w:space="0" w:color="808080"/>
              <w:bottom w:val="single" w:sz="4" w:space="0" w:color="808080"/>
              <w:right w:val="single" w:sz="4" w:space="0" w:color="808080"/>
            </w:tcBorders>
            <w:shd w:val="clear" w:color="auto" w:fill="011C50"/>
            <w:vAlign w:val="center"/>
          </w:tcPr>
          <w:p w14:paraId="2109573F" w14:textId="4E37616E" w:rsidR="000323BD" w:rsidRPr="005C133F" w:rsidRDefault="00052FC6" w:rsidP="00F26B9E">
            <w:pPr>
              <w:spacing w:after="0" w:line="240" w:lineRule="auto"/>
              <w:jc w:val="center"/>
              <w:rPr>
                <w:rFonts w:eastAsia="Calibri"/>
                <w:noProof/>
                <w:color w:val="FFFFFF" w:themeColor="background1"/>
                <w:lang w:val="es-DO"/>
              </w:rPr>
            </w:pPr>
            <w:r w:rsidRPr="005C133F">
              <w:rPr>
                <w:rFonts w:eastAsia="Times New Roman"/>
                <w:b/>
                <w:bCs/>
                <w:i/>
                <w:iCs/>
                <w:color w:val="FFFFFF" w:themeColor="background1"/>
                <w:spacing w:val="0"/>
                <w:lang w:val="es-DO" w:eastAsia="es-DO"/>
              </w:rPr>
              <w:t>Indicadores</w:t>
            </w:r>
          </w:p>
        </w:tc>
        <w:tc>
          <w:tcPr>
            <w:tcW w:w="4591" w:type="dxa"/>
            <w:tcBorders>
              <w:top w:val="nil"/>
              <w:left w:val="nil"/>
              <w:bottom w:val="single" w:sz="4" w:space="0" w:color="808080"/>
              <w:right w:val="single" w:sz="4" w:space="0" w:color="808080"/>
            </w:tcBorders>
            <w:shd w:val="clear" w:color="auto" w:fill="011C50"/>
            <w:vAlign w:val="center"/>
          </w:tcPr>
          <w:p w14:paraId="7E64C50E" w14:textId="12152CA2" w:rsidR="000323BD" w:rsidRPr="005C133F" w:rsidRDefault="00052FC6" w:rsidP="00F26B9E">
            <w:pPr>
              <w:spacing w:after="0" w:line="240" w:lineRule="auto"/>
              <w:jc w:val="center"/>
              <w:rPr>
                <w:rFonts w:eastAsia="Calibri"/>
                <w:noProof/>
                <w:color w:val="FFFFFF" w:themeColor="background1"/>
                <w:lang w:val="es-DO"/>
              </w:rPr>
            </w:pPr>
            <w:r w:rsidRPr="005C133F">
              <w:rPr>
                <w:rFonts w:eastAsia="Times New Roman"/>
                <w:b/>
                <w:bCs/>
                <w:i/>
                <w:iCs/>
                <w:color w:val="FFFFFF" w:themeColor="background1"/>
                <w:spacing w:val="0"/>
                <w:lang w:val="es-DO" w:eastAsia="es-DO"/>
              </w:rPr>
              <w:t>Productos estratégicos</w:t>
            </w:r>
          </w:p>
        </w:tc>
      </w:tr>
      <w:tr w:rsidR="004921FF" w:rsidRPr="00CD02F5" w14:paraId="6FCD5F02" w14:textId="77777777" w:rsidTr="00432BDF">
        <w:trPr>
          <w:trHeight w:val="574"/>
        </w:trPr>
        <w:tc>
          <w:tcPr>
            <w:tcW w:w="1980" w:type="dxa"/>
            <w:vMerge w:val="restart"/>
            <w:tcBorders>
              <w:top w:val="nil"/>
              <w:left w:val="single" w:sz="4" w:space="0" w:color="808080"/>
              <w:bottom w:val="single" w:sz="4" w:space="0" w:color="808080"/>
              <w:right w:val="single" w:sz="4" w:space="0" w:color="808080"/>
            </w:tcBorders>
            <w:vAlign w:val="center"/>
            <w:hideMark/>
          </w:tcPr>
          <w:p w14:paraId="793B9E60" w14:textId="508A99E1" w:rsidR="00E4687C" w:rsidRPr="005C133F" w:rsidRDefault="00E4687C" w:rsidP="00F26B9E">
            <w:pPr>
              <w:spacing w:after="0" w:line="240" w:lineRule="auto"/>
              <w:rPr>
                <w:rFonts w:eastAsia="Calibri"/>
                <w:noProof/>
                <w:lang w:val="es-DO"/>
              </w:rPr>
            </w:pPr>
            <w:r w:rsidRPr="005C133F">
              <w:rPr>
                <w:rFonts w:eastAsia="Calibri"/>
                <w:noProof/>
                <w:lang w:val="es-DO"/>
              </w:rPr>
              <w:t xml:space="preserve">RE.1 Aumentada la protección de la población en el aseguramiento en salud y riesgos laborales, garantizando equidad y </w:t>
            </w:r>
            <w:r w:rsidRPr="005C133F">
              <w:rPr>
                <w:rFonts w:eastAsia="Calibri"/>
                <w:noProof/>
                <w:lang w:val="es-DO"/>
              </w:rPr>
              <w:lastRenderedPageBreak/>
              <w:t xml:space="preserve">calidad  en el acceso </w:t>
            </w:r>
          </w:p>
        </w:tc>
        <w:tc>
          <w:tcPr>
            <w:tcW w:w="1998" w:type="dxa"/>
            <w:vMerge w:val="restart"/>
            <w:tcBorders>
              <w:top w:val="nil"/>
              <w:left w:val="single" w:sz="4" w:space="0" w:color="808080"/>
              <w:bottom w:val="single" w:sz="4" w:space="0" w:color="808080"/>
              <w:right w:val="single" w:sz="4" w:space="0" w:color="808080"/>
            </w:tcBorders>
            <w:vAlign w:val="center"/>
            <w:hideMark/>
          </w:tcPr>
          <w:p w14:paraId="7F37B657" w14:textId="77777777" w:rsidR="00E4687C" w:rsidRPr="005C133F" w:rsidRDefault="00E4687C" w:rsidP="00F26B9E">
            <w:pPr>
              <w:spacing w:after="0" w:line="240" w:lineRule="auto"/>
              <w:rPr>
                <w:rFonts w:eastAsia="Calibri"/>
                <w:noProof/>
                <w:lang w:val="es-DO"/>
              </w:rPr>
            </w:pPr>
            <w:r w:rsidRPr="005C133F">
              <w:rPr>
                <w:rFonts w:eastAsia="Calibri"/>
                <w:noProof/>
                <w:lang w:val="es-DO"/>
              </w:rPr>
              <w:lastRenderedPageBreak/>
              <w:t xml:space="preserve">Porcentaje de afiliación al SFS, desagregado por régimen </w:t>
            </w:r>
          </w:p>
        </w:tc>
        <w:tc>
          <w:tcPr>
            <w:tcW w:w="1847" w:type="dxa"/>
            <w:vMerge w:val="restart"/>
            <w:tcBorders>
              <w:top w:val="nil"/>
              <w:left w:val="single" w:sz="4" w:space="0" w:color="808080"/>
              <w:bottom w:val="single" w:sz="4" w:space="0" w:color="808080"/>
              <w:right w:val="single" w:sz="4" w:space="0" w:color="808080"/>
            </w:tcBorders>
            <w:vAlign w:val="center"/>
            <w:hideMark/>
          </w:tcPr>
          <w:p w14:paraId="2140A8DC" w14:textId="2CFC2005" w:rsidR="00E4687C" w:rsidRPr="005C133F" w:rsidRDefault="00E4687C" w:rsidP="00F26B9E">
            <w:pPr>
              <w:spacing w:after="0" w:line="240" w:lineRule="auto"/>
              <w:rPr>
                <w:rFonts w:eastAsia="Calibri"/>
                <w:noProof/>
                <w:lang w:val="es-DO"/>
              </w:rPr>
            </w:pPr>
            <w:r w:rsidRPr="005C133F">
              <w:rPr>
                <w:rFonts w:eastAsia="Calibri"/>
                <w:noProof/>
                <w:lang w:val="es-DO"/>
              </w:rPr>
              <w:t>RI.11 Mejorado el Desempeño Institucional en el Sistema de Monitoreo y Medición de la Gestión Pública</w:t>
            </w:r>
          </w:p>
        </w:tc>
        <w:tc>
          <w:tcPr>
            <w:tcW w:w="2534" w:type="dxa"/>
            <w:vMerge w:val="restart"/>
            <w:tcBorders>
              <w:top w:val="nil"/>
              <w:left w:val="single" w:sz="4" w:space="0" w:color="808080"/>
              <w:bottom w:val="single" w:sz="4" w:space="0" w:color="808080"/>
              <w:right w:val="single" w:sz="4" w:space="0" w:color="808080"/>
            </w:tcBorders>
            <w:vAlign w:val="center"/>
            <w:hideMark/>
          </w:tcPr>
          <w:p w14:paraId="489AC00F" w14:textId="77777777" w:rsidR="00E4687C" w:rsidRPr="005C133F" w:rsidRDefault="00E4687C" w:rsidP="00F26B9E">
            <w:pPr>
              <w:spacing w:after="0" w:line="240" w:lineRule="auto"/>
              <w:jc w:val="center"/>
              <w:rPr>
                <w:rFonts w:eastAsia="Calibri"/>
                <w:noProof/>
                <w:lang w:val="es-DO"/>
              </w:rPr>
            </w:pPr>
            <w:r w:rsidRPr="005C133F">
              <w:rPr>
                <w:rFonts w:eastAsia="Calibri"/>
                <w:noProof/>
                <w:lang w:val="es-DO"/>
              </w:rPr>
              <w:t xml:space="preserve">RI.11.1 Nivel de cumplimiento institucional en Sistema de Monitoreo y Medición de la Gestión Pública </w:t>
            </w:r>
          </w:p>
        </w:tc>
        <w:tc>
          <w:tcPr>
            <w:tcW w:w="4591" w:type="dxa"/>
            <w:tcBorders>
              <w:top w:val="nil"/>
              <w:left w:val="nil"/>
              <w:bottom w:val="single" w:sz="4" w:space="0" w:color="808080"/>
              <w:right w:val="single" w:sz="4" w:space="0" w:color="808080"/>
            </w:tcBorders>
            <w:vAlign w:val="center"/>
            <w:hideMark/>
          </w:tcPr>
          <w:p w14:paraId="73C6EBDE" w14:textId="77777777" w:rsidR="00E4687C" w:rsidRPr="005C133F" w:rsidRDefault="00E4687C" w:rsidP="00F26B9E">
            <w:pPr>
              <w:spacing w:after="0" w:line="240" w:lineRule="auto"/>
              <w:rPr>
                <w:rFonts w:eastAsia="Calibri"/>
                <w:noProof/>
                <w:lang w:val="es-DO"/>
              </w:rPr>
            </w:pPr>
            <w:r w:rsidRPr="005C133F">
              <w:rPr>
                <w:rFonts w:eastAsia="Calibri"/>
                <w:noProof/>
                <w:lang w:val="es-DO"/>
              </w:rPr>
              <w:t>Implementadas y/o mantenidas las certificaciones  en normas ISO.</w:t>
            </w:r>
          </w:p>
        </w:tc>
      </w:tr>
      <w:tr w:rsidR="004921FF" w:rsidRPr="00CD02F5" w14:paraId="75B3D299" w14:textId="77777777" w:rsidTr="00432BDF">
        <w:trPr>
          <w:trHeight w:val="939"/>
        </w:trPr>
        <w:tc>
          <w:tcPr>
            <w:tcW w:w="1980" w:type="dxa"/>
            <w:vMerge/>
            <w:tcBorders>
              <w:top w:val="nil"/>
              <w:left w:val="single" w:sz="4" w:space="0" w:color="808080"/>
              <w:bottom w:val="single" w:sz="4" w:space="0" w:color="808080"/>
              <w:right w:val="single" w:sz="4" w:space="0" w:color="808080"/>
            </w:tcBorders>
            <w:vAlign w:val="center"/>
            <w:hideMark/>
          </w:tcPr>
          <w:p w14:paraId="2DB5F18E" w14:textId="77777777" w:rsidR="00E4687C" w:rsidRPr="005C133F" w:rsidRDefault="00E4687C" w:rsidP="00F26B9E">
            <w:pPr>
              <w:spacing w:after="0" w:line="240" w:lineRule="auto"/>
              <w:rPr>
                <w:rFonts w:eastAsia="Calibri"/>
                <w:noProof/>
                <w:lang w:val="es-DO"/>
              </w:rPr>
            </w:pPr>
          </w:p>
        </w:tc>
        <w:tc>
          <w:tcPr>
            <w:tcW w:w="1998" w:type="dxa"/>
            <w:vMerge/>
            <w:tcBorders>
              <w:top w:val="nil"/>
              <w:left w:val="single" w:sz="4" w:space="0" w:color="808080"/>
              <w:bottom w:val="single" w:sz="4" w:space="0" w:color="808080"/>
              <w:right w:val="single" w:sz="4" w:space="0" w:color="808080"/>
            </w:tcBorders>
            <w:vAlign w:val="center"/>
            <w:hideMark/>
          </w:tcPr>
          <w:p w14:paraId="3800A775" w14:textId="77777777" w:rsidR="00E4687C" w:rsidRPr="005C133F" w:rsidRDefault="00E4687C" w:rsidP="00F26B9E">
            <w:pPr>
              <w:spacing w:after="0" w:line="240" w:lineRule="auto"/>
              <w:rPr>
                <w:rFonts w:eastAsia="Calibri"/>
                <w:noProof/>
                <w:lang w:val="es-DO"/>
              </w:rPr>
            </w:pPr>
          </w:p>
        </w:tc>
        <w:tc>
          <w:tcPr>
            <w:tcW w:w="1847" w:type="dxa"/>
            <w:vMerge/>
            <w:tcBorders>
              <w:top w:val="nil"/>
              <w:left w:val="single" w:sz="4" w:space="0" w:color="808080"/>
              <w:bottom w:val="single" w:sz="4" w:space="0" w:color="808080"/>
              <w:right w:val="single" w:sz="4" w:space="0" w:color="808080"/>
            </w:tcBorders>
            <w:vAlign w:val="center"/>
            <w:hideMark/>
          </w:tcPr>
          <w:p w14:paraId="03E281A1" w14:textId="77777777" w:rsidR="00E4687C" w:rsidRPr="005C133F" w:rsidRDefault="00E4687C" w:rsidP="00F26B9E">
            <w:pPr>
              <w:spacing w:after="0" w:line="240" w:lineRule="auto"/>
              <w:rPr>
                <w:rFonts w:eastAsia="Calibri"/>
                <w:noProof/>
                <w:lang w:val="es-DO"/>
              </w:rPr>
            </w:pPr>
          </w:p>
        </w:tc>
        <w:tc>
          <w:tcPr>
            <w:tcW w:w="2534" w:type="dxa"/>
            <w:vMerge/>
            <w:tcBorders>
              <w:top w:val="nil"/>
              <w:left w:val="single" w:sz="4" w:space="0" w:color="808080"/>
              <w:bottom w:val="single" w:sz="4" w:space="0" w:color="808080"/>
              <w:right w:val="single" w:sz="4" w:space="0" w:color="808080"/>
            </w:tcBorders>
            <w:vAlign w:val="center"/>
            <w:hideMark/>
          </w:tcPr>
          <w:p w14:paraId="2393A8E0" w14:textId="77777777" w:rsidR="00E4687C" w:rsidRPr="005C133F" w:rsidRDefault="00E4687C" w:rsidP="00F26B9E">
            <w:pPr>
              <w:spacing w:after="0" w:line="240" w:lineRule="auto"/>
              <w:rPr>
                <w:rFonts w:eastAsia="Calibri"/>
                <w:noProof/>
                <w:lang w:val="es-DO"/>
              </w:rPr>
            </w:pPr>
          </w:p>
        </w:tc>
        <w:tc>
          <w:tcPr>
            <w:tcW w:w="4591" w:type="dxa"/>
            <w:tcBorders>
              <w:top w:val="nil"/>
              <w:left w:val="nil"/>
              <w:bottom w:val="single" w:sz="4" w:space="0" w:color="808080"/>
              <w:right w:val="single" w:sz="4" w:space="0" w:color="808080"/>
            </w:tcBorders>
            <w:vAlign w:val="center"/>
            <w:hideMark/>
          </w:tcPr>
          <w:p w14:paraId="72C2535E" w14:textId="77777777" w:rsidR="00E4687C" w:rsidRPr="005C133F" w:rsidRDefault="00E4687C" w:rsidP="00F26B9E">
            <w:pPr>
              <w:spacing w:after="0" w:line="240" w:lineRule="auto"/>
              <w:rPr>
                <w:rFonts w:eastAsia="Calibri"/>
                <w:noProof/>
                <w:lang w:val="es-DO"/>
              </w:rPr>
            </w:pPr>
            <w:r w:rsidRPr="005C133F">
              <w:rPr>
                <w:rFonts w:eastAsia="Calibri"/>
                <w:noProof/>
                <w:lang w:val="es-DO"/>
              </w:rPr>
              <w:t>Garantizada la compatibilidad entre el presupuesto institucional y los planes ejecutados, incluyendo la evaluación de su ejecución.</w:t>
            </w:r>
          </w:p>
        </w:tc>
      </w:tr>
      <w:tr w:rsidR="004921FF" w:rsidRPr="00CD02F5" w14:paraId="61D66340" w14:textId="77777777" w:rsidTr="00432BDF">
        <w:trPr>
          <w:trHeight w:val="583"/>
        </w:trPr>
        <w:tc>
          <w:tcPr>
            <w:tcW w:w="1980" w:type="dxa"/>
            <w:vMerge/>
            <w:tcBorders>
              <w:top w:val="nil"/>
              <w:left w:val="single" w:sz="4" w:space="0" w:color="808080"/>
              <w:bottom w:val="single" w:sz="4" w:space="0" w:color="808080"/>
              <w:right w:val="single" w:sz="4" w:space="0" w:color="808080"/>
            </w:tcBorders>
            <w:vAlign w:val="center"/>
            <w:hideMark/>
          </w:tcPr>
          <w:p w14:paraId="25105DAB" w14:textId="77777777" w:rsidR="00E4687C" w:rsidRPr="005C133F" w:rsidRDefault="00E4687C" w:rsidP="00F26B9E">
            <w:pPr>
              <w:spacing w:after="0" w:line="240" w:lineRule="auto"/>
              <w:rPr>
                <w:rFonts w:eastAsia="Calibri"/>
                <w:noProof/>
                <w:lang w:val="es-DO"/>
              </w:rPr>
            </w:pPr>
          </w:p>
        </w:tc>
        <w:tc>
          <w:tcPr>
            <w:tcW w:w="1998" w:type="dxa"/>
            <w:vMerge/>
            <w:tcBorders>
              <w:top w:val="nil"/>
              <w:left w:val="single" w:sz="4" w:space="0" w:color="808080"/>
              <w:bottom w:val="single" w:sz="4" w:space="0" w:color="808080"/>
              <w:right w:val="single" w:sz="4" w:space="0" w:color="808080"/>
            </w:tcBorders>
            <w:vAlign w:val="center"/>
            <w:hideMark/>
          </w:tcPr>
          <w:p w14:paraId="7FE63FE2" w14:textId="77777777" w:rsidR="00E4687C" w:rsidRPr="005C133F" w:rsidRDefault="00E4687C" w:rsidP="00F26B9E">
            <w:pPr>
              <w:spacing w:after="0" w:line="240" w:lineRule="auto"/>
              <w:rPr>
                <w:rFonts w:eastAsia="Calibri"/>
                <w:noProof/>
                <w:lang w:val="es-DO"/>
              </w:rPr>
            </w:pPr>
          </w:p>
        </w:tc>
        <w:tc>
          <w:tcPr>
            <w:tcW w:w="1847" w:type="dxa"/>
            <w:vMerge/>
            <w:tcBorders>
              <w:top w:val="nil"/>
              <w:left w:val="single" w:sz="4" w:space="0" w:color="808080"/>
              <w:bottom w:val="single" w:sz="4" w:space="0" w:color="808080"/>
              <w:right w:val="single" w:sz="4" w:space="0" w:color="808080"/>
            </w:tcBorders>
            <w:vAlign w:val="center"/>
            <w:hideMark/>
          </w:tcPr>
          <w:p w14:paraId="5B51C894" w14:textId="77777777" w:rsidR="00E4687C" w:rsidRPr="005C133F" w:rsidRDefault="00E4687C" w:rsidP="00F26B9E">
            <w:pPr>
              <w:spacing w:after="0" w:line="240" w:lineRule="auto"/>
              <w:rPr>
                <w:rFonts w:eastAsia="Calibri"/>
                <w:noProof/>
                <w:lang w:val="es-DO"/>
              </w:rPr>
            </w:pPr>
          </w:p>
        </w:tc>
        <w:tc>
          <w:tcPr>
            <w:tcW w:w="2534" w:type="dxa"/>
            <w:vMerge/>
            <w:tcBorders>
              <w:top w:val="nil"/>
              <w:left w:val="single" w:sz="4" w:space="0" w:color="808080"/>
              <w:bottom w:val="single" w:sz="4" w:space="0" w:color="808080"/>
              <w:right w:val="single" w:sz="4" w:space="0" w:color="808080"/>
            </w:tcBorders>
            <w:vAlign w:val="center"/>
            <w:hideMark/>
          </w:tcPr>
          <w:p w14:paraId="6B88C1F6" w14:textId="77777777" w:rsidR="00E4687C" w:rsidRPr="005C133F" w:rsidRDefault="00E4687C" w:rsidP="00F26B9E">
            <w:pPr>
              <w:spacing w:after="0" w:line="240" w:lineRule="auto"/>
              <w:rPr>
                <w:rFonts w:eastAsia="Calibri"/>
                <w:noProof/>
                <w:lang w:val="es-DO"/>
              </w:rPr>
            </w:pPr>
          </w:p>
        </w:tc>
        <w:tc>
          <w:tcPr>
            <w:tcW w:w="4591" w:type="dxa"/>
            <w:tcBorders>
              <w:top w:val="nil"/>
              <w:left w:val="nil"/>
              <w:bottom w:val="single" w:sz="4" w:space="0" w:color="808080"/>
              <w:right w:val="single" w:sz="4" w:space="0" w:color="808080"/>
            </w:tcBorders>
            <w:vAlign w:val="center"/>
            <w:hideMark/>
          </w:tcPr>
          <w:p w14:paraId="7885DF4B"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Rediseñada e implementada la estructura organizativa de la SISALRIL </w:t>
            </w:r>
          </w:p>
        </w:tc>
      </w:tr>
      <w:tr w:rsidR="004921FF" w:rsidRPr="00CD02F5" w14:paraId="1D65069B" w14:textId="77777777" w:rsidTr="00432BDF">
        <w:trPr>
          <w:trHeight w:val="638"/>
        </w:trPr>
        <w:tc>
          <w:tcPr>
            <w:tcW w:w="1980" w:type="dxa"/>
            <w:vMerge/>
            <w:tcBorders>
              <w:top w:val="nil"/>
              <w:left w:val="single" w:sz="4" w:space="0" w:color="808080"/>
              <w:bottom w:val="single" w:sz="4" w:space="0" w:color="808080"/>
              <w:right w:val="single" w:sz="4" w:space="0" w:color="808080"/>
            </w:tcBorders>
            <w:vAlign w:val="center"/>
            <w:hideMark/>
          </w:tcPr>
          <w:p w14:paraId="3DA71DAC"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4F2A2BDF"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37B85653"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35D4891E"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359D0B02" w14:textId="77777777" w:rsidR="00E4687C" w:rsidRPr="005C133F" w:rsidRDefault="00E4687C" w:rsidP="00F26B9E">
            <w:pPr>
              <w:spacing w:after="0" w:line="240" w:lineRule="auto"/>
              <w:rPr>
                <w:rFonts w:eastAsia="Calibri"/>
                <w:noProof/>
                <w:lang w:val="es-DO"/>
              </w:rPr>
            </w:pPr>
            <w:r w:rsidRPr="005C133F">
              <w:rPr>
                <w:rFonts w:eastAsia="Calibri"/>
                <w:noProof/>
                <w:lang w:val="es-DO"/>
              </w:rPr>
              <w:t>Transversalizado el enfoque de equidad de género en los procesos y la operatividad de la SISALRIL</w:t>
            </w:r>
          </w:p>
        </w:tc>
      </w:tr>
      <w:tr w:rsidR="004921FF" w:rsidRPr="00CD02F5" w14:paraId="682C0DC1" w14:textId="77777777" w:rsidTr="00432BDF">
        <w:trPr>
          <w:trHeight w:val="597"/>
        </w:trPr>
        <w:tc>
          <w:tcPr>
            <w:tcW w:w="1980" w:type="dxa"/>
            <w:vMerge/>
            <w:tcBorders>
              <w:top w:val="nil"/>
              <w:left w:val="single" w:sz="4" w:space="0" w:color="808080"/>
              <w:bottom w:val="single" w:sz="4" w:space="0" w:color="808080"/>
              <w:right w:val="single" w:sz="4" w:space="0" w:color="808080"/>
            </w:tcBorders>
            <w:vAlign w:val="center"/>
            <w:hideMark/>
          </w:tcPr>
          <w:p w14:paraId="719E4EBF"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613FF25E"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12321223"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25EE86FB"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4ABD22D9" w14:textId="77777777" w:rsidR="00E4687C" w:rsidRPr="005C133F" w:rsidRDefault="00E4687C" w:rsidP="00F26B9E">
            <w:pPr>
              <w:spacing w:after="0" w:line="240" w:lineRule="auto"/>
              <w:rPr>
                <w:rFonts w:eastAsia="Calibri"/>
                <w:noProof/>
                <w:lang w:val="es-DO"/>
              </w:rPr>
            </w:pPr>
            <w:r w:rsidRPr="005C133F">
              <w:rPr>
                <w:rFonts w:eastAsia="Calibri"/>
                <w:noProof/>
                <w:lang w:val="es-DO"/>
              </w:rPr>
              <w:t>Adoptada e implementada una metodología de gestión de riesgos para enfrentar efectos de crisis sociales.</w:t>
            </w:r>
          </w:p>
        </w:tc>
      </w:tr>
      <w:tr w:rsidR="004921FF" w:rsidRPr="00CD02F5" w14:paraId="24BDF811" w14:textId="77777777" w:rsidTr="00432BDF">
        <w:trPr>
          <w:trHeight w:val="1016"/>
        </w:trPr>
        <w:tc>
          <w:tcPr>
            <w:tcW w:w="1980" w:type="dxa"/>
            <w:vMerge/>
            <w:tcBorders>
              <w:top w:val="nil"/>
              <w:left w:val="single" w:sz="4" w:space="0" w:color="808080"/>
              <w:bottom w:val="single" w:sz="4" w:space="0" w:color="808080"/>
              <w:right w:val="single" w:sz="4" w:space="0" w:color="808080"/>
            </w:tcBorders>
            <w:vAlign w:val="center"/>
            <w:hideMark/>
          </w:tcPr>
          <w:p w14:paraId="322C8CE6"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72260F6B"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2EA74E10"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636A7535"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061F5157"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Gestionada subvención y asignación de fondos de parte de organismos internacionales para la implementación de mejoras en la institución </w:t>
            </w:r>
          </w:p>
        </w:tc>
      </w:tr>
      <w:tr w:rsidR="004921FF" w:rsidRPr="00CD02F5" w14:paraId="1217707B" w14:textId="77777777" w:rsidTr="00432BDF">
        <w:trPr>
          <w:trHeight w:val="562"/>
        </w:trPr>
        <w:tc>
          <w:tcPr>
            <w:tcW w:w="1980" w:type="dxa"/>
            <w:vMerge/>
            <w:tcBorders>
              <w:top w:val="nil"/>
              <w:left w:val="single" w:sz="4" w:space="0" w:color="808080"/>
              <w:bottom w:val="single" w:sz="4" w:space="0" w:color="808080"/>
              <w:right w:val="single" w:sz="4" w:space="0" w:color="808080"/>
            </w:tcBorders>
            <w:vAlign w:val="center"/>
            <w:hideMark/>
          </w:tcPr>
          <w:p w14:paraId="567CD9FE"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0EC3BC91"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73E6F35C"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7E12F845"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38CB65FA" w14:textId="77777777" w:rsidR="00E4687C" w:rsidRPr="005C133F" w:rsidRDefault="00E4687C" w:rsidP="00F26B9E">
            <w:pPr>
              <w:spacing w:after="0" w:line="240" w:lineRule="auto"/>
              <w:rPr>
                <w:rFonts w:eastAsia="Calibri"/>
                <w:noProof/>
                <w:lang w:val="es-DO"/>
              </w:rPr>
            </w:pPr>
            <w:r w:rsidRPr="005C133F">
              <w:rPr>
                <w:rFonts w:eastAsia="Calibri"/>
                <w:noProof/>
                <w:lang w:val="es-DO"/>
              </w:rPr>
              <w:t xml:space="preserve">Garantizada la disponibilidad de recursos e información financiera para el cumplimiento de los compromisos institucionales </w:t>
            </w:r>
          </w:p>
        </w:tc>
      </w:tr>
      <w:tr w:rsidR="004921FF" w:rsidRPr="00CD02F5" w14:paraId="5310C8DC" w14:textId="77777777" w:rsidTr="00432BDF">
        <w:trPr>
          <w:trHeight w:val="359"/>
        </w:trPr>
        <w:tc>
          <w:tcPr>
            <w:tcW w:w="1980" w:type="dxa"/>
            <w:vMerge/>
            <w:tcBorders>
              <w:top w:val="nil"/>
              <w:left w:val="single" w:sz="4" w:space="0" w:color="808080"/>
              <w:bottom w:val="single" w:sz="4" w:space="0" w:color="auto"/>
              <w:right w:val="single" w:sz="4" w:space="0" w:color="808080"/>
            </w:tcBorders>
            <w:vAlign w:val="center"/>
            <w:hideMark/>
          </w:tcPr>
          <w:p w14:paraId="28B8A738"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auto"/>
              <w:right w:val="single" w:sz="4" w:space="0" w:color="808080"/>
            </w:tcBorders>
            <w:vAlign w:val="center"/>
            <w:hideMark/>
          </w:tcPr>
          <w:p w14:paraId="4EF3E6A2"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auto"/>
              <w:right w:val="single" w:sz="4" w:space="0" w:color="808080"/>
            </w:tcBorders>
            <w:vAlign w:val="center"/>
            <w:hideMark/>
          </w:tcPr>
          <w:p w14:paraId="2635457F"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auto"/>
              <w:right w:val="single" w:sz="4" w:space="0" w:color="808080"/>
            </w:tcBorders>
            <w:vAlign w:val="center"/>
            <w:hideMark/>
          </w:tcPr>
          <w:p w14:paraId="64B7DAB2"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auto"/>
              <w:right w:val="single" w:sz="4" w:space="0" w:color="808080"/>
            </w:tcBorders>
            <w:vAlign w:val="center"/>
            <w:hideMark/>
          </w:tcPr>
          <w:p w14:paraId="7C4DDC64" w14:textId="64610FC4" w:rsidR="00E4687C" w:rsidRPr="005C133F" w:rsidRDefault="00E4687C" w:rsidP="00F26B9E">
            <w:pPr>
              <w:spacing w:after="0" w:line="240" w:lineRule="auto"/>
              <w:rPr>
                <w:rFonts w:eastAsia="Calibri"/>
                <w:noProof/>
                <w:lang w:val="es-DO"/>
              </w:rPr>
            </w:pPr>
            <w:r w:rsidRPr="005C133F">
              <w:rPr>
                <w:rFonts w:eastAsia="Calibri"/>
                <w:noProof/>
                <w:lang w:val="es-DO"/>
              </w:rPr>
              <w:t xml:space="preserve">Garantizada la disponibilidad de recursos administrativos e infraestructura física para la operatividad institucional </w:t>
            </w:r>
          </w:p>
        </w:tc>
      </w:tr>
      <w:tr w:rsidR="004921FF" w:rsidRPr="00CD02F5" w14:paraId="3316FF89" w14:textId="77777777" w:rsidTr="00432BDF">
        <w:trPr>
          <w:trHeight w:val="359"/>
        </w:trPr>
        <w:tc>
          <w:tcPr>
            <w:tcW w:w="1980" w:type="dxa"/>
            <w:vMerge/>
            <w:tcBorders>
              <w:top w:val="nil"/>
              <w:left w:val="single" w:sz="4" w:space="0" w:color="808080"/>
              <w:bottom w:val="single" w:sz="4" w:space="0" w:color="auto"/>
              <w:right w:val="single" w:sz="4" w:space="0" w:color="808080"/>
            </w:tcBorders>
            <w:vAlign w:val="center"/>
          </w:tcPr>
          <w:p w14:paraId="3ECCFCF9" w14:textId="77777777" w:rsidR="00052FC6" w:rsidRPr="005C133F" w:rsidRDefault="00052FC6"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auto"/>
              <w:right w:val="single" w:sz="4" w:space="0" w:color="808080"/>
            </w:tcBorders>
            <w:vAlign w:val="center"/>
          </w:tcPr>
          <w:p w14:paraId="5911AF8D" w14:textId="77777777" w:rsidR="00052FC6" w:rsidRPr="005C133F" w:rsidRDefault="00052FC6"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auto"/>
              <w:right w:val="single" w:sz="4" w:space="0" w:color="808080"/>
            </w:tcBorders>
            <w:vAlign w:val="center"/>
          </w:tcPr>
          <w:p w14:paraId="16889EEC" w14:textId="77777777" w:rsidR="00052FC6" w:rsidRPr="005C133F" w:rsidRDefault="00052FC6"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auto"/>
              <w:right w:val="single" w:sz="4" w:space="0" w:color="808080"/>
            </w:tcBorders>
            <w:vAlign w:val="center"/>
          </w:tcPr>
          <w:p w14:paraId="12459064" w14:textId="77777777" w:rsidR="00052FC6" w:rsidRPr="005C133F" w:rsidRDefault="00052FC6" w:rsidP="00F26B9E">
            <w:pPr>
              <w:spacing w:after="0" w:line="240" w:lineRule="auto"/>
              <w:rPr>
                <w:rFonts w:eastAsia="Times New Roman"/>
                <w:i/>
                <w:iCs/>
                <w:spacing w:val="0"/>
                <w:lang w:val="es-DO" w:eastAsia="es-DO"/>
              </w:rPr>
            </w:pPr>
          </w:p>
        </w:tc>
        <w:tc>
          <w:tcPr>
            <w:tcW w:w="4591" w:type="dxa"/>
            <w:tcBorders>
              <w:top w:val="nil"/>
              <w:left w:val="nil"/>
              <w:bottom w:val="single" w:sz="4" w:space="0" w:color="auto"/>
              <w:right w:val="single" w:sz="4" w:space="0" w:color="808080"/>
            </w:tcBorders>
            <w:vAlign w:val="center"/>
          </w:tcPr>
          <w:p w14:paraId="11C0F8D7" w14:textId="67C1C06A" w:rsidR="00052FC6" w:rsidRPr="005C133F" w:rsidRDefault="00052FC6" w:rsidP="00F26B9E">
            <w:pPr>
              <w:spacing w:after="0" w:line="240" w:lineRule="auto"/>
              <w:rPr>
                <w:rFonts w:eastAsia="Calibri"/>
                <w:noProof/>
                <w:lang w:val="es-DO"/>
              </w:rPr>
            </w:pPr>
            <w:r w:rsidRPr="005C133F">
              <w:rPr>
                <w:rFonts w:eastAsia="Calibri"/>
                <w:noProof/>
                <w:lang w:val="es-DO"/>
              </w:rPr>
              <w:t>Mejorada la eficiencia en la gestión del talento humano a través del fortalecimiento de los procesos de reclutamiento, registro y control, desarrollo de competencias, bienestar y seguridad laboral.</w:t>
            </w:r>
          </w:p>
        </w:tc>
      </w:tr>
      <w:tr w:rsidR="004921FF" w:rsidRPr="00CD02F5" w14:paraId="6C7F435C" w14:textId="77777777" w:rsidTr="00432BDF">
        <w:trPr>
          <w:trHeight w:val="359"/>
        </w:trPr>
        <w:tc>
          <w:tcPr>
            <w:tcW w:w="1980" w:type="dxa"/>
            <w:vMerge/>
            <w:tcBorders>
              <w:top w:val="nil"/>
              <w:left w:val="single" w:sz="4" w:space="0" w:color="808080"/>
              <w:bottom w:val="single" w:sz="4" w:space="0" w:color="auto"/>
              <w:right w:val="single" w:sz="4" w:space="0" w:color="808080"/>
            </w:tcBorders>
            <w:vAlign w:val="center"/>
          </w:tcPr>
          <w:p w14:paraId="64AD1F45" w14:textId="77777777" w:rsidR="00052FC6" w:rsidRPr="005C133F" w:rsidRDefault="00052FC6"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auto"/>
              <w:right w:val="single" w:sz="4" w:space="0" w:color="808080"/>
            </w:tcBorders>
            <w:vAlign w:val="center"/>
          </w:tcPr>
          <w:p w14:paraId="60957A0C" w14:textId="77777777" w:rsidR="00052FC6" w:rsidRPr="005C133F" w:rsidRDefault="00052FC6"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auto"/>
              <w:right w:val="single" w:sz="4" w:space="0" w:color="808080"/>
            </w:tcBorders>
            <w:vAlign w:val="center"/>
          </w:tcPr>
          <w:p w14:paraId="61781259" w14:textId="77777777" w:rsidR="00052FC6" w:rsidRPr="005C133F" w:rsidRDefault="00052FC6"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auto"/>
              <w:right w:val="single" w:sz="4" w:space="0" w:color="808080"/>
            </w:tcBorders>
            <w:vAlign w:val="center"/>
          </w:tcPr>
          <w:p w14:paraId="5664C110" w14:textId="77777777" w:rsidR="00052FC6" w:rsidRPr="005C133F" w:rsidRDefault="00052FC6" w:rsidP="00F26B9E">
            <w:pPr>
              <w:spacing w:after="0" w:line="240" w:lineRule="auto"/>
              <w:rPr>
                <w:rFonts w:eastAsia="Times New Roman"/>
                <w:i/>
                <w:iCs/>
                <w:spacing w:val="0"/>
                <w:lang w:val="es-DO" w:eastAsia="es-DO"/>
              </w:rPr>
            </w:pPr>
          </w:p>
        </w:tc>
        <w:tc>
          <w:tcPr>
            <w:tcW w:w="4591" w:type="dxa"/>
            <w:tcBorders>
              <w:top w:val="nil"/>
              <w:left w:val="nil"/>
              <w:bottom w:val="single" w:sz="4" w:space="0" w:color="auto"/>
              <w:right w:val="single" w:sz="4" w:space="0" w:color="808080"/>
            </w:tcBorders>
            <w:vAlign w:val="center"/>
          </w:tcPr>
          <w:p w14:paraId="724F6FC1" w14:textId="0836A3BC" w:rsidR="00052FC6" w:rsidRPr="005C133F" w:rsidRDefault="007B264B" w:rsidP="00F26B9E">
            <w:pPr>
              <w:spacing w:after="0" w:line="240" w:lineRule="auto"/>
              <w:rPr>
                <w:rFonts w:eastAsia="Calibri"/>
                <w:noProof/>
                <w:lang w:val="es-DO"/>
              </w:rPr>
            </w:pPr>
            <w:r w:rsidRPr="005C133F">
              <w:rPr>
                <w:rFonts w:eastAsia="Calibri"/>
                <w:noProof/>
                <w:lang w:val="es-DO"/>
              </w:rPr>
              <w:t xml:space="preserve">Fortalecida la gestión de la transparencia institucional mediante </w:t>
            </w:r>
            <w:r w:rsidRPr="005C133F">
              <w:rPr>
                <w:rFonts w:eastAsia="Calibri"/>
                <w:noProof/>
                <w:lang w:val="es-DO"/>
              </w:rPr>
              <w:lastRenderedPageBreak/>
              <w:t>el cumplimiento de la Ley No. 200-04 de Libre Acceso a la Información Pública y la promoción de la rendición de cuentas activa.</w:t>
            </w:r>
          </w:p>
        </w:tc>
      </w:tr>
      <w:tr w:rsidR="004921FF" w:rsidRPr="00CD02F5" w14:paraId="1100BCE1" w14:textId="77777777" w:rsidTr="00432BDF">
        <w:trPr>
          <w:trHeight w:val="509"/>
        </w:trPr>
        <w:tc>
          <w:tcPr>
            <w:tcW w:w="1980" w:type="dxa"/>
            <w:vMerge/>
            <w:tcBorders>
              <w:top w:val="single" w:sz="4" w:space="0" w:color="auto"/>
              <w:left w:val="single" w:sz="4" w:space="0" w:color="808080"/>
              <w:bottom w:val="single" w:sz="4" w:space="0" w:color="808080"/>
              <w:right w:val="single" w:sz="4" w:space="0" w:color="808080"/>
            </w:tcBorders>
            <w:vAlign w:val="center"/>
            <w:hideMark/>
          </w:tcPr>
          <w:p w14:paraId="7A703787"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single" w:sz="4" w:space="0" w:color="auto"/>
              <w:left w:val="single" w:sz="4" w:space="0" w:color="808080"/>
              <w:bottom w:val="single" w:sz="4" w:space="0" w:color="808080"/>
              <w:right w:val="single" w:sz="4" w:space="0" w:color="808080"/>
            </w:tcBorders>
            <w:vAlign w:val="center"/>
            <w:hideMark/>
          </w:tcPr>
          <w:p w14:paraId="3E0F3127"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single" w:sz="4" w:space="0" w:color="auto"/>
              <w:left w:val="single" w:sz="4" w:space="0" w:color="808080"/>
              <w:bottom w:val="single" w:sz="4" w:space="0" w:color="808080"/>
              <w:right w:val="single" w:sz="4" w:space="0" w:color="808080"/>
            </w:tcBorders>
            <w:vAlign w:val="center"/>
            <w:hideMark/>
          </w:tcPr>
          <w:p w14:paraId="342266A5"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single" w:sz="4" w:space="0" w:color="auto"/>
              <w:left w:val="single" w:sz="4" w:space="0" w:color="808080"/>
              <w:bottom w:val="single" w:sz="4" w:space="0" w:color="808080"/>
              <w:right w:val="single" w:sz="4" w:space="0" w:color="808080"/>
            </w:tcBorders>
            <w:vAlign w:val="center"/>
            <w:hideMark/>
          </w:tcPr>
          <w:p w14:paraId="26C89EEF" w14:textId="77777777" w:rsidR="00E4687C" w:rsidRPr="005C133F" w:rsidRDefault="00E4687C" w:rsidP="00F26B9E">
            <w:pPr>
              <w:spacing w:after="0" w:line="240" w:lineRule="auto"/>
              <w:rPr>
                <w:rFonts w:eastAsia="Times New Roman"/>
                <w:i/>
                <w:iCs/>
                <w:spacing w:val="0"/>
                <w:lang w:val="es-DO" w:eastAsia="es-DO"/>
              </w:rPr>
            </w:pPr>
          </w:p>
        </w:tc>
        <w:tc>
          <w:tcPr>
            <w:tcW w:w="4591" w:type="dxa"/>
            <w:vMerge w:val="restart"/>
            <w:tcBorders>
              <w:top w:val="single" w:sz="4" w:space="0" w:color="auto"/>
              <w:left w:val="single" w:sz="4" w:space="0" w:color="808080"/>
              <w:bottom w:val="single" w:sz="4" w:space="0" w:color="808080"/>
              <w:right w:val="single" w:sz="4" w:space="0" w:color="808080"/>
            </w:tcBorders>
            <w:vAlign w:val="center"/>
            <w:hideMark/>
          </w:tcPr>
          <w:p w14:paraId="79860C3D" w14:textId="77777777" w:rsidR="00E4687C" w:rsidRPr="005C133F" w:rsidRDefault="00E4687C" w:rsidP="00F26B9E">
            <w:pPr>
              <w:spacing w:after="0" w:line="240" w:lineRule="auto"/>
              <w:rPr>
                <w:rFonts w:eastAsia="Calibri"/>
                <w:noProof/>
                <w:lang w:val="es-DO"/>
              </w:rPr>
            </w:pPr>
            <w:r w:rsidRPr="005C133F">
              <w:rPr>
                <w:rFonts w:eastAsia="Calibri"/>
                <w:noProof/>
                <w:lang w:val="es-DO"/>
              </w:rPr>
              <w:t>Fortalecida la gestión institucional mediante la implementación de sistemas de control interno, cumplimiento regulatorio y antisoborno, que garanticen la transparencia, integridad y eficiencia en el uso de los recursos institucionales.</w:t>
            </w:r>
          </w:p>
        </w:tc>
      </w:tr>
      <w:tr w:rsidR="004921FF" w:rsidRPr="00CD02F5" w14:paraId="310C88AE" w14:textId="77777777" w:rsidTr="00432BDF">
        <w:trPr>
          <w:trHeight w:val="584"/>
        </w:trPr>
        <w:tc>
          <w:tcPr>
            <w:tcW w:w="1980" w:type="dxa"/>
            <w:vMerge/>
            <w:tcBorders>
              <w:top w:val="nil"/>
              <w:left w:val="single" w:sz="4" w:space="0" w:color="808080"/>
              <w:bottom w:val="single" w:sz="4" w:space="0" w:color="808080"/>
              <w:right w:val="single" w:sz="4" w:space="0" w:color="808080"/>
            </w:tcBorders>
            <w:vAlign w:val="center"/>
            <w:hideMark/>
          </w:tcPr>
          <w:p w14:paraId="08F1169C"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23FD1F1D"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3BDD69CC"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3830796C" w14:textId="77777777" w:rsidR="00E4687C" w:rsidRPr="005C133F" w:rsidRDefault="00E4687C" w:rsidP="00F26B9E">
            <w:pPr>
              <w:spacing w:after="0" w:line="240" w:lineRule="auto"/>
              <w:rPr>
                <w:rFonts w:eastAsia="Times New Roman"/>
                <w:i/>
                <w:iCs/>
                <w:spacing w:val="0"/>
                <w:lang w:val="es-DO" w:eastAsia="es-DO"/>
              </w:rPr>
            </w:pPr>
          </w:p>
        </w:tc>
        <w:tc>
          <w:tcPr>
            <w:tcW w:w="4591" w:type="dxa"/>
            <w:vMerge/>
            <w:tcBorders>
              <w:top w:val="nil"/>
              <w:left w:val="single" w:sz="4" w:space="0" w:color="808080"/>
              <w:bottom w:val="single" w:sz="4" w:space="0" w:color="808080"/>
              <w:right w:val="single" w:sz="4" w:space="0" w:color="808080"/>
            </w:tcBorders>
            <w:vAlign w:val="center"/>
            <w:hideMark/>
          </w:tcPr>
          <w:p w14:paraId="36AEF48F" w14:textId="77777777" w:rsidR="00E4687C" w:rsidRPr="005C133F" w:rsidRDefault="00E4687C" w:rsidP="00F26B9E">
            <w:pPr>
              <w:spacing w:after="0" w:line="240" w:lineRule="auto"/>
              <w:rPr>
                <w:rFonts w:eastAsia="Times New Roman"/>
                <w:i/>
                <w:iCs/>
                <w:spacing w:val="0"/>
                <w:lang w:val="es-DO" w:eastAsia="es-DO"/>
              </w:rPr>
            </w:pPr>
          </w:p>
        </w:tc>
      </w:tr>
      <w:tr w:rsidR="004921FF" w:rsidRPr="00CD02F5" w14:paraId="1CCBAAAE" w14:textId="77777777" w:rsidTr="00432BDF">
        <w:trPr>
          <w:trHeight w:val="516"/>
        </w:trPr>
        <w:tc>
          <w:tcPr>
            <w:tcW w:w="1980" w:type="dxa"/>
            <w:vMerge/>
            <w:tcBorders>
              <w:top w:val="nil"/>
              <w:left w:val="single" w:sz="4" w:space="0" w:color="808080"/>
              <w:bottom w:val="single" w:sz="4" w:space="0" w:color="808080"/>
              <w:right w:val="single" w:sz="4" w:space="0" w:color="808080"/>
            </w:tcBorders>
            <w:vAlign w:val="center"/>
            <w:hideMark/>
          </w:tcPr>
          <w:p w14:paraId="77864916"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75AEC341"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3BB0A76A"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031365A1"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1A2E75FB" w14:textId="77777777" w:rsidR="00E4687C" w:rsidRPr="005C133F" w:rsidRDefault="00E4687C" w:rsidP="00F26B9E">
            <w:pPr>
              <w:spacing w:after="0" w:line="240" w:lineRule="auto"/>
              <w:rPr>
                <w:rFonts w:eastAsia="Calibri"/>
                <w:noProof/>
                <w:lang w:val="es-DO"/>
              </w:rPr>
            </w:pPr>
            <w:r w:rsidRPr="005C133F">
              <w:rPr>
                <w:rFonts w:eastAsia="Calibri"/>
                <w:noProof/>
                <w:lang w:val="es-DO"/>
              </w:rPr>
              <w:t>Transformación digital integral de los servicios institucionales y externos de la SISALRIL</w:t>
            </w:r>
          </w:p>
        </w:tc>
      </w:tr>
      <w:tr w:rsidR="004921FF" w:rsidRPr="00CD02F5" w14:paraId="24FD9E8D" w14:textId="77777777" w:rsidTr="00432BDF">
        <w:trPr>
          <w:trHeight w:val="927"/>
        </w:trPr>
        <w:tc>
          <w:tcPr>
            <w:tcW w:w="1980" w:type="dxa"/>
            <w:vMerge/>
            <w:tcBorders>
              <w:top w:val="nil"/>
              <w:left w:val="single" w:sz="4" w:space="0" w:color="808080"/>
              <w:bottom w:val="single" w:sz="4" w:space="0" w:color="808080"/>
              <w:right w:val="single" w:sz="4" w:space="0" w:color="808080"/>
            </w:tcBorders>
            <w:vAlign w:val="center"/>
            <w:hideMark/>
          </w:tcPr>
          <w:p w14:paraId="0AF6F7FD"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3F945AA2" w14:textId="77777777" w:rsidR="00E4687C" w:rsidRPr="005C133F" w:rsidRDefault="00E4687C" w:rsidP="00F26B9E">
            <w:pPr>
              <w:spacing w:after="0" w:line="240" w:lineRule="auto"/>
              <w:rPr>
                <w:rFonts w:eastAsia="Times New Roman"/>
                <w:i/>
                <w:iCs/>
                <w:spacing w:val="0"/>
                <w:lang w:val="es-DO" w:eastAsia="es-DO"/>
              </w:rPr>
            </w:pPr>
          </w:p>
        </w:tc>
        <w:tc>
          <w:tcPr>
            <w:tcW w:w="1847" w:type="dxa"/>
            <w:vMerge/>
            <w:tcBorders>
              <w:top w:val="nil"/>
              <w:left w:val="single" w:sz="4" w:space="0" w:color="808080"/>
              <w:bottom w:val="single" w:sz="4" w:space="0" w:color="808080"/>
              <w:right w:val="single" w:sz="4" w:space="0" w:color="808080"/>
            </w:tcBorders>
            <w:vAlign w:val="center"/>
            <w:hideMark/>
          </w:tcPr>
          <w:p w14:paraId="13AC7254" w14:textId="77777777" w:rsidR="00E4687C" w:rsidRPr="005C133F" w:rsidRDefault="00E4687C" w:rsidP="00F26B9E">
            <w:pPr>
              <w:spacing w:after="0" w:line="240" w:lineRule="auto"/>
              <w:rPr>
                <w:rFonts w:eastAsia="Times New Roman"/>
                <w:i/>
                <w:iCs/>
                <w:spacing w:val="0"/>
                <w:lang w:val="es-DO" w:eastAsia="es-DO"/>
              </w:rPr>
            </w:pPr>
          </w:p>
        </w:tc>
        <w:tc>
          <w:tcPr>
            <w:tcW w:w="2534" w:type="dxa"/>
            <w:vMerge/>
            <w:tcBorders>
              <w:top w:val="nil"/>
              <w:left w:val="single" w:sz="4" w:space="0" w:color="808080"/>
              <w:bottom w:val="single" w:sz="4" w:space="0" w:color="808080"/>
              <w:right w:val="single" w:sz="4" w:space="0" w:color="808080"/>
            </w:tcBorders>
            <w:vAlign w:val="center"/>
            <w:hideMark/>
          </w:tcPr>
          <w:p w14:paraId="59AAB39E" w14:textId="77777777" w:rsidR="00E4687C" w:rsidRPr="005C133F" w:rsidRDefault="00E4687C" w:rsidP="00F26B9E">
            <w:pPr>
              <w:spacing w:after="0" w:line="240" w:lineRule="auto"/>
              <w:rPr>
                <w:rFonts w:eastAsia="Times New Roman"/>
                <w:i/>
                <w:iCs/>
                <w:spacing w:val="0"/>
                <w:lang w:val="es-DO" w:eastAsia="es-DO"/>
              </w:rPr>
            </w:pPr>
          </w:p>
        </w:tc>
        <w:tc>
          <w:tcPr>
            <w:tcW w:w="4591" w:type="dxa"/>
            <w:tcBorders>
              <w:top w:val="nil"/>
              <w:left w:val="nil"/>
              <w:bottom w:val="single" w:sz="4" w:space="0" w:color="808080"/>
              <w:right w:val="single" w:sz="4" w:space="0" w:color="808080"/>
            </w:tcBorders>
            <w:vAlign w:val="center"/>
            <w:hideMark/>
          </w:tcPr>
          <w:p w14:paraId="04B98999" w14:textId="77777777" w:rsidR="00E4687C" w:rsidRPr="005C133F" w:rsidRDefault="00E4687C" w:rsidP="00F26B9E">
            <w:pPr>
              <w:spacing w:after="0" w:line="240" w:lineRule="auto"/>
              <w:rPr>
                <w:rFonts w:eastAsia="Calibri"/>
                <w:noProof/>
                <w:lang w:val="es-DO"/>
              </w:rPr>
            </w:pPr>
            <w:r w:rsidRPr="005C133F">
              <w:rPr>
                <w:rFonts w:eastAsia="Calibri"/>
                <w:noProof/>
                <w:lang w:val="es-DO"/>
              </w:rPr>
              <w:t>Fortalecida la gestión institucional mediante la incorporación de soluciones tecnológicas innovadoras que optimicen los procesos, la eficiencia operativa y la prestación de servicios.</w:t>
            </w:r>
          </w:p>
        </w:tc>
      </w:tr>
      <w:tr w:rsidR="004921FF" w:rsidRPr="00CD02F5" w14:paraId="11B7E780" w14:textId="77777777" w:rsidTr="00432BDF">
        <w:trPr>
          <w:trHeight w:val="1668"/>
        </w:trPr>
        <w:tc>
          <w:tcPr>
            <w:tcW w:w="1980" w:type="dxa"/>
            <w:vMerge/>
            <w:tcBorders>
              <w:top w:val="nil"/>
              <w:left w:val="single" w:sz="4" w:space="0" w:color="808080"/>
              <w:bottom w:val="single" w:sz="4" w:space="0" w:color="808080"/>
              <w:right w:val="single" w:sz="4" w:space="0" w:color="808080"/>
            </w:tcBorders>
            <w:vAlign w:val="center"/>
            <w:hideMark/>
          </w:tcPr>
          <w:p w14:paraId="2737D09F"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234B3B48" w14:textId="77777777" w:rsidR="00E4687C" w:rsidRPr="005C133F" w:rsidRDefault="00E4687C" w:rsidP="00F26B9E">
            <w:pPr>
              <w:spacing w:after="0" w:line="240" w:lineRule="auto"/>
              <w:rPr>
                <w:rFonts w:eastAsia="Times New Roman"/>
                <w:i/>
                <w:iCs/>
                <w:spacing w:val="0"/>
                <w:lang w:val="es-DO" w:eastAsia="es-DO"/>
              </w:rPr>
            </w:pPr>
          </w:p>
        </w:tc>
        <w:tc>
          <w:tcPr>
            <w:tcW w:w="1847" w:type="dxa"/>
            <w:tcBorders>
              <w:top w:val="nil"/>
              <w:left w:val="nil"/>
              <w:bottom w:val="single" w:sz="4" w:space="0" w:color="808080"/>
              <w:right w:val="single" w:sz="4" w:space="0" w:color="808080"/>
            </w:tcBorders>
            <w:vAlign w:val="center"/>
            <w:hideMark/>
          </w:tcPr>
          <w:p w14:paraId="35C1CA2E" w14:textId="74161884" w:rsidR="00E4687C" w:rsidRPr="005C133F" w:rsidRDefault="00E4687C" w:rsidP="00F26B9E">
            <w:pPr>
              <w:spacing w:after="0" w:line="240" w:lineRule="auto"/>
              <w:rPr>
                <w:rFonts w:eastAsia="Calibri"/>
                <w:noProof/>
                <w:lang w:val="es-DO"/>
              </w:rPr>
            </w:pPr>
            <w:r w:rsidRPr="005C133F">
              <w:rPr>
                <w:rFonts w:eastAsia="Calibri"/>
                <w:noProof/>
                <w:lang w:val="es-DO"/>
              </w:rPr>
              <w:t xml:space="preserve">RI.12 Implementado el sistema de interoperabilidad entre la SISALRIL, las ARS y las Prestadoras de Servicios de Salud (PSS), que permite el intercambio automatizado, seguro y en tiempo real de informaciones relacionadas con los servicios de salud y riesgos laborales. </w:t>
            </w:r>
          </w:p>
        </w:tc>
        <w:tc>
          <w:tcPr>
            <w:tcW w:w="2534" w:type="dxa"/>
            <w:tcBorders>
              <w:top w:val="nil"/>
              <w:left w:val="nil"/>
              <w:bottom w:val="single" w:sz="4" w:space="0" w:color="808080"/>
              <w:right w:val="single" w:sz="4" w:space="0" w:color="808080"/>
            </w:tcBorders>
            <w:vAlign w:val="center"/>
            <w:hideMark/>
          </w:tcPr>
          <w:p w14:paraId="66760952" w14:textId="77777777" w:rsidR="00E4687C" w:rsidRPr="005C133F" w:rsidRDefault="00E4687C" w:rsidP="00F26B9E">
            <w:pPr>
              <w:spacing w:after="0" w:line="240" w:lineRule="auto"/>
              <w:rPr>
                <w:rFonts w:eastAsia="Calibri"/>
                <w:noProof/>
                <w:lang w:val="es-DO"/>
              </w:rPr>
            </w:pPr>
            <w:r w:rsidRPr="005C133F">
              <w:rPr>
                <w:rFonts w:eastAsia="Calibri"/>
                <w:noProof/>
                <w:lang w:val="es-DO"/>
              </w:rPr>
              <w:t>RI.12.1 Nivel de interoperabilidad efectiva entre entidades del Sistema Dominicano de Seguridad Social (SDSS</w:t>
            </w:r>
          </w:p>
        </w:tc>
        <w:tc>
          <w:tcPr>
            <w:tcW w:w="4591" w:type="dxa"/>
            <w:tcBorders>
              <w:top w:val="nil"/>
              <w:left w:val="nil"/>
              <w:bottom w:val="single" w:sz="4" w:space="0" w:color="808080"/>
              <w:right w:val="single" w:sz="4" w:space="0" w:color="808080"/>
            </w:tcBorders>
            <w:vAlign w:val="center"/>
            <w:hideMark/>
          </w:tcPr>
          <w:p w14:paraId="59507AFC" w14:textId="77777777" w:rsidR="00E4687C" w:rsidRPr="005C133F" w:rsidRDefault="00E4687C" w:rsidP="00F26B9E">
            <w:pPr>
              <w:spacing w:after="0" w:line="240" w:lineRule="auto"/>
              <w:rPr>
                <w:rFonts w:eastAsia="Calibri"/>
                <w:noProof/>
                <w:lang w:val="es-DO"/>
              </w:rPr>
            </w:pPr>
            <w:r w:rsidRPr="005C133F">
              <w:rPr>
                <w:rFonts w:eastAsia="Calibri"/>
                <w:noProof/>
                <w:lang w:val="es-DO"/>
              </w:rPr>
              <w:t>Entidades conectadas e interoperables con la SISALRIL mediante la plataforma X-Road / PID-SIMON</w:t>
            </w:r>
          </w:p>
        </w:tc>
      </w:tr>
      <w:tr w:rsidR="004921FF" w:rsidRPr="00CD02F5" w14:paraId="2C9887BB" w14:textId="77777777" w:rsidTr="00F26B9E">
        <w:trPr>
          <w:trHeight w:val="567"/>
        </w:trPr>
        <w:tc>
          <w:tcPr>
            <w:tcW w:w="1980" w:type="dxa"/>
            <w:vMerge/>
            <w:tcBorders>
              <w:top w:val="nil"/>
              <w:left w:val="single" w:sz="4" w:space="0" w:color="808080"/>
              <w:bottom w:val="single" w:sz="4" w:space="0" w:color="808080"/>
              <w:right w:val="single" w:sz="4" w:space="0" w:color="808080"/>
            </w:tcBorders>
            <w:vAlign w:val="center"/>
            <w:hideMark/>
          </w:tcPr>
          <w:p w14:paraId="39A65E49" w14:textId="77777777" w:rsidR="00E4687C" w:rsidRPr="005C133F" w:rsidRDefault="00E4687C" w:rsidP="00F26B9E">
            <w:pPr>
              <w:spacing w:after="0" w:line="240" w:lineRule="auto"/>
              <w:rPr>
                <w:rFonts w:eastAsia="Times New Roman"/>
                <w:i/>
                <w:iCs/>
                <w:spacing w:val="0"/>
                <w:lang w:val="es-DO" w:eastAsia="es-DO"/>
              </w:rPr>
            </w:pPr>
          </w:p>
        </w:tc>
        <w:tc>
          <w:tcPr>
            <w:tcW w:w="1998" w:type="dxa"/>
            <w:vMerge/>
            <w:tcBorders>
              <w:top w:val="nil"/>
              <w:left w:val="single" w:sz="4" w:space="0" w:color="808080"/>
              <w:bottom w:val="single" w:sz="4" w:space="0" w:color="808080"/>
              <w:right w:val="single" w:sz="4" w:space="0" w:color="808080"/>
            </w:tcBorders>
            <w:vAlign w:val="center"/>
            <w:hideMark/>
          </w:tcPr>
          <w:p w14:paraId="3E7BE9EA" w14:textId="77777777" w:rsidR="00E4687C" w:rsidRPr="005C133F" w:rsidRDefault="00E4687C" w:rsidP="00F26B9E">
            <w:pPr>
              <w:spacing w:after="0" w:line="240" w:lineRule="auto"/>
              <w:rPr>
                <w:rFonts w:eastAsia="Times New Roman"/>
                <w:i/>
                <w:iCs/>
                <w:spacing w:val="0"/>
                <w:lang w:val="es-DO" w:eastAsia="es-DO"/>
              </w:rPr>
            </w:pPr>
          </w:p>
        </w:tc>
        <w:tc>
          <w:tcPr>
            <w:tcW w:w="1847" w:type="dxa"/>
            <w:tcBorders>
              <w:top w:val="nil"/>
              <w:left w:val="nil"/>
              <w:bottom w:val="single" w:sz="4" w:space="0" w:color="808080"/>
              <w:right w:val="single" w:sz="4" w:space="0" w:color="808080"/>
            </w:tcBorders>
            <w:vAlign w:val="center"/>
            <w:hideMark/>
          </w:tcPr>
          <w:p w14:paraId="7A949E82" w14:textId="62B2D1B2" w:rsidR="00E4687C" w:rsidRPr="005C133F" w:rsidRDefault="00E4687C" w:rsidP="00F26B9E">
            <w:pPr>
              <w:spacing w:after="0" w:line="240" w:lineRule="auto"/>
              <w:rPr>
                <w:rFonts w:eastAsia="Calibri"/>
                <w:noProof/>
                <w:lang w:val="es-DO"/>
              </w:rPr>
            </w:pPr>
            <w:r w:rsidRPr="005C133F">
              <w:rPr>
                <w:rFonts w:eastAsia="Calibri"/>
                <w:noProof/>
                <w:lang w:val="es-DO"/>
              </w:rPr>
              <w:t xml:space="preserve">RI.13 Fortalecida de la imagen de la SISALRIL y mejorada la </w:t>
            </w:r>
            <w:r w:rsidRPr="005C133F">
              <w:rPr>
                <w:rFonts w:eastAsia="Calibri"/>
                <w:noProof/>
                <w:lang w:val="es-DO"/>
              </w:rPr>
              <w:lastRenderedPageBreak/>
              <w:t>comunicación interna.</w:t>
            </w:r>
          </w:p>
        </w:tc>
        <w:tc>
          <w:tcPr>
            <w:tcW w:w="2534" w:type="dxa"/>
            <w:tcBorders>
              <w:top w:val="nil"/>
              <w:left w:val="nil"/>
              <w:bottom w:val="single" w:sz="4" w:space="0" w:color="808080"/>
              <w:right w:val="single" w:sz="4" w:space="0" w:color="808080"/>
            </w:tcBorders>
            <w:vAlign w:val="center"/>
            <w:hideMark/>
          </w:tcPr>
          <w:p w14:paraId="3291DBF6" w14:textId="77777777" w:rsidR="00E4687C" w:rsidRPr="005C133F" w:rsidRDefault="00E4687C" w:rsidP="00F26B9E">
            <w:pPr>
              <w:spacing w:after="0" w:line="240" w:lineRule="auto"/>
              <w:rPr>
                <w:rFonts w:eastAsia="Calibri"/>
                <w:noProof/>
                <w:lang w:val="es-DO"/>
              </w:rPr>
            </w:pPr>
            <w:r w:rsidRPr="005C133F">
              <w:rPr>
                <w:rFonts w:eastAsia="Calibri"/>
                <w:noProof/>
                <w:lang w:val="es-DO"/>
              </w:rPr>
              <w:lastRenderedPageBreak/>
              <w:t>RI.13.1 Porcentaje de implementación de la Estrategia de Comunicación</w:t>
            </w:r>
          </w:p>
        </w:tc>
        <w:tc>
          <w:tcPr>
            <w:tcW w:w="4591" w:type="dxa"/>
            <w:tcBorders>
              <w:top w:val="nil"/>
              <w:left w:val="nil"/>
              <w:bottom w:val="single" w:sz="4" w:space="0" w:color="808080"/>
              <w:right w:val="single" w:sz="4" w:space="0" w:color="808080"/>
            </w:tcBorders>
            <w:vAlign w:val="center"/>
            <w:hideMark/>
          </w:tcPr>
          <w:p w14:paraId="20B0343A" w14:textId="77777777" w:rsidR="00E4687C" w:rsidRPr="005C133F" w:rsidRDefault="00E4687C" w:rsidP="00F26B9E">
            <w:pPr>
              <w:spacing w:after="0" w:line="240" w:lineRule="auto"/>
              <w:rPr>
                <w:rFonts w:eastAsia="Calibri"/>
                <w:noProof/>
                <w:lang w:val="es-DO"/>
              </w:rPr>
            </w:pPr>
            <w:r w:rsidRPr="005C133F">
              <w:rPr>
                <w:rFonts w:eastAsia="Calibri"/>
                <w:noProof/>
                <w:lang w:val="es-DO"/>
              </w:rPr>
              <w:t>Estrategia comunicacional aprobada e implementada</w:t>
            </w:r>
          </w:p>
        </w:tc>
      </w:tr>
    </w:tbl>
    <w:p w14:paraId="7615BF38" w14:textId="2E2337E9" w:rsidR="005F26EE" w:rsidRPr="005C133F" w:rsidRDefault="00E246A4" w:rsidP="00F26B9E">
      <w:pPr>
        <w:spacing w:after="0" w:line="240" w:lineRule="auto"/>
        <w:rPr>
          <w:rFonts w:eastAsia="Calibri"/>
          <w:sz w:val="18"/>
          <w:szCs w:val="18"/>
          <w:lang w:val="es-DO"/>
        </w:rPr>
      </w:pPr>
      <w:r w:rsidRPr="005C133F">
        <w:rPr>
          <w:rFonts w:eastAsia="Calibri"/>
          <w:noProof/>
          <w:sz w:val="18"/>
          <w:szCs w:val="18"/>
          <w:lang w:val="es-DO"/>
        </w:rPr>
        <w:t>Fuente: Dirección de Planificación y Desarrollo</w:t>
      </w:r>
      <w:r w:rsidR="006E4404" w:rsidRPr="005C133F">
        <w:rPr>
          <w:rFonts w:eastAsia="Calibri"/>
          <w:noProof/>
          <w:sz w:val="18"/>
          <w:szCs w:val="18"/>
          <w:lang w:val="es-DO"/>
        </w:rPr>
        <w:t>,</w:t>
      </w:r>
      <w:r w:rsidRPr="005C133F">
        <w:rPr>
          <w:rFonts w:eastAsia="Calibri"/>
          <w:noProof/>
          <w:sz w:val="18"/>
          <w:szCs w:val="18"/>
          <w:lang w:val="es-DO"/>
        </w:rPr>
        <w:t xml:space="preserve"> SISALRIL</w:t>
      </w:r>
      <w:r w:rsidR="00432BDF" w:rsidRPr="005C133F">
        <w:rPr>
          <w:rFonts w:eastAsia="Calibri"/>
          <w:noProof/>
          <w:sz w:val="18"/>
          <w:szCs w:val="18"/>
          <w:lang w:val="es-DO"/>
        </w:rPr>
        <w:br w:type="textWrapping" w:clear="all"/>
      </w:r>
    </w:p>
    <w:p w14:paraId="760518A6" w14:textId="77777777" w:rsidR="00116C1A" w:rsidRPr="005C133F" w:rsidRDefault="00116C1A" w:rsidP="005C133F">
      <w:pPr>
        <w:spacing w:after="0" w:line="360" w:lineRule="auto"/>
        <w:rPr>
          <w:noProof/>
          <w:lang w:val="es-DO"/>
        </w:rPr>
        <w:sectPr w:rsidR="00116C1A" w:rsidRPr="005C133F" w:rsidSect="00764E6B">
          <w:pgSz w:w="15840" w:h="12240" w:orient="landscape"/>
          <w:pgMar w:top="2160" w:right="1440" w:bottom="2160" w:left="1440" w:header="720" w:footer="720" w:gutter="0"/>
          <w:cols w:space="720"/>
          <w:docGrid w:linePitch="360"/>
        </w:sectPr>
      </w:pPr>
    </w:p>
    <w:p w14:paraId="4DC2B41C" w14:textId="5E001CD1" w:rsidR="005F26EE" w:rsidRPr="005C133F" w:rsidRDefault="00A5336A">
      <w:pPr>
        <w:pStyle w:val="Ttulo1"/>
        <w:numPr>
          <w:ilvl w:val="0"/>
          <w:numId w:val="206"/>
        </w:numPr>
        <w:ind w:left="0" w:firstLine="0"/>
        <w:rPr>
          <w:rFonts w:cs="Times New Roman"/>
          <w:color w:val="767171"/>
          <w:szCs w:val="28"/>
          <w:lang w:val="es-DO"/>
        </w:rPr>
      </w:pPr>
      <w:bookmarkStart w:id="17" w:name="_Toc219121835"/>
      <w:r w:rsidRPr="005C133F">
        <w:rPr>
          <w:rFonts w:cs="Times New Roman"/>
          <w:color w:val="767171"/>
          <w:szCs w:val="28"/>
          <w:lang w:val="es-DO"/>
        </w:rPr>
        <w:lastRenderedPageBreak/>
        <w:t>RESULTADOS MISIONALES</w:t>
      </w:r>
      <w:bookmarkEnd w:id="17"/>
    </w:p>
    <w:p w14:paraId="067C104E" w14:textId="4FA87650" w:rsidR="00D7162E" w:rsidRPr="005C133F" w:rsidRDefault="00246DA5" w:rsidP="005C133F">
      <w:pPr>
        <w:spacing w:after="0" w:line="360" w:lineRule="auto"/>
        <w:rPr>
          <w:rFonts w:eastAsia="Calibri"/>
          <w:b/>
          <w:bCs/>
          <w:noProof/>
          <w:lang w:val="es-DO"/>
        </w:rPr>
      </w:pPr>
      <w:r w:rsidRPr="005C133F">
        <w:rPr>
          <w:rFonts w:eastAsia="Calibri"/>
          <w:noProof/>
          <w:lang w:val="es-DO" w:eastAsia="es-DO"/>
        </w:rPr>
        <mc:AlternateContent>
          <mc:Choice Requires="wps">
            <w:drawing>
              <wp:anchor distT="0" distB="0" distL="114300" distR="114300" simplePos="0" relativeHeight="251658243" behindDoc="0" locked="0" layoutInCell="1" allowOverlap="1" wp14:anchorId="76033BB4" wp14:editId="62B1E737">
                <wp:simplePos x="0" y="0"/>
                <wp:positionH relativeFrom="margin">
                  <wp:align>center</wp:align>
                </wp:positionH>
                <wp:positionV relativeFrom="paragraph">
                  <wp:posOffset>38925</wp:posOffset>
                </wp:positionV>
                <wp:extent cx="463550" cy="0"/>
                <wp:effectExtent l="0" t="19050" r="31750" b="19050"/>
                <wp:wrapNone/>
                <wp:docPr id="6416330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36A3B" id="Straight Connector 8" o:spid="_x0000_s1026" style="position:absolute;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5pt" to="3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WWzH2AAAAAMBAAAP&#10;AAAAZHJzL2Rvd25yZXYueG1sTI/LTsMwEEX3SPyDNUjsqFNAKQ1xKoSExAYohUWX03jygHgcxW4S&#10;/p6BDSyP7ujeM/lmdp0aaQitZwPLRQKKuPS25drA+9vDxQ2oEJEtdp7JwBcF2BSnJzlm1k/8SuMu&#10;1kpKOGRooImxz7QOZUMOw8L3xJJVfnAYBYda2wEnKXedvkySVDtsWRYa7Om+ofJzd3Sy+/LkV9X4&#10;mF7H7cce7Xpqn6utMedn890tqEhz/DuGH31Rh0KcDv7INqjOgDwSDaRLUBKurg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s1lsx9gAAAADAQAADwAAAAAAAAAAAAAA&#10;AAAgBAAAZHJzL2Rvd25yZXYueG1sUEsFBgAAAAAEAAQA8wAAACUFAAAAAA==&#10;" strokecolor="#ee2a24" strokeweight="2.25pt">
                <v:stroke joinstyle="miter"/>
                <w10:wrap anchorx="margin"/>
              </v:line>
            </w:pict>
          </mc:Fallback>
        </mc:AlternateContent>
      </w:r>
    </w:p>
    <w:p w14:paraId="47745C7B" w14:textId="77777777" w:rsidR="00BD1E94" w:rsidRPr="005C133F" w:rsidRDefault="00BD1E94" w:rsidP="00BD1E94">
      <w:pPr>
        <w:spacing w:after="0" w:line="360" w:lineRule="auto"/>
        <w:jc w:val="center"/>
        <w:rPr>
          <w:lang w:val="es-DO"/>
        </w:rPr>
      </w:pPr>
      <w:r w:rsidRPr="005C133F">
        <w:rPr>
          <w:lang w:val="es-DO"/>
        </w:rPr>
        <w:t>Memoria Institucional 2025</w:t>
      </w:r>
    </w:p>
    <w:p w14:paraId="230724D8" w14:textId="159B67C4" w:rsidR="00D7162E" w:rsidRPr="005C133F" w:rsidRDefault="00D7162E" w:rsidP="005C133F">
      <w:pPr>
        <w:pStyle w:val="SUBTITULITO"/>
        <w:spacing w:after="0"/>
        <w:rPr>
          <w:rFonts w:eastAsia="Calibri"/>
          <w:noProof/>
        </w:rPr>
      </w:pPr>
      <w:bookmarkStart w:id="18" w:name="_Toc219121836"/>
      <w:r w:rsidRPr="005C133F">
        <w:rPr>
          <w:rFonts w:eastAsia="Calibri"/>
          <w:noProof/>
        </w:rPr>
        <w:t xml:space="preserve">3.1 </w:t>
      </w:r>
      <w:r w:rsidR="00CD1247" w:rsidRPr="005C133F">
        <w:rPr>
          <w:rFonts w:eastAsia="Calibri"/>
          <w:noProof/>
        </w:rPr>
        <w:t>Cobertura Universal en Salud y Riesgos Laborales</w:t>
      </w:r>
      <w:bookmarkEnd w:id="18"/>
    </w:p>
    <w:p w14:paraId="7E40FD14" w14:textId="629B030C" w:rsidR="00E56E27" w:rsidRPr="005C133F" w:rsidRDefault="00E56E27" w:rsidP="005C133F">
      <w:pPr>
        <w:spacing w:before="240" w:after="0" w:line="360" w:lineRule="auto"/>
        <w:jc w:val="both"/>
        <w:rPr>
          <w:rFonts w:eastAsia="Times New Roman"/>
          <w:lang w:val="es-DO" w:eastAsia="es-DO"/>
        </w:rPr>
      </w:pPr>
      <w:r w:rsidRPr="005C133F">
        <w:rPr>
          <w:rFonts w:eastAsia="Times New Roman"/>
          <w:lang w:val="es-DO" w:eastAsia="es-DO"/>
        </w:rPr>
        <w:t>Al corte del mes</w:t>
      </w:r>
      <w:r w:rsidRPr="00AD2C1B">
        <w:rPr>
          <w:rFonts w:eastAsia="Times New Roman"/>
          <w:lang w:val="es-DO" w:eastAsia="es-DO"/>
        </w:rPr>
        <w:t xml:space="preserve"> </w:t>
      </w:r>
      <w:r w:rsidR="0027106A">
        <w:rPr>
          <w:rFonts w:eastAsia="Times New Roman"/>
          <w:lang w:val="es-DO" w:eastAsia="es-DO"/>
        </w:rPr>
        <w:t>diciembre</w:t>
      </w:r>
      <w:r w:rsidR="00594C60" w:rsidRPr="005C133F">
        <w:rPr>
          <w:rFonts w:eastAsia="Times New Roman"/>
          <w:lang w:val="es-DO" w:eastAsia="es-DO"/>
        </w:rPr>
        <w:t xml:space="preserve"> </w:t>
      </w:r>
      <w:r w:rsidRPr="005C133F">
        <w:rPr>
          <w:rFonts w:eastAsia="Times New Roman"/>
          <w:lang w:val="es-DO" w:eastAsia="es-DO"/>
        </w:rPr>
        <w:t>del a</w:t>
      </w:r>
      <w:r w:rsidR="00F330D7" w:rsidRPr="005C133F">
        <w:rPr>
          <w:rFonts w:eastAsia="Times New Roman"/>
          <w:lang w:val="es-DO" w:eastAsia="es-DO"/>
        </w:rPr>
        <w:t>ño 2025</w:t>
      </w:r>
      <w:r w:rsidRPr="005C133F">
        <w:rPr>
          <w:rFonts w:eastAsia="Times New Roman"/>
          <w:lang w:val="es-DO" w:eastAsia="es-DO"/>
        </w:rPr>
        <w:t xml:space="preserve">, </w:t>
      </w:r>
      <w:r w:rsidR="00E45F11" w:rsidRPr="005C133F">
        <w:rPr>
          <w:rFonts w:eastAsia="Times New Roman"/>
          <w:lang w:val="es-DO" w:eastAsia="es-DO"/>
        </w:rPr>
        <w:t>el Seguro Familiar de Salud (</w:t>
      </w:r>
      <w:r w:rsidR="0099049F" w:rsidRPr="005C133F">
        <w:rPr>
          <w:rFonts w:eastAsia="Times New Roman"/>
          <w:lang w:val="es-DO" w:eastAsia="es-DO"/>
        </w:rPr>
        <w:t>SFS) registró</w:t>
      </w:r>
      <w:r w:rsidR="00127EE2" w:rsidRPr="005C133F">
        <w:rPr>
          <w:rFonts w:eastAsia="Times New Roman"/>
          <w:lang w:val="es-DO" w:eastAsia="es-DO"/>
        </w:rPr>
        <w:t xml:space="preserve"> </w:t>
      </w:r>
      <w:r w:rsidR="00F330D7" w:rsidRPr="005C133F">
        <w:rPr>
          <w:rFonts w:eastAsia="Times New Roman"/>
          <w:lang w:val="es-DO" w:eastAsia="es-DO"/>
        </w:rPr>
        <w:t>una afiliación</w:t>
      </w:r>
      <w:r w:rsidRPr="005C133F">
        <w:rPr>
          <w:rFonts w:eastAsia="Times New Roman"/>
          <w:lang w:val="es-DO" w:eastAsia="es-DO"/>
        </w:rPr>
        <w:t xml:space="preserve"> total de </w:t>
      </w:r>
      <w:r w:rsidR="008F0295" w:rsidRPr="005C133F">
        <w:rPr>
          <w:rFonts w:eastAsia="Calibri"/>
          <w:b/>
          <w:bCs/>
          <w:noProof/>
          <w:lang w:val="es-DO"/>
        </w:rPr>
        <w:t>10,60</w:t>
      </w:r>
      <w:r w:rsidR="007E5804">
        <w:rPr>
          <w:rFonts w:eastAsia="Calibri"/>
          <w:b/>
          <w:bCs/>
          <w:noProof/>
          <w:lang w:val="es-DO"/>
        </w:rPr>
        <w:t>8</w:t>
      </w:r>
      <w:r w:rsidR="008F0295" w:rsidRPr="005C133F">
        <w:rPr>
          <w:rFonts w:eastAsia="Calibri"/>
          <w:b/>
          <w:bCs/>
          <w:noProof/>
          <w:lang w:val="es-DO"/>
        </w:rPr>
        <w:t>,</w:t>
      </w:r>
      <w:r w:rsidR="00624643">
        <w:rPr>
          <w:rFonts w:eastAsia="Calibri"/>
          <w:b/>
          <w:bCs/>
          <w:noProof/>
          <w:lang w:val="es-DO"/>
        </w:rPr>
        <w:t>360</w:t>
      </w:r>
      <w:r w:rsidR="008F0295" w:rsidRPr="005C133F">
        <w:rPr>
          <w:rFonts w:eastAsia="Calibri"/>
          <w:noProof/>
          <w:lang w:val="es-DO"/>
        </w:rPr>
        <w:t xml:space="preserve"> </w:t>
      </w:r>
      <w:r w:rsidRPr="005C133F">
        <w:rPr>
          <w:rFonts w:eastAsia="Times New Roman"/>
          <w:lang w:val="es-DO" w:eastAsia="es-DO"/>
        </w:rPr>
        <w:t xml:space="preserve">personas a través de los diferentes regímenes vigentes, lo que representa el </w:t>
      </w:r>
      <w:r w:rsidRPr="005C133F">
        <w:rPr>
          <w:rFonts w:eastAsia="Times New Roman"/>
          <w:b/>
          <w:i/>
          <w:lang w:val="es-DO" w:eastAsia="es-DO"/>
        </w:rPr>
        <w:t>9</w:t>
      </w:r>
      <w:r w:rsidR="00313D55" w:rsidRPr="005C133F">
        <w:rPr>
          <w:rFonts w:eastAsia="Times New Roman"/>
          <w:b/>
          <w:i/>
          <w:lang w:val="es-DO" w:eastAsia="es-DO"/>
        </w:rPr>
        <w:t>7.</w:t>
      </w:r>
      <w:r w:rsidR="00624643">
        <w:rPr>
          <w:rFonts w:eastAsia="Times New Roman"/>
          <w:b/>
          <w:i/>
          <w:lang w:val="es-DO" w:eastAsia="es-DO"/>
        </w:rPr>
        <w:t>52</w:t>
      </w:r>
      <w:r w:rsidRPr="005C133F">
        <w:rPr>
          <w:rFonts w:eastAsia="Times New Roman"/>
          <w:b/>
          <w:i/>
          <w:lang w:val="es-DO" w:eastAsia="es-DO"/>
        </w:rPr>
        <w:t>%</w:t>
      </w:r>
      <w:r w:rsidR="00313D55" w:rsidRPr="005C133F">
        <w:rPr>
          <w:rFonts w:eastAsia="Times New Roman"/>
          <w:lang w:val="es-DO" w:eastAsia="es-DO"/>
        </w:rPr>
        <w:t xml:space="preserve"> </w:t>
      </w:r>
      <w:r w:rsidR="000F22E2" w:rsidRPr="005C133F">
        <w:rPr>
          <w:rFonts w:eastAsia="Times New Roman"/>
          <w:lang w:val="es-DO" w:eastAsia="es-DO"/>
        </w:rPr>
        <w:t xml:space="preserve">de la población </w:t>
      </w:r>
      <w:r w:rsidRPr="005C133F">
        <w:rPr>
          <w:rFonts w:eastAsia="Times New Roman"/>
          <w:lang w:val="es-DO" w:eastAsia="es-DO"/>
        </w:rPr>
        <w:t xml:space="preserve">con cobertura en salud dentro del Sistema Dominicano de Seguridad Social (SDSS), tomando como referencia la estimación de la Oficina Nacional de Estadísticas (ONE) </w:t>
      </w:r>
      <w:r w:rsidR="00E84318" w:rsidRPr="005C133F">
        <w:rPr>
          <w:rFonts w:eastAsia="Times New Roman"/>
          <w:lang w:val="es-DO" w:eastAsia="es-DO"/>
        </w:rPr>
        <w:t>de una población total</w:t>
      </w:r>
      <w:r w:rsidR="00E84318" w:rsidRPr="005C133F">
        <w:rPr>
          <w:rFonts w:eastAsia="Calibri"/>
          <w:noProof/>
          <w:lang w:val="es-DO"/>
        </w:rPr>
        <w:t xml:space="preserve"> de </w:t>
      </w:r>
      <w:r w:rsidR="001B06BF" w:rsidRPr="005C133F">
        <w:rPr>
          <w:rFonts w:eastAsia="Calibri"/>
          <w:noProof/>
          <w:lang w:val="es-DO"/>
        </w:rPr>
        <w:t>10,878,267</w:t>
      </w:r>
      <w:r w:rsidRPr="005C133F">
        <w:rPr>
          <w:rFonts w:eastAsia="Times New Roman"/>
          <w:lang w:val="es-DO" w:eastAsia="es-DO"/>
        </w:rPr>
        <w:t xml:space="preserve">. La distribución por régimen </w:t>
      </w:r>
      <w:r w:rsidR="001B743B" w:rsidRPr="005C133F">
        <w:rPr>
          <w:rFonts w:eastAsia="Times New Roman"/>
          <w:lang w:val="es-DO" w:eastAsia="es-DO"/>
        </w:rPr>
        <w:t>fue</w:t>
      </w:r>
      <w:r w:rsidRPr="005C133F">
        <w:rPr>
          <w:rFonts w:eastAsia="Times New Roman"/>
          <w:lang w:val="es-DO" w:eastAsia="es-DO"/>
        </w:rPr>
        <w:t xml:space="preserve"> como sigue:</w:t>
      </w:r>
    </w:p>
    <w:p w14:paraId="1E39EE51" w14:textId="028F2B93" w:rsidR="00E56E27" w:rsidRPr="005C133F" w:rsidRDefault="001D52C2">
      <w:pPr>
        <w:pStyle w:val="Prrafodelista"/>
        <w:numPr>
          <w:ilvl w:val="0"/>
          <w:numId w:val="52"/>
        </w:numPr>
        <w:spacing w:after="0" w:line="360" w:lineRule="auto"/>
        <w:rPr>
          <w:b/>
          <w:i/>
          <w:lang w:val="es-DO"/>
        </w:rPr>
      </w:pPr>
      <w:r w:rsidRPr="005C133F">
        <w:rPr>
          <w:rFonts w:eastAsia="Calibri"/>
          <w:b/>
          <w:bCs/>
          <w:noProof/>
          <w:lang w:val="es-DO"/>
        </w:rPr>
        <w:t>4,8</w:t>
      </w:r>
      <w:r w:rsidR="003E16FF">
        <w:rPr>
          <w:rFonts w:eastAsia="Calibri"/>
          <w:b/>
          <w:bCs/>
          <w:noProof/>
          <w:lang w:val="es-DO"/>
        </w:rPr>
        <w:t>33</w:t>
      </w:r>
      <w:r w:rsidRPr="005C133F">
        <w:rPr>
          <w:rFonts w:eastAsia="Calibri"/>
          <w:b/>
          <w:bCs/>
          <w:noProof/>
          <w:lang w:val="es-DO"/>
        </w:rPr>
        <w:t>,</w:t>
      </w:r>
      <w:r w:rsidR="008D5857">
        <w:rPr>
          <w:rFonts w:eastAsia="Calibri"/>
          <w:b/>
          <w:bCs/>
          <w:noProof/>
          <w:lang w:val="es-DO"/>
        </w:rPr>
        <w:t>892</w:t>
      </w:r>
      <w:r w:rsidRPr="005C133F">
        <w:rPr>
          <w:rFonts w:eastAsia="Calibri"/>
          <w:noProof/>
          <w:lang w:val="es-DO"/>
        </w:rPr>
        <w:t xml:space="preserve"> </w:t>
      </w:r>
      <w:r w:rsidR="00E56E27" w:rsidRPr="005C133F">
        <w:rPr>
          <w:rFonts w:eastAsia="Times New Roman"/>
          <w:lang w:val="es-DO" w:eastAsia="es-DO"/>
        </w:rPr>
        <w:t>afiliados al Régimen Contributivo, y un monto de dispersión de</w:t>
      </w:r>
      <w:r w:rsidR="00E56E27" w:rsidRPr="005C133F">
        <w:rPr>
          <w:b/>
          <w:i/>
          <w:lang w:val="es-DO"/>
        </w:rPr>
        <w:t xml:space="preserve"> </w:t>
      </w:r>
      <w:r w:rsidR="00E56E27" w:rsidRPr="000C3189">
        <w:rPr>
          <w:b/>
          <w:i/>
          <w:lang w:val="es-DO"/>
        </w:rPr>
        <w:t>RD$</w:t>
      </w:r>
      <w:r w:rsidR="000C3189" w:rsidRPr="000C3189">
        <w:rPr>
          <w:b/>
          <w:i/>
          <w:lang w:val="es-DO"/>
        </w:rPr>
        <w:t>9,099,753,351.00</w:t>
      </w:r>
    </w:p>
    <w:p w14:paraId="2F784B41" w14:textId="6827E1BC" w:rsidR="00E56E27" w:rsidRPr="005C133F" w:rsidRDefault="00091ECC">
      <w:pPr>
        <w:pStyle w:val="Prrafodelista"/>
        <w:numPr>
          <w:ilvl w:val="0"/>
          <w:numId w:val="52"/>
        </w:numPr>
        <w:spacing w:after="0" w:line="360" w:lineRule="auto"/>
        <w:rPr>
          <w:b/>
          <w:lang w:val="es-DO"/>
        </w:rPr>
      </w:pPr>
      <w:r w:rsidRPr="005C133F">
        <w:rPr>
          <w:rFonts w:eastAsia="Calibri"/>
          <w:b/>
          <w:bCs/>
          <w:noProof/>
          <w:lang w:val="es-DO"/>
        </w:rPr>
        <w:t>5,6</w:t>
      </w:r>
      <w:r w:rsidR="00D046B3">
        <w:rPr>
          <w:rFonts w:eastAsia="Calibri"/>
          <w:b/>
          <w:bCs/>
          <w:noProof/>
          <w:lang w:val="es-DO"/>
        </w:rPr>
        <w:t>55</w:t>
      </w:r>
      <w:r w:rsidRPr="005C133F">
        <w:rPr>
          <w:rFonts w:eastAsia="Calibri"/>
          <w:b/>
          <w:bCs/>
          <w:noProof/>
          <w:lang w:val="es-DO"/>
        </w:rPr>
        <w:t>,</w:t>
      </w:r>
      <w:r w:rsidR="00BC4B11">
        <w:rPr>
          <w:rFonts w:eastAsia="Calibri"/>
          <w:b/>
          <w:bCs/>
          <w:noProof/>
          <w:lang w:val="es-DO"/>
        </w:rPr>
        <w:t>485</w:t>
      </w:r>
      <w:r w:rsidRPr="005C133F">
        <w:rPr>
          <w:rFonts w:eastAsia="Calibri"/>
          <w:noProof/>
          <w:lang w:val="es-DO"/>
        </w:rPr>
        <w:t xml:space="preserve"> </w:t>
      </w:r>
      <w:r w:rsidR="00E56E27" w:rsidRPr="005C133F">
        <w:rPr>
          <w:rFonts w:eastAsia="Times New Roman"/>
          <w:lang w:val="es-DO" w:eastAsia="es-DO"/>
        </w:rPr>
        <w:t xml:space="preserve">afiliados al Régimen Subsidiado, y un monto de dispersión de </w:t>
      </w:r>
      <w:r w:rsidR="00E56E27" w:rsidRPr="005C133F">
        <w:rPr>
          <w:b/>
          <w:i/>
          <w:lang w:val="es-DO"/>
        </w:rPr>
        <w:t>RD$</w:t>
      </w:r>
      <w:r w:rsidR="005E1148" w:rsidRPr="005E1148">
        <w:rPr>
          <w:b/>
          <w:bCs/>
          <w:i/>
          <w:lang w:val="es-DO"/>
        </w:rPr>
        <w:t>1,820,896,505</w:t>
      </w:r>
      <w:r w:rsidR="005E1148">
        <w:rPr>
          <w:b/>
          <w:bCs/>
          <w:i/>
          <w:lang w:val="es-DO"/>
        </w:rPr>
        <w:t>.00</w:t>
      </w:r>
    </w:p>
    <w:p w14:paraId="41B15D00" w14:textId="07ABD7C1" w:rsidR="008F0295" w:rsidRPr="005C133F" w:rsidRDefault="001B0E07">
      <w:pPr>
        <w:pStyle w:val="Prrafodelista"/>
        <w:numPr>
          <w:ilvl w:val="0"/>
          <w:numId w:val="52"/>
        </w:numPr>
        <w:spacing w:after="0" w:line="360" w:lineRule="auto"/>
        <w:rPr>
          <w:b/>
          <w:lang w:val="es-DO"/>
        </w:rPr>
      </w:pPr>
      <w:r w:rsidRPr="005C133F">
        <w:rPr>
          <w:rFonts w:eastAsia="Calibri"/>
          <w:b/>
          <w:bCs/>
          <w:noProof/>
          <w:lang w:val="es-DO"/>
        </w:rPr>
        <w:t>118,</w:t>
      </w:r>
      <w:r w:rsidR="00AE6DC2">
        <w:rPr>
          <w:rFonts w:eastAsia="Calibri"/>
          <w:b/>
          <w:bCs/>
          <w:noProof/>
          <w:lang w:val="es-DO"/>
        </w:rPr>
        <w:t>983</w:t>
      </w:r>
      <w:r w:rsidRPr="005C133F">
        <w:rPr>
          <w:rFonts w:eastAsia="Calibri"/>
          <w:noProof/>
          <w:lang w:val="es-DO"/>
        </w:rPr>
        <w:t xml:space="preserve"> </w:t>
      </w:r>
      <w:r w:rsidR="00E56E27" w:rsidRPr="005C133F">
        <w:rPr>
          <w:rFonts w:eastAsia="Times New Roman"/>
          <w:lang w:val="es-DO" w:eastAsia="es-DO"/>
        </w:rPr>
        <w:t>afiliados a planes de Pensionados y Jubilados, y un monto de dispersión de</w:t>
      </w:r>
      <w:r w:rsidR="00E56E27" w:rsidRPr="005C133F">
        <w:rPr>
          <w:rFonts w:eastAsia="Times New Roman"/>
          <w:b/>
          <w:i/>
          <w:lang w:val="es-DO" w:eastAsia="es-DO"/>
        </w:rPr>
        <w:t xml:space="preserve"> RD</w:t>
      </w:r>
      <w:r w:rsidR="00FF100B" w:rsidRPr="005C133F">
        <w:rPr>
          <w:rFonts w:eastAsia="Times New Roman"/>
          <w:b/>
          <w:i/>
          <w:lang w:val="es-DO" w:eastAsia="es-DO"/>
        </w:rPr>
        <w:t>$</w:t>
      </w:r>
      <w:r w:rsidR="00BA1031" w:rsidRPr="00BA1031">
        <w:rPr>
          <w:rFonts w:eastAsia="Times New Roman"/>
          <w:b/>
          <w:bCs/>
          <w:i/>
          <w:lang w:val="es-DO" w:eastAsia="es-DO"/>
        </w:rPr>
        <w:t>279,337,904</w:t>
      </w:r>
      <w:r w:rsidR="00BA1031">
        <w:rPr>
          <w:rFonts w:eastAsia="Times New Roman"/>
          <w:b/>
          <w:bCs/>
          <w:i/>
          <w:lang w:val="es-DO" w:eastAsia="es-DO"/>
        </w:rPr>
        <w:t>.00</w:t>
      </w:r>
    </w:p>
    <w:p w14:paraId="6E60EAC4" w14:textId="47C8670A" w:rsidR="005113C2" w:rsidRPr="0081592F" w:rsidRDefault="003F20C3" w:rsidP="00F26B9E">
      <w:pPr>
        <w:spacing w:after="0" w:line="360" w:lineRule="auto"/>
        <w:jc w:val="both"/>
        <w:rPr>
          <w:rFonts w:eastAsia="Times New Roman"/>
          <w:bCs/>
          <w:lang w:val="es-DO" w:eastAsia="es-DO"/>
        </w:rPr>
      </w:pPr>
      <w:r w:rsidRPr="005C133F">
        <w:rPr>
          <w:rFonts w:eastAsia="Times New Roman"/>
          <w:bCs/>
          <w:lang w:val="es-DO" w:eastAsia="es-DO"/>
        </w:rPr>
        <w:t>El m</w:t>
      </w:r>
      <w:r w:rsidR="007C3AB9" w:rsidRPr="005C133F">
        <w:rPr>
          <w:rFonts w:eastAsia="Times New Roman"/>
          <w:bCs/>
          <w:lang w:val="es-DO" w:eastAsia="es-DO"/>
        </w:rPr>
        <w:t xml:space="preserve">onto total dispersado en </w:t>
      </w:r>
      <w:proofErr w:type="spellStart"/>
      <w:r w:rsidR="005113C2" w:rsidRPr="005C133F">
        <w:rPr>
          <w:rFonts w:eastAsia="Times New Roman"/>
          <w:bCs/>
          <w:lang w:val="es-DO" w:eastAsia="es-DO"/>
        </w:rPr>
        <w:t>cápitas</w:t>
      </w:r>
      <w:proofErr w:type="spellEnd"/>
      <w:r w:rsidR="005113C2" w:rsidRPr="005C133F">
        <w:rPr>
          <w:rFonts w:eastAsia="Times New Roman"/>
          <w:bCs/>
          <w:lang w:val="es-DO" w:eastAsia="es-DO"/>
        </w:rPr>
        <w:t xml:space="preserve"> fue de </w:t>
      </w:r>
      <w:r w:rsidR="009A721D" w:rsidRPr="005C133F">
        <w:rPr>
          <w:rFonts w:eastAsia="Calibri"/>
          <w:b/>
          <w:noProof/>
          <w:lang w:val="es-DO"/>
        </w:rPr>
        <w:t>RD$</w:t>
      </w:r>
      <w:r w:rsidR="0081592F" w:rsidRPr="0081592F">
        <w:rPr>
          <w:rFonts w:eastAsia="Calibri"/>
          <w:b/>
          <w:bCs/>
          <w:noProof/>
          <w:lang w:val="es-DO"/>
        </w:rPr>
        <w:t>11,199,987,761</w:t>
      </w:r>
      <w:r w:rsidR="0081592F">
        <w:rPr>
          <w:rFonts w:eastAsia="Calibri"/>
          <w:b/>
          <w:bCs/>
          <w:noProof/>
          <w:lang w:val="es-DO"/>
        </w:rPr>
        <w:t>.00</w:t>
      </w:r>
    </w:p>
    <w:p w14:paraId="48E0E405" w14:textId="77777777" w:rsidR="0080097A" w:rsidRPr="0081592F" w:rsidRDefault="0080097A" w:rsidP="00F26B9E">
      <w:pPr>
        <w:spacing w:after="0" w:line="360" w:lineRule="auto"/>
        <w:jc w:val="both"/>
        <w:rPr>
          <w:bCs/>
          <w:lang w:val="es-DO"/>
        </w:rPr>
      </w:pPr>
    </w:p>
    <w:p w14:paraId="12EABFC2" w14:textId="54B3EF24" w:rsidR="008F0295" w:rsidRPr="005C133F" w:rsidRDefault="004E58BA" w:rsidP="00F26B9E">
      <w:pPr>
        <w:spacing w:after="0" w:line="360" w:lineRule="auto"/>
        <w:jc w:val="both"/>
        <w:rPr>
          <w:rFonts w:eastAsia="Calibri"/>
          <w:noProof/>
          <w:lang w:val="es-DO"/>
        </w:rPr>
      </w:pPr>
      <w:r w:rsidRPr="005C133F">
        <w:rPr>
          <w:bCs/>
          <w:lang w:val="es-DO"/>
        </w:rPr>
        <w:t>En cuanto al Seguro de Riesgos Laborales (SRL)</w:t>
      </w:r>
      <w:r w:rsidR="007C3AB9" w:rsidRPr="005C133F">
        <w:rPr>
          <w:bCs/>
          <w:lang w:val="es-DO"/>
        </w:rPr>
        <w:t xml:space="preserve">, </w:t>
      </w:r>
      <w:r w:rsidR="00127EE2" w:rsidRPr="005C133F">
        <w:rPr>
          <w:bCs/>
          <w:lang w:val="es-DO"/>
        </w:rPr>
        <w:t xml:space="preserve">al </w:t>
      </w:r>
      <w:r w:rsidRPr="005C133F">
        <w:rPr>
          <w:bCs/>
          <w:lang w:val="es-DO"/>
        </w:rPr>
        <w:t xml:space="preserve">mismo </w:t>
      </w:r>
      <w:r w:rsidR="00127EE2" w:rsidRPr="005C133F">
        <w:rPr>
          <w:bCs/>
          <w:lang w:val="es-DO"/>
        </w:rPr>
        <w:t xml:space="preserve">corte se registró una afiliación </w:t>
      </w:r>
      <w:r w:rsidR="00AC6B55" w:rsidRPr="005C133F">
        <w:rPr>
          <w:bCs/>
          <w:lang w:val="es-DO"/>
        </w:rPr>
        <w:t xml:space="preserve">de </w:t>
      </w:r>
      <w:r w:rsidR="008F0295" w:rsidRPr="005C133F">
        <w:rPr>
          <w:rFonts w:eastAsia="Calibri"/>
          <w:noProof/>
          <w:lang w:val="es-DO"/>
        </w:rPr>
        <w:t>2,</w:t>
      </w:r>
      <w:r w:rsidR="00784E43">
        <w:rPr>
          <w:rFonts w:eastAsia="Calibri"/>
          <w:noProof/>
          <w:lang w:val="es-DO"/>
        </w:rPr>
        <w:t>472</w:t>
      </w:r>
      <w:r w:rsidR="008F0295" w:rsidRPr="005C133F">
        <w:rPr>
          <w:rFonts w:eastAsia="Calibri"/>
          <w:noProof/>
          <w:lang w:val="es-DO"/>
        </w:rPr>
        <w:t>,</w:t>
      </w:r>
      <w:r w:rsidR="00784E43">
        <w:rPr>
          <w:rFonts w:eastAsia="Calibri"/>
          <w:noProof/>
          <w:lang w:val="es-DO"/>
        </w:rPr>
        <w:t>105</w:t>
      </w:r>
      <w:r w:rsidR="008F0295" w:rsidRPr="005C133F">
        <w:rPr>
          <w:rFonts w:eastAsia="Calibri"/>
          <w:noProof/>
          <w:lang w:val="es-DO"/>
        </w:rPr>
        <w:t xml:space="preserve"> de trabajadores, económicamente activos y ocupados </w:t>
      </w:r>
      <w:r w:rsidR="006B084F" w:rsidRPr="005C133F">
        <w:rPr>
          <w:rFonts w:eastAsia="Calibri"/>
          <w:noProof/>
          <w:lang w:val="es-DO"/>
        </w:rPr>
        <w:t xml:space="preserve">en el sector </w:t>
      </w:r>
      <w:r w:rsidR="008F0295" w:rsidRPr="005C133F">
        <w:rPr>
          <w:rFonts w:eastAsia="Calibri"/>
          <w:noProof/>
          <w:lang w:val="es-DO"/>
        </w:rPr>
        <w:t>formal del mercado laboral</w:t>
      </w:r>
      <w:r w:rsidR="003901D2" w:rsidRPr="005C133F">
        <w:rPr>
          <w:rFonts w:eastAsia="Calibri"/>
          <w:noProof/>
          <w:lang w:val="es-DO"/>
        </w:rPr>
        <w:t xml:space="preserve"> </w:t>
      </w:r>
      <w:r w:rsidR="004A703C" w:rsidRPr="005C133F">
        <w:rPr>
          <w:rFonts w:eastAsia="Calibri"/>
          <w:noProof/>
          <w:lang w:val="es-DO"/>
        </w:rPr>
        <w:t xml:space="preserve">de los cuales </w:t>
      </w:r>
      <w:r w:rsidR="00BA793D" w:rsidRPr="005C133F">
        <w:rPr>
          <w:rFonts w:eastAsia="Calibri"/>
          <w:noProof/>
          <w:lang w:val="es-DO"/>
        </w:rPr>
        <w:t>1,17</w:t>
      </w:r>
      <w:r w:rsidR="00784E43">
        <w:rPr>
          <w:rFonts w:eastAsia="Calibri"/>
          <w:noProof/>
          <w:lang w:val="es-DO"/>
        </w:rPr>
        <w:t>5</w:t>
      </w:r>
      <w:r w:rsidR="00BA793D" w:rsidRPr="005C133F">
        <w:rPr>
          <w:rFonts w:eastAsia="Calibri"/>
          <w:noProof/>
          <w:lang w:val="es-DO"/>
        </w:rPr>
        <w:t>,</w:t>
      </w:r>
      <w:r w:rsidR="00784E43">
        <w:rPr>
          <w:rFonts w:eastAsia="Calibri"/>
          <w:noProof/>
          <w:lang w:val="es-DO"/>
        </w:rPr>
        <w:t>781</w:t>
      </w:r>
      <w:r w:rsidR="003901D2" w:rsidRPr="005C133F">
        <w:rPr>
          <w:rFonts w:eastAsia="Calibri"/>
          <w:noProof/>
          <w:lang w:val="es-DO"/>
        </w:rPr>
        <w:t xml:space="preserve"> </w:t>
      </w:r>
      <w:r w:rsidR="004A703C" w:rsidRPr="005C133F">
        <w:rPr>
          <w:rFonts w:eastAsia="Calibri"/>
          <w:noProof/>
          <w:lang w:val="es-DO"/>
        </w:rPr>
        <w:t xml:space="preserve">son </w:t>
      </w:r>
      <w:r w:rsidR="00EB7582" w:rsidRPr="005C133F">
        <w:rPr>
          <w:rFonts w:eastAsia="Calibri"/>
          <w:noProof/>
          <w:lang w:val="es-DO"/>
        </w:rPr>
        <w:t>mujeres  y 1,29</w:t>
      </w:r>
      <w:r w:rsidR="00784E43">
        <w:rPr>
          <w:rFonts w:eastAsia="Calibri"/>
          <w:noProof/>
          <w:lang w:val="es-DO"/>
        </w:rPr>
        <w:t>6</w:t>
      </w:r>
      <w:r w:rsidR="00EB7582" w:rsidRPr="005C133F">
        <w:rPr>
          <w:rFonts w:eastAsia="Calibri"/>
          <w:noProof/>
          <w:lang w:val="es-DO"/>
        </w:rPr>
        <w:t>,</w:t>
      </w:r>
      <w:r w:rsidR="002B3019">
        <w:rPr>
          <w:rFonts w:eastAsia="Calibri"/>
          <w:noProof/>
          <w:lang w:val="es-DO"/>
        </w:rPr>
        <w:t>324</w:t>
      </w:r>
      <w:r w:rsidR="008427B4">
        <w:rPr>
          <w:rFonts w:eastAsia="Calibri"/>
          <w:noProof/>
          <w:lang w:val="es-DO"/>
        </w:rPr>
        <w:t xml:space="preserve"> </w:t>
      </w:r>
      <w:r w:rsidR="004A703C" w:rsidRPr="005C133F">
        <w:rPr>
          <w:rFonts w:eastAsia="Calibri"/>
          <w:noProof/>
          <w:lang w:val="es-DO"/>
        </w:rPr>
        <w:t xml:space="preserve">son hombres. </w:t>
      </w:r>
    </w:p>
    <w:p w14:paraId="514BF53A" w14:textId="77777777" w:rsidR="001D7136" w:rsidRPr="005C133F" w:rsidRDefault="001D7136" w:rsidP="005C133F">
      <w:pPr>
        <w:spacing w:after="0" w:line="360" w:lineRule="auto"/>
        <w:jc w:val="both"/>
        <w:rPr>
          <w:bCs/>
          <w:lang w:val="es-DO"/>
        </w:rPr>
      </w:pPr>
    </w:p>
    <w:p w14:paraId="08979592" w14:textId="24AEB85E" w:rsidR="00F26B9E" w:rsidRDefault="005E6C3D" w:rsidP="005C133F">
      <w:pPr>
        <w:spacing w:after="0" w:line="360" w:lineRule="auto"/>
        <w:jc w:val="both"/>
        <w:rPr>
          <w:rFonts w:eastAsia="Times New Roman"/>
          <w:lang w:val="es-DO" w:eastAsia="es-DO"/>
        </w:rPr>
      </w:pPr>
      <w:r w:rsidRPr="005C133F">
        <w:rPr>
          <w:rFonts w:eastAsia="Times New Roman"/>
          <w:lang w:val="es-DO" w:eastAsia="es-DO"/>
        </w:rPr>
        <w:t xml:space="preserve">Las tabas </w:t>
      </w:r>
      <w:r w:rsidR="00901AE8" w:rsidRPr="005C133F">
        <w:rPr>
          <w:rFonts w:eastAsia="Times New Roman"/>
          <w:lang w:val="es-DO" w:eastAsia="es-DO"/>
        </w:rPr>
        <w:t>2</w:t>
      </w:r>
      <w:r w:rsidR="009B2763" w:rsidRPr="005C133F">
        <w:rPr>
          <w:rFonts w:eastAsia="Times New Roman"/>
          <w:lang w:val="es-DO" w:eastAsia="es-DO"/>
        </w:rPr>
        <w:t xml:space="preserve"> y </w:t>
      </w:r>
      <w:r w:rsidR="00901AE8" w:rsidRPr="005C133F">
        <w:rPr>
          <w:rFonts w:eastAsia="Times New Roman"/>
          <w:lang w:val="es-DO" w:eastAsia="es-DO"/>
        </w:rPr>
        <w:t>3</w:t>
      </w:r>
      <w:r w:rsidR="006B553F" w:rsidRPr="005C133F">
        <w:rPr>
          <w:rFonts w:eastAsia="Times New Roman"/>
          <w:lang w:val="es-DO" w:eastAsia="es-DO"/>
        </w:rPr>
        <w:t xml:space="preserve"> </w:t>
      </w:r>
      <w:r w:rsidR="004A703C" w:rsidRPr="005C133F">
        <w:rPr>
          <w:rFonts w:eastAsia="Times New Roman"/>
          <w:lang w:val="es-DO" w:eastAsia="es-DO"/>
        </w:rPr>
        <w:t xml:space="preserve">presentan </w:t>
      </w:r>
      <w:r w:rsidRPr="005C133F">
        <w:rPr>
          <w:rFonts w:eastAsia="Times New Roman"/>
          <w:lang w:val="es-DO" w:eastAsia="es-DO"/>
        </w:rPr>
        <w:t>l</w:t>
      </w:r>
      <w:r w:rsidR="006367E7" w:rsidRPr="005C133F">
        <w:rPr>
          <w:rFonts w:eastAsia="Times New Roman"/>
          <w:lang w:val="es-DO" w:eastAsia="es-DO"/>
        </w:rPr>
        <w:t>a d</w:t>
      </w:r>
      <w:r w:rsidR="006B553F" w:rsidRPr="005C133F">
        <w:rPr>
          <w:rFonts w:eastAsia="Times New Roman"/>
          <w:lang w:val="es-DO" w:eastAsia="es-DO"/>
        </w:rPr>
        <w:t>e</w:t>
      </w:r>
      <w:r w:rsidR="006367E7" w:rsidRPr="005C133F">
        <w:rPr>
          <w:rFonts w:eastAsia="Times New Roman"/>
          <w:lang w:val="es-DO" w:eastAsia="es-DO"/>
        </w:rPr>
        <w:t>s</w:t>
      </w:r>
      <w:r w:rsidR="006B553F" w:rsidRPr="005C133F">
        <w:rPr>
          <w:rFonts w:eastAsia="Times New Roman"/>
          <w:lang w:val="es-DO" w:eastAsia="es-DO"/>
        </w:rPr>
        <w:t>a</w:t>
      </w:r>
      <w:r w:rsidR="006367E7" w:rsidRPr="005C133F">
        <w:rPr>
          <w:rFonts w:eastAsia="Times New Roman"/>
          <w:lang w:val="es-DO" w:eastAsia="es-DO"/>
        </w:rPr>
        <w:t>gregación</w:t>
      </w:r>
      <w:r w:rsidRPr="005C133F">
        <w:rPr>
          <w:rFonts w:eastAsia="Times New Roman"/>
          <w:lang w:val="es-DO" w:eastAsia="es-DO"/>
        </w:rPr>
        <w:t xml:space="preserve"> por provincia</w:t>
      </w:r>
      <w:r w:rsidR="006367E7" w:rsidRPr="005C133F">
        <w:rPr>
          <w:rFonts w:eastAsia="Times New Roman"/>
          <w:lang w:val="es-DO" w:eastAsia="es-DO"/>
        </w:rPr>
        <w:t xml:space="preserve"> y régimen</w:t>
      </w:r>
      <w:r w:rsidRPr="005C133F">
        <w:rPr>
          <w:rFonts w:eastAsia="Times New Roman"/>
          <w:lang w:val="es-DO" w:eastAsia="es-DO"/>
        </w:rPr>
        <w:t xml:space="preserve"> de </w:t>
      </w:r>
      <w:r w:rsidR="00B12303" w:rsidRPr="005C133F">
        <w:rPr>
          <w:rFonts w:eastAsia="Times New Roman"/>
          <w:lang w:val="es-DO" w:eastAsia="es-DO"/>
        </w:rPr>
        <w:t>afiliación</w:t>
      </w:r>
      <w:r w:rsidR="009B2763" w:rsidRPr="005C133F">
        <w:rPr>
          <w:rFonts w:eastAsia="Times New Roman"/>
          <w:lang w:val="es-DO" w:eastAsia="es-DO"/>
        </w:rPr>
        <w:t xml:space="preserve"> y sexo en el Seguro Familiar de Salud, y la tabla </w:t>
      </w:r>
      <w:r w:rsidR="00AD06DA" w:rsidRPr="005C133F">
        <w:rPr>
          <w:rFonts w:eastAsia="Times New Roman"/>
          <w:lang w:val="es-DO" w:eastAsia="es-DO"/>
        </w:rPr>
        <w:t>4</w:t>
      </w:r>
      <w:r w:rsidR="009B2763" w:rsidRPr="005C133F">
        <w:rPr>
          <w:rFonts w:eastAsia="Times New Roman"/>
          <w:lang w:val="es-DO" w:eastAsia="es-DO"/>
        </w:rPr>
        <w:t xml:space="preserve"> </w:t>
      </w:r>
      <w:r w:rsidR="009B2763" w:rsidRPr="005C133F">
        <w:rPr>
          <w:rFonts w:eastAsia="Times New Roman"/>
          <w:lang w:val="es-DO" w:eastAsia="es-DO"/>
        </w:rPr>
        <w:lastRenderedPageBreak/>
        <w:t xml:space="preserve">muestra la desagregación </w:t>
      </w:r>
      <w:r w:rsidR="001D7136" w:rsidRPr="005C133F">
        <w:rPr>
          <w:rFonts w:eastAsia="Times New Roman"/>
          <w:lang w:val="es-DO" w:eastAsia="es-DO"/>
        </w:rPr>
        <w:t xml:space="preserve">por provincia y sexo en la afiliación al Seguro de Riegos Laborales. </w:t>
      </w:r>
    </w:p>
    <w:p w14:paraId="01464298" w14:textId="77777777" w:rsidR="009D5E0D" w:rsidRPr="005C133F" w:rsidRDefault="009D5E0D" w:rsidP="005C133F">
      <w:pPr>
        <w:spacing w:after="0" w:line="360" w:lineRule="auto"/>
        <w:jc w:val="both"/>
        <w:rPr>
          <w:rFonts w:eastAsia="Times New Roman"/>
          <w:lang w:val="es-DO" w:eastAsia="es-DO"/>
        </w:rPr>
      </w:pPr>
    </w:p>
    <w:p w14:paraId="2A2957E8" w14:textId="1D4585B0" w:rsidR="007058CE" w:rsidRPr="005C133F" w:rsidRDefault="007058CE" w:rsidP="00E05B71">
      <w:pPr>
        <w:pStyle w:val="Descripcin"/>
        <w:keepNext/>
        <w:spacing w:after="0"/>
        <w:jc w:val="center"/>
        <w:rPr>
          <w:rFonts w:eastAsia="Times New Roman"/>
          <w:b/>
          <w:bCs/>
          <w:i w:val="0"/>
          <w:iCs w:val="0"/>
          <w:color w:val="767171"/>
          <w:sz w:val="24"/>
          <w:szCs w:val="24"/>
          <w:lang w:val="es-DO" w:eastAsia="es-DO"/>
        </w:rPr>
      </w:pPr>
      <w:bookmarkStart w:id="19" w:name="_Toc218784134"/>
      <w:r w:rsidRPr="005C133F">
        <w:rPr>
          <w:rFonts w:eastAsia="Times New Roman"/>
          <w:b/>
          <w:bCs/>
          <w:i w:val="0"/>
          <w:iCs w:val="0"/>
          <w:color w:val="767171"/>
          <w:sz w:val="24"/>
          <w:szCs w:val="24"/>
          <w:lang w:val="es-DO" w:eastAsia="es-DO"/>
        </w:rPr>
        <w:t xml:space="preserve">Tabla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Tabla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2</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xml:space="preserve">. Desagregación de la afiliación al Seguro Familiar de Salud (SFS) según régimen y </w:t>
      </w:r>
      <w:r w:rsidRPr="00AD2C1B">
        <w:rPr>
          <w:rFonts w:eastAsia="Times New Roman"/>
          <w:b/>
          <w:bCs/>
          <w:i w:val="0"/>
          <w:iCs w:val="0"/>
          <w:color w:val="767171"/>
          <w:sz w:val="24"/>
          <w:szCs w:val="24"/>
          <w:lang w:val="es-DO" w:eastAsia="es-DO"/>
        </w:rPr>
        <w:t>provincia</w:t>
      </w:r>
      <w:r w:rsidR="00F731AE" w:rsidRPr="00AD2C1B">
        <w:rPr>
          <w:rFonts w:eastAsia="Times New Roman"/>
          <w:b/>
          <w:bCs/>
          <w:i w:val="0"/>
          <w:iCs w:val="0"/>
          <w:color w:val="767171"/>
          <w:sz w:val="24"/>
          <w:szCs w:val="24"/>
          <w:lang w:val="es-DO" w:eastAsia="es-DO"/>
        </w:rPr>
        <w:t xml:space="preserve">, </w:t>
      </w:r>
      <w:r w:rsidR="002E24D5">
        <w:rPr>
          <w:rFonts w:eastAsia="Times New Roman"/>
          <w:b/>
          <w:bCs/>
          <w:i w:val="0"/>
          <w:iCs w:val="0"/>
          <w:color w:val="767171"/>
          <w:sz w:val="24"/>
          <w:szCs w:val="24"/>
          <w:lang w:val="es-DO" w:eastAsia="es-DO"/>
        </w:rPr>
        <w:t>diciembre</w:t>
      </w:r>
      <w:r w:rsidR="00F731AE" w:rsidRPr="00AD2C1B">
        <w:rPr>
          <w:rFonts w:eastAsia="Times New Roman"/>
          <w:b/>
          <w:bCs/>
          <w:i w:val="0"/>
          <w:iCs w:val="0"/>
          <w:color w:val="767171"/>
          <w:sz w:val="24"/>
          <w:szCs w:val="24"/>
          <w:lang w:val="es-DO" w:eastAsia="es-DO"/>
        </w:rPr>
        <w:t xml:space="preserve"> 2025</w:t>
      </w:r>
      <w:bookmarkEnd w:id="19"/>
    </w:p>
    <w:tbl>
      <w:tblPr>
        <w:tblW w:w="0" w:type="auto"/>
        <w:jc w:val="center"/>
        <w:tblLayout w:type="fixed"/>
        <w:tblCellMar>
          <w:left w:w="70" w:type="dxa"/>
          <w:right w:w="70" w:type="dxa"/>
        </w:tblCellMar>
        <w:tblLook w:val="04A0" w:firstRow="1" w:lastRow="0" w:firstColumn="1" w:lastColumn="0" w:noHBand="0" w:noVBand="1"/>
      </w:tblPr>
      <w:tblGrid>
        <w:gridCol w:w="1980"/>
        <w:gridCol w:w="1559"/>
        <w:gridCol w:w="1418"/>
        <w:gridCol w:w="1485"/>
        <w:gridCol w:w="1468"/>
      </w:tblGrid>
      <w:tr w:rsidR="007F57F8" w:rsidRPr="007F57F8" w14:paraId="55C2CCB9" w14:textId="77777777" w:rsidTr="007F57F8">
        <w:trPr>
          <w:trHeight w:val="624"/>
          <w:tblHeader/>
          <w:jc w:val="center"/>
        </w:trPr>
        <w:tc>
          <w:tcPr>
            <w:tcW w:w="1980" w:type="dxa"/>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7695380A"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 xml:space="preserve">Provincia </w:t>
            </w:r>
          </w:p>
        </w:tc>
        <w:tc>
          <w:tcPr>
            <w:tcW w:w="1559" w:type="dxa"/>
            <w:tcBorders>
              <w:top w:val="single" w:sz="4" w:space="0" w:color="808080"/>
              <w:left w:val="nil"/>
              <w:bottom w:val="single" w:sz="4" w:space="0" w:color="808080"/>
              <w:right w:val="single" w:sz="4" w:space="0" w:color="808080"/>
            </w:tcBorders>
            <w:shd w:val="clear" w:color="000000" w:fill="011C50"/>
            <w:vAlign w:val="center"/>
            <w:hideMark/>
          </w:tcPr>
          <w:p w14:paraId="5593BD76"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Régimen Contributivo</w:t>
            </w:r>
          </w:p>
        </w:tc>
        <w:tc>
          <w:tcPr>
            <w:tcW w:w="1418" w:type="dxa"/>
            <w:tcBorders>
              <w:top w:val="single" w:sz="4" w:space="0" w:color="808080"/>
              <w:left w:val="nil"/>
              <w:bottom w:val="single" w:sz="4" w:space="0" w:color="808080"/>
              <w:right w:val="single" w:sz="4" w:space="0" w:color="808080"/>
            </w:tcBorders>
            <w:shd w:val="clear" w:color="000000" w:fill="011C50"/>
            <w:vAlign w:val="center"/>
            <w:hideMark/>
          </w:tcPr>
          <w:p w14:paraId="1FD82C04"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Planes de Pensionados</w:t>
            </w:r>
          </w:p>
        </w:tc>
        <w:tc>
          <w:tcPr>
            <w:tcW w:w="1485" w:type="dxa"/>
            <w:tcBorders>
              <w:top w:val="single" w:sz="4" w:space="0" w:color="808080"/>
              <w:left w:val="nil"/>
              <w:bottom w:val="single" w:sz="4" w:space="0" w:color="808080"/>
              <w:right w:val="single" w:sz="4" w:space="0" w:color="808080"/>
            </w:tcBorders>
            <w:shd w:val="clear" w:color="000000" w:fill="011C50"/>
            <w:vAlign w:val="center"/>
            <w:hideMark/>
          </w:tcPr>
          <w:p w14:paraId="431D4841"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Régimen Subsidiado</w:t>
            </w:r>
          </w:p>
        </w:tc>
        <w:tc>
          <w:tcPr>
            <w:tcW w:w="1468" w:type="dxa"/>
            <w:tcBorders>
              <w:top w:val="single" w:sz="4" w:space="0" w:color="808080"/>
              <w:left w:val="nil"/>
              <w:bottom w:val="single" w:sz="4" w:space="0" w:color="808080"/>
              <w:right w:val="single" w:sz="4" w:space="0" w:color="808080"/>
            </w:tcBorders>
            <w:shd w:val="clear" w:color="000000" w:fill="011C50"/>
            <w:noWrap/>
            <w:vAlign w:val="center"/>
            <w:hideMark/>
          </w:tcPr>
          <w:p w14:paraId="5569C54C"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Total general</w:t>
            </w:r>
          </w:p>
        </w:tc>
      </w:tr>
      <w:tr w:rsidR="007F57F8" w:rsidRPr="007F57F8" w14:paraId="2A785DED" w14:textId="77777777" w:rsidTr="004A59A3">
        <w:trPr>
          <w:trHeight w:val="393"/>
          <w:jc w:val="center"/>
        </w:trPr>
        <w:tc>
          <w:tcPr>
            <w:tcW w:w="1980" w:type="dxa"/>
            <w:tcBorders>
              <w:top w:val="nil"/>
              <w:left w:val="single" w:sz="4" w:space="0" w:color="808080"/>
              <w:bottom w:val="single" w:sz="4" w:space="0" w:color="808080"/>
              <w:right w:val="single" w:sz="4" w:space="0" w:color="808080"/>
            </w:tcBorders>
            <w:vAlign w:val="center"/>
            <w:hideMark/>
          </w:tcPr>
          <w:p w14:paraId="2D34C66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Distrito Nacional</w:t>
            </w:r>
          </w:p>
        </w:tc>
        <w:tc>
          <w:tcPr>
            <w:tcW w:w="1559" w:type="dxa"/>
            <w:tcBorders>
              <w:top w:val="nil"/>
              <w:left w:val="nil"/>
              <w:bottom w:val="single" w:sz="4" w:space="0" w:color="808080"/>
              <w:right w:val="single" w:sz="4" w:space="0" w:color="808080"/>
            </w:tcBorders>
            <w:vAlign w:val="center"/>
            <w:hideMark/>
          </w:tcPr>
          <w:p w14:paraId="5CAD08A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1,084,515</w:t>
            </w:r>
          </w:p>
        </w:tc>
        <w:tc>
          <w:tcPr>
            <w:tcW w:w="1418" w:type="dxa"/>
            <w:tcBorders>
              <w:top w:val="nil"/>
              <w:left w:val="nil"/>
              <w:bottom w:val="single" w:sz="4" w:space="0" w:color="808080"/>
              <w:right w:val="single" w:sz="4" w:space="0" w:color="808080"/>
            </w:tcBorders>
            <w:vAlign w:val="center"/>
            <w:hideMark/>
          </w:tcPr>
          <w:p w14:paraId="7532E72E"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vAlign w:val="center"/>
            <w:hideMark/>
          </w:tcPr>
          <w:p w14:paraId="3CDBC61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1,783,174</w:t>
            </w:r>
          </w:p>
        </w:tc>
        <w:tc>
          <w:tcPr>
            <w:tcW w:w="1468" w:type="dxa"/>
            <w:tcBorders>
              <w:top w:val="nil"/>
              <w:left w:val="nil"/>
              <w:bottom w:val="single" w:sz="4" w:space="0" w:color="808080"/>
              <w:right w:val="single" w:sz="4" w:space="0" w:color="808080"/>
            </w:tcBorders>
            <w:noWrap/>
            <w:vAlign w:val="center"/>
            <w:hideMark/>
          </w:tcPr>
          <w:p w14:paraId="564B869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2,867,689</w:t>
            </w:r>
          </w:p>
        </w:tc>
      </w:tr>
      <w:tr w:rsidR="007F57F8" w:rsidRPr="007F57F8" w14:paraId="52865F12" w14:textId="77777777" w:rsidTr="007F57F8">
        <w:trPr>
          <w:trHeight w:val="312"/>
          <w:jc w:val="center"/>
        </w:trPr>
        <w:tc>
          <w:tcPr>
            <w:tcW w:w="1980" w:type="dxa"/>
            <w:tcBorders>
              <w:top w:val="nil"/>
              <w:left w:val="single" w:sz="4" w:space="0" w:color="808080"/>
              <w:bottom w:val="single" w:sz="4" w:space="0" w:color="808080"/>
              <w:right w:val="single" w:sz="4" w:space="0" w:color="808080"/>
            </w:tcBorders>
            <w:noWrap/>
            <w:vAlign w:val="center"/>
            <w:hideMark/>
          </w:tcPr>
          <w:p w14:paraId="66B8109B"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No Especificada</w:t>
            </w:r>
          </w:p>
        </w:tc>
        <w:tc>
          <w:tcPr>
            <w:tcW w:w="1559" w:type="dxa"/>
            <w:tcBorders>
              <w:top w:val="nil"/>
              <w:left w:val="nil"/>
              <w:bottom w:val="single" w:sz="4" w:space="0" w:color="808080"/>
              <w:right w:val="single" w:sz="4" w:space="0" w:color="808080"/>
            </w:tcBorders>
            <w:noWrap/>
            <w:vAlign w:val="center"/>
            <w:hideMark/>
          </w:tcPr>
          <w:p w14:paraId="3E61FD66"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1,067,305</w:t>
            </w:r>
          </w:p>
        </w:tc>
        <w:tc>
          <w:tcPr>
            <w:tcW w:w="1418" w:type="dxa"/>
            <w:tcBorders>
              <w:top w:val="nil"/>
              <w:left w:val="nil"/>
              <w:bottom w:val="single" w:sz="4" w:space="0" w:color="808080"/>
              <w:right w:val="single" w:sz="4" w:space="0" w:color="808080"/>
            </w:tcBorders>
            <w:noWrap/>
            <w:vAlign w:val="center"/>
            <w:hideMark/>
          </w:tcPr>
          <w:p w14:paraId="50430BE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118,983</w:t>
            </w:r>
          </w:p>
        </w:tc>
        <w:tc>
          <w:tcPr>
            <w:tcW w:w="1485" w:type="dxa"/>
            <w:tcBorders>
              <w:top w:val="nil"/>
              <w:left w:val="nil"/>
              <w:bottom w:val="single" w:sz="4" w:space="0" w:color="808080"/>
              <w:right w:val="single" w:sz="4" w:space="0" w:color="808080"/>
            </w:tcBorders>
            <w:noWrap/>
            <w:vAlign w:val="center"/>
            <w:hideMark/>
          </w:tcPr>
          <w:p w14:paraId="372C21D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1,056,406</w:t>
            </w:r>
          </w:p>
        </w:tc>
        <w:tc>
          <w:tcPr>
            <w:tcW w:w="1468" w:type="dxa"/>
            <w:tcBorders>
              <w:top w:val="nil"/>
              <w:left w:val="nil"/>
              <w:bottom w:val="single" w:sz="4" w:space="0" w:color="808080"/>
              <w:right w:val="single" w:sz="4" w:space="0" w:color="808080"/>
            </w:tcBorders>
            <w:noWrap/>
            <w:vAlign w:val="center"/>
            <w:hideMark/>
          </w:tcPr>
          <w:p w14:paraId="331BF4A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2,242,694</w:t>
            </w:r>
          </w:p>
        </w:tc>
      </w:tr>
      <w:tr w:rsidR="007F57F8" w:rsidRPr="007F57F8" w14:paraId="19821B7F" w14:textId="77777777" w:rsidTr="007F57F8">
        <w:trPr>
          <w:trHeight w:val="312"/>
          <w:jc w:val="center"/>
        </w:trPr>
        <w:tc>
          <w:tcPr>
            <w:tcW w:w="1980" w:type="dxa"/>
            <w:tcBorders>
              <w:top w:val="nil"/>
              <w:left w:val="single" w:sz="4" w:space="0" w:color="808080"/>
              <w:bottom w:val="single" w:sz="4" w:space="0" w:color="808080"/>
              <w:right w:val="single" w:sz="4" w:space="0" w:color="808080"/>
            </w:tcBorders>
            <w:noWrap/>
            <w:vAlign w:val="center"/>
            <w:hideMark/>
          </w:tcPr>
          <w:p w14:paraId="07FA27A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Santo Domingo</w:t>
            </w:r>
          </w:p>
        </w:tc>
        <w:tc>
          <w:tcPr>
            <w:tcW w:w="1559" w:type="dxa"/>
            <w:tcBorders>
              <w:top w:val="nil"/>
              <w:left w:val="nil"/>
              <w:bottom w:val="single" w:sz="4" w:space="0" w:color="808080"/>
              <w:right w:val="single" w:sz="4" w:space="0" w:color="808080"/>
            </w:tcBorders>
            <w:noWrap/>
            <w:vAlign w:val="center"/>
            <w:hideMark/>
          </w:tcPr>
          <w:p w14:paraId="22D0240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446,239</w:t>
            </w:r>
          </w:p>
        </w:tc>
        <w:tc>
          <w:tcPr>
            <w:tcW w:w="1418" w:type="dxa"/>
            <w:tcBorders>
              <w:top w:val="nil"/>
              <w:left w:val="nil"/>
              <w:bottom w:val="single" w:sz="4" w:space="0" w:color="808080"/>
              <w:right w:val="single" w:sz="4" w:space="0" w:color="808080"/>
            </w:tcBorders>
            <w:noWrap/>
            <w:vAlign w:val="center"/>
            <w:hideMark/>
          </w:tcPr>
          <w:p w14:paraId="2602419C"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F9BD23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599,552</w:t>
            </w:r>
          </w:p>
        </w:tc>
        <w:tc>
          <w:tcPr>
            <w:tcW w:w="1468" w:type="dxa"/>
            <w:tcBorders>
              <w:top w:val="nil"/>
              <w:left w:val="nil"/>
              <w:bottom w:val="single" w:sz="4" w:space="0" w:color="808080"/>
              <w:right w:val="single" w:sz="4" w:space="0" w:color="808080"/>
            </w:tcBorders>
            <w:noWrap/>
            <w:vAlign w:val="center"/>
            <w:hideMark/>
          </w:tcPr>
          <w:p w14:paraId="57DB777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1,045,791</w:t>
            </w:r>
          </w:p>
        </w:tc>
      </w:tr>
      <w:tr w:rsidR="007F57F8" w:rsidRPr="007F57F8" w14:paraId="74AB1A2A" w14:textId="77777777" w:rsidTr="007F57F8">
        <w:trPr>
          <w:trHeight w:val="312"/>
          <w:jc w:val="center"/>
        </w:trPr>
        <w:tc>
          <w:tcPr>
            <w:tcW w:w="1980" w:type="dxa"/>
            <w:tcBorders>
              <w:top w:val="nil"/>
              <w:left w:val="single" w:sz="4" w:space="0" w:color="808080"/>
              <w:bottom w:val="single" w:sz="4" w:space="0" w:color="808080"/>
              <w:right w:val="single" w:sz="4" w:space="0" w:color="808080"/>
            </w:tcBorders>
            <w:noWrap/>
            <w:vAlign w:val="center"/>
            <w:hideMark/>
          </w:tcPr>
          <w:p w14:paraId="2F658AC3"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Santiago</w:t>
            </w:r>
          </w:p>
        </w:tc>
        <w:tc>
          <w:tcPr>
            <w:tcW w:w="1559" w:type="dxa"/>
            <w:tcBorders>
              <w:top w:val="nil"/>
              <w:left w:val="nil"/>
              <w:bottom w:val="single" w:sz="4" w:space="0" w:color="808080"/>
              <w:right w:val="single" w:sz="4" w:space="0" w:color="808080"/>
            </w:tcBorders>
            <w:noWrap/>
            <w:vAlign w:val="center"/>
            <w:hideMark/>
          </w:tcPr>
          <w:p w14:paraId="65893A7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390,622</w:t>
            </w:r>
          </w:p>
        </w:tc>
        <w:tc>
          <w:tcPr>
            <w:tcW w:w="1418" w:type="dxa"/>
            <w:tcBorders>
              <w:top w:val="nil"/>
              <w:left w:val="nil"/>
              <w:bottom w:val="single" w:sz="4" w:space="0" w:color="808080"/>
              <w:right w:val="single" w:sz="4" w:space="0" w:color="808080"/>
            </w:tcBorders>
            <w:noWrap/>
            <w:vAlign w:val="center"/>
            <w:hideMark/>
          </w:tcPr>
          <w:p w14:paraId="5C941EEC"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973391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343,386</w:t>
            </w:r>
          </w:p>
        </w:tc>
        <w:tc>
          <w:tcPr>
            <w:tcW w:w="1468" w:type="dxa"/>
            <w:tcBorders>
              <w:top w:val="nil"/>
              <w:left w:val="nil"/>
              <w:bottom w:val="single" w:sz="4" w:space="0" w:color="808080"/>
              <w:right w:val="single" w:sz="4" w:space="0" w:color="808080"/>
            </w:tcBorders>
            <w:noWrap/>
            <w:vAlign w:val="center"/>
            <w:hideMark/>
          </w:tcPr>
          <w:p w14:paraId="1461529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734,008</w:t>
            </w:r>
          </w:p>
        </w:tc>
      </w:tr>
      <w:tr w:rsidR="007F57F8" w:rsidRPr="007F57F8" w14:paraId="394DAD0C" w14:textId="77777777" w:rsidTr="004A59A3">
        <w:trPr>
          <w:trHeight w:val="331"/>
          <w:jc w:val="center"/>
        </w:trPr>
        <w:tc>
          <w:tcPr>
            <w:tcW w:w="1980" w:type="dxa"/>
            <w:tcBorders>
              <w:top w:val="nil"/>
              <w:left w:val="single" w:sz="4" w:space="0" w:color="808080"/>
              <w:bottom w:val="single" w:sz="4" w:space="0" w:color="808080"/>
              <w:right w:val="single" w:sz="4" w:space="0" w:color="808080"/>
            </w:tcBorders>
            <w:noWrap/>
            <w:vAlign w:val="center"/>
            <w:hideMark/>
          </w:tcPr>
          <w:p w14:paraId="6317A1E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 Cristóbal</w:t>
            </w:r>
          </w:p>
        </w:tc>
        <w:tc>
          <w:tcPr>
            <w:tcW w:w="1559" w:type="dxa"/>
            <w:tcBorders>
              <w:top w:val="nil"/>
              <w:left w:val="nil"/>
              <w:bottom w:val="single" w:sz="4" w:space="0" w:color="808080"/>
              <w:right w:val="single" w:sz="4" w:space="0" w:color="808080"/>
            </w:tcBorders>
            <w:noWrap/>
            <w:vAlign w:val="center"/>
            <w:hideMark/>
          </w:tcPr>
          <w:p w14:paraId="1CAA593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176,926</w:t>
            </w:r>
          </w:p>
        </w:tc>
        <w:tc>
          <w:tcPr>
            <w:tcW w:w="1418" w:type="dxa"/>
            <w:tcBorders>
              <w:top w:val="nil"/>
              <w:left w:val="nil"/>
              <w:bottom w:val="single" w:sz="4" w:space="0" w:color="808080"/>
              <w:right w:val="single" w:sz="4" w:space="0" w:color="808080"/>
            </w:tcBorders>
            <w:noWrap/>
            <w:vAlign w:val="center"/>
            <w:hideMark/>
          </w:tcPr>
          <w:p w14:paraId="4E2D14A1"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27D3E2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199,349</w:t>
            </w:r>
          </w:p>
        </w:tc>
        <w:tc>
          <w:tcPr>
            <w:tcW w:w="1468" w:type="dxa"/>
            <w:tcBorders>
              <w:top w:val="nil"/>
              <w:left w:val="nil"/>
              <w:bottom w:val="single" w:sz="4" w:space="0" w:color="808080"/>
              <w:right w:val="single" w:sz="4" w:space="0" w:color="808080"/>
            </w:tcBorders>
            <w:noWrap/>
            <w:vAlign w:val="center"/>
            <w:hideMark/>
          </w:tcPr>
          <w:p w14:paraId="09C72E7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376,275</w:t>
            </w:r>
          </w:p>
        </w:tc>
      </w:tr>
      <w:tr w:rsidR="007F57F8" w:rsidRPr="007F57F8" w14:paraId="052C5BDD" w14:textId="77777777" w:rsidTr="004A59A3">
        <w:trPr>
          <w:trHeight w:val="326"/>
          <w:jc w:val="center"/>
        </w:trPr>
        <w:tc>
          <w:tcPr>
            <w:tcW w:w="1980" w:type="dxa"/>
            <w:tcBorders>
              <w:top w:val="nil"/>
              <w:left w:val="single" w:sz="4" w:space="0" w:color="808080"/>
              <w:bottom w:val="single" w:sz="4" w:space="0" w:color="808080"/>
              <w:right w:val="single" w:sz="4" w:space="0" w:color="808080"/>
            </w:tcBorders>
            <w:noWrap/>
            <w:vAlign w:val="center"/>
            <w:hideMark/>
          </w:tcPr>
          <w:p w14:paraId="73F472D5"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La vega</w:t>
            </w:r>
          </w:p>
        </w:tc>
        <w:tc>
          <w:tcPr>
            <w:tcW w:w="1559" w:type="dxa"/>
            <w:tcBorders>
              <w:top w:val="nil"/>
              <w:left w:val="nil"/>
              <w:bottom w:val="single" w:sz="4" w:space="0" w:color="808080"/>
              <w:right w:val="single" w:sz="4" w:space="0" w:color="808080"/>
            </w:tcBorders>
            <w:noWrap/>
            <w:vAlign w:val="center"/>
            <w:hideMark/>
          </w:tcPr>
          <w:p w14:paraId="03E64E8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136,411</w:t>
            </w:r>
          </w:p>
        </w:tc>
        <w:tc>
          <w:tcPr>
            <w:tcW w:w="1418" w:type="dxa"/>
            <w:tcBorders>
              <w:top w:val="nil"/>
              <w:left w:val="nil"/>
              <w:bottom w:val="single" w:sz="4" w:space="0" w:color="808080"/>
              <w:right w:val="single" w:sz="4" w:space="0" w:color="808080"/>
            </w:tcBorders>
            <w:noWrap/>
            <w:vAlign w:val="center"/>
            <w:hideMark/>
          </w:tcPr>
          <w:p w14:paraId="355FD30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82FBE0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146,559</w:t>
            </w:r>
          </w:p>
        </w:tc>
        <w:tc>
          <w:tcPr>
            <w:tcW w:w="1468" w:type="dxa"/>
            <w:tcBorders>
              <w:top w:val="nil"/>
              <w:left w:val="nil"/>
              <w:bottom w:val="single" w:sz="4" w:space="0" w:color="808080"/>
              <w:right w:val="single" w:sz="4" w:space="0" w:color="808080"/>
            </w:tcBorders>
            <w:noWrap/>
            <w:vAlign w:val="center"/>
            <w:hideMark/>
          </w:tcPr>
          <w:p w14:paraId="1A994658"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282,970</w:t>
            </w:r>
          </w:p>
        </w:tc>
      </w:tr>
      <w:tr w:rsidR="007F57F8" w:rsidRPr="007F57F8" w14:paraId="1A185BBE"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11CCE21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Duarte</w:t>
            </w:r>
          </w:p>
        </w:tc>
        <w:tc>
          <w:tcPr>
            <w:tcW w:w="1559" w:type="dxa"/>
            <w:tcBorders>
              <w:top w:val="nil"/>
              <w:left w:val="nil"/>
              <w:bottom w:val="single" w:sz="4" w:space="0" w:color="808080"/>
              <w:right w:val="single" w:sz="4" w:space="0" w:color="808080"/>
            </w:tcBorders>
            <w:noWrap/>
            <w:vAlign w:val="center"/>
            <w:hideMark/>
          </w:tcPr>
          <w:p w14:paraId="7C0B282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105,581</w:t>
            </w:r>
          </w:p>
        </w:tc>
        <w:tc>
          <w:tcPr>
            <w:tcW w:w="1418" w:type="dxa"/>
            <w:tcBorders>
              <w:top w:val="nil"/>
              <w:left w:val="nil"/>
              <w:bottom w:val="single" w:sz="4" w:space="0" w:color="808080"/>
              <w:right w:val="single" w:sz="4" w:space="0" w:color="808080"/>
            </w:tcBorders>
            <w:noWrap/>
            <w:vAlign w:val="center"/>
            <w:hideMark/>
          </w:tcPr>
          <w:p w14:paraId="53116F03"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5EDC9B2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136,156</w:t>
            </w:r>
          </w:p>
        </w:tc>
        <w:tc>
          <w:tcPr>
            <w:tcW w:w="1468" w:type="dxa"/>
            <w:tcBorders>
              <w:top w:val="nil"/>
              <w:left w:val="nil"/>
              <w:bottom w:val="single" w:sz="4" w:space="0" w:color="808080"/>
              <w:right w:val="single" w:sz="4" w:space="0" w:color="808080"/>
            </w:tcBorders>
            <w:noWrap/>
            <w:vAlign w:val="center"/>
            <w:hideMark/>
          </w:tcPr>
          <w:p w14:paraId="5038476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241,737</w:t>
            </w:r>
          </w:p>
        </w:tc>
      </w:tr>
      <w:tr w:rsidR="007F57F8" w:rsidRPr="007F57F8" w14:paraId="6ECD89D2"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33843E46"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Puerto Plata</w:t>
            </w:r>
          </w:p>
        </w:tc>
        <w:tc>
          <w:tcPr>
            <w:tcW w:w="1559" w:type="dxa"/>
            <w:tcBorders>
              <w:top w:val="nil"/>
              <w:left w:val="nil"/>
              <w:bottom w:val="single" w:sz="4" w:space="0" w:color="808080"/>
              <w:right w:val="single" w:sz="4" w:space="0" w:color="808080"/>
            </w:tcBorders>
            <w:noWrap/>
            <w:vAlign w:val="center"/>
            <w:hideMark/>
          </w:tcPr>
          <w:p w14:paraId="7355CA6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115,916</w:t>
            </w:r>
          </w:p>
        </w:tc>
        <w:tc>
          <w:tcPr>
            <w:tcW w:w="1418" w:type="dxa"/>
            <w:tcBorders>
              <w:top w:val="nil"/>
              <w:left w:val="nil"/>
              <w:bottom w:val="single" w:sz="4" w:space="0" w:color="808080"/>
              <w:right w:val="single" w:sz="4" w:space="0" w:color="808080"/>
            </w:tcBorders>
            <w:noWrap/>
            <w:vAlign w:val="center"/>
            <w:hideMark/>
          </w:tcPr>
          <w:p w14:paraId="3D421254"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2AC5FCC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93,749</w:t>
            </w:r>
          </w:p>
        </w:tc>
        <w:tc>
          <w:tcPr>
            <w:tcW w:w="1468" w:type="dxa"/>
            <w:tcBorders>
              <w:top w:val="nil"/>
              <w:left w:val="nil"/>
              <w:bottom w:val="single" w:sz="4" w:space="0" w:color="808080"/>
              <w:right w:val="single" w:sz="4" w:space="0" w:color="808080"/>
            </w:tcBorders>
            <w:noWrap/>
            <w:vAlign w:val="center"/>
            <w:hideMark/>
          </w:tcPr>
          <w:p w14:paraId="087E429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209,665</w:t>
            </w:r>
          </w:p>
        </w:tc>
      </w:tr>
      <w:tr w:rsidR="007F57F8" w:rsidRPr="007F57F8" w14:paraId="7A09B92F"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5E2D3DD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 Juan</w:t>
            </w:r>
          </w:p>
        </w:tc>
        <w:tc>
          <w:tcPr>
            <w:tcW w:w="1559" w:type="dxa"/>
            <w:tcBorders>
              <w:top w:val="nil"/>
              <w:left w:val="nil"/>
              <w:bottom w:val="single" w:sz="4" w:space="0" w:color="808080"/>
              <w:right w:val="single" w:sz="4" w:space="0" w:color="808080"/>
            </w:tcBorders>
            <w:noWrap/>
            <w:vAlign w:val="center"/>
            <w:hideMark/>
          </w:tcPr>
          <w:p w14:paraId="08AB3BC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112,234</w:t>
            </w:r>
          </w:p>
        </w:tc>
        <w:tc>
          <w:tcPr>
            <w:tcW w:w="1418" w:type="dxa"/>
            <w:tcBorders>
              <w:top w:val="nil"/>
              <w:left w:val="nil"/>
              <w:bottom w:val="single" w:sz="4" w:space="0" w:color="808080"/>
              <w:right w:val="single" w:sz="4" w:space="0" w:color="808080"/>
            </w:tcBorders>
            <w:noWrap/>
            <w:vAlign w:val="center"/>
            <w:hideMark/>
          </w:tcPr>
          <w:p w14:paraId="2C21EC4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2C717014"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95,437</w:t>
            </w:r>
          </w:p>
        </w:tc>
        <w:tc>
          <w:tcPr>
            <w:tcW w:w="1468" w:type="dxa"/>
            <w:tcBorders>
              <w:top w:val="nil"/>
              <w:left w:val="nil"/>
              <w:bottom w:val="single" w:sz="4" w:space="0" w:color="808080"/>
              <w:right w:val="single" w:sz="4" w:space="0" w:color="808080"/>
            </w:tcBorders>
            <w:noWrap/>
            <w:vAlign w:val="center"/>
            <w:hideMark/>
          </w:tcPr>
          <w:p w14:paraId="16E5696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207,671</w:t>
            </w:r>
          </w:p>
        </w:tc>
      </w:tr>
      <w:tr w:rsidR="007F57F8" w:rsidRPr="007F57F8" w14:paraId="537E6989"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2122A5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 Pedro de Macorís</w:t>
            </w:r>
          </w:p>
        </w:tc>
        <w:tc>
          <w:tcPr>
            <w:tcW w:w="1559" w:type="dxa"/>
            <w:tcBorders>
              <w:top w:val="nil"/>
              <w:left w:val="nil"/>
              <w:bottom w:val="single" w:sz="4" w:space="0" w:color="808080"/>
              <w:right w:val="single" w:sz="4" w:space="0" w:color="808080"/>
            </w:tcBorders>
            <w:noWrap/>
            <w:vAlign w:val="center"/>
            <w:hideMark/>
          </w:tcPr>
          <w:p w14:paraId="6DEE7B8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109,711</w:t>
            </w:r>
          </w:p>
        </w:tc>
        <w:tc>
          <w:tcPr>
            <w:tcW w:w="1418" w:type="dxa"/>
            <w:tcBorders>
              <w:top w:val="nil"/>
              <w:left w:val="nil"/>
              <w:bottom w:val="single" w:sz="4" w:space="0" w:color="808080"/>
              <w:right w:val="single" w:sz="4" w:space="0" w:color="808080"/>
            </w:tcBorders>
            <w:noWrap/>
            <w:vAlign w:val="center"/>
            <w:hideMark/>
          </w:tcPr>
          <w:p w14:paraId="7104FD65"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6779FD8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94,969</w:t>
            </w:r>
          </w:p>
        </w:tc>
        <w:tc>
          <w:tcPr>
            <w:tcW w:w="1468" w:type="dxa"/>
            <w:tcBorders>
              <w:top w:val="nil"/>
              <w:left w:val="nil"/>
              <w:bottom w:val="single" w:sz="4" w:space="0" w:color="808080"/>
              <w:right w:val="single" w:sz="4" w:space="0" w:color="808080"/>
            </w:tcBorders>
            <w:noWrap/>
            <w:vAlign w:val="center"/>
            <w:hideMark/>
          </w:tcPr>
          <w:p w14:paraId="4DFF3AC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204,680</w:t>
            </w:r>
          </w:p>
        </w:tc>
      </w:tr>
      <w:tr w:rsidR="007F57F8" w:rsidRPr="007F57F8" w14:paraId="5ED5CB2F"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33A3A20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La Romana</w:t>
            </w:r>
          </w:p>
        </w:tc>
        <w:tc>
          <w:tcPr>
            <w:tcW w:w="1559" w:type="dxa"/>
            <w:tcBorders>
              <w:top w:val="nil"/>
              <w:left w:val="nil"/>
              <w:bottom w:val="single" w:sz="4" w:space="0" w:color="808080"/>
              <w:right w:val="single" w:sz="4" w:space="0" w:color="808080"/>
            </w:tcBorders>
            <w:noWrap/>
            <w:vAlign w:val="center"/>
            <w:hideMark/>
          </w:tcPr>
          <w:p w14:paraId="278BF10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98,804</w:t>
            </w:r>
          </w:p>
        </w:tc>
        <w:tc>
          <w:tcPr>
            <w:tcW w:w="1418" w:type="dxa"/>
            <w:tcBorders>
              <w:top w:val="nil"/>
              <w:left w:val="nil"/>
              <w:bottom w:val="single" w:sz="4" w:space="0" w:color="808080"/>
              <w:right w:val="single" w:sz="4" w:space="0" w:color="808080"/>
            </w:tcBorders>
            <w:noWrap/>
            <w:vAlign w:val="center"/>
            <w:hideMark/>
          </w:tcPr>
          <w:p w14:paraId="3EA9CD57"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133766D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84,571</w:t>
            </w:r>
          </w:p>
        </w:tc>
        <w:tc>
          <w:tcPr>
            <w:tcW w:w="1468" w:type="dxa"/>
            <w:tcBorders>
              <w:top w:val="nil"/>
              <w:left w:val="nil"/>
              <w:bottom w:val="single" w:sz="4" w:space="0" w:color="808080"/>
              <w:right w:val="single" w:sz="4" w:space="0" w:color="808080"/>
            </w:tcBorders>
            <w:noWrap/>
            <w:vAlign w:val="center"/>
            <w:hideMark/>
          </w:tcPr>
          <w:p w14:paraId="4F71E11C"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183,375</w:t>
            </w:r>
          </w:p>
        </w:tc>
      </w:tr>
      <w:tr w:rsidR="007F57F8" w:rsidRPr="007F57F8" w14:paraId="65EEDE04"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4AE0A603"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Azua</w:t>
            </w:r>
          </w:p>
        </w:tc>
        <w:tc>
          <w:tcPr>
            <w:tcW w:w="1559" w:type="dxa"/>
            <w:tcBorders>
              <w:top w:val="nil"/>
              <w:left w:val="nil"/>
              <w:bottom w:val="single" w:sz="4" w:space="0" w:color="808080"/>
              <w:right w:val="single" w:sz="4" w:space="0" w:color="808080"/>
            </w:tcBorders>
            <w:noWrap/>
            <w:vAlign w:val="center"/>
            <w:hideMark/>
          </w:tcPr>
          <w:p w14:paraId="274D960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84,038</w:t>
            </w:r>
          </w:p>
        </w:tc>
        <w:tc>
          <w:tcPr>
            <w:tcW w:w="1418" w:type="dxa"/>
            <w:tcBorders>
              <w:top w:val="nil"/>
              <w:left w:val="nil"/>
              <w:bottom w:val="single" w:sz="4" w:space="0" w:color="808080"/>
              <w:right w:val="single" w:sz="4" w:space="0" w:color="808080"/>
            </w:tcBorders>
            <w:noWrap/>
            <w:vAlign w:val="center"/>
            <w:hideMark/>
          </w:tcPr>
          <w:p w14:paraId="6682968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AD604D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80,571</w:t>
            </w:r>
          </w:p>
        </w:tc>
        <w:tc>
          <w:tcPr>
            <w:tcW w:w="1468" w:type="dxa"/>
            <w:tcBorders>
              <w:top w:val="nil"/>
              <w:left w:val="nil"/>
              <w:bottom w:val="single" w:sz="4" w:space="0" w:color="808080"/>
              <w:right w:val="single" w:sz="4" w:space="0" w:color="808080"/>
            </w:tcBorders>
            <w:noWrap/>
            <w:vAlign w:val="center"/>
            <w:hideMark/>
          </w:tcPr>
          <w:p w14:paraId="3F84D51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164,609</w:t>
            </w:r>
          </w:p>
        </w:tc>
      </w:tr>
      <w:tr w:rsidR="007F57F8" w:rsidRPr="007F57F8" w14:paraId="3F1490F2"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17C82E6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La Altagracia</w:t>
            </w:r>
          </w:p>
        </w:tc>
        <w:tc>
          <w:tcPr>
            <w:tcW w:w="1559" w:type="dxa"/>
            <w:tcBorders>
              <w:top w:val="nil"/>
              <w:left w:val="nil"/>
              <w:bottom w:val="single" w:sz="4" w:space="0" w:color="808080"/>
              <w:right w:val="single" w:sz="4" w:space="0" w:color="808080"/>
            </w:tcBorders>
            <w:noWrap/>
            <w:vAlign w:val="center"/>
            <w:hideMark/>
          </w:tcPr>
          <w:p w14:paraId="75A9BF7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95,628</w:t>
            </w:r>
          </w:p>
        </w:tc>
        <w:tc>
          <w:tcPr>
            <w:tcW w:w="1418" w:type="dxa"/>
            <w:tcBorders>
              <w:top w:val="nil"/>
              <w:left w:val="nil"/>
              <w:bottom w:val="single" w:sz="4" w:space="0" w:color="808080"/>
              <w:right w:val="single" w:sz="4" w:space="0" w:color="808080"/>
            </w:tcBorders>
            <w:noWrap/>
            <w:vAlign w:val="center"/>
            <w:hideMark/>
          </w:tcPr>
          <w:p w14:paraId="0C226CEE"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1FB9AB5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65,645</w:t>
            </w:r>
          </w:p>
        </w:tc>
        <w:tc>
          <w:tcPr>
            <w:tcW w:w="1468" w:type="dxa"/>
            <w:tcBorders>
              <w:top w:val="nil"/>
              <w:left w:val="nil"/>
              <w:bottom w:val="single" w:sz="4" w:space="0" w:color="808080"/>
              <w:right w:val="single" w:sz="4" w:space="0" w:color="808080"/>
            </w:tcBorders>
            <w:noWrap/>
            <w:vAlign w:val="center"/>
            <w:hideMark/>
          </w:tcPr>
          <w:p w14:paraId="30EE3FD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161,273</w:t>
            </w:r>
          </w:p>
        </w:tc>
      </w:tr>
      <w:tr w:rsidR="007F57F8" w:rsidRPr="007F57F8" w14:paraId="00D4293E"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13096C55"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Espaillat</w:t>
            </w:r>
          </w:p>
        </w:tc>
        <w:tc>
          <w:tcPr>
            <w:tcW w:w="1559" w:type="dxa"/>
            <w:tcBorders>
              <w:top w:val="nil"/>
              <w:left w:val="nil"/>
              <w:bottom w:val="single" w:sz="4" w:space="0" w:color="808080"/>
              <w:right w:val="single" w:sz="4" w:space="0" w:color="808080"/>
            </w:tcBorders>
            <w:noWrap/>
            <w:vAlign w:val="center"/>
            <w:hideMark/>
          </w:tcPr>
          <w:p w14:paraId="6B8DB93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86,351</w:t>
            </w:r>
          </w:p>
        </w:tc>
        <w:tc>
          <w:tcPr>
            <w:tcW w:w="1418" w:type="dxa"/>
            <w:tcBorders>
              <w:top w:val="nil"/>
              <w:left w:val="nil"/>
              <w:bottom w:val="single" w:sz="4" w:space="0" w:color="808080"/>
              <w:right w:val="single" w:sz="4" w:space="0" w:color="808080"/>
            </w:tcBorders>
            <w:noWrap/>
            <w:vAlign w:val="center"/>
            <w:hideMark/>
          </w:tcPr>
          <w:p w14:paraId="37085A7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568434A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70,977</w:t>
            </w:r>
          </w:p>
        </w:tc>
        <w:tc>
          <w:tcPr>
            <w:tcW w:w="1468" w:type="dxa"/>
            <w:tcBorders>
              <w:top w:val="nil"/>
              <w:left w:val="nil"/>
              <w:bottom w:val="single" w:sz="4" w:space="0" w:color="808080"/>
              <w:right w:val="single" w:sz="4" w:space="0" w:color="808080"/>
            </w:tcBorders>
            <w:noWrap/>
            <w:vAlign w:val="center"/>
            <w:hideMark/>
          </w:tcPr>
          <w:p w14:paraId="28E553F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157,328</w:t>
            </w:r>
          </w:p>
        </w:tc>
      </w:tr>
      <w:tr w:rsidR="007F57F8" w:rsidRPr="007F57F8" w14:paraId="5736E4D6"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63EED90"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Monte Plata</w:t>
            </w:r>
          </w:p>
        </w:tc>
        <w:tc>
          <w:tcPr>
            <w:tcW w:w="1559" w:type="dxa"/>
            <w:tcBorders>
              <w:top w:val="nil"/>
              <w:left w:val="nil"/>
              <w:bottom w:val="single" w:sz="4" w:space="0" w:color="808080"/>
              <w:right w:val="single" w:sz="4" w:space="0" w:color="808080"/>
            </w:tcBorders>
            <w:noWrap/>
            <w:vAlign w:val="center"/>
            <w:hideMark/>
          </w:tcPr>
          <w:p w14:paraId="172C967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58,971</w:t>
            </w:r>
          </w:p>
        </w:tc>
        <w:tc>
          <w:tcPr>
            <w:tcW w:w="1418" w:type="dxa"/>
            <w:tcBorders>
              <w:top w:val="nil"/>
              <w:left w:val="nil"/>
              <w:bottom w:val="single" w:sz="4" w:space="0" w:color="808080"/>
              <w:right w:val="single" w:sz="4" w:space="0" w:color="808080"/>
            </w:tcBorders>
            <w:noWrap/>
            <w:vAlign w:val="center"/>
            <w:hideMark/>
          </w:tcPr>
          <w:p w14:paraId="249425EC"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627FA367"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94,670</w:t>
            </w:r>
          </w:p>
        </w:tc>
        <w:tc>
          <w:tcPr>
            <w:tcW w:w="1468" w:type="dxa"/>
            <w:tcBorders>
              <w:top w:val="nil"/>
              <w:left w:val="nil"/>
              <w:bottom w:val="single" w:sz="4" w:space="0" w:color="808080"/>
              <w:right w:val="single" w:sz="4" w:space="0" w:color="808080"/>
            </w:tcBorders>
            <w:noWrap/>
            <w:vAlign w:val="center"/>
            <w:hideMark/>
          </w:tcPr>
          <w:p w14:paraId="55AC89F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153,641</w:t>
            </w:r>
          </w:p>
        </w:tc>
      </w:tr>
      <w:tr w:rsidR="007F57F8" w:rsidRPr="007F57F8" w14:paraId="7439813A"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FF5C07A"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Barahona</w:t>
            </w:r>
          </w:p>
        </w:tc>
        <w:tc>
          <w:tcPr>
            <w:tcW w:w="1559" w:type="dxa"/>
            <w:tcBorders>
              <w:top w:val="nil"/>
              <w:left w:val="nil"/>
              <w:bottom w:val="single" w:sz="4" w:space="0" w:color="808080"/>
              <w:right w:val="single" w:sz="4" w:space="0" w:color="808080"/>
            </w:tcBorders>
            <w:noWrap/>
            <w:vAlign w:val="center"/>
            <w:hideMark/>
          </w:tcPr>
          <w:p w14:paraId="41E6074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71,915</w:t>
            </w:r>
          </w:p>
        </w:tc>
        <w:tc>
          <w:tcPr>
            <w:tcW w:w="1418" w:type="dxa"/>
            <w:tcBorders>
              <w:top w:val="nil"/>
              <w:left w:val="nil"/>
              <w:bottom w:val="single" w:sz="4" w:space="0" w:color="808080"/>
              <w:right w:val="single" w:sz="4" w:space="0" w:color="808080"/>
            </w:tcBorders>
            <w:noWrap/>
            <w:vAlign w:val="center"/>
            <w:hideMark/>
          </w:tcPr>
          <w:p w14:paraId="30B0F0B4"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0F0EE3B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74,519</w:t>
            </w:r>
          </w:p>
        </w:tc>
        <w:tc>
          <w:tcPr>
            <w:tcW w:w="1468" w:type="dxa"/>
            <w:tcBorders>
              <w:top w:val="nil"/>
              <w:left w:val="nil"/>
              <w:bottom w:val="single" w:sz="4" w:space="0" w:color="808080"/>
              <w:right w:val="single" w:sz="4" w:space="0" w:color="808080"/>
            </w:tcBorders>
            <w:noWrap/>
            <w:vAlign w:val="center"/>
            <w:hideMark/>
          </w:tcPr>
          <w:p w14:paraId="4941968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146,434</w:t>
            </w:r>
          </w:p>
        </w:tc>
      </w:tr>
      <w:tr w:rsidR="007F57F8" w:rsidRPr="007F57F8" w14:paraId="4B9662E2"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5D1F7E63"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Monseñor Nouel</w:t>
            </w:r>
          </w:p>
        </w:tc>
        <w:tc>
          <w:tcPr>
            <w:tcW w:w="1559" w:type="dxa"/>
            <w:tcBorders>
              <w:top w:val="nil"/>
              <w:left w:val="nil"/>
              <w:bottom w:val="single" w:sz="4" w:space="0" w:color="808080"/>
              <w:right w:val="single" w:sz="4" w:space="0" w:color="808080"/>
            </w:tcBorders>
            <w:noWrap/>
            <w:vAlign w:val="center"/>
            <w:hideMark/>
          </w:tcPr>
          <w:p w14:paraId="1C40809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58,918</w:t>
            </w:r>
          </w:p>
        </w:tc>
        <w:tc>
          <w:tcPr>
            <w:tcW w:w="1418" w:type="dxa"/>
            <w:tcBorders>
              <w:top w:val="nil"/>
              <w:left w:val="nil"/>
              <w:bottom w:val="single" w:sz="4" w:space="0" w:color="808080"/>
              <w:right w:val="single" w:sz="4" w:space="0" w:color="808080"/>
            </w:tcBorders>
            <w:noWrap/>
            <w:vAlign w:val="center"/>
            <w:hideMark/>
          </w:tcPr>
          <w:p w14:paraId="71921EE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0DB7B1E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58,443</w:t>
            </w:r>
          </w:p>
        </w:tc>
        <w:tc>
          <w:tcPr>
            <w:tcW w:w="1468" w:type="dxa"/>
            <w:tcBorders>
              <w:top w:val="nil"/>
              <w:left w:val="nil"/>
              <w:bottom w:val="single" w:sz="4" w:space="0" w:color="808080"/>
              <w:right w:val="single" w:sz="4" w:space="0" w:color="808080"/>
            </w:tcBorders>
            <w:noWrap/>
            <w:vAlign w:val="center"/>
            <w:hideMark/>
          </w:tcPr>
          <w:p w14:paraId="5B2F95E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117,361</w:t>
            </w:r>
          </w:p>
        </w:tc>
      </w:tr>
      <w:tr w:rsidR="007F57F8" w:rsidRPr="007F57F8" w14:paraId="2F27E436"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35C592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Peravia</w:t>
            </w:r>
          </w:p>
        </w:tc>
        <w:tc>
          <w:tcPr>
            <w:tcW w:w="1559" w:type="dxa"/>
            <w:tcBorders>
              <w:top w:val="nil"/>
              <w:left w:val="nil"/>
              <w:bottom w:val="single" w:sz="4" w:space="0" w:color="808080"/>
              <w:right w:val="single" w:sz="4" w:space="0" w:color="808080"/>
            </w:tcBorders>
            <w:noWrap/>
            <w:vAlign w:val="center"/>
            <w:hideMark/>
          </w:tcPr>
          <w:p w14:paraId="68D44FC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44,851</w:t>
            </w:r>
          </w:p>
        </w:tc>
        <w:tc>
          <w:tcPr>
            <w:tcW w:w="1418" w:type="dxa"/>
            <w:tcBorders>
              <w:top w:val="nil"/>
              <w:left w:val="nil"/>
              <w:bottom w:val="single" w:sz="4" w:space="0" w:color="808080"/>
              <w:right w:val="single" w:sz="4" w:space="0" w:color="808080"/>
            </w:tcBorders>
            <w:noWrap/>
            <w:vAlign w:val="center"/>
            <w:hideMark/>
          </w:tcPr>
          <w:p w14:paraId="3406859A"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794030C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68,436</w:t>
            </w:r>
          </w:p>
        </w:tc>
        <w:tc>
          <w:tcPr>
            <w:tcW w:w="1468" w:type="dxa"/>
            <w:tcBorders>
              <w:top w:val="nil"/>
              <w:left w:val="nil"/>
              <w:bottom w:val="single" w:sz="4" w:space="0" w:color="808080"/>
              <w:right w:val="single" w:sz="4" w:space="0" w:color="808080"/>
            </w:tcBorders>
            <w:noWrap/>
            <w:vAlign w:val="center"/>
            <w:hideMark/>
          </w:tcPr>
          <w:p w14:paraId="2E9BEEE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113,287</w:t>
            </w:r>
          </w:p>
        </w:tc>
      </w:tr>
      <w:tr w:rsidR="007F57F8" w:rsidRPr="007F57F8" w14:paraId="3E85BCCC"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86AC77B"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Sánchez Ramírez</w:t>
            </w:r>
          </w:p>
        </w:tc>
        <w:tc>
          <w:tcPr>
            <w:tcW w:w="1559" w:type="dxa"/>
            <w:tcBorders>
              <w:top w:val="nil"/>
              <w:left w:val="nil"/>
              <w:bottom w:val="single" w:sz="4" w:space="0" w:color="808080"/>
              <w:right w:val="single" w:sz="4" w:space="0" w:color="808080"/>
            </w:tcBorders>
            <w:noWrap/>
            <w:vAlign w:val="center"/>
            <w:hideMark/>
          </w:tcPr>
          <w:p w14:paraId="237387B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57,038</w:t>
            </w:r>
          </w:p>
        </w:tc>
        <w:tc>
          <w:tcPr>
            <w:tcW w:w="1418" w:type="dxa"/>
            <w:tcBorders>
              <w:top w:val="nil"/>
              <w:left w:val="nil"/>
              <w:bottom w:val="single" w:sz="4" w:space="0" w:color="808080"/>
              <w:right w:val="single" w:sz="4" w:space="0" w:color="808080"/>
            </w:tcBorders>
            <w:noWrap/>
            <w:vAlign w:val="center"/>
            <w:hideMark/>
          </w:tcPr>
          <w:p w14:paraId="222921CA"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1F01F45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55,864</w:t>
            </w:r>
          </w:p>
        </w:tc>
        <w:tc>
          <w:tcPr>
            <w:tcW w:w="1468" w:type="dxa"/>
            <w:tcBorders>
              <w:top w:val="nil"/>
              <w:left w:val="nil"/>
              <w:bottom w:val="single" w:sz="4" w:space="0" w:color="808080"/>
              <w:right w:val="single" w:sz="4" w:space="0" w:color="808080"/>
            </w:tcBorders>
            <w:noWrap/>
            <w:vAlign w:val="center"/>
            <w:hideMark/>
          </w:tcPr>
          <w:p w14:paraId="29084D2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112,902</w:t>
            </w:r>
          </w:p>
        </w:tc>
      </w:tr>
      <w:tr w:rsidR="007F57F8" w:rsidRPr="007F57F8" w14:paraId="287EE39C"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BA8A4D8"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Valverde</w:t>
            </w:r>
          </w:p>
        </w:tc>
        <w:tc>
          <w:tcPr>
            <w:tcW w:w="1559" w:type="dxa"/>
            <w:tcBorders>
              <w:top w:val="nil"/>
              <w:left w:val="nil"/>
              <w:bottom w:val="single" w:sz="4" w:space="0" w:color="808080"/>
              <w:right w:val="single" w:sz="4" w:space="0" w:color="808080"/>
            </w:tcBorders>
            <w:noWrap/>
            <w:vAlign w:val="center"/>
            <w:hideMark/>
          </w:tcPr>
          <w:p w14:paraId="7FC8B7EC"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51,358</w:t>
            </w:r>
          </w:p>
        </w:tc>
        <w:tc>
          <w:tcPr>
            <w:tcW w:w="1418" w:type="dxa"/>
            <w:tcBorders>
              <w:top w:val="nil"/>
              <w:left w:val="nil"/>
              <w:bottom w:val="single" w:sz="4" w:space="0" w:color="808080"/>
              <w:right w:val="single" w:sz="4" w:space="0" w:color="808080"/>
            </w:tcBorders>
            <w:noWrap/>
            <w:vAlign w:val="center"/>
            <w:hideMark/>
          </w:tcPr>
          <w:p w14:paraId="5244E78C"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873C7C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53,439</w:t>
            </w:r>
          </w:p>
        </w:tc>
        <w:tc>
          <w:tcPr>
            <w:tcW w:w="1468" w:type="dxa"/>
            <w:tcBorders>
              <w:top w:val="nil"/>
              <w:left w:val="nil"/>
              <w:bottom w:val="single" w:sz="4" w:space="0" w:color="808080"/>
              <w:right w:val="single" w:sz="4" w:space="0" w:color="808080"/>
            </w:tcBorders>
            <w:noWrap/>
            <w:vAlign w:val="center"/>
            <w:hideMark/>
          </w:tcPr>
          <w:p w14:paraId="4CC479B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104,797</w:t>
            </w:r>
          </w:p>
        </w:tc>
      </w:tr>
      <w:tr w:rsidR="007F57F8" w:rsidRPr="007F57F8" w14:paraId="32042E09"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6EEA7FF"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María Trinidad Sánchez</w:t>
            </w:r>
          </w:p>
        </w:tc>
        <w:tc>
          <w:tcPr>
            <w:tcW w:w="1559" w:type="dxa"/>
            <w:tcBorders>
              <w:top w:val="nil"/>
              <w:left w:val="nil"/>
              <w:bottom w:val="single" w:sz="4" w:space="0" w:color="808080"/>
              <w:right w:val="single" w:sz="4" w:space="0" w:color="808080"/>
            </w:tcBorders>
            <w:noWrap/>
            <w:vAlign w:val="center"/>
            <w:hideMark/>
          </w:tcPr>
          <w:p w14:paraId="2CAFB0B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46,641</w:t>
            </w:r>
          </w:p>
        </w:tc>
        <w:tc>
          <w:tcPr>
            <w:tcW w:w="1418" w:type="dxa"/>
            <w:tcBorders>
              <w:top w:val="nil"/>
              <w:left w:val="nil"/>
              <w:bottom w:val="single" w:sz="4" w:space="0" w:color="808080"/>
              <w:right w:val="single" w:sz="4" w:space="0" w:color="808080"/>
            </w:tcBorders>
            <w:noWrap/>
            <w:vAlign w:val="center"/>
            <w:hideMark/>
          </w:tcPr>
          <w:p w14:paraId="6B1A1B9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63A24168"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52,557</w:t>
            </w:r>
          </w:p>
        </w:tc>
        <w:tc>
          <w:tcPr>
            <w:tcW w:w="1468" w:type="dxa"/>
            <w:tcBorders>
              <w:top w:val="nil"/>
              <w:left w:val="nil"/>
              <w:bottom w:val="single" w:sz="4" w:space="0" w:color="808080"/>
              <w:right w:val="single" w:sz="4" w:space="0" w:color="808080"/>
            </w:tcBorders>
            <w:noWrap/>
            <w:vAlign w:val="center"/>
            <w:hideMark/>
          </w:tcPr>
          <w:p w14:paraId="62B417DC"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99,198</w:t>
            </w:r>
          </w:p>
        </w:tc>
      </w:tr>
      <w:tr w:rsidR="007F57F8" w:rsidRPr="007F57F8" w14:paraId="444999EA"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566E450"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Independencia</w:t>
            </w:r>
          </w:p>
        </w:tc>
        <w:tc>
          <w:tcPr>
            <w:tcW w:w="1559" w:type="dxa"/>
            <w:tcBorders>
              <w:top w:val="nil"/>
              <w:left w:val="nil"/>
              <w:bottom w:val="single" w:sz="4" w:space="0" w:color="808080"/>
              <w:right w:val="single" w:sz="4" w:space="0" w:color="808080"/>
            </w:tcBorders>
            <w:noWrap/>
            <w:vAlign w:val="center"/>
            <w:hideMark/>
          </w:tcPr>
          <w:p w14:paraId="3751B11F"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26,823</w:t>
            </w:r>
          </w:p>
        </w:tc>
        <w:tc>
          <w:tcPr>
            <w:tcW w:w="1418" w:type="dxa"/>
            <w:tcBorders>
              <w:top w:val="nil"/>
              <w:left w:val="nil"/>
              <w:bottom w:val="single" w:sz="4" w:space="0" w:color="808080"/>
              <w:right w:val="single" w:sz="4" w:space="0" w:color="808080"/>
            </w:tcBorders>
            <w:noWrap/>
            <w:vAlign w:val="center"/>
            <w:hideMark/>
          </w:tcPr>
          <w:p w14:paraId="5404C6DB"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564D9C2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51,928</w:t>
            </w:r>
          </w:p>
        </w:tc>
        <w:tc>
          <w:tcPr>
            <w:tcW w:w="1468" w:type="dxa"/>
            <w:tcBorders>
              <w:top w:val="nil"/>
              <w:left w:val="nil"/>
              <w:bottom w:val="single" w:sz="4" w:space="0" w:color="808080"/>
              <w:right w:val="single" w:sz="4" w:space="0" w:color="808080"/>
            </w:tcBorders>
            <w:noWrap/>
            <w:vAlign w:val="center"/>
            <w:hideMark/>
          </w:tcPr>
          <w:p w14:paraId="7A6D0AF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78,751</w:t>
            </w:r>
          </w:p>
        </w:tc>
      </w:tr>
      <w:tr w:rsidR="007F57F8" w:rsidRPr="007F57F8" w14:paraId="72F609FA"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56A2823E"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Hermanas Mirabal</w:t>
            </w:r>
          </w:p>
        </w:tc>
        <w:tc>
          <w:tcPr>
            <w:tcW w:w="1559" w:type="dxa"/>
            <w:tcBorders>
              <w:top w:val="nil"/>
              <w:left w:val="nil"/>
              <w:bottom w:val="single" w:sz="4" w:space="0" w:color="808080"/>
              <w:right w:val="single" w:sz="4" w:space="0" w:color="808080"/>
            </w:tcBorders>
            <w:noWrap/>
            <w:vAlign w:val="center"/>
            <w:hideMark/>
          </w:tcPr>
          <w:p w14:paraId="336B755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36,651</w:t>
            </w:r>
          </w:p>
        </w:tc>
        <w:tc>
          <w:tcPr>
            <w:tcW w:w="1418" w:type="dxa"/>
            <w:tcBorders>
              <w:top w:val="nil"/>
              <w:left w:val="nil"/>
              <w:bottom w:val="single" w:sz="4" w:space="0" w:color="808080"/>
              <w:right w:val="single" w:sz="4" w:space="0" w:color="808080"/>
            </w:tcBorders>
            <w:noWrap/>
            <w:vAlign w:val="center"/>
            <w:hideMark/>
          </w:tcPr>
          <w:p w14:paraId="3C825FC1"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70A0495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37,411</w:t>
            </w:r>
          </w:p>
        </w:tc>
        <w:tc>
          <w:tcPr>
            <w:tcW w:w="1468" w:type="dxa"/>
            <w:tcBorders>
              <w:top w:val="nil"/>
              <w:left w:val="nil"/>
              <w:bottom w:val="single" w:sz="4" w:space="0" w:color="808080"/>
              <w:right w:val="single" w:sz="4" w:space="0" w:color="808080"/>
            </w:tcBorders>
            <w:noWrap/>
            <w:vAlign w:val="center"/>
            <w:hideMark/>
          </w:tcPr>
          <w:p w14:paraId="5029E9A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74,062</w:t>
            </w:r>
          </w:p>
        </w:tc>
      </w:tr>
      <w:tr w:rsidR="007F57F8" w:rsidRPr="007F57F8" w14:paraId="6B6171C2"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63E9B940"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Bahoruco</w:t>
            </w:r>
          </w:p>
        </w:tc>
        <w:tc>
          <w:tcPr>
            <w:tcW w:w="1559" w:type="dxa"/>
            <w:tcBorders>
              <w:top w:val="nil"/>
              <w:left w:val="nil"/>
              <w:bottom w:val="single" w:sz="4" w:space="0" w:color="808080"/>
              <w:right w:val="single" w:sz="4" w:space="0" w:color="808080"/>
            </w:tcBorders>
            <w:noWrap/>
            <w:vAlign w:val="center"/>
            <w:hideMark/>
          </w:tcPr>
          <w:p w14:paraId="1874A8C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32,675</w:t>
            </w:r>
          </w:p>
        </w:tc>
        <w:tc>
          <w:tcPr>
            <w:tcW w:w="1418" w:type="dxa"/>
            <w:tcBorders>
              <w:top w:val="nil"/>
              <w:left w:val="nil"/>
              <w:bottom w:val="single" w:sz="4" w:space="0" w:color="808080"/>
              <w:right w:val="single" w:sz="4" w:space="0" w:color="808080"/>
            </w:tcBorders>
            <w:noWrap/>
            <w:vAlign w:val="center"/>
            <w:hideMark/>
          </w:tcPr>
          <w:p w14:paraId="4E7C0D5F"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0819D40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36,998</w:t>
            </w:r>
          </w:p>
        </w:tc>
        <w:tc>
          <w:tcPr>
            <w:tcW w:w="1468" w:type="dxa"/>
            <w:tcBorders>
              <w:top w:val="nil"/>
              <w:left w:val="nil"/>
              <w:bottom w:val="single" w:sz="4" w:space="0" w:color="808080"/>
              <w:right w:val="single" w:sz="4" w:space="0" w:color="808080"/>
            </w:tcBorders>
            <w:noWrap/>
            <w:vAlign w:val="center"/>
            <w:hideMark/>
          </w:tcPr>
          <w:p w14:paraId="61E6B95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69,673</w:t>
            </w:r>
          </w:p>
        </w:tc>
      </w:tr>
      <w:tr w:rsidR="007F57F8" w:rsidRPr="007F57F8" w14:paraId="3D45723B"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145604EF"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Montecristi</w:t>
            </w:r>
          </w:p>
        </w:tc>
        <w:tc>
          <w:tcPr>
            <w:tcW w:w="1559" w:type="dxa"/>
            <w:tcBorders>
              <w:top w:val="nil"/>
              <w:left w:val="nil"/>
              <w:bottom w:val="single" w:sz="4" w:space="0" w:color="808080"/>
              <w:right w:val="single" w:sz="4" w:space="0" w:color="808080"/>
            </w:tcBorders>
            <w:noWrap/>
            <w:vAlign w:val="center"/>
            <w:hideMark/>
          </w:tcPr>
          <w:p w14:paraId="4307F634"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31,079</w:t>
            </w:r>
          </w:p>
        </w:tc>
        <w:tc>
          <w:tcPr>
            <w:tcW w:w="1418" w:type="dxa"/>
            <w:tcBorders>
              <w:top w:val="nil"/>
              <w:left w:val="nil"/>
              <w:bottom w:val="single" w:sz="4" w:space="0" w:color="808080"/>
              <w:right w:val="single" w:sz="4" w:space="0" w:color="808080"/>
            </w:tcBorders>
            <w:noWrap/>
            <w:vAlign w:val="center"/>
            <w:hideMark/>
          </w:tcPr>
          <w:p w14:paraId="237CF745"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0C26C56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35,742</w:t>
            </w:r>
          </w:p>
        </w:tc>
        <w:tc>
          <w:tcPr>
            <w:tcW w:w="1468" w:type="dxa"/>
            <w:tcBorders>
              <w:top w:val="nil"/>
              <w:left w:val="nil"/>
              <w:bottom w:val="single" w:sz="4" w:space="0" w:color="808080"/>
              <w:right w:val="single" w:sz="4" w:space="0" w:color="808080"/>
            </w:tcBorders>
            <w:noWrap/>
            <w:vAlign w:val="center"/>
            <w:hideMark/>
          </w:tcPr>
          <w:p w14:paraId="466F776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66,821</w:t>
            </w:r>
          </w:p>
        </w:tc>
      </w:tr>
      <w:tr w:rsidR="007F57F8" w:rsidRPr="007F57F8" w14:paraId="1AB37D40"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C3C0EE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Samaná</w:t>
            </w:r>
          </w:p>
        </w:tc>
        <w:tc>
          <w:tcPr>
            <w:tcW w:w="1559" w:type="dxa"/>
            <w:tcBorders>
              <w:top w:val="nil"/>
              <w:left w:val="nil"/>
              <w:bottom w:val="single" w:sz="4" w:space="0" w:color="808080"/>
              <w:right w:val="single" w:sz="4" w:space="0" w:color="808080"/>
            </w:tcBorders>
            <w:noWrap/>
            <w:vAlign w:val="center"/>
            <w:hideMark/>
          </w:tcPr>
          <w:p w14:paraId="1714D37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28,493</w:t>
            </w:r>
          </w:p>
        </w:tc>
        <w:tc>
          <w:tcPr>
            <w:tcW w:w="1418" w:type="dxa"/>
            <w:tcBorders>
              <w:top w:val="nil"/>
              <w:left w:val="nil"/>
              <w:bottom w:val="single" w:sz="4" w:space="0" w:color="808080"/>
              <w:right w:val="single" w:sz="4" w:space="0" w:color="808080"/>
            </w:tcBorders>
            <w:noWrap/>
            <w:vAlign w:val="center"/>
            <w:hideMark/>
          </w:tcPr>
          <w:p w14:paraId="150064E1"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4B2AC28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35,050</w:t>
            </w:r>
          </w:p>
        </w:tc>
        <w:tc>
          <w:tcPr>
            <w:tcW w:w="1468" w:type="dxa"/>
            <w:tcBorders>
              <w:top w:val="nil"/>
              <w:left w:val="nil"/>
              <w:bottom w:val="single" w:sz="4" w:space="0" w:color="808080"/>
              <w:right w:val="single" w:sz="4" w:space="0" w:color="808080"/>
            </w:tcBorders>
            <w:noWrap/>
            <w:vAlign w:val="center"/>
            <w:hideMark/>
          </w:tcPr>
          <w:p w14:paraId="4274ECF6"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63,543</w:t>
            </w:r>
          </w:p>
        </w:tc>
      </w:tr>
      <w:tr w:rsidR="007F57F8" w:rsidRPr="007F57F8" w14:paraId="09ECA737"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72D8B898"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lastRenderedPageBreak/>
              <w:t>Hato Mayor</w:t>
            </w:r>
          </w:p>
        </w:tc>
        <w:tc>
          <w:tcPr>
            <w:tcW w:w="1559" w:type="dxa"/>
            <w:tcBorders>
              <w:top w:val="nil"/>
              <w:left w:val="nil"/>
              <w:bottom w:val="single" w:sz="4" w:space="0" w:color="808080"/>
              <w:right w:val="single" w:sz="4" w:space="0" w:color="808080"/>
            </w:tcBorders>
            <w:noWrap/>
            <w:vAlign w:val="center"/>
            <w:hideMark/>
          </w:tcPr>
          <w:p w14:paraId="7F2E8FD5"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32,883</w:t>
            </w:r>
          </w:p>
        </w:tc>
        <w:tc>
          <w:tcPr>
            <w:tcW w:w="1418" w:type="dxa"/>
            <w:tcBorders>
              <w:top w:val="nil"/>
              <w:left w:val="nil"/>
              <w:bottom w:val="single" w:sz="4" w:space="0" w:color="808080"/>
              <w:right w:val="single" w:sz="4" w:space="0" w:color="808080"/>
            </w:tcBorders>
            <w:noWrap/>
            <w:vAlign w:val="center"/>
            <w:hideMark/>
          </w:tcPr>
          <w:p w14:paraId="3850DEE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11834B5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29,173</w:t>
            </w:r>
          </w:p>
        </w:tc>
        <w:tc>
          <w:tcPr>
            <w:tcW w:w="1468" w:type="dxa"/>
            <w:tcBorders>
              <w:top w:val="nil"/>
              <w:left w:val="nil"/>
              <w:bottom w:val="single" w:sz="4" w:space="0" w:color="808080"/>
              <w:right w:val="single" w:sz="4" w:space="0" w:color="808080"/>
            </w:tcBorders>
            <w:noWrap/>
            <w:vAlign w:val="center"/>
            <w:hideMark/>
          </w:tcPr>
          <w:p w14:paraId="74EED84B"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62,056</w:t>
            </w:r>
          </w:p>
        </w:tc>
      </w:tr>
      <w:tr w:rsidR="007F57F8" w:rsidRPr="007F57F8" w14:paraId="4F1CD609"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56D7A718"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El Seibo</w:t>
            </w:r>
          </w:p>
        </w:tc>
        <w:tc>
          <w:tcPr>
            <w:tcW w:w="1559" w:type="dxa"/>
            <w:tcBorders>
              <w:top w:val="nil"/>
              <w:left w:val="nil"/>
              <w:bottom w:val="single" w:sz="4" w:space="0" w:color="808080"/>
              <w:right w:val="single" w:sz="4" w:space="0" w:color="808080"/>
            </w:tcBorders>
            <w:noWrap/>
            <w:vAlign w:val="center"/>
            <w:hideMark/>
          </w:tcPr>
          <w:p w14:paraId="2A3233D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32,179</w:t>
            </w:r>
          </w:p>
        </w:tc>
        <w:tc>
          <w:tcPr>
            <w:tcW w:w="1418" w:type="dxa"/>
            <w:tcBorders>
              <w:top w:val="nil"/>
              <w:left w:val="nil"/>
              <w:bottom w:val="single" w:sz="4" w:space="0" w:color="808080"/>
              <w:right w:val="single" w:sz="4" w:space="0" w:color="808080"/>
            </w:tcBorders>
            <w:noWrap/>
            <w:vAlign w:val="center"/>
            <w:hideMark/>
          </w:tcPr>
          <w:p w14:paraId="62FA8236"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3F622EA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24,632</w:t>
            </w:r>
          </w:p>
        </w:tc>
        <w:tc>
          <w:tcPr>
            <w:tcW w:w="1468" w:type="dxa"/>
            <w:tcBorders>
              <w:top w:val="nil"/>
              <w:left w:val="nil"/>
              <w:bottom w:val="single" w:sz="4" w:space="0" w:color="808080"/>
              <w:right w:val="single" w:sz="4" w:space="0" w:color="808080"/>
            </w:tcBorders>
            <w:noWrap/>
            <w:vAlign w:val="center"/>
            <w:hideMark/>
          </w:tcPr>
          <w:p w14:paraId="34A5939E"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56,811</w:t>
            </w:r>
          </w:p>
        </w:tc>
      </w:tr>
      <w:tr w:rsidR="007F57F8" w:rsidRPr="007F57F8" w14:paraId="7DBA6A4F"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04BF59B"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 José de Ocoa</w:t>
            </w:r>
          </w:p>
        </w:tc>
        <w:tc>
          <w:tcPr>
            <w:tcW w:w="1559" w:type="dxa"/>
            <w:tcBorders>
              <w:top w:val="nil"/>
              <w:left w:val="nil"/>
              <w:bottom w:val="single" w:sz="4" w:space="0" w:color="808080"/>
              <w:right w:val="single" w:sz="4" w:space="0" w:color="808080"/>
            </w:tcBorders>
            <w:noWrap/>
            <w:vAlign w:val="center"/>
            <w:hideMark/>
          </w:tcPr>
          <w:p w14:paraId="1D1A0916"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22,283</w:t>
            </w:r>
          </w:p>
        </w:tc>
        <w:tc>
          <w:tcPr>
            <w:tcW w:w="1418" w:type="dxa"/>
            <w:tcBorders>
              <w:top w:val="nil"/>
              <w:left w:val="nil"/>
              <w:bottom w:val="single" w:sz="4" w:space="0" w:color="808080"/>
              <w:right w:val="single" w:sz="4" w:space="0" w:color="808080"/>
            </w:tcBorders>
            <w:noWrap/>
            <w:vAlign w:val="center"/>
            <w:hideMark/>
          </w:tcPr>
          <w:p w14:paraId="0ADB594D"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1BFD9D5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28,906</w:t>
            </w:r>
          </w:p>
        </w:tc>
        <w:tc>
          <w:tcPr>
            <w:tcW w:w="1468" w:type="dxa"/>
            <w:tcBorders>
              <w:top w:val="nil"/>
              <w:left w:val="nil"/>
              <w:bottom w:val="single" w:sz="4" w:space="0" w:color="808080"/>
              <w:right w:val="single" w:sz="4" w:space="0" w:color="808080"/>
            </w:tcBorders>
            <w:noWrap/>
            <w:vAlign w:val="center"/>
            <w:hideMark/>
          </w:tcPr>
          <w:p w14:paraId="6B88E4B2"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51,189</w:t>
            </w:r>
          </w:p>
        </w:tc>
      </w:tr>
      <w:tr w:rsidR="007F57F8" w:rsidRPr="007F57F8" w14:paraId="3A67BCD2"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738D5D65"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Santiago Rodríguez</w:t>
            </w:r>
          </w:p>
        </w:tc>
        <w:tc>
          <w:tcPr>
            <w:tcW w:w="1559" w:type="dxa"/>
            <w:tcBorders>
              <w:top w:val="nil"/>
              <w:left w:val="nil"/>
              <w:bottom w:val="single" w:sz="4" w:space="0" w:color="808080"/>
              <w:right w:val="single" w:sz="4" w:space="0" w:color="808080"/>
            </w:tcBorders>
            <w:noWrap/>
            <w:vAlign w:val="center"/>
            <w:hideMark/>
          </w:tcPr>
          <w:p w14:paraId="1144DFE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26,697</w:t>
            </w:r>
          </w:p>
        </w:tc>
        <w:tc>
          <w:tcPr>
            <w:tcW w:w="1418" w:type="dxa"/>
            <w:tcBorders>
              <w:top w:val="nil"/>
              <w:left w:val="nil"/>
              <w:bottom w:val="single" w:sz="4" w:space="0" w:color="808080"/>
              <w:right w:val="single" w:sz="4" w:space="0" w:color="808080"/>
            </w:tcBorders>
            <w:noWrap/>
            <w:vAlign w:val="center"/>
            <w:hideMark/>
          </w:tcPr>
          <w:p w14:paraId="1A4E96A2"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53F5860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21,789</w:t>
            </w:r>
          </w:p>
        </w:tc>
        <w:tc>
          <w:tcPr>
            <w:tcW w:w="1468" w:type="dxa"/>
            <w:tcBorders>
              <w:top w:val="nil"/>
              <w:left w:val="nil"/>
              <w:bottom w:val="single" w:sz="4" w:space="0" w:color="808080"/>
              <w:right w:val="single" w:sz="4" w:space="0" w:color="808080"/>
            </w:tcBorders>
            <w:noWrap/>
            <w:vAlign w:val="center"/>
            <w:hideMark/>
          </w:tcPr>
          <w:p w14:paraId="0D240886"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48,486</w:t>
            </w:r>
          </w:p>
        </w:tc>
      </w:tr>
      <w:tr w:rsidR="007F57F8" w:rsidRPr="007F57F8" w14:paraId="448E9641"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38C38A59"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Dajabón</w:t>
            </w:r>
          </w:p>
        </w:tc>
        <w:tc>
          <w:tcPr>
            <w:tcW w:w="1559" w:type="dxa"/>
            <w:tcBorders>
              <w:top w:val="nil"/>
              <w:left w:val="nil"/>
              <w:bottom w:val="single" w:sz="4" w:space="0" w:color="808080"/>
              <w:right w:val="single" w:sz="4" w:space="0" w:color="808080"/>
            </w:tcBorders>
            <w:noWrap/>
            <w:vAlign w:val="center"/>
            <w:hideMark/>
          </w:tcPr>
          <w:p w14:paraId="409F4BCD"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27,202</w:t>
            </w:r>
          </w:p>
        </w:tc>
        <w:tc>
          <w:tcPr>
            <w:tcW w:w="1418" w:type="dxa"/>
            <w:tcBorders>
              <w:top w:val="nil"/>
              <w:left w:val="nil"/>
              <w:bottom w:val="single" w:sz="4" w:space="0" w:color="808080"/>
              <w:right w:val="single" w:sz="4" w:space="0" w:color="808080"/>
            </w:tcBorders>
            <w:noWrap/>
            <w:vAlign w:val="center"/>
            <w:hideMark/>
          </w:tcPr>
          <w:p w14:paraId="3A2BDEA6"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400964B7"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20,523</w:t>
            </w:r>
          </w:p>
        </w:tc>
        <w:tc>
          <w:tcPr>
            <w:tcW w:w="1468" w:type="dxa"/>
            <w:tcBorders>
              <w:top w:val="nil"/>
              <w:left w:val="nil"/>
              <w:bottom w:val="single" w:sz="4" w:space="0" w:color="808080"/>
              <w:right w:val="single" w:sz="4" w:space="0" w:color="808080"/>
            </w:tcBorders>
            <w:noWrap/>
            <w:vAlign w:val="center"/>
            <w:hideMark/>
          </w:tcPr>
          <w:p w14:paraId="43699539"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47,725</w:t>
            </w:r>
          </w:p>
        </w:tc>
      </w:tr>
      <w:tr w:rsidR="007F57F8" w:rsidRPr="007F57F8" w14:paraId="530F355C"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2D2720B1"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Elías Piña</w:t>
            </w:r>
          </w:p>
        </w:tc>
        <w:tc>
          <w:tcPr>
            <w:tcW w:w="1559" w:type="dxa"/>
            <w:tcBorders>
              <w:top w:val="nil"/>
              <w:left w:val="nil"/>
              <w:bottom w:val="single" w:sz="4" w:space="0" w:color="808080"/>
              <w:right w:val="single" w:sz="4" w:space="0" w:color="808080"/>
            </w:tcBorders>
            <w:noWrap/>
            <w:vAlign w:val="center"/>
            <w:hideMark/>
          </w:tcPr>
          <w:p w14:paraId="511E016A"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29,364</w:t>
            </w:r>
          </w:p>
        </w:tc>
        <w:tc>
          <w:tcPr>
            <w:tcW w:w="1418" w:type="dxa"/>
            <w:tcBorders>
              <w:top w:val="nil"/>
              <w:left w:val="nil"/>
              <w:bottom w:val="single" w:sz="4" w:space="0" w:color="808080"/>
              <w:right w:val="single" w:sz="4" w:space="0" w:color="808080"/>
            </w:tcBorders>
            <w:noWrap/>
            <w:vAlign w:val="center"/>
            <w:hideMark/>
          </w:tcPr>
          <w:p w14:paraId="0729148E"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4E064548"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17,543</w:t>
            </w:r>
          </w:p>
        </w:tc>
        <w:tc>
          <w:tcPr>
            <w:tcW w:w="1468" w:type="dxa"/>
            <w:tcBorders>
              <w:top w:val="nil"/>
              <w:left w:val="nil"/>
              <w:bottom w:val="single" w:sz="4" w:space="0" w:color="808080"/>
              <w:right w:val="single" w:sz="4" w:space="0" w:color="808080"/>
            </w:tcBorders>
            <w:noWrap/>
            <w:vAlign w:val="center"/>
            <w:hideMark/>
          </w:tcPr>
          <w:p w14:paraId="619CAFC0"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46,907</w:t>
            </w:r>
          </w:p>
        </w:tc>
      </w:tr>
      <w:tr w:rsidR="007F57F8" w:rsidRPr="007F57F8" w14:paraId="07DC6EB6" w14:textId="77777777" w:rsidTr="007F57F8">
        <w:trPr>
          <w:trHeight w:val="324"/>
          <w:jc w:val="center"/>
        </w:trPr>
        <w:tc>
          <w:tcPr>
            <w:tcW w:w="1980" w:type="dxa"/>
            <w:tcBorders>
              <w:top w:val="nil"/>
              <w:left w:val="single" w:sz="4" w:space="0" w:color="808080"/>
              <w:bottom w:val="single" w:sz="4" w:space="0" w:color="808080"/>
              <w:right w:val="single" w:sz="4" w:space="0" w:color="808080"/>
            </w:tcBorders>
            <w:noWrap/>
            <w:vAlign w:val="center"/>
            <w:hideMark/>
          </w:tcPr>
          <w:p w14:paraId="097EF7BF"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Pedernales</w:t>
            </w:r>
          </w:p>
        </w:tc>
        <w:tc>
          <w:tcPr>
            <w:tcW w:w="1559" w:type="dxa"/>
            <w:tcBorders>
              <w:top w:val="nil"/>
              <w:left w:val="nil"/>
              <w:bottom w:val="single" w:sz="4" w:space="0" w:color="808080"/>
              <w:right w:val="single" w:sz="4" w:space="0" w:color="808080"/>
            </w:tcBorders>
            <w:noWrap/>
            <w:vAlign w:val="center"/>
            <w:hideMark/>
          </w:tcPr>
          <w:p w14:paraId="66F30E63"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7,588</w:t>
            </w:r>
          </w:p>
        </w:tc>
        <w:tc>
          <w:tcPr>
            <w:tcW w:w="1418" w:type="dxa"/>
            <w:tcBorders>
              <w:top w:val="nil"/>
              <w:left w:val="nil"/>
              <w:bottom w:val="single" w:sz="4" w:space="0" w:color="808080"/>
              <w:right w:val="single" w:sz="4" w:space="0" w:color="808080"/>
            </w:tcBorders>
            <w:noWrap/>
            <w:vAlign w:val="center"/>
            <w:hideMark/>
          </w:tcPr>
          <w:p w14:paraId="157BC80E" w14:textId="77777777" w:rsidR="007F57F8" w:rsidRPr="007F57F8" w:rsidRDefault="007F57F8" w:rsidP="007F57F8">
            <w:pPr>
              <w:spacing w:after="0" w:line="240" w:lineRule="auto"/>
              <w:rPr>
                <w:rFonts w:eastAsia="Times New Roman"/>
                <w:spacing w:val="0"/>
                <w:lang w:val="es-DO" w:eastAsia="es-DO"/>
              </w:rPr>
            </w:pPr>
            <w:r w:rsidRPr="007F57F8">
              <w:rPr>
                <w:rFonts w:eastAsia="Times New Roman"/>
                <w:spacing w:val="0"/>
                <w:lang w:val="es-DO" w:eastAsia="es-DO"/>
              </w:rPr>
              <w:t> </w:t>
            </w:r>
          </w:p>
        </w:tc>
        <w:tc>
          <w:tcPr>
            <w:tcW w:w="1485" w:type="dxa"/>
            <w:tcBorders>
              <w:top w:val="nil"/>
              <w:left w:val="nil"/>
              <w:bottom w:val="single" w:sz="4" w:space="0" w:color="808080"/>
              <w:right w:val="single" w:sz="4" w:space="0" w:color="808080"/>
            </w:tcBorders>
            <w:noWrap/>
            <w:vAlign w:val="center"/>
            <w:hideMark/>
          </w:tcPr>
          <w:p w14:paraId="48B67DA1"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7,361</w:t>
            </w:r>
          </w:p>
        </w:tc>
        <w:tc>
          <w:tcPr>
            <w:tcW w:w="1468" w:type="dxa"/>
            <w:tcBorders>
              <w:top w:val="nil"/>
              <w:left w:val="nil"/>
              <w:bottom w:val="single" w:sz="4" w:space="0" w:color="808080"/>
              <w:right w:val="single" w:sz="4" w:space="0" w:color="808080"/>
            </w:tcBorders>
            <w:noWrap/>
            <w:vAlign w:val="center"/>
            <w:hideMark/>
          </w:tcPr>
          <w:p w14:paraId="1BFE5A57" w14:textId="77777777" w:rsidR="007F57F8" w:rsidRPr="007F57F8" w:rsidRDefault="007F57F8" w:rsidP="007F57F8">
            <w:pPr>
              <w:spacing w:after="0" w:line="240" w:lineRule="auto"/>
              <w:jc w:val="center"/>
              <w:rPr>
                <w:rFonts w:eastAsia="Times New Roman"/>
                <w:spacing w:val="0"/>
                <w:lang w:val="es-DO" w:eastAsia="es-DO"/>
              </w:rPr>
            </w:pPr>
            <w:r w:rsidRPr="007F57F8">
              <w:rPr>
                <w:rFonts w:eastAsia="Times New Roman"/>
                <w:spacing w:val="0"/>
                <w:lang w:val="es-DO" w:eastAsia="es-DO"/>
              </w:rPr>
              <w:t>14,949</w:t>
            </w:r>
          </w:p>
        </w:tc>
      </w:tr>
      <w:tr w:rsidR="007F57F8" w:rsidRPr="007F57F8" w14:paraId="151C309A" w14:textId="77777777" w:rsidTr="007F57F8">
        <w:trPr>
          <w:trHeight w:val="324"/>
          <w:jc w:val="center"/>
        </w:trPr>
        <w:tc>
          <w:tcPr>
            <w:tcW w:w="1980" w:type="dxa"/>
            <w:tcBorders>
              <w:top w:val="nil"/>
              <w:left w:val="single" w:sz="4" w:space="0" w:color="808080"/>
              <w:bottom w:val="single" w:sz="4" w:space="0" w:color="808080"/>
              <w:right w:val="single" w:sz="4" w:space="0" w:color="808080"/>
            </w:tcBorders>
            <w:shd w:val="clear" w:color="000000" w:fill="767171"/>
            <w:noWrap/>
            <w:vAlign w:val="center"/>
            <w:hideMark/>
          </w:tcPr>
          <w:p w14:paraId="2E8FEAF3" w14:textId="77777777" w:rsidR="007F57F8" w:rsidRPr="007F57F8" w:rsidRDefault="007F57F8" w:rsidP="007F57F8">
            <w:pPr>
              <w:spacing w:after="0" w:line="240" w:lineRule="auto"/>
              <w:rPr>
                <w:rFonts w:eastAsia="Times New Roman"/>
                <w:b/>
                <w:bCs/>
                <w:color w:val="FFFFFF"/>
                <w:spacing w:val="0"/>
                <w:lang w:val="es-DO" w:eastAsia="es-DO"/>
              </w:rPr>
            </w:pPr>
            <w:r w:rsidRPr="007F57F8">
              <w:rPr>
                <w:rFonts w:eastAsia="Times New Roman"/>
                <w:b/>
                <w:bCs/>
                <w:color w:val="FFFFFF"/>
                <w:spacing w:val="0"/>
                <w:lang w:val="es-DO" w:eastAsia="es-DO"/>
              </w:rPr>
              <w:t>Total general</w:t>
            </w:r>
          </w:p>
        </w:tc>
        <w:tc>
          <w:tcPr>
            <w:tcW w:w="1559" w:type="dxa"/>
            <w:tcBorders>
              <w:top w:val="nil"/>
              <w:left w:val="nil"/>
              <w:bottom w:val="single" w:sz="4" w:space="0" w:color="808080"/>
              <w:right w:val="single" w:sz="4" w:space="0" w:color="808080"/>
            </w:tcBorders>
            <w:shd w:val="clear" w:color="000000" w:fill="767171"/>
            <w:noWrap/>
            <w:vAlign w:val="center"/>
            <w:hideMark/>
          </w:tcPr>
          <w:p w14:paraId="623533E8"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4,833,892</w:t>
            </w:r>
          </w:p>
        </w:tc>
        <w:tc>
          <w:tcPr>
            <w:tcW w:w="1418" w:type="dxa"/>
            <w:tcBorders>
              <w:top w:val="nil"/>
              <w:left w:val="nil"/>
              <w:bottom w:val="single" w:sz="4" w:space="0" w:color="808080"/>
              <w:right w:val="single" w:sz="4" w:space="0" w:color="808080"/>
            </w:tcBorders>
            <w:shd w:val="clear" w:color="000000" w:fill="767171"/>
            <w:noWrap/>
            <w:vAlign w:val="center"/>
            <w:hideMark/>
          </w:tcPr>
          <w:p w14:paraId="2E153DFF"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118,983</w:t>
            </w:r>
          </w:p>
        </w:tc>
        <w:tc>
          <w:tcPr>
            <w:tcW w:w="1485" w:type="dxa"/>
            <w:tcBorders>
              <w:top w:val="nil"/>
              <w:left w:val="nil"/>
              <w:bottom w:val="single" w:sz="4" w:space="0" w:color="808080"/>
              <w:right w:val="single" w:sz="4" w:space="0" w:color="808080"/>
            </w:tcBorders>
            <w:shd w:val="clear" w:color="000000" w:fill="767171"/>
            <w:noWrap/>
            <w:vAlign w:val="center"/>
            <w:hideMark/>
          </w:tcPr>
          <w:p w14:paraId="7FF83CFE"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5,655,485</w:t>
            </w:r>
          </w:p>
        </w:tc>
        <w:tc>
          <w:tcPr>
            <w:tcW w:w="1468" w:type="dxa"/>
            <w:tcBorders>
              <w:top w:val="nil"/>
              <w:left w:val="nil"/>
              <w:bottom w:val="single" w:sz="4" w:space="0" w:color="808080"/>
              <w:right w:val="single" w:sz="4" w:space="0" w:color="808080"/>
            </w:tcBorders>
            <w:shd w:val="clear" w:color="000000" w:fill="767171"/>
            <w:noWrap/>
            <w:vAlign w:val="center"/>
            <w:hideMark/>
          </w:tcPr>
          <w:p w14:paraId="7148E8E9" w14:textId="77777777" w:rsidR="007F57F8" w:rsidRPr="007F57F8" w:rsidRDefault="007F57F8" w:rsidP="007F57F8">
            <w:pPr>
              <w:spacing w:after="0" w:line="240" w:lineRule="auto"/>
              <w:jc w:val="center"/>
              <w:rPr>
                <w:rFonts w:eastAsia="Times New Roman"/>
                <w:b/>
                <w:bCs/>
                <w:color w:val="FFFFFF"/>
                <w:spacing w:val="0"/>
                <w:lang w:val="es-DO" w:eastAsia="es-DO"/>
              </w:rPr>
            </w:pPr>
            <w:r w:rsidRPr="007F57F8">
              <w:rPr>
                <w:rFonts w:eastAsia="Times New Roman"/>
                <w:b/>
                <w:bCs/>
                <w:color w:val="FFFFFF"/>
                <w:spacing w:val="0"/>
                <w:lang w:val="es-DO" w:eastAsia="es-DO"/>
              </w:rPr>
              <w:t>10,608,360</w:t>
            </w:r>
          </w:p>
        </w:tc>
      </w:tr>
    </w:tbl>
    <w:p w14:paraId="6EF4D992" w14:textId="26B0D2FF" w:rsidR="00273AF4" w:rsidRPr="005C133F" w:rsidRDefault="00930DED" w:rsidP="005C133F">
      <w:pPr>
        <w:spacing w:after="0" w:line="360" w:lineRule="auto"/>
        <w:jc w:val="both"/>
        <w:rPr>
          <w:rFonts w:eastAsia="Times New Roman"/>
          <w:sz w:val="18"/>
          <w:szCs w:val="18"/>
          <w:lang w:val="es-DO" w:eastAsia="es-DO"/>
        </w:rPr>
      </w:pPr>
      <w:r w:rsidRPr="005C133F">
        <w:rPr>
          <w:rFonts w:eastAsia="Times New Roman"/>
          <w:sz w:val="18"/>
          <w:szCs w:val="18"/>
          <w:lang w:val="es-DO" w:eastAsia="es-DO"/>
        </w:rPr>
        <w:t>Fuente: Elaboración Departamento de Estadísticas</w:t>
      </w:r>
      <w:r w:rsidR="00DF0BCE" w:rsidRPr="005C133F">
        <w:rPr>
          <w:rFonts w:eastAsia="Times New Roman"/>
          <w:sz w:val="18"/>
          <w:szCs w:val="18"/>
          <w:lang w:val="es-DO" w:eastAsia="es-DO"/>
        </w:rPr>
        <w:t>,</w:t>
      </w:r>
      <w:r w:rsidRPr="005C133F">
        <w:rPr>
          <w:rFonts w:eastAsia="Times New Roman"/>
          <w:sz w:val="18"/>
          <w:szCs w:val="18"/>
          <w:lang w:val="es-DO" w:eastAsia="es-DO"/>
        </w:rPr>
        <w:t xml:space="preserve"> SISALRIL </w:t>
      </w:r>
    </w:p>
    <w:p w14:paraId="3A8C5E36" w14:textId="77777777" w:rsidR="00246DA5" w:rsidRPr="005C133F" w:rsidRDefault="00246DA5" w:rsidP="005C133F">
      <w:pPr>
        <w:spacing w:after="0" w:line="360" w:lineRule="auto"/>
        <w:jc w:val="both"/>
        <w:rPr>
          <w:rFonts w:eastAsia="Times New Roman"/>
          <w:lang w:val="es-DO" w:eastAsia="es-DO"/>
        </w:rPr>
      </w:pPr>
    </w:p>
    <w:p w14:paraId="2270A368" w14:textId="4AF2D11E" w:rsidR="005A33B9" w:rsidRPr="00AD2C1B" w:rsidRDefault="005A33B9" w:rsidP="00E05B71">
      <w:pPr>
        <w:pStyle w:val="Descripcin"/>
        <w:keepNext/>
        <w:spacing w:after="0"/>
        <w:jc w:val="center"/>
        <w:rPr>
          <w:b/>
          <w:i w:val="0"/>
          <w:color w:val="767171"/>
          <w:sz w:val="24"/>
          <w:szCs w:val="24"/>
          <w:lang w:val="es-DO"/>
        </w:rPr>
      </w:pPr>
      <w:bookmarkStart w:id="20" w:name="_Toc218784135"/>
      <w:r w:rsidRPr="005C133F">
        <w:rPr>
          <w:b/>
          <w:i w:val="0"/>
          <w:color w:val="767171"/>
          <w:sz w:val="24"/>
          <w:szCs w:val="24"/>
          <w:lang w:val="es-DO"/>
        </w:rPr>
        <w:t xml:space="preserve">Tabla </w:t>
      </w:r>
      <w:r w:rsidRPr="005C133F">
        <w:rPr>
          <w:b/>
          <w:i w:val="0"/>
          <w:color w:val="767171"/>
          <w:sz w:val="24"/>
          <w:szCs w:val="24"/>
        </w:rPr>
        <w:fldChar w:fldCharType="begin"/>
      </w:r>
      <w:r w:rsidRPr="005C133F">
        <w:rPr>
          <w:b/>
          <w:i w:val="0"/>
          <w:color w:val="767171"/>
          <w:sz w:val="24"/>
          <w:szCs w:val="24"/>
          <w:lang w:val="es-DO"/>
        </w:rPr>
        <w:instrText xml:space="preserve"> SEQ Tabla \* ARABIC </w:instrText>
      </w:r>
      <w:r w:rsidRPr="005C133F">
        <w:rPr>
          <w:b/>
          <w:i w:val="0"/>
          <w:color w:val="767171"/>
          <w:sz w:val="24"/>
          <w:szCs w:val="24"/>
        </w:rPr>
        <w:fldChar w:fldCharType="separate"/>
      </w:r>
      <w:r w:rsidR="00814341">
        <w:rPr>
          <w:b/>
          <w:i w:val="0"/>
          <w:noProof/>
          <w:color w:val="767171"/>
          <w:sz w:val="24"/>
          <w:szCs w:val="24"/>
          <w:lang w:val="es-DO"/>
        </w:rPr>
        <w:t>3</w:t>
      </w:r>
      <w:r w:rsidRPr="005C133F">
        <w:rPr>
          <w:b/>
          <w:i w:val="0"/>
          <w:color w:val="767171"/>
          <w:sz w:val="24"/>
          <w:szCs w:val="24"/>
        </w:rPr>
        <w:fldChar w:fldCharType="end"/>
      </w:r>
      <w:r w:rsidR="00756EE8" w:rsidRPr="005C133F">
        <w:rPr>
          <w:b/>
          <w:bCs/>
          <w:i w:val="0"/>
          <w:iCs w:val="0"/>
          <w:color w:val="767171"/>
          <w:sz w:val="24"/>
          <w:szCs w:val="24"/>
          <w:lang w:val="es-DO"/>
        </w:rPr>
        <w:t>.</w:t>
      </w:r>
      <w:r w:rsidRPr="005C133F">
        <w:rPr>
          <w:b/>
          <w:i w:val="0"/>
          <w:color w:val="767171"/>
          <w:sz w:val="24"/>
          <w:szCs w:val="24"/>
          <w:lang w:val="es-DO"/>
        </w:rPr>
        <w:t xml:space="preserve"> Desagregación de la afiliación al Seguro Familiar de Salud (SFS) según régimen y </w:t>
      </w:r>
      <w:r w:rsidRPr="00AD2C1B">
        <w:rPr>
          <w:b/>
          <w:i w:val="0"/>
          <w:color w:val="767171"/>
          <w:sz w:val="24"/>
          <w:szCs w:val="24"/>
          <w:lang w:val="es-DO"/>
        </w:rPr>
        <w:t xml:space="preserve">sexo, </w:t>
      </w:r>
      <w:r w:rsidR="002E24D5">
        <w:rPr>
          <w:b/>
          <w:i w:val="0"/>
          <w:color w:val="767171"/>
          <w:sz w:val="24"/>
          <w:szCs w:val="24"/>
          <w:lang w:val="es-DO"/>
        </w:rPr>
        <w:t>diciembre</w:t>
      </w:r>
      <w:r w:rsidRPr="00AD2C1B">
        <w:rPr>
          <w:b/>
          <w:i w:val="0"/>
          <w:color w:val="767171"/>
          <w:sz w:val="24"/>
          <w:szCs w:val="24"/>
          <w:lang w:val="es-DO"/>
        </w:rPr>
        <w:t xml:space="preserve"> 2025</w:t>
      </w:r>
      <w:bookmarkEnd w:id="20"/>
    </w:p>
    <w:tbl>
      <w:tblPr>
        <w:tblW w:w="0" w:type="auto"/>
        <w:tblCellMar>
          <w:left w:w="70" w:type="dxa"/>
          <w:right w:w="70" w:type="dxa"/>
        </w:tblCellMar>
        <w:tblLook w:val="04A0" w:firstRow="1" w:lastRow="0" w:firstColumn="1" w:lastColumn="0" w:noHBand="0" w:noVBand="1"/>
      </w:tblPr>
      <w:tblGrid>
        <w:gridCol w:w="1507"/>
        <w:gridCol w:w="1832"/>
        <w:gridCol w:w="1789"/>
        <w:gridCol w:w="1275"/>
        <w:gridCol w:w="1507"/>
      </w:tblGrid>
      <w:tr w:rsidR="000822AC" w:rsidRPr="000822AC" w14:paraId="7F301EB1" w14:textId="77777777" w:rsidTr="003543F4">
        <w:trPr>
          <w:trHeight w:val="624"/>
          <w:tblHeader/>
        </w:trPr>
        <w:tc>
          <w:tcPr>
            <w:tcW w:w="0" w:type="auto"/>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3D926AD2"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 xml:space="preserve">Sexo </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3518DF4B"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Régimen Contributivo</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163B1465"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Planes de Pensionados</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738A197D"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Régimen</w:t>
            </w:r>
            <w:r w:rsidRPr="000822AC">
              <w:rPr>
                <w:rFonts w:eastAsia="Times New Roman"/>
                <w:b/>
                <w:bCs/>
                <w:color w:val="FFFFFF"/>
                <w:spacing w:val="0"/>
                <w:lang w:val="es-DO" w:eastAsia="es-DO"/>
              </w:rPr>
              <w:br/>
              <w:t>Subsidiado</w:t>
            </w:r>
          </w:p>
        </w:tc>
        <w:tc>
          <w:tcPr>
            <w:tcW w:w="0" w:type="auto"/>
            <w:tcBorders>
              <w:top w:val="single" w:sz="4" w:space="0" w:color="808080"/>
              <w:left w:val="nil"/>
              <w:bottom w:val="single" w:sz="4" w:space="0" w:color="808080"/>
              <w:right w:val="single" w:sz="4" w:space="0" w:color="808080"/>
            </w:tcBorders>
            <w:shd w:val="clear" w:color="000000" w:fill="011C50"/>
            <w:noWrap/>
            <w:vAlign w:val="center"/>
            <w:hideMark/>
          </w:tcPr>
          <w:p w14:paraId="1400D676"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Total general</w:t>
            </w:r>
          </w:p>
        </w:tc>
      </w:tr>
      <w:tr w:rsidR="000822AC" w:rsidRPr="000822AC" w14:paraId="0F0F3D64" w14:textId="77777777" w:rsidTr="000822AC">
        <w:trPr>
          <w:trHeight w:val="639"/>
        </w:trPr>
        <w:tc>
          <w:tcPr>
            <w:tcW w:w="0" w:type="auto"/>
            <w:tcBorders>
              <w:top w:val="nil"/>
              <w:left w:val="single" w:sz="4" w:space="0" w:color="808080"/>
              <w:bottom w:val="single" w:sz="4" w:space="0" w:color="808080"/>
              <w:right w:val="single" w:sz="4" w:space="0" w:color="808080"/>
            </w:tcBorders>
            <w:noWrap/>
            <w:vAlign w:val="center"/>
            <w:hideMark/>
          </w:tcPr>
          <w:p w14:paraId="7416647C"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Hombres</w:t>
            </w:r>
          </w:p>
        </w:tc>
        <w:tc>
          <w:tcPr>
            <w:tcW w:w="0" w:type="auto"/>
            <w:tcBorders>
              <w:top w:val="nil"/>
              <w:left w:val="nil"/>
              <w:bottom w:val="single" w:sz="4" w:space="0" w:color="808080"/>
              <w:right w:val="single" w:sz="4" w:space="0" w:color="808080"/>
            </w:tcBorders>
            <w:noWrap/>
            <w:vAlign w:val="center"/>
            <w:hideMark/>
          </w:tcPr>
          <w:p w14:paraId="1A19D060"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2,395,380</w:t>
            </w:r>
          </w:p>
        </w:tc>
        <w:tc>
          <w:tcPr>
            <w:tcW w:w="0" w:type="auto"/>
            <w:tcBorders>
              <w:top w:val="nil"/>
              <w:left w:val="nil"/>
              <w:bottom w:val="single" w:sz="4" w:space="0" w:color="808080"/>
              <w:right w:val="single" w:sz="4" w:space="0" w:color="808080"/>
            </w:tcBorders>
            <w:noWrap/>
            <w:vAlign w:val="center"/>
            <w:hideMark/>
          </w:tcPr>
          <w:p w14:paraId="6B5BB8EE"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57,264</w:t>
            </w:r>
          </w:p>
        </w:tc>
        <w:tc>
          <w:tcPr>
            <w:tcW w:w="0" w:type="auto"/>
            <w:tcBorders>
              <w:top w:val="nil"/>
              <w:left w:val="nil"/>
              <w:bottom w:val="single" w:sz="4" w:space="0" w:color="808080"/>
              <w:right w:val="single" w:sz="4" w:space="0" w:color="808080"/>
            </w:tcBorders>
            <w:noWrap/>
            <w:vAlign w:val="center"/>
            <w:hideMark/>
          </w:tcPr>
          <w:p w14:paraId="38D27C4C"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2,815,083</w:t>
            </w:r>
          </w:p>
        </w:tc>
        <w:tc>
          <w:tcPr>
            <w:tcW w:w="0" w:type="auto"/>
            <w:tcBorders>
              <w:top w:val="nil"/>
              <w:left w:val="nil"/>
              <w:bottom w:val="single" w:sz="4" w:space="0" w:color="808080"/>
              <w:right w:val="single" w:sz="4" w:space="0" w:color="808080"/>
            </w:tcBorders>
            <w:noWrap/>
            <w:vAlign w:val="center"/>
            <w:hideMark/>
          </w:tcPr>
          <w:p w14:paraId="7DF73092"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5,267,727</w:t>
            </w:r>
          </w:p>
        </w:tc>
      </w:tr>
      <w:tr w:rsidR="000822AC" w:rsidRPr="000822AC" w14:paraId="5BDBF42E" w14:textId="77777777" w:rsidTr="000822AC">
        <w:trPr>
          <w:trHeight w:val="312"/>
        </w:trPr>
        <w:tc>
          <w:tcPr>
            <w:tcW w:w="0" w:type="auto"/>
            <w:tcBorders>
              <w:top w:val="nil"/>
              <w:left w:val="single" w:sz="4" w:space="0" w:color="808080"/>
              <w:bottom w:val="single" w:sz="4" w:space="0" w:color="808080"/>
              <w:right w:val="single" w:sz="4" w:space="0" w:color="808080"/>
            </w:tcBorders>
            <w:noWrap/>
            <w:vAlign w:val="center"/>
            <w:hideMark/>
          </w:tcPr>
          <w:p w14:paraId="56B2CB9E"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Mujeres</w:t>
            </w:r>
          </w:p>
        </w:tc>
        <w:tc>
          <w:tcPr>
            <w:tcW w:w="0" w:type="auto"/>
            <w:tcBorders>
              <w:top w:val="nil"/>
              <w:left w:val="nil"/>
              <w:bottom w:val="single" w:sz="4" w:space="0" w:color="808080"/>
              <w:right w:val="single" w:sz="4" w:space="0" w:color="808080"/>
            </w:tcBorders>
            <w:noWrap/>
            <w:vAlign w:val="center"/>
            <w:hideMark/>
          </w:tcPr>
          <w:p w14:paraId="243A3F45"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2,438,512</w:t>
            </w:r>
          </w:p>
        </w:tc>
        <w:tc>
          <w:tcPr>
            <w:tcW w:w="0" w:type="auto"/>
            <w:tcBorders>
              <w:top w:val="nil"/>
              <w:left w:val="nil"/>
              <w:bottom w:val="single" w:sz="4" w:space="0" w:color="808080"/>
              <w:right w:val="single" w:sz="4" w:space="0" w:color="808080"/>
            </w:tcBorders>
            <w:noWrap/>
            <w:vAlign w:val="center"/>
            <w:hideMark/>
          </w:tcPr>
          <w:p w14:paraId="699A0FDB"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61,719</w:t>
            </w:r>
          </w:p>
        </w:tc>
        <w:tc>
          <w:tcPr>
            <w:tcW w:w="0" w:type="auto"/>
            <w:tcBorders>
              <w:top w:val="nil"/>
              <w:left w:val="nil"/>
              <w:bottom w:val="single" w:sz="4" w:space="0" w:color="808080"/>
              <w:right w:val="single" w:sz="4" w:space="0" w:color="808080"/>
            </w:tcBorders>
            <w:noWrap/>
            <w:vAlign w:val="center"/>
            <w:hideMark/>
          </w:tcPr>
          <w:p w14:paraId="565F43F0"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2,840,402</w:t>
            </w:r>
          </w:p>
        </w:tc>
        <w:tc>
          <w:tcPr>
            <w:tcW w:w="0" w:type="auto"/>
            <w:tcBorders>
              <w:top w:val="nil"/>
              <w:left w:val="nil"/>
              <w:bottom w:val="single" w:sz="4" w:space="0" w:color="808080"/>
              <w:right w:val="single" w:sz="4" w:space="0" w:color="808080"/>
            </w:tcBorders>
            <w:noWrap/>
            <w:vAlign w:val="center"/>
            <w:hideMark/>
          </w:tcPr>
          <w:p w14:paraId="1FBE1FF0" w14:textId="77777777" w:rsidR="000822AC" w:rsidRPr="000822AC" w:rsidRDefault="000822AC" w:rsidP="000822AC">
            <w:pPr>
              <w:spacing w:after="0" w:line="240" w:lineRule="auto"/>
              <w:jc w:val="center"/>
              <w:rPr>
                <w:rFonts w:eastAsia="Times New Roman"/>
                <w:spacing w:val="0"/>
                <w:lang w:val="es-DO" w:eastAsia="es-DO"/>
              </w:rPr>
            </w:pPr>
            <w:r w:rsidRPr="000822AC">
              <w:rPr>
                <w:rFonts w:eastAsia="Times New Roman"/>
                <w:spacing w:val="0"/>
                <w:lang w:val="es-DO" w:eastAsia="es-DO"/>
              </w:rPr>
              <w:t>5,340,633</w:t>
            </w:r>
          </w:p>
        </w:tc>
      </w:tr>
      <w:tr w:rsidR="000822AC" w:rsidRPr="000822AC" w14:paraId="090FF50D" w14:textId="77777777" w:rsidTr="000822AC">
        <w:trPr>
          <w:trHeight w:val="312"/>
        </w:trPr>
        <w:tc>
          <w:tcPr>
            <w:tcW w:w="0" w:type="auto"/>
            <w:tcBorders>
              <w:top w:val="nil"/>
              <w:left w:val="single" w:sz="4" w:space="0" w:color="808080"/>
              <w:bottom w:val="single" w:sz="4" w:space="0" w:color="808080"/>
              <w:right w:val="single" w:sz="4" w:space="0" w:color="808080"/>
            </w:tcBorders>
            <w:shd w:val="clear" w:color="000000" w:fill="767171"/>
            <w:noWrap/>
            <w:vAlign w:val="center"/>
            <w:hideMark/>
          </w:tcPr>
          <w:p w14:paraId="2033792E" w14:textId="77777777" w:rsidR="000822AC" w:rsidRPr="000822AC" w:rsidRDefault="000822AC" w:rsidP="000822AC">
            <w:pPr>
              <w:spacing w:after="0" w:line="240" w:lineRule="auto"/>
              <w:rPr>
                <w:rFonts w:eastAsia="Times New Roman"/>
                <w:b/>
                <w:bCs/>
                <w:color w:val="FFFFFF"/>
                <w:spacing w:val="0"/>
                <w:lang w:val="es-DO" w:eastAsia="es-DO"/>
              </w:rPr>
            </w:pPr>
            <w:r w:rsidRPr="000822AC">
              <w:rPr>
                <w:rFonts w:eastAsia="Times New Roman"/>
                <w:b/>
                <w:bCs/>
                <w:color w:val="FFFFFF"/>
                <w:spacing w:val="0"/>
                <w:lang w:val="es-DO" w:eastAsia="es-DO"/>
              </w:rPr>
              <w:t>Total general</w:t>
            </w:r>
          </w:p>
        </w:tc>
        <w:tc>
          <w:tcPr>
            <w:tcW w:w="0" w:type="auto"/>
            <w:tcBorders>
              <w:top w:val="nil"/>
              <w:left w:val="nil"/>
              <w:bottom w:val="single" w:sz="4" w:space="0" w:color="808080"/>
              <w:right w:val="single" w:sz="4" w:space="0" w:color="808080"/>
            </w:tcBorders>
            <w:shd w:val="clear" w:color="000000" w:fill="767171"/>
            <w:noWrap/>
            <w:vAlign w:val="center"/>
            <w:hideMark/>
          </w:tcPr>
          <w:p w14:paraId="71BCA5D6"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4,833,892</w:t>
            </w:r>
          </w:p>
        </w:tc>
        <w:tc>
          <w:tcPr>
            <w:tcW w:w="0" w:type="auto"/>
            <w:tcBorders>
              <w:top w:val="nil"/>
              <w:left w:val="nil"/>
              <w:bottom w:val="single" w:sz="4" w:space="0" w:color="808080"/>
              <w:right w:val="single" w:sz="4" w:space="0" w:color="808080"/>
            </w:tcBorders>
            <w:shd w:val="clear" w:color="000000" w:fill="767171"/>
            <w:noWrap/>
            <w:vAlign w:val="center"/>
            <w:hideMark/>
          </w:tcPr>
          <w:p w14:paraId="6D32F18F"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188,983</w:t>
            </w:r>
          </w:p>
        </w:tc>
        <w:tc>
          <w:tcPr>
            <w:tcW w:w="0" w:type="auto"/>
            <w:tcBorders>
              <w:top w:val="nil"/>
              <w:left w:val="nil"/>
              <w:bottom w:val="single" w:sz="4" w:space="0" w:color="808080"/>
              <w:right w:val="single" w:sz="4" w:space="0" w:color="808080"/>
            </w:tcBorders>
            <w:shd w:val="clear" w:color="000000" w:fill="767171"/>
            <w:noWrap/>
            <w:vAlign w:val="center"/>
            <w:hideMark/>
          </w:tcPr>
          <w:p w14:paraId="5669EDAA"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5,655,485</w:t>
            </w:r>
          </w:p>
        </w:tc>
        <w:tc>
          <w:tcPr>
            <w:tcW w:w="0" w:type="auto"/>
            <w:tcBorders>
              <w:top w:val="nil"/>
              <w:left w:val="nil"/>
              <w:bottom w:val="single" w:sz="4" w:space="0" w:color="808080"/>
              <w:right w:val="single" w:sz="4" w:space="0" w:color="808080"/>
            </w:tcBorders>
            <w:shd w:val="clear" w:color="000000" w:fill="767171"/>
            <w:noWrap/>
            <w:vAlign w:val="center"/>
            <w:hideMark/>
          </w:tcPr>
          <w:p w14:paraId="38CF7032" w14:textId="77777777" w:rsidR="000822AC" w:rsidRPr="000822AC" w:rsidRDefault="000822AC" w:rsidP="000822AC">
            <w:pPr>
              <w:spacing w:after="0" w:line="240" w:lineRule="auto"/>
              <w:jc w:val="center"/>
              <w:rPr>
                <w:rFonts w:eastAsia="Times New Roman"/>
                <w:b/>
                <w:bCs/>
                <w:color w:val="FFFFFF"/>
                <w:spacing w:val="0"/>
                <w:lang w:val="es-DO" w:eastAsia="es-DO"/>
              </w:rPr>
            </w:pPr>
            <w:r w:rsidRPr="000822AC">
              <w:rPr>
                <w:rFonts w:eastAsia="Times New Roman"/>
                <w:b/>
                <w:bCs/>
                <w:color w:val="FFFFFF"/>
                <w:spacing w:val="0"/>
                <w:lang w:val="es-DO" w:eastAsia="es-DO"/>
              </w:rPr>
              <w:t>10,608,360</w:t>
            </w:r>
          </w:p>
        </w:tc>
      </w:tr>
    </w:tbl>
    <w:p w14:paraId="7CB6897C" w14:textId="7E7B002E" w:rsidR="001C320E" w:rsidRDefault="006F5142" w:rsidP="00F26B9E">
      <w:pPr>
        <w:spacing w:before="120" w:after="0" w:line="240" w:lineRule="auto"/>
        <w:jc w:val="both"/>
        <w:rPr>
          <w:rFonts w:eastAsia="Times New Roman"/>
          <w:sz w:val="18"/>
          <w:szCs w:val="18"/>
          <w:lang w:val="es-DO" w:eastAsia="es-DO"/>
        </w:rPr>
      </w:pPr>
      <w:r w:rsidRPr="005C133F">
        <w:rPr>
          <w:rFonts w:eastAsia="Times New Roman"/>
          <w:sz w:val="18"/>
          <w:szCs w:val="18"/>
          <w:lang w:val="es-DO" w:eastAsia="es-DO"/>
        </w:rPr>
        <w:t xml:space="preserve">Fuente: Elaboración Departamento de Estadísticas de la SISALRIL </w:t>
      </w:r>
    </w:p>
    <w:p w14:paraId="7B0738D7" w14:textId="77777777" w:rsidR="00F26B9E" w:rsidRPr="005C133F" w:rsidRDefault="00F26B9E" w:rsidP="00F26B9E">
      <w:pPr>
        <w:spacing w:before="120" w:after="0" w:line="240" w:lineRule="auto"/>
        <w:jc w:val="both"/>
        <w:rPr>
          <w:rFonts w:eastAsia="Times New Roman"/>
          <w:sz w:val="18"/>
          <w:szCs w:val="18"/>
          <w:lang w:val="es-DO" w:eastAsia="es-DO"/>
        </w:rPr>
      </w:pPr>
    </w:p>
    <w:p w14:paraId="4FCB2CE0" w14:textId="050A6C6B" w:rsidR="00681980" w:rsidRPr="005C133F" w:rsidRDefault="00681980" w:rsidP="00E05B71">
      <w:pPr>
        <w:pStyle w:val="Descripcin"/>
        <w:keepNext/>
        <w:spacing w:after="0"/>
        <w:jc w:val="center"/>
        <w:rPr>
          <w:rFonts w:eastAsia="Calibri"/>
          <w:b/>
          <w:bCs/>
          <w:i w:val="0"/>
          <w:iCs w:val="0"/>
          <w:noProof/>
          <w:color w:val="767171"/>
          <w:sz w:val="24"/>
          <w:szCs w:val="24"/>
          <w:lang w:val="es-DO"/>
        </w:rPr>
      </w:pPr>
      <w:bookmarkStart w:id="21" w:name="_Toc218784136"/>
      <w:r w:rsidRPr="005C133F">
        <w:rPr>
          <w:rFonts w:eastAsia="Calibri"/>
          <w:b/>
          <w:bCs/>
          <w:i w:val="0"/>
          <w:iCs w:val="0"/>
          <w:noProof/>
          <w:color w:val="767171"/>
          <w:sz w:val="24"/>
          <w:szCs w:val="24"/>
          <w:lang w:val="es-DO"/>
        </w:rPr>
        <w:t xml:space="preserve">Tabla </w:t>
      </w:r>
      <w:r w:rsidRPr="005C133F">
        <w:rPr>
          <w:rFonts w:eastAsia="Calibri"/>
          <w:b/>
          <w:bCs/>
          <w:i w:val="0"/>
          <w:iCs w:val="0"/>
          <w:noProof/>
          <w:color w:val="767171"/>
          <w:sz w:val="24"/>
          <w:szCs w:val="24"/>
          <w:lang w:val="es-DO"/>
        </w:rPr>
        <w:fldChar w:fldCharType="begin"/>
      </w:r>
      <w:r w:rsidRPr="005C133F">
        <w:rPr>
          <w:rFonts w:eastAsia="Calibri"/>
          <w:b/>
          <w:bCs/>
          <w:i w:val="0"/>
          <w:iCs w:val="0"/>
          <w:noProof/>
          <w:color w:val="767171"/>
          <w:sz w:val="24"/>
          <w:szCs w:val="24"/>
          <w:lang w:val="es-DO"/>
        </w:rPr>
        <w:instrText xml:space="preserve"> SEQ Tabla \* ARABIC </w:instrText>
      </w:r>
      <w:r w:rsidRPr="005C133F">
        <w:rPr>
          <w:rFonts w:eastAsia="Calibri"/>
          <w:b/>
          <w:bCs/>
          <w:i w:val="0"/>
          <w:iCs w:val="0"/>
          <w:noProof/>
          <w:color w:val="767171"/>
          <w:sz w:val="24"/>
          <w:szCs w:val="24"/>
          <w:lang w:val="es-DO"/>
        </w:rPr>
        <w:fldChar w:fldCharType="separate"/>
      </w:r>
      <w:r w:rsidR="00814341">
        <w:rPr>
          <w:rFonts w:eastAsia="Calibri"/>
          <w:b/>
          <w:bCs/>
          <w:i w:val="0"/>
          <w:iCs w:val="0"/>
          <w:noProof/>
          <w:color w:val="767171"/>
          <w:sz w:val="24"/>
          <w:szCs w:val="24"/>
          <w:lang w:val="es-DO"/>
        </w:rPr>
        <w:t>4</w:t>
      </w:r>
      <w:r w:rsidRPr="005C133F">
        <w:rPr>
          <w:rFonts w:eastAsia="Calibri"/>
          <w:b/>
          <w:bCs/>
          <w:i w:val="0"/>
          <w:iCs w:val="0"/>
          <w:noProof/>
          <w:color w:val="767171"/>
          <w:sz w:val="24"/>
          <w:szCs w:val="24"/>
          <w:lang w:val="es-DO"/>
        </w:rPr>
        <w:fldChar w:fldCharType="end"/>
      </w:r>
      <w:r w:rsidRPr="005C133F">
        <w:rPr>
          <w:rFonts w:eastAsia="Calibri"/>
          <w:b/>
          <w:bCs/>
          <w:i w:val="0"/>
          <w:iCs w:val="0"/>
          <w:noProof/>
          <w:color w:val="767171"/>
          <w:sz w:val="24"/>
          <w:szCs w:val="24"/>
          <w:lang w:val="es-DO"/>
        </w:rPr>
        <w:t xml:space="preserve">. Desagregación de la afiliación al Seguro de Riesgos Laborales (SRL) según provincia y sexo, </w:t>
      </w:r>
      <w:r w:rsidR="002E24D5">
        <w:rPr>
          <w:rFonts w:eastAsia="Calibri"/>
          <w:b/>
          <w:bCs/>
          <w:i w:val="0"/>
          <w:iCs w:val="0"/>
          <w:noProof/>
          <w:color w:val="767171"/>
          <w:sz w:val="24"/>
          <w:szCs w:val="24"/>
          <w:lang w:val="es-DO"/>
        </w:rPr>
        <w:t>diciembre</w:t>
      </w:r>
      <w:r w:rsidRPr="005C133F">
        <w:rPr>
          <w:rFonts w:eastAsia="Calibri"/>
          <w:b/>
          <w:bCs/>
          <w:i w:val="0"/>
          <w:iCs w:val="0"/>
          <w:noProof/>
          <w:color w:val="767171"/>
          <w:sz w:val="24"/>
          <w:szCs w:val="24"/>
          <w:lang w:val="es-DO"/>
        </w:rPr>
        <w:t xml:space="preserve"> 2025</w:t>
      </w:r>
      <w:bookmarkEnd w:id="21"/>
    </w:p>
    <w:tbl>
      <w:tblPr>
        <w:tblW w:w="0" w:type="auto"/>
        <w:tblCellMar>
          <w:left w:w="70" w:type="dxa"/>
          <w:right w:w="70" w:type="dxa"/>
        </w:tblCellMar>
        <w:tblLook w:val="04A0" w:firstRow="1" w:lastRow="0" w:firstColumn="1" w:lastColumn="0" w:noHBand="0" w:noVBand="1"/>
      </w:tblPr>
      <w:tblGrid>
        <w:gridCol w:w="1932"/>
        <w:gridCol w:w="1443"/>
        <w:gridCol w:w="1516"/>
        <w:gridCol w:w="1503"/>
        <w:gridCol w:w="1516"/>
      </w:tblGrid>
      <w:tr w:rsidR="00FF186B" w:rsidRPr="00CD02F5" w14:paraId="42F8DB1D" w14:textId="77777777" w:rsidTr="00FF186B">
        <w:trPr>
          <w:trHeight w:val="1248"/>
          <w:tblHeader/>
        </w:trPr>
        <w:tc>
          <w:tcPr>
            <w:tcW w:w="1980" w:type="dxa"/>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06E719DC"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Provincia</w:t>
            </w:r>
          </w:p>
        </w:tc>
        <w:tc>
          <w:tcPr>
            <w:tcW w:w="1479" w:type="dxa"/>
            <w:tcBorders>
              <w:top w:val="single" w:sz="4" w:space="0" w:color="808080"/>
              <w:left w:val="nil"/>
              <w:bottom w:val="single" w:sz="4" w:space="0" w:color="808080"/>
              <w:right w:val="single" w:sz="4" w:space="0" w:color="808080"/>
            </w:tcBorders>
            <w:shd w:val="clear" w:color="000000" w:fill="011C50"/>
            <w:vAlign w:val="center"/>
            <w:hideMark/>
          </w:tcPr>
          <w:p w14:paraId="6AD7CFE8"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Empresas activas cotizantes</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744FDFF4"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Trabajadoras Mujeres</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374F8A67"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Trabajadores Hombres</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017D6784"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Personas Trabajadoras cotizantes en el SRL (únicos)</w:t>
            </w:r>
          </w:p>
        </w:tc>
      </w:tr>
      <w:tr w:rsidR="00FF186B" w:rsidRPr="00FF186B" w14:paraId="2D64491F"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5FFACF29"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Azua</w:t>
            </w:r>
          </w:p>
        </w:tc>
        <w:tc>
          <w:tcPr>
            <w:tcW w:w="1479" w:type="dxa"/>
            <w:tcBorders>
              <w:top w:val="nil"/>
              <w:left w:val="nil"/>
              <w:bottom w:val="single" w:sz="4" w:space="0" w:color="808080"/>
              <w:right w:val="single" w:sz="4" w:space="0" w:color="808080"/>
            </w:tcBorders>
            <w:noWrap/>
            <w:vAlign w:val="center"/>
            <w:hideMark/>
          </w:tcPr>
          <w:p w14:paraId="33EA453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592</w:t>
            </w:r>
          </w:p>
        </w:tc>
        <w:tc>
          <w:tcPr>
            <w:tcW w:w="0" w:type="auto"/>
            <w:tcBorders>
              <w:top w:val="nil"/>
              <w:left w:val="nil"/>
              <w:bottom w:val="single" w:sz="4" w:space="0" w:color="808080"/>
              <w:right w:val="single" w:sz="4" w:space="0" w:color="808080"/>
            </w:tcBorders>
            <w:noWrap/>
            <w:vAlign w:val="center"/>
            <w:hideMark/>
          </w:tcPr>
          <w:p w14:paraId="3D6E2958"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3,438</w:t>
            </w:r>
          </w:p>
        </w:tc>
        <w:tc>
          <w:tcPr>
            <w:tcW w:w="0" w:type="auto"/>
            <w:tcBorders>
              <w:top w:val="nil"/>
              <w:left w:val="nil"/>
              <w:bottom w:val="single" w:sz="4" w:space="0" w:color="808080"/>
              <w:right w:val="single" w:sz="4" w:space="0" w:color="808080"/>
            </w:tcBorders>
            <w:noWrap/>
            <w:vAlign w:val="center"/>
            <w:hideMark/>
          </w:tcPr>
          <w:p w14:paraId="4634F10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3,037</w:t>
            </w:r>
          </w:p>
        </w:tc>
        <w:tc>
          <w:tcPr>
            <w:tcW w:w="0" w:type="auto"/>
            <w:tcBorders>
              <w:top w:val="nil"/>
              <w:left w:val="nil"/>
              <w:bottom w:val="single" w:sz="4" w:space="0" w:color="808080"/>
              <w:right w:val="single" w:sz="4" w:space="0" w:color="808080"/>
            </w:tcBorders>
            <w:noWrap/>
            <w:vAlign w:val="center"/>
            <w:hideMark/>
          </w:tcPr>
          <w:p w14:paraId="781088F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6,475</w:t>
            </w:r>
          </w:p>
        </w:tc>
      </w:tr>
      <w:tr w:rsidR="00FF186B" w:rsidRPr="00FF186B" w14:paraId="7FAC6DED"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7B5603CC"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Bahoruco</w:t>
            </w:r>
          </w:p>
        </w:tc>
        <w:tc>
          <w:tcPr>
            <w:tcW w:w="1479" w:type="dxa"/>
            <w:tcBorders>
              <w:top w:val="nil"/>
              <w:left w:val="nil"/>
              <w:bottom w:val="single" w:sz="4" w:space="0" w:color="808080"/>
              <w:right w:val="single" w:sz="4" w:space="0" w:color="808080"/>
            </w:tcBorders>
            <w:noWrap/>
            <w:vAlign w:val="center"/>
            <w:hideMark/>
          </w:tcPr>
          <w:p w14:paraId="2DDCABA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142</w:t>
            </w:r>
          </w:p>
        </w:tc>
        <w:tc>
          <w:tcPr>
            <w:tcW w:w="0" w:type="auto"/>
            <w:tcBorders>
              <w:top w:val="nil"/>
              <w:left w:val="nil"/>
              <w:bottom w:val="single" w:sz="4" w:space="0" w:color="808080"/>
              <w:right w:val="single" w:sz="4" w:space="0" w:color="808080"/>
            </w:tcBorders>
            <w:noWrap/>
            <w:vAlign w:val="center"/>
            <w:hideMark/>
          </w:tcPr>
          <w:p w14:paraId="05B14FE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447</w:t>
            </w:r>
          </w:p>
        </w:tc>
        <w:tc>
          <w:tcPr>
            <w:tcW w:w="0" w:type="auto"/>
            <w:tcBorders>
              <w:top w:val="nil"/>
              <w:left w:val="nil"/>
              <w:bottom w:val="single" w:sz="4" w:space="0" w:color="808080"/>
              <w:right w:val="single" w:sz="4" w:space="0" w:color="808080"/>
            </w:tcBorders>
            <w:noWrap/>
            <w:vAlign w:val="center"/>
            <w:hideMark/>
          </w:tcPr>
          <w:p w14:paraId="7E521F0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506</w:t>
            </w:r>
          </w:p>
        </w:tc>
        <w:tc>
          <w:tcPr>
            <w:tcW w:w="0" w:type="auto"/>
            <w:tcBorders>
              <w:top w:val="nil"/>
              <w:left w:val="nil"/>
              <w:bottom w:val="single" w:sz="4" w:space="0" w:color="808080"/>
              <w:right w:val="single" w:sz="4" w:space="0" w:color="808080"/>
            </w:tcBorders>
            <w:noWrap/>
            <w:vAlign w:val="center"/>
            <w:hideMark/>
          </w:tcPr>
          <w:p w14:paraId="2F7D943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953</w:t>
            </w:r>
          </w:p>
        </w:tc>
      </w:tr>
      <w:tr w:rsidR="00FF186B" w:rsidRPr="00FF186B" w14:paraId="5A5FCCF2"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5021CC7"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Barahona</w:t>
            </w:r>
          </w:p>
        </w:tc>
        <w:tc>
          <w:tcPr>
            <w:tcW w:w="1479" w:type="dxa"/>
            <w:tcBorders>
              <w:top w:val="nil"/>
              <w:left w:val="nil"/>
              <w:bottom w:val="single" w:sz="4" w:space="0" w:color="808080"/>
              <w:right w:val="single" w:sz="4" w:space="0" w:color="808080"/>
            </w:tcBorders>
            <w:noWrap/>
            <w:vAlign w:val="center"/>
            <w:hideMark/>
          </w:tcPr>
          <w:p w14:paraId="0D16C58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501</w:t>
            </w:r>
          </w:p>
        </w:tc>
        <w:tc>
          <w:tcPr>
            <w:tcW w:w="0" w:type="auto"/>
            <w:tcBorders>
              <w:top w:val="nil"/>
              <w:left w:val="nil"/>
              <w:bottom w:val="single" w:sz="4" w:space="0" w:color="808080"/>
              <w:right w:val="single" w:sz="4" w:space="0" w:color="808080"/>
            </w:tcBorders>
            <w:noWrap/>
            <w:vAlign w:val="center"/>
            <w:hideMark/>
          </w:tcPr>
          <w:p w14:paraId="3DA5821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3,117</w:t>
            </w:r>
          </w:p>
        </w:tc>
        <w:tc>
          <w:tcPr>
            <w:tcW w:w="0" w:type="auto"/>
            <w:tcBorders>
              <w:top w:val="nil"/>
              <w:left w:val="nil"/>
              <w:bottom w:val="single" w:sz="4" w:space="0" w:color="808080"/>
              <w:right w:val="single" w:sz="4" w:space="0" w:color="808080"/>
            </w:tcBorders>
            <w:noWrap/>
            <w:vAlign w:val="center"/>
            <w:hideMark/>
          </w:tcPr>
          <w:p w14:paraId="117CC4B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5,387</w:t>
            </w:r>
          </w:p>
        </w:tc>
        <w:tc>
          <w:tcPr>
            <w:tcW w:w="0" w:type="auto"/>
            <w:tcBorders>
              <w:top w:val="nil"/>
              <w:left w:val="nil"/>
              <w:bottom w:val="single" w:sz="4" w:space="0" w:color="808080"/>
              <w:right w:val="single" w:sz="4" w:space="0" w:color="808080"/>
            </w:tcBorders>
            <w:noWrap/>
            <w:vAlign w:val="center"/>
            <w:hideMark/>
          </w:tcPr>
          <w:p w14:paraId="7A9251F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8,504</w:t>
            </w:r>
          </w:p>
        </w:tc>
      </w:tr>
      <w:tr w:rsidR="00FF186B" w:rsidRPr="00FF186B" w14:paraId="5B02402A"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284633C3"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Dajabón</w:t>
            </w:r>
          </w:p>
        </w:tc>
        <w:tc>
          <w:tcPr>
            <w:tcW w:w="1479" w:type="dxa"/>
            <w:tcBorders>
              <w:top w:val="nil"/>
              <w:left w:val="nil"/>
              <w:bottom w:val="single" w:sz="4" w:space="0" w:color="808080"/>
              <w:right w:val="single" w:sz="4" w:space="0" w:color="808080"/>
            </w:tcBorders>
            <w:noWrap/>
            <w:vAlign w:val="center"/>
            <w:hideMark/>
          </w:tcPr>
          <w:p w14:paraId="283C7D2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293</w:t>
            </w:r>
          </w:p>
        </w:tc>
        <w:tc>
          <w:tcPr>
            <w:tcW w:w="0" w:type="auto"/>
            <w:tcBorders>
              <w:top w:val="nil"/>
              <w:left w:val="nil"/>
              <w:bottom w:val="single" w:sz="4" w:space="0" w:color="808080"/>
              <w:right w:val="single" w:sz="4" w:space="0" w:color="808080"/>
            </w:tcBorders>
            <w:noWrap/>
            <w:vAlign w:val="center"/>
            <w:hideMark/>
          </w:tcPr>
          <w:p w14:paraId="33994B28"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1,424</w:t>
            </w:r>
          </w:p>
        </w:tc>
        <w:tc>
          <w:tcPr>
            <w:tcW w:w="0" w:type="auto"/>
            <w:tcBorders>
              <w:top w:val="nil"/>
              <w:left w:val="nil"/>
              <w:bottom w:val="single" w:sz="4" w:space="0" w:color="808080"/>
              <w:right w:val="single" w:sz="4" w:space="0" w:color="808080"/>
            </w:tcBorders>
            <w:noWrap/>
            <w:vAlign w:val="center"/>
            <w:hideMark/>
          </w:tcPr>
          <w:p w14:paraId="1AE5142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2,057</w:t>
            </w:r>
          </w:p>
        </w:tc>
        <w:tc>
          <w:tcPr>
            <w:tcW w:w="0" w:type="auto"/>
            <w:tcBorders>
              <w:top w:val="nil"/>
              <w:left w:val="nil"/>
              <w:bottom w:val="single" w:sz="4" w:space="0" w:color="808080"/>
              <w:right w:val="single" w:sz="4" w:space="0" w:color="808080"/>
            </w:tcBorders>
            <w:noWrap/>
            <w:vAlign w:val="center"/>
            <w:hideMark/>
          </w:tcPr>
          <w:p w14:paraId="6142CEB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3,481</w:t>
            </w:r>
          </w:p>
        </w:tc>
      </w:tr>
      <w:tr w:rsidR="00FF186B" w:rsidRPr="00FF186B" w14:paraId="621270DF"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0646FBE"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Distrito Nacional</w:t>
            </w:r>
          </w:p>
        </w:tc>
        <w:tc>
          <w:tcPr>
            <w:tcW w:w="1479" w:type="dxa"/>
            <w:tcBorders>
              <w:top w:val="nil"/>
              <w:left w:val="nil"/>
              <w:bottom w:val="single" w:sz="4" w:space="0" w:color="808080"/>
              <w:right w:val="single" w:sz="4" w:space="0" w:color="808080"/>
            </w:tcBorders>
            <w:noWrap/>
            <w:vAlign w:val="center"/>
            <w:hideMark/>
          </w:tcPr>
          <w:p w14:paraId="281F6F6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33,588</w:t>
            </w:r>
          </w:p>
        </w:tc>
        <w:tc>
          <w:tcPr>
            <w:tcW w:w="0" w:type="auto"/>
            <w:tcBorders>
              <w:top w:val="nil"/>
              <w:left w:val="nil"/>
              <w:bottom w:val="single" w:sz="4" w:space="0" w:color="808080"/>
              <w:right w:val="single" w:sz="4" w:space="0" w:color="808080"/>
            </w:tcBorders>
            <w:noWrap/>
            <w:vAlign w:val="center"/>
            <w:hideMark/>
          </w:tcPr>
          <w:p w14:paraId="59011EF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673,228</w:t>
            </w:r>
          </w:p>
        </w:tc>
        <w:tc>
          <w:tcPr>
            <w:tcW w:w="0" w:type="auto"/>
            <w:tcBorders>
              <w:top w:val="nil"/>
              <w:left w:val="nil"/>
              <w:bottom w:val="single" w:sz="4" w:space="0" w:color="808080"/>
              <w:right w:val="single" w:sz="4" w:space="0" w:color="808080"/>
            </w:tcBorders>
            <w:noWrap/>
            <w:vAlign w:val="center"/>
            <w:hideMark/>
          </w:tcPr>
          <w:p w14:paraId="1B0E484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647,003</w:t>
            </w:r>
          </w:p>
        </w:tc>
        <w:tc>
          <w:tcPr>
            <w:tcW w:w="0" w:type="auto"/>
            <w:tcBorders>
              <w:top w:val="nil"/>
              <w:left w:val="nil"/>
              <w:bottom w:val="single" w:sz="4" w:space="0" w:color="808080"/>
              <w:right w:val="single" w:sz="4" w:space="0" w:color="808080"/>
            </w:tcBorders>
            <w:noWrap/>
            <w:vAlign w:val="center"/>
            <w:hideMark/>
          </w:tcPr>
          <w:p w14:paraId="0DF744A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1,320,231</w:t>
            </w:r>
          </w:p>
        </w:tc>
      </w:tr>
      <w:tr w:rsidR="00FF186B" w:rsidRPr="00FF186B" w14:paraId="4BBA4F9B"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7880F48C"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Duarte</w:t>
            </w:r>
          </w:p>
        </w:tc>
        <w:tc>
          <w:tcPr>
            <w:tcW w:w="1479" w:type="dxa"/>
            <w:tcBorders>
              <w:top w:val="nil"/>
              <w:left w:val="nil"/>
              <w:bottom w:val="single" w:sz="4" w:space="0" w:color="808080"/>
              <w:right w:val="single" w:sz="4" w:space="0" w:color="808080"/>
            </w:tcBorders>
            <w:noWrap/>
            <w:vAlign w:val="center"/>
            <w:hideMark/>
          </w:tcPr>
          <w:p w14:paraId="0632A16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2,650</w:t>
            </w:r>
          </w:p>
        </w:tc>
        <w:tc>
          <w:tcPr>
            <w:tcW w:w="0" w:type="auto"/>
            <w:tcBorders>
              <w:top w:val="nil"/>
              <w:left w:val="nil"/>
              <w:bottom w:val="single" w:sz="4" w:space="0" w:color="808080"/>
              <w:right w:val="single" w:sz="4" w:space="0" w:color="808080"/>
            </w:tcBorders>
            <w:noWrap/>
            <w:vAlign w:val="center"/>
            <w:hideMark/>
          </w:tcPr>
          <w:p w14:paraId="5F6616A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13,152</w:t>
            </w:r>
          </w:p>
        </w:tc>
        <w:tc>
          <w:tcPr>
            <w:tcW w:w="0" w:type="auto"/>
            <w:tcBorders>
              <w:top w:val="nil"/>
              <w:left w:val="nil"/>
              <w:bottom w:val="single" w:sz="4" w:space="0" w:color="808080"/>
              <w:right w:val="single" w:sz="4" w:space="0" w:color="808080"/>
            </w:tcBorders>
            <w:noWrap/>
            <w:vAlign w:val="center"/>
            <w:hideMark/>
          </w:tcPr>
          <w:p w14:paraId="6A7ED2C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14,513</w:t>
            </w:r>
          </w:p>
        </w:tc>
        <w:tc>
          <w:tcPr>
            <w:tcW w:w="0" w:type="auto"/>
            <w:tcBorders>
              <w:top w:val="nil"/>
              <w:left w:val="nil"/>
              <w:bottom w:val="single" w:sz="4" w:space="0" w:color="808080"/>
              <w:right w:val="single" w:sz="4" w:space="0" w:color="808080"/>
            </w:tcBorders>
            <w:noWrap/>
            <w:vAlign w:val="center"/>
            <w:hideMark/>
          </w:tcPr>
          <w:p w14:paraId="1E6960F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27,665</w:t>
            </w:r>
          </w:p>
        </w:tc>
      </w:tr>
      <w:tr w:rsidR="00FF186B" w:rsidRPr="00FF186B" w14:paraId="5CD2188A"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458CBFA8"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El Seibo</w:t>
            </w:r>
          </w:p>
        </w:tc>
        <w:tc>
          <w:tcPr>
            <w:tcW w:w="1479" w:type="dxa"/>
            <w:tcBorders>
              <w:top w:val="nil"/>
              <w:left w:val="nil"/>
              <w:bottom w:val="single" w:sz="4" w:space="0" w:color="808080"/>
              <w:right w:val="single" w:sz="4" w:space="0" w:color="808080"/>
            </w:tcBorders>
            <w:noWrap/>
            <w:vAlign w:val="center"/>
            <w:hideMark/>
          </w:tcPr>
          <w:p w14:paraId="43A15B6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245</w:t>
            </w:r>
          </w:p>
        </w:tc>
        <w:tc>
          <w:tcPr>
            <w:tcW w:w="0" w:type="auto"/>
            <w:tcBorders>
              <w:top w:val="nil"/>
              <w:left w:val="nil"/>
              <w:bottom w:val="single" w:sz="4" w:space="0" w:color="808080"/>
              <w:right w:val="single" w:sz="4" w:space="0" w:color="808080"/>
            </w:tcBorders>
            <w:noWrap/>
            <w:vAlign w:val="center"/>
            <w:hideMark/>
          </w:tcPr>
          <w:p w14:paraId="203C9AA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882</w:t>
            </w:r>
          </w:p>
        </w:tc>
        <w:tc>
          <w:tcPr>
            <w:tcW w:w="0" w:type="auto"/>
            <w:tcBorders>
              <w:top w:val="nil"/>
              <w:left w:val="nil"/>
              <w:bottom w:val="single" w:sz="4" w:space="0" w:color="808080"/>
              <w:right w:val="single" w:sz="4" w:space="0" w:color="808080"/>
            </w:tcBorders>
            <w:noWrap/>
            <w:vAlign w:val="center"/>
            <w:hideMark/>
          </w:tcPr>
          <w:p w14:paraId="50057B1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1,174</w:t>
            </w:r>
          </w:p>
        </w:tc>
        <w:tc>
          <w:tcPr>
            <w:tcW w:w="0" w:type="auto"/>
            <w:tcBorders>
              <w:top w:val="nil"/>
              <w:left w:val="nil"/>
              <w:bottom w:val="single" w:sz="4" w:space="0" w:color="808080"/>
              <w:right w:val="single" w:sz="4" w:space="0" w:color="808080"/>
            </w:tcBorders>
            <w:noWrap/>
            <w:vAlign w:val="center"/>
            <w:hideMark/>
          </w:tcPr>
          <w:p w14:paraId="7D4F0DD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2,056</w:t>
            </w:r>
          </w:p>
        </w:tc>
      </w:tr>
      <w:tr w:rsidR="00FF186B" w:rsidRPr="00FF186B" w14:paraId="5845CC5D"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3044BAA"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Elías Piña</w:t>
            </w:r>
          </w:p>
        </w:tc>
        <w:tc>
          <w:tcPr>
            <w:tcW w:w="1479" w:type="dxa"/>
            <w:tcBorders>
              <w:top w:val="nil"/>
              <w:left w:val="nil"/>
              <w:bottom w:val="single" w:sz="4" w:space="0" w:color="808080"/>
              <w:right w:val="single" w:sz="4" w:space="0" w:color="808080"/>
            </w:tcBorders>
            <w:noWrap/>
            <w:vAlign w:val="center"/>
            <w:hideMark/>
          </w:tcPr>
          <w:p w14:paraId="56D770F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61</w:t>
            </w:r>
          </w:p>
        </w:tc>
        <w:tc>
          <w:tcPr>
            <w:tcW w:w="0" w:type="auto"/>
            <w:tcBorders>
              <w:top w:val="nil"/>
              <w:left w:val="nil"/>
              <w:bottom w:val="single" w:sz="4" w:space="0" w:color="808080"/>
              <w:right w:val="single" w:sz="4" w:space="0" w:color="808080"/>
            </w:tcBorders>
            <w:noWrap/>
            <w:vAlign w:val="center"/>
            <w:hideMark/>
          </w:tcPr>
          <w:p w14:paraId="2215235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250</w:t>
            </w:r>
          </w:p>
        </w:tc>
        <w:tc>
          <w:tcPr>
            <w:tcW w:w="0" w:type="auto"/>
            <w:tcBorders>
              <w:top w:val="nil"/>
              <w:left w:val="nil"/>
              <w:bottom w:val="single" w:sz="4" w:space="0" w:color="808080"/>
              <w:right w:val="single" w:sz="4" w:space="0" w:color="808080"/>
            </w:tcBorders>
            <w:noWrap/>
            <w:vAlign w:val="center"/>
            <w:hideMark/>
          </w:tcPr>
          <w:p w14:paraId="1FF8FA1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197</w:t>
            </w:r>
          </w:p>
        </w:tc>
        <w:tc>
          <w:tcPr>
            <w:tcW w:w="0" w:type="auto"/>
            <w:tcBorders>
              <w:top w:val="nil"/>
              <w:left w:val="nil"/>
              <w:bottom w:val="single" w:sz="4" w:space="0" w:color="808080"/>
              <w:right w:val="single" w:sz="4" w:space="0" w:color="808080"/>
            </w:tcBorders>
            <w:noWrap/>
            <w:vAlign w:val="center"/>
            <w:hideMark/>
          </w:tcPr>
          <w:p w14:paraId="2D9F6DD8"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447</w:t>
            </w:r>
          </w:p>
        </w:tc>
      </w:tr>
      <w:tr w:rsidR="00FF186B" w:rsidRPr="00FF186B" w14:paraId="57F5D26B"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8BDDDE9"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lastRenderedPageBreak/>
              <w:t>Espaillat</w:t>
            </w:r>
          </w:p>
        </w:tc>
        <w:tc>
          <w:tcPr>
            <w:tcW w:w="1479" w:type="dxa"/>
            <w:tcBorders>
              <w:top w:val="nil"/>
              <w:left w:val="nil"/>
              <w:bottom w:val="single" w:sz="4" w:space="0" w:color="808080"/>
              <w:right w:val="single" w:sz="4" w:space="0" w:color="808080"/>
            </w:tcBorders>
            <w:noWrap/>
            <w:vAlign w:val="center"/>
            <w:hideMark/>
          </w:tcPr>
          <w:p w14:paraId="76F6EA1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2,124</w:t>
            </w:r>
          </w:p>
        </w:tc>
        <w:tc>
          <w:tcPr>
            <w:tcW w:w="0" w:type="auto"/>
            <w:tcBorders>
              <w:top w:val="nil"/>
              <w:left w:val="nil"/>
              <w:bottom w:val="single" w:sz="4" w:space="0" w:color="808080"/>
              <w:right w:val="single" w:sz="4" w:space="0" w:color="808080"/>
            </w:tcBorders>
            <w:noWrap/>
            <w:vAlign w:val="center"/>
            <w:hideMark/>
          </w:tcPr>
          <w:p w14:paraId="79805CC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11,579</w:t>
            </w:r>
          </w:p>
        </w:tc>
        <w:tc>
          <w:tcPr>
            <w:tcW w:w="0" w:type="auto"/>
            <w:tcBorders>
              <w:top w:val="nil"/>
              <w:left w:val="nil"/>
              <w:bottom w:val="single" w:sz="4" w:space="0" w:color="808080"/>
              <w:right w:val="single" w:sz="4" w:space="0" w:color="808080"/>
            </w:tcBorders>
            <w:noWrap/>
            <w:vAlign w:val="center"/>
            <w:hideMark/>
          </w:tcPr>
          <w:p w14:paraId="4C7372F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15,277</w:t>
            </w:r>
          </w:p>
        </w:tc>
        <w:tc>
          <w:tcPr>
            <w:tcW w:w="0" w:type="auto"/>
            <w:tcBorders>
              <w:top w:val="nil"/>
              <w:left w:val="nil"/>
              <w:bottom w:val="single" w:sz="4" w:space="0" w:color="808080"/>
              <w:right w:val="single" w:sz="4" w:space="0" w:color="808080"/>
            </w:tcBorders>
            <w:noWrap/>
            <w:vAlign w:val="center"/>
            <w:hideMark/>
          </w:tcPr>
          <w:p w14:paraId="040F3F2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26,856</w:t>
            </w:r>
          </w:p>
        </w:tc>
      </w:tr>
      <w:tr w:rsidR="00FF186B" w:rsidRPr="00FF186B" w14:paraId="72C84E34"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C962F43"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Hato Mayor</w:t>
            </w:r>
          </w:p>
        </w:tc>
        <w:tc>
          <w:tcPr>
            <w:tcW w:w="1479" w:type="dxa"/>
            <w:tcBorders>
              <w:top w:val="nil"/>
              <w:left w:val="nil"/>
              <w:bottom w:val="single" w:sz="4" w:space="0" w:color="808080"/>
              <w:right w:val="single" w:sz="4" w:space="0" w:color="808080"/>
            </w:tcBorders>
            <w:noWrap/>
            <w:vAlign w:val="center"/>
            <w:hideMark/>
          </w:tcPr>
          <w:p w14:paraId="789FCF6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368</w:t>
            </w:r>
          </w:p>
        </w:tc>
        <w:tc>
          <w:tcPr>
            <w:tcW w:w="0" w:type="auto"/>
            <w:tcBorders>
              <w:top w:val="nil"/>
              <w:left w:val="nil"/>
              <w:bottom w:val="single" w:sz="4" w:space="0" w:color="808080"/>
              <w:right w:val="single" w:sz="4" w:space="0" w:color="808080"/>
            </w:tcBorders>
            <w:noWrap/>
            <w:vAlign w:val="center"/>
            <w:hideMark/>
          </w:tcPr>
          <w:p w14:paraId="25E4160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1,784</w:t>
            </w:r>
          </w:p>
        </w:tc>
        <w:tc>
          <w:tcPr>
            <w:tcW w:w="0" w:type="auto"/>
            <w:tcBorders>
              <w:top w:val="nil"/>
              <w:left w:val="nil"/>
              <w:bottom w:val="single" w:sz="4" w:space="0" w:color="808080"/>
              <w:right w:val="single" w:sz="4" w:space="0" w:color="808080"/>
            </w:tcBorders>
            <w:noWrap/>
            <w:vAlign w:val="center"/>
            <w:hideMark/>
          </w:tcPr>
          <w:p w14:paraId="3A2EF22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2,237</w:t>
            </w:r>
          </w:p>
        </w:tc>
        <w:tc>
          <w:tcPr>
            <w:tcW w:w="0" w:type="auto"/>
            <w:tcBorders>
              <w:top w:val="nil"/>
              <w:left w:val="nil"/>
              <w:bottom w:val="single" w:sz="4" w:space="0" w:color="808080"/>
              <w:right w:val="single" w:sz="4" w:space="0" w:color="808080"/>
            </w:tcBorders>
            <w:noWrap/>
            <w:vAlign w:val="center"/>
            <w:hideMark/>
          </w:tcPr>
          <w:p w14:paraId="360B83B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4,021</w:t>
            </w:r>
          </w:p>
        </w:tc>
      </w:tr>
      <w:tr w:rsidR="00FF186B" w:rsidRPr="00FF186B" w14:paraId="1C0B9E3E"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96D1B7A"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Hermanas Mirabal</w:t>
            </w:r>
          </w:p>
        </w:tc>
        <w:tc>
          <w:tcPr>
            <w:tcW w:w="1479" w:type="dxa"/>
            <w:tcBorders>
              <w:top w:val="nil"/>
              <w:left w:val="nil"/>
              <w:bottom w:val="single" w:sz="4" w:space="0" w:color="808080"/>
              <w:right w:val="single" w:sz="4" w:space="0" w:color="808080"/>
            </w:tcBorders>
            <w:noWrap/>
            <w:vAlign w:val="center"/>
            <w:hideMark/>
          </w:tcPr>
          <w:p w14:paraId="39C3D11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651</w:t>
            </w:r>
          </w:p>
        </w:tc>
        <w:tc>
          <w:tcPr>
            <w:tcW w:w="0" w:type="auto"/>
            <w:tcBorders>
              <w:top w:val="nil"/>
              <w:left w:val="nil"/>
              <w:bottom w:val="single" w:sz="4" w:space="0" w:color="808080"/>
              <w:right w:val="single" w:sz="4" w:space="0" w:color="808080"/>
            </w:tcBorders>
            <w:noWrap/>
            <w:vAlign w:val="center"/>
            <w:hideMark/>
          </w:tcPr>
          <w:p w14:paraId="28393AE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2,791</w:t>
            </w:r>
          </w:p>
        </w:tc>
        <w:tc>
          <w:tcPr>
            <w:tcW w:w="0" w:type="auto"/>
            <w:tcBorders>
              <w:top w:val="nil"/>
              <w:left w:val="nil"/>
              <w:bottom w:val="single" w:sz="4" w:space="0" w:color="808080"/>
              <w:right w:val="single" w:sz="4" w:space="0" w:color="808080"/>
            </w:tcBorders>
            <w:noWrap/>
            <w:vAlign w:val="center"/>
            <w:hideMark/>
          </w:tcPr>
          <w:p w14:paraId="369621D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3,058</w:t>
            </w:r>
          </w:p>
        </w:tc>
        <w:tc>
          <w:tcPr>
            <w:tcW w:w="0" w:type="auto"/>
            <w:tcBorders>
              <w:top w:val="nil"/>
              <w:left w:val="nil"/>
              <w:bottom w:val="single" w:sz="4" w:space="0" w:color="808080"/>
              <w:right w:val="single" w:sz="4" w:space="0" w:color="808080"/>
            </w:tcBorders>
            <w:noWrap/>
            <w:vAlign w:val="center"/>
            <w:hideMark/>
          </w:tcPr>
          <w:p w14:paraId="389DE29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5,849</w:t>
            </w:r>
          </w:p>
        </w:tc>
      </w:tr>
      <w:tr w:rsidR="00FF186B" w:rsidRPr="00FF186B" w14:paraId="016A5107"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04C27802"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Independencia</w:t>
            </w:r>
          </w:p>
        </w:tc>
        <w:tc>
          <w:tcPr>
            <w:tcW w:w="1479" w:type="dxa"/>
            <w:tcBorders>
              <w:top w:val="nil"/>
              <w:left w:val="nil"/>
              <w:bottom w:val="single" w:sz="4" w:space="0" w:color="808080"/>
              <w:right w:val="single" w:sz="4" w:space="0" w:color="808080"/>
            </w:tcBorders>
            <w:noWrap/>
            <w:vAlign w:val="center"/>
            <w:hideMark/>
          </w:tcPr>
          <w:p w14:paraId="3382A32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75</w:t>
            </w:r>
          </w:p>
        </w:tc>
        <w:tc>
          <w:tcPr>
            <w:tcW w:w="0" w:type="auto"/>
            <w:tcBorders>
              <w:top w:val="nil"/>
              <w:left w:val="nil"/>
              <w:bottom w:val="single" w:sz="4" w:space="0" w:color="808080"/>
              <w:right w:val="single" w:sz="4" w:space="0" w:color="808080"/>
            </w:tcBorders>
            <w:noWrap/>
            <w:vAlign w:val="center"/>
            <w:hideMark/>
          </w:tcPr>
          <w:p w14:paraId="35B981A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229</w:t>
            </w:r>
          </w:p>
        </w:tc>
        <w:tc>
          <w:tcPr>
            <w:tcW w:w="0" w:type="auto"/>
            <w:tcBorders>
              <w:top w:val="nil"/>
              <w:left w:val="nil"/>
              <w:bottom w:val="single" w:sz="4" w:space="0" w:color="808080"/>
              <w:right w:val="single" w:sz="4" w:space="0" w:color="808080"/>
            </w:tcBorders>
            <w:noWrap/>
            <w:vAlign w:val="center"/>
            <w:hideMark/>
          </w:tcPr>
          <w:p w14:paraId="28B0D5B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212</w:t>
            </w:r>
          </w:p>
        </w:tc>
        <w:tc>
          <w:tcPr>
            <w:tcW w:w="0" w:type="auto"/>
            <w:tcBorders>
              <w:top w:val="nil"/>
              <w:left w:val="nil"/>
              <w:bottom w:val="single" w:sz="4" w:space="0" w:color="808080"/>
              <w:right w:val="single" w:sz="4" w:space="0" w:color="808080"/>
            </w:tcBorders>
            <w:noWrap/>
            <w:vAlign w:val="center"/>
            <w:hideMark/>
          </w:tcPr>
          <w:p w14:paraId="2304923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441</w:t>
            </w:r>
          </w:p>
        </w:tc>
      </w:tr>
      <w:tr w:rsidR="00FF186B" w:rsidRPr="00FF186B" w14:paraId="5271C615"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66B3357C"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La Altagracia</w:t>
            </w:r>
          </w:p>
        </w:tc>
        <w:tc>
          <w:tcPr>
            <w:tcW w:w="1479" w:type="dxa"/>
            <w:tcBorders>
              <w:top w:val="nil"/>
              <w:left w:val="nil"/>
              <w:bottom w:val="single" w:sz="4" w:space="0" w:color="808080"/>
              <w:right w:val="single" w:sz="4" w:space="0" w:color="808080"/>
            </w:tcBorders>
            <w:noWrap/>
            <w:vAlign w:val="center"/>
            <w:hideMark/>
          </w:tcPr>
          <w:p w14:paraId="0417BBE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4,363</w:t>
            </w:r>
          </w:p>
        </w:tc>
        <w:tc>
          <w:tcPr>
            <w:tcW w:w="0" w:type="auto"/>
            <w:tcBorders>
              <w:top w:val="nil"/>
              <w:left w:val="nil"/>
              <w:bottom w:val="single" w:sz="4" w:space="0" w:color="808080"/>
              <w:right w:val="single" w:sz="4" w:space="0" w:color="808080"/>
            </w:tcBorders>
            <w:noWrap/>
            <w:vAlign w:val="center"/>
            <w:hideMark/>
          </w:tcPr>
          <w:p w14:paraId="1D8F5FE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43,689</w:t>
            </w:r>
          </w:p>
        </w:tc>
        <w:tc>
          <w:tcPr>
            <w:tcW w:w="0" w:type="auto"/>
            <w:tcBorders>
              <w:top w:val="nil"/>
              <w:left w:val="nil"/>
              <w:bottom w:val="single" w:sz="4" w:space="0" w:color="808080"/>
              <w:right w:val="single" w:sz="4" w:space="0" w:color="808080"/>
            </w:tcBorders>
            <w:noWrap/>
            <w:vAlign w:val="center"/>
            <w:hideMark/>
          </w:tcPr>
          <w:p w14:paraId="205F37D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65,499</w:t>
            </w:r>
          </w:p>
        </w:tc>
        <w:tc>
          <w:tcPr>
            <w:tcW w:w="0" w:type="auto"/>
            <w:tcBorders>
              <w:top w:val="nil"/>
              <w:left w:val="nil"/>
              <w:bottom w:val="single" w:sz="4" w:space="0" w:color="808080"/>
              <w:right w:val="single" w:sz="4" w:space="0" w:color="808080"/>
            </w:tcBorders>
            <w:noWrap/>
            <w:vAlign w:val="center"/>
            <w:hideMark/>
          </w:tcPr>
          <w:p w14:paraId="7FED6CB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109,188</w:t>
            </w:r>
          </w:p>
        </w:tc>
      </w:tr>
      <w:tr w:rsidR="00FF186B" w:rsidRPr="00FF186B" w14:paraId="2F245E12"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71C906A4"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La Romana</w:t>
            </w:r>
          </w:p>
        </w:tc>
        <w:tc>
          <w:tcPr>
            <w:tcW w:w="1479" w:type="dxa"/>
            <w:tcBorders>
              <w:top w:val="nil"/>
              <w:left w:val="nil"/>
              <w:bottom w:val="single" w:sz="4" w:space="0" w:color="808080"/>
              <w:right w:val="single" w:sz="4" w:space="0" w:color="808080"/>
            </w:tcBorders>
            <w:noWrap/>
            <w:vAlign w:val="center"/>
            <w:hideMark/>
          </w:tcPr>
          <w:p w14:paraId="4810BAD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2,023</w:t>
            </w:r>
          </w:p>
        </w:tc>
        <w:tc>
          <w:tcPr>
            <w:tcW w:w="0" w:type="auto"/>
            <w:tcBorders>
              <w:top w:val="nil"/>
              <w:left w:val="nil"/>
              <w:bottom w:val="single" w:sz="4" w:space="0" w:color="808080"/>
              <w:right w:val="single" w:sz="4" w:space="0" w:color="808080"/>
            </w:tcBorders>
            <w:noWrap/>
            <w:vAlign w:val="center"/>
            <w:hideMark/>
          </w:tcPr>
          <w:p w14:paraId="44DB938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20,835</w:t>
            </w:r>
          </w:p>
        </w:tc>
        <w:tc>
          <w:tcPr>
            <w:tcW w:w="0" w:type="auto"/>
            <w:tcBorders>
              <w:top w:val="nil"/>
              <w:left w:val="nil"/>
              <w:bottom w:val="single" w:sz="4" w:space="0" w:color="808080"/>
              <w:right w:val="single" w:sz="4" w:space="0" w:color="808080"/>
            </w:tcBorders>
            <w:noWrap/>
            <w:vAlign w:val="center"/>
            <w:hideMark/>
          </w:tcPr>
          <w:p w14:paraId="36B6A2D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27,782</w:t>
            </w:r>
          </w:p>
        </w:tc>
        <w:tc>
          <w:tcPr>
            <w:tcW w:w="0" w:type="auto"/>
            <w:tcBorders>
              <w:top w:val="nil"/>
              <w:left w:val="nil"/>
              <w:bottom w:val="single" w:sz="4" w:space="0" w:color="808080"/>
              <w:right w:val="single" w:sz="4" w:space="0" w:color="808080"/>
            </w:tcBorders>
            <w:noWrap/>
            <w:vAlign w:val="center"/>
            <w:hideMark/>
          </w:tcPr>
          <w:p w14:paraId="1790F56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48,617</w:t>
            </w:r>
          </w:p>
        </w:tc>
      </w:tr>
      <w:tr w:rsidR="00FF186B" w:rsidRPr="00FF186B" w14:paraId="6443E13F"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21399B9A"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La Vega</w:t>
            </w:r>
          </w:p>
        </w:tc>
        <w:tc>
          <w:tcPr>
            <w:tcW w:w="1479" w:type="dxa"/>
            <w:tcBorders>
              <w:top w:val="nil"/>
              <w:left w:val="nil"/>
              <w:bottom w:val="single" w:sz="4" w:space="0" w:color="808080"/>
              <w:right w:val="single" w:sz="4" w:space="0" w:color="808080"/>
            </w:tcBorders>
            <w:noWrap/>
            <w:vAlign w:val="center"/>
            <w:hideMark/>
          </w:tcPr>
          <w:p w14:paraId="3A132C3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4,019</w:t>
            </w:r>
          </w:p>
        </w:tc>
        <w:tc>
          <w:tcPr>
            <w:tcW w:w="0" w:type="auto"/>
            <w:tcBorders>
              <w:top w:val="nil"/>
              <w:left w:val="nil"/>
              <w:bottom w:val="single" w:sz="4" w:space="0" w:color="808080"/>
              <w:right w:val="single" w:sz="4" w:space="0" w:color="808080"/>
            </w:tcBorders>
            <w:noWrap/>
            <w:vAlign w:val="center"/>
            <w:hideMark/>
          </w:tcPr>
          <w:p w14:paraId="0C94794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21,883</w:t>
            </w:r>
          </w:p>
        </w:tc>
        <w:tc>
          <w:tcPr>
            <w:tcW w:w="0" w:type="auto"/>
            <w:tcBorders>
              <w:top w:val="nil"/>
              <w:left w:val="nil"/>
              <w:bottom w:val="single" w:sz="4" w:space="0" w:color="808080"/>
              <w:right w:val="single" w:sz="4" w:space="0" w:color="808080"/>
            </w:tcBorders>
            <w:noWrap/>
            <w:vAlign w:val="center"/>
            <w:hideMark/>
          </w:tcPr>
          <w:p w14:paraId="36FD41D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30,920</w:t>
            </w:r>
          </w:p>
        </w:tc>
        <w:tc>
          <w:tcPr>
            <w:tcW w:w="0" w:type="auto"/>
            <w:tcBorders>
              <w:top w:val="nil"/>
              <w:left w:val="nil"/>
              <w:bottom w:val="single" w:sz="4" w:space="0" w:color="808080"/>
              <w:right w:val="single" w:sz="4" w:space="0" w:color="808080"/>
            </w:tcBorders>
            <w:noWrap/>
            <w:vAlign w:val="center"/>
            <w:hideMark/>
          </w:tcPr>
          <w:p w14:paraId="2CD436B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52,803</w:t>
            </w:r>
          </w:p>
        </w:tc>
      </w:tr>
      <w:tr w:rsidR="00FF186B" w:rsidRPr="00FF186B" w14:paraId="4E8497D0"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B2514C4"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María Trinidad Sánchez</w:t>
            </w:r>
          </w:p>
        </w:tc>
        <w:tc>
          <w:tcPr>
            <w:tcW w:w="1479" w:type="dxa"/>
            <w:tcBorders>
              <w:top w:val="nil"/>
              <w:left w:val="nil"/>
              <w:bottom w:val="single" w:sz="4" w:space="0" w:color="808080"/>
              <w:right w:val="single" w:sz="4" w:space="0" w:color="808080"/>
            </w:tcBorders>
            <w:noWrap/>
            <w:vAlign w:val="center"/>
            <w:hideMark/>
          </w:tcPr>
          <w:p w14:paraId="789A65BC"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1,016</w:t>
            </w:r>
          </w:p>
        </w:tc>
        <w:tc>
          <w:tcPr>
            <w:tcW w:w="0" w:type="auto"/>
            <w:tcBorders>
              <w:top w:val="nil"/>
              <w:left w:val="nil"/>
              <w:bottom w:val="single" w:sz="4" w:space="0" w:color="808080"/>
              <w:right w:val="single" w:sz="4" w:space="0" w:color="808080"/>
            </w:tcBorders>
            <w:noWrap/>
            <w:vAlign w:val="center"/>
            <w:hideMark/>
          </w:tcPr>
          <w:p w14:paraId="563DE8E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3,716</w:t>
            </w:r>
          </w:p>
        </w:tc>
        <w:tc>
          <w:tcPr>
            <w:tcW w:w="0" w:type="auto"/>
            <w:tcBorders>
              <w:top w:val="nil"/>
              <w:left w:val="nil"/>
              <w:bottom w:val="single" w:sz="4" w:space="0" w:color="808080"/>
              <w:right w:val="single" w:sz="4" w:space="0" w:color="808080"/>
            </w:tcBorders>
            <w:noWrap/>
            <w:vAlign w:val="center"/>
            <w:hideMark/>
          </w:tcPr>
          <w:p w14:paraId="201C359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4,678</w:t>
            </w:r>
          </w:p>
        </w:tc>
        <w:tc>
          <w:tcPr>
            <w:tcW w:w="0" w:type="auto"/>
            <w:tcBorders>
              <w:top w:val="nil"/>
              <w:left w:val="nil"/>
              <w:bottom w:val="single" w:sz="4" w:space="0" w:color="808080"/>
              <w:right w:val="single" w:sz="4" w:space="0" w:color="808080"/>
            </w:tcBorders>
            <w:noWrap/>
            <w:vAlign w:val="center"/>
            <w:hideMark/>
          </w:tcPr>
          <w:p w14:paraId="7540B59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8,394</w:t>
            </w:r>
          </w:p>
        </w:tc>
      </w:tr>
      <w:tr w:rsidR="00FF186B" w:rsidRPr="00FF186B" w14:paraId="559C0D24"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4FC0D490"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Monseñor Nouel</w:t>
            </w:r>
          </w:p>
        </w:tc>
        <w:tc>
          <w:tcPr>
            <w:tcW w:w="1479" w:type="dxa"/>
            <w:tcBorders>
              <w:top w:val="nil"/>
              <w:left w:val="nil"/>
              <w:bottom w:val="single" w:sz="4" w:space="0" w:color="808080"/>
              <w:right w:val="single" w:sz="4" w:space="0" w:color="808080"/>
            </w:tcBorders>
            <w:noWrap/>
            <w:vAlign w:val="center"/>
            <w:hideMark/>
          </w:tcPr>
          <w:p w14:paraId="33A77586"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1,398</w:t>
            </w:r>
          </w:p>
        </w:tc>
        <w:tc>
          <w:tcPr>
            <w:tcW w:w="0" w:type="auto"/>
            <w:tcBorders>
              <w:top w:val="nil"/>
              <w:left w:val="nil"/>
              <w:bottom w:val="single" w:sz="4" w:space="0" w:color="808080"/>
              <w:right w:val="single" w:sz="4" w:space="0" w:color="808080"/>
            </w:tcBorders>
            <w:noWrap/>
            <w:vAlign w:val="center"/>
            <w:hideMark/>
          </w:tcPr>
          <w:p w14:paraId="3A546E0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12,882</w:t>
            </w:r>
          </w:p>
        </w:tc>
        <w:tc>
          <w:tcPr>
            <w:tcW w:w="0" w:type="auto"/>
            <w:tcBorders>
              <w:top w:val="nil"/>
              <w:left w:val="nil"/>
              <w:bottom w:val="single" w:sz="4" w:space="0" w:color="808080"/>
              <w:right w:val="single" w:sz="4" w:space="0" w:color="808080"/>
            </w:tcBorders>
            <w:noWrap/>
            <w:vAlign w:val="center"/>
            <w:hideMark/>
          </w:tcPr>
          <w:p w14:paraId="540D959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11,299</w:t>
            </w:r>
          </w:p>
        </w:tc>
        <w:tc>
          <w:tcPr>
            <w:tcW w:w="0" w:type="auto"/>
            <w:tcBorders>
              <w:top w:val="nil"/>
              <w:left w:val="nil"/>
              <w:bottom w:val="single" w:sz="4" w:space="0" w:color="808080"/>
              <w:right w:val="single" w:sz="4" w:space="0" w:color="808080"/>
            </w:tcBorders>
            <w:noWrap/>
            <w:vAlign w:val="center"/>
            <w:hideMark/>
          </w:tcPr>
          <w:p w14:paraId="2830077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24,181</w:t>
            </w:r>
          </w:p>
        </w:tc>
      </w:tr>
      <w:tr w:rsidR="00FF186B" w:rsidRPr="00FF186B" w14:paraId="09DAC71D"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5EB109E6"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Monte Plata</w:t>
            </w:r>
          </w:p>
        </w:tc>
        <w:tc>
          <w:tcPr>
            <w:tcW w:w="1479" w:type="dxa"/>
            <w:tcBorders>
              <w:top w:val="nil"/>
              <w:left w:val="nil"/>
              <w:bottom w:val="single" w:sz="4" w:space="0" w:color="808080"/>
              <w:right w:val="single" w:sz="4" w:space="0" w:color="808080"/>
            </w:tcBorders>
            <w:noWrap/>
            <w:vAlign w:val="center"/>
            <w:hideMark/>
          </w:tcPr>
          <w:p w14:paraId="48D5A50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344</w:t>
            </w:r>
          </w:p>
        </w:tc>
        <w:tc>
          <w:tcPr>
            <w:tcW w:w="0" w:type="auto"/>
            <w:tcBorders>
              <w:top w:val="nil"/>
              <w:left w:val="nil"/>
              <w:bottom w:val="single" w:sz="4" w:space="0" w:color="808080"/>
              <w:right w:val="single" w:sz="4" w:space="0" w:color="808080"/>
            </w:tcBorders>
            <w:noWrap/>
            <w:vAlign w:val="center"/>
            <w:hideMark/>
          </w:tcPr>
          <w:p w14:paraId="4727F92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1,404</w:t>
            </w:r>
          </w:p>
        </w:tc>
        <w:tc>
          <w:tcPr>
            <w:tcW w:w="0" w:type="auto"/>
            <w:tcBorders>
              <w:top w:val="nil"/>
              <w:left w:val="nil"/>
              <w:bottom w:val="single" w:sz="4" w:space="0" w:color="808080"/>
              <w:right w:val="single" w:sz="4" w:space="0" w:color="808080"/>
            </w:tcBorders>
            <w:noWrap/>
            <w:vAlign w:val="center"/>
            <w:hideMark/>
          </w:tcPr>
          <w:p w14:paraId="638DDBD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1,636</w:t>
            </w:r>
          </w:p>
        </w:tc>
        <w:tc>
          <w:tcPr>
            <w:tcW w:w="0" w:type="auto"/>
            <w:tcBorders>
              <w:top w:val="nil"/>
              <w:left w:val="nil"/>
              <w:bottom w:val="single" w:sz="4" w:space="0" w:color="808080"/>
              <w:right w:val="single" w:sz="4" w:space="0" w:color="808080"/>
            </w:tcBorders>
            <w:noWrap/>
            <w:vAlign w:val="center"/>
            <w:hideMark/>
          </w:tcPr>
          <w:p w14:paraId="54382B1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3,040</w:t>
            </w:r>
          </w:p>
        </w:tc>
      </w:tr>
      <w:tr w:rsidR="00FF186B" w:rsidRPr="00FF186B" w14:paraId="5514A575"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29155344"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Montecristi</w:t>
            </w:r>
          </w:p>
        </w:tc>
        <w:tc>
          <w:tcPr>
            <w:tcW w:w="1479" w:type="dxa"/>
            <w:tcBorders>
              <w:top w:val="nil"/>
              <w:left w:val="nil"/>
              <w:bottom w:val="single" w:sz="4" w:space="0" w:color="808080"/>
              <w:right w:val="single" w:sz="4" w:space="0" w:color="808080"/>
            </w:tcBorders>
            <w:noWrap/>
            <w:vAlign w:val="center"/>
            <w:hideMark/>
          </w:tcPr>
          <w:p w14:paraId="3228263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619</w:t>
            </w:r>
          </w:p>
        </w:tc>
        <w:tc>
          <w:tcPr>
            <w:tcW w:w="0" w:type="auto"/>
            <w:tcBorders>
              <w:top w:val="nil"/>
              <w:left w:val="nil"/>
              <w:bottom w:val="single" w:sz="4" w:space="0" w:color="808080"/>
              <w:right w:val="single" w:sz="4" w:space="0" w:color="808080"/>
            </w:tcBorders>
            <w:noWrap/>
            <w:vAlign w:val="center"/>
            <w:hideMark/>
          </w:tcPr>
          <w:p w14:paraId="494F66B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2,734</w:t>
            </w:r>
          </w:p>
        </w:tc>
        <w:tc>
          <w:tcPr>
            <w:tcW w:w="0" w:type="auto"/>
            <w:tcBorders>
              <w:top w:val="nil"/>
              <w:left w:val="nil"/>
              <w:bottom w:val="single" w:sz="4" w:space="0" w:color="808080"/>
              <w:right w:val="single" w:sz="4" w:space="0" w:color="808080"/>
            </w:tcBorders>
            <w:noWrap/>
            <w:vAlign w:val="center"/>
            <w:hideMark/>
          </w:tcPr>
          <w:p w14:paraId="06239C86"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4,902</w:t>
            </w:r>
          </w:p>
        </w:tc>
        <w:tc>
          <w:tcPr>
            <w:tcW w:w="0" w:type="auto"/>
            <w:tcBorders>
              <w:top w:val="nil"/>
              <w:left w:val="nil"/>
              <w:bottom w:val="single" w:sz="4" w:space="0" w:color="808080"/>
              <w:right w:val="single" w:sz="4" w:space="0" w:color="808080"/>
            </w:tcBorders>
            <w:noWrap/>
            <w:vAlign w:val="center"/>
            <w:hideMark/>
          </w:tcPr>
          <w:p w14:paraId="1F387CB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7,636</w:t>
            </w:r>
          </w:p>
        </w:tc>
      </w:tr>
      <w:tr w:rsidR="00FF186B" w:rsidRPr="00FF186B" w14:paraId="3E650DEC"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41C6FD2"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No Especificada</w:t>
            </w:r>
          </w:p>
        </w:tc>
        <w:tc>
          <w:tcPr>
            <w:tcW w:w="1479" w:type="dxa"/>
            <w:tcBorders>
              <w:top w:val="nil"/>
              <w:left w:val="nil"/>
              <w:bottom w:val="single" w:sz="4" w:space="0" w:color="808080"/>
              <w:right w:val="single" w:sz="4" w:space="0" w:color="808080"/>
            </w:tcBorders>
            <w:noWrap/>
            <w:vAlign w:val="center"/>
            <w:hideMark/>
          </w:tcPr>
          <w:p w14:paraId="21FA778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17,028</w:t>
            </w:r>
          </w:p>
        </w:tc>
        <w:tc>
          <w:tcPr>
            <w:tcW w:w="0" w:type="auto"/>
            <w:tcBorders>
              <w:top w:val="nil"/>
              <w:left w:val="nil"/>
              <w:bottom w:val="single" w:sz="4" w:space="0" w:color="808080"/>
              <w:right w:val="single" w:sz="4" w:space="0" w:color="808080"/>
            </w:tcBorders>
            <w:noWrap/>
            <w:vAlign w:val="center"/>
            <w:hideMark/>
          </w:tcPr>
          <w:p w14:paraId="20C7236C"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33,779</w:t>
            </w:r>
          </w:p>
        </w:tc>
        <w:tc>
          <w:tcPr>
            <w:tcW w:w="0" w:type="auto"/>
            <w:tcBorders>
              <w:top w:val="nil"/>
              <w:left w:val="nil"/>
              <w:bottom w:val="single" w:sz="4" w:space="0" w:color="808080"/>
              <w:right w:val="single" w:sz="4" w:space="0" w:color="808080"/>
            </w:tcBorders>
            <w:noWrap/>
            <w:vAlign w:val="center"/>
            <w:hideMark/>
          </w:tcPr>
          <w:p w14:paraId="12A6A96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34,756</w:t>
            </w:r>
          </w:p>
        </w:tc>
        <w:tc>
          <w:tcPr>
            <w:tcW w:w="0" w:type="auto"/>
            <w:tcBorders>
              <w:top w:val="nil"/>
              <w:left w:val="nil"/>
              <w:bottom w:val="single" w:sz="4" w:space="0" w:color="808080"/>
              <w:right w:val="single" w:sz="4" w:space="0" w:color="808080"/>
            </w:tcBorders>
            <w:noWrap/>
            <w:vAlign w:val="center"/>
            <w:hideMark/>
          </w:tcPr>
          <w:p w14:paraId="1EBC71C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68,535</w:t>
            </w:r>
          </w:p>
        </w:tc>
      </w:tr>
      <w:tr w:rsidR="00FF186B" w:rsidRPr="00FF186B" w14:paraId="06E70587"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45D3E688"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Pedernales</w:t>
            </w:r>
          </w:p>
        </w:tc>
        <w:tc>
          <w:tcPr>
            <w:tcW w:w="1479" w:type="dxa"/>
            <w:tcBorders>
              <w:top w:val="nil"/>
              <w:left w:val="nil"/>
              <w:bottom w:val="single" w:sz="4" w:space="0" w:color="808080"/>
              <w:right w:val="single" w:sz="4" w:space="0" w:color="808080"/>
            </w:tcBorders>
            <w:noWrap/>
            <w:vAlign w:val="center"/>
            <w:hideMark/>
          </w:tcPr>
          <w:p w14:paraId="6D3FDA6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65</w:t>
            </w:r>
          </w:p>
        </w:tc>
        <w:tc>
          <w:tcPr>
            <w:tcW w:w="0" w:type="auto"/>
            <w:tcBorders>
              <w:top w:val="nil"/>
              <w:left w:val="nil"/>
              <w:bottom w:val="single" w:sz="4" w:space="0" w:color="808080"/>
              <w:right w:val="single" w:sz="4" w:space="0" w:color="808080"/>
            </w:tcBorders>
            <w:noWrap/>
            <w:vAlign w:val="center"/>
            <w:hideMark/>
          </w:tcPr>
          <w:p w14:paraId="45AA89F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518</w:t>
            </w:r>
          </w:p>
        </w:tc>
        <w:tc>
          <w:tcPr>
            <w:tcW w:w="0" w:type="auto"/>
            <w:tcBorders>
              <w:top w:val="nil"/>
              <w:left w:val="nil"/>
              <w:bottom w:val="single" w:sz="4" w:space="0" w:color="808080"/>
              <w:right w:val="single" w:sz="4" w:space="0" w:color="808080"/>
            </w:tcBorders>
            <w:noWrap/>
            <w:vAlign w:val="center"/>
            <w:hideMark/>
          </w:tcPr>
          <w:p w14:paraId="3A7ACB6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387</w:t>
            </w:r>
          </w:p>
        </w:tc>
        <w:tc>
          <w:tcPr>
            <w:tcW w:w="0" w:type="auto"/>
            <w:tcBorders>
              <w:top w:val="nil"/>
              <w:left w:val="nil"/>
              <w:bottom w:val="single" w:sz="4" w:space="0" w:color="808080"/>
              <w:right w:val="single" w:sz="4" w:space="0" w:color="808080"/>
            </w:tcBorders>
            <w:noWrap/>
            <w:vAlign w:val="center"/>
            <w:hideMark/>
          </w:tcPr>
          <w:p w14:paraId="13D9002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905</w:t>
            </w:r>
          </w:p>
        </w:tc>
      </w:tr>
      <w:tr w:rsidR="00FF186B" w:rsidRPr="00FF186B" w14:paraId="678726E1"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67CBB21B"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Peravia</w:t>
            </w:r>
          </w:p>
        </w:tc>
        <w:tc>
          <w:tcPr>
            <w:tcW w:w="1479" w:type="dxa"/>
            <w:tcBorders>
              <w:top w:val="nil"/>
              <w:left w:val="nil"/>
              <w:bottom w:val="single" w:sz="4" w:space="0" w:color="808080"/>
              <w:right w:val="single" w:sz="4" w:space="0" w:color="808080"/>
            </w:tcBorders>
            <w:noWrap/>
            <w:vAlign w:val="center"/>
            <w:hideMark/>
          </w:tcPr>
          <w:p w14:paraId="0C7C9A2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990</w:t>
            </w:r>
          </w:p>
        </w:tc>
        <w:tc>
          <w:tcPr>
            <w:tcW w:w="0" w:type="auto"/>
            <w:tcBorders>
              <w:top w:val="nil"/>
              <w:left w:val="nil"/>
              <w:bottom w:val="single" w:sz="4" w:space="0" w:color="808080"/>
              <w:right w:val="single" w:sz="4" w:space="0" w:color="808080"/>
            </w:tcBorders>
            <w:noWrap/>
            <w:vAlign w:val="center"/>
            <w:hideMark/>
          </w:tcPr>
          <w:p w14:paraId="233212D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6,163</w:t>
            </w:r>
          </w:p>
        </w:tc>
        <w:tc>
          <w:tcPr>
            <w:tcW w:w="0" w:type="auto"/>
            <w:tcBorders>
              <w:top w:val="nil"/>
              <w:left w:val="nil"/>
              <w:bottom w:val="single" w:sz="4" w:space="0" w:color="808080"/>
              <w:right w:val="single" w:sz="4" w:space="0" w:color="808080"/>
            </w:tcBorders>
            <w:noWrap/>
            <w:vAlign w:val="center"/>
            <w:hideMark/>
          </w:tcPr>
          <w:p w14:paraId="530ACCE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6,569</w:t>
            </w:r>
          </w:p>
        </w:tc>
        <w:tc>
          <w:tcPr>
            <w:tcW w:w="0" w:type="auto"/>
            <w:tcBorders>
              <w:top w:val="nil"/>
              <w:left w:val="nil"/>
              <w:bottom w:val="single" w:sz="4" w:space="0" w:color="808080"/>
              <w:right w:val="single" w:sz="4" w:space="0" w:color="808080"/>
            </w:tcBorders>
            <w:noWrap/>
            <w:vAlign w:val="center"/>
            <w:hideMark/>
          </w:tcPr>
          <w:p w14:paraId="6063963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12,732</w:t>
            </w:r>
          </w:p>
        </w:tc>
      </w:tr>
      <w:tr w:rsidR="00FF186B" w:rsidRPr="00FF186B" w14:paraId="1CB974C9"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46EB7096"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Puerto Plata</w:t>
            </w:r>
          </w:p>
        </w:tc>
        <w:tc>
          <w:tcPr>
            <w:tcW w:w="1479" w:type="dxa"/>
            <w:tcBorders>
              <w:top w:val="nil"/>
              <w:left w:val="nil"/>
              <w:bottom w:val="single" w:sz="4" w:space="0" w:color="808080"/>
              <w:right w:val="single" w:sz="4" w:space="0" w:color="808080"/>
            </w:tcBorders>
            <w:noWrap/>
            <w:vAlign w:val="center"/>
            <w:hideMark/>
          </w:tcPr>
          <w:p w14:paraId="514B051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3,761</w:t>
            </w:r>
          </w:p>
        </w:tc>
        <w:tc>
          <w:tcPr>
            <w:tcW w:w="0" w:type="auto"/>
            <w:tcBorders>
              <w:top w:val="nil"/>
              <w:left w:val="nil"/>
              <w:bottom w:val="single" w:sz="4" w:space="0" w:color="808080"/>
              <w:right w:val="single" w:sz="4" w:space="0" w:color="808080"/>
            </w:tcBorders>
            <w:noWrap/>
            <w:vAlign w:val="center"/>
            <w:hideMark/>
          </w:tcPr>
          <w:p w14:paraId="460EC14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18,769</w:t>
            </w:r>
          </w:p>
        </w:tc>
        <w:tc>
          <w:tcPr>
            <w:tcW w:w="0" w:type="auto"/>
            <w:tcBorders>
              <w:top w:val="nil"/>
              <w:left w:val="nil"/>
              <w:bottom w:val="single" w:sz="4" w:space="0" w:color="808080"/>
              <w:right w:val="single" w:sz="4" w:space="0" w:color="808080"/>
            </w:tcBorders>
            <w:noWrap/>
            <w:vAlign w:val="center"/>
            <w:hideMark/>
          </w:tcPr>
          <w:p w14:paraId="3F18D78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25,198</w:t>
            </w:r>
          </w:p>
        </w:tc>
        <w:tc>
          <w:tcPr>
            <w:tcW w:w="0" w:type="auto"/>
            <w:tcBorders>
              <w:top w:val="nil"/>
              <w:left w:val="nil"/>
              <w:bottom w:val="single" w:sz="4" w:space="0" w:color="808080"/>
              <w:right w:val="single" w:sz="4" w:space="0" w:color="808080"/>
            </w:tcBorders>
            <w:noWrap/>
            <w:vAlign w:val="center"/>
            <w:hideMark/>
          </w:tcPr>
          <w:p w14:paraId="3710DB4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43,967</w:t>
            </w:r>
          </w:p>
        </w:tc>
      </w:tr>
      <w:tr w:rsidR="00FF186B" w:rsidRPr="00FF186B" w14:paraId="46FE3AC3"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1C200C3"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Samaná</w:t>
            </w:r>
          </w:p>
        </w:tc>
        <w:tc>
          <w:tcPr>
            <w:tcW w:w="1479" w:type="dxa"/>
            <w:tcBorders>
              <w:top w:val="nil"/>
              <w:left w:val="nil"/>
              <w:bottom w:val="single" w:sz="4" w:space="0" w:color="808080"/>
              <w:right w:val="single" w:sz="4" w:space="0" w:color="808080"/>
            </w:tcBorders>
            <w:noWrap/>
            <w:vAlign w:val="center"/>
            <w:hideMark/>
          </w:tcPr>
          <w:p w14:paraId="5AA4061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763</w:t>
            </w:r>
          </w:p>
        </w:tc>
        <w:tc>
          <w:tcPr>
            <w:tcW w:w="0" w:type="auto"/>
            <w:tcBorders>
              <w:top w:val="nil"/>
              <w:left w:val="nil"/>
              <w:bottom w:val="single" w:sz="4" w:space="0" w:color="808080"/>
              <w:right w:val="single" w:sz="4" w:space="0" w:color="808080"/>
            </w:tcBorders>
            <w:noWrap/>
            <w:vAlign w:val="center"/>
            <w:hideMark/>
          </w:tcPr>
          <w:p w14:paraId="618A849C"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3,737</w:t>
            </w:r>
          </w:p>
        </w:tc>
        <w:tc>
          <w:tcPr>
            <w:tcW w:w="0" w:type="auto"/>
            <w:tcBorders>
              <w:top w:val="nil"/>
              <w:left w:val="nil"/>
              <w:bottom w:val="single" w:sz="4" w:space="0" w:color="808080"/>
              <w:right w:val="single" w:sz="4" w:space="0" w:color="808080"/>
            </w:tcBorders>
            <w:noWrap/>
            <w:vAlign w:val="center"/>
            <w:hideMark/>
          </w:tcPr>
          <w:p w14:paraId="1A0E2FDD"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4,930</w:t>
            </w:r>
          </w:p>
        </w:tc>
        <w:tc>
          <w:tcPr>
            <w:tcW w:w="0" w:type="auto"/>
            <w:tcBorders>
              <w:top w:val="nil"/>
              <w:left w:val="nil"/>
              <w:bottom w:val="single" w:sz="4" w:space="0" w:color="808080"/>
              <w:right w:val="single" w:sz="4" w:space="0" w:color="808080"/>
            </w:tcBorders>
            <w:noWrap/>
            <w:vAlign w:val="center"/>
            <w:hideMark/>
          </w:tcPr>
          <w:p w14:paraId="2D4EE6E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8,667</w:t>
            </w:r>
          </w:p>
        </w:tc>
      </w:tr>
      <w:tr w:rsidR="00FF186B" w:rsidRPr="00FF186B" w14:paraId="0747B553"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22211FD0"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 Cristóbal</w:t>
            </w:r>
          </w:p>
        </w:tc>
        <w:tc>
          <w:tcPr>
            <w:tcW w:w="1479" w:type="dxa"/>
            <w:tcBorders>
              <w:top w:val="nil"/>
              <w:left w:val="nil"/>
              <w:bottom w:val="single" w:sz="4" w:space="0" w:color="808080"/>
              <w:right w:val="single" w:sz="4" w:space="0" w:color="808080"/>
            </w:tcBorders>
            <w:noWrap/>
            <w:vAlign w:val="center"/>
            <w:hideMark/>
          </w:tcPr>
          <w:p w14:paraId="6BCE214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2,508</w:t>
            </w:r>
          </w:p>
        </w:tc>
        <w:tc>
          <w:tcPr>
            <w:tcW w:w="0" w:type="auto"/>
            <w:tcBorders>
              <w:top w:val="nil"/>
              <w:left w:val="nil"/>
              <w:bottom w:val="single" w:sz="4" w:space="0" w:color="808080"/>
              <w:right w:val="single" w:sz="4" w:space="0" w:color="808080"/>
            </w:tcBorders>
            <w:noWrap/>
            <w:vAlign w:val="center"/>
            <w:hideMark/>
          </w:tcPr>
          <w:p w14:paraId="5DDFEC9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26,457</w:t>
            </w:r>
          </w:p>
        </w:tc>
        <w:tc>
          <w:tcPr>
            <w:tcW w:w="0" w:type="auto"/>
            <w:tcBorders>
              <w:top w:val="nil"/>
              <w:left w:val="nil"/>
              <w:bottom w:val="single" w:sz="4" w:space="0" w:color="808080"/>
              <w:right w:val="single" w:sz="4" w:space="0" w:color="808080"/>
            </w:tcBorders>
            <w:noWrap/>
            <w:vAlign w:val="center"/>
            <w:hideMark/>
          </w:tcPr>
          <w:p w14:paraId="728485D1"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31,566</w:t>
            </w:r>
          </w:p>
        </w:tc>
        <w:tc>
          <w:tcPr>
            <w:tcW w:w="0" w:type="auto"/>
            <w:tcBorders>
              <w:top w:val="nil"/>
              <w:left w:val="nil"/>
              <w:bottom w:val="single" w:sz="4" w:space="0" w:color="808080"/>
              <w:right w:val="single" w:sz="4" w:space="0" w:color="808080"/>
            </w:tcBorders>
            <w:noWrap/>
            <w:vAlign w:val="center"/>
            <w:hideMark/>
          </w:tcPr>
          <w:p w14:paraId="610E93C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58,023</w:t>
            </w:r>
          </w:p>
        </w:tc>
      </w:tr>
      <w:tr w:rsidR="00FF186B" w:rsidRPr="00FF186B" w14:paraId="0896C530"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6503F2F0"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 José de Ocoa</w:t>
            </w:r>
          </w:p>
        </w:tc>
        <w:tc>
          <w:tcPr>
            <w:tcW w:w="1479" w:type="dxa"/>
            <w:tcBorders>
              <w:top w:val="nil"/>
              <w:left w:val="nil"/>
              <w:bottom w:val="single" w:sz="4" w:space="0" w:color="808080"/>
              <w:right w:val="single" w:sz="4" w:space="0" w:color="808080"/>
            </w:tcBorders>
            <w:noWrap/>
            <w:vAlign w:val="center"/>
            <w:hideMark/>
          </w:tcPr>
          <w:p w14:paraId="638BCD7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209</w:t>
            </w:r>
          </w:p>
        </w:tc>
        <w:tc>
          <w:tcPr>
            <w:tcW w:w="0" w:type="auto"/>
            <w:tcBorders>
              <w:top w:val="nil"/>
              <w:left w:val="nil"/>
              <w:bottom w:val="single" w:sz="4" w:space="0" w:color="808080"/>
              <w:right w:val="single" w:sz="4" w:space="0" w:color="808080"/>
            </w:tcBorders>
            <w:noWrap/>
            <w:vAlign w:val="center"/>
            <w:hideMark/>
          </w:tcPr>
          <w:p w14:paraId="0555ED68"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706</w:t>
            </w:r>
          </w:p>
        </w:tc>
        <w:tc>
          <w:tcPr>
            <w:tcW w:w="0" w:type="auto"/>
            <w:tcBorders>
              <w:top w:val="nil"/>
              <w:left w:val="nil"/>
              <w:bottom w:val="single" w:sz="4" w:space="0" w:color="808080"/>
              <w:right w:val="single" w:sz="4" w:space="0" w:color="808080"/>
            </w:tcBorders>
            <w:noWrap/>
            <w:vAlign w:val="center"/>
            <w:hideMark/>
          </w:tcPr>
          <w:p w14:paraId="4C81517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971</w:t>
            </w:r>
          </w:p>
        </w:tc>
        <w:tc>
          <w:tcPr>
            <w:tcW w:w="0" w:type="auto"/>
            <w:tcBorders>
              <w:top w:val="nil"/>
              <w:left w:val="nil"/>
              <w:bottom w:val="single" w:sz="4" w:space="0" w:color="808080"/>
              <w:right w:val="single" w:sz="4" w:space="0" w:color="808080"/>
            </w:tcBorders>
            <w:noWrap/>
            <w:vAlign w:val="center"/>
            <w:hideMark/>
          </w:tcPr>
          <w:p w14:paraId="181F6C9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1,677</w:t>
            </w:r>
          </w:p>
        </w:tc>
      </w:tr>
      <w:tr w:rsidR="00FF186B" w:rsidRPr="00FF186B" w14:paraId="688700FF"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B178979"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 Juan</w:t>
            </w:r>
          </w:p>
        </w:tc>
        <w:tc>
          <w:tcPr>
            <w:tcW w:w="1479" w:type="dxa"/>
            <w:tcBorders>
              <w:top w:val="nil"/>
              <w:left w:val="nil"/>
              <w:bottom w:val="single" w:sz="4" w:space="0" w:color="808080"/>
              <w:right w:val="single" w:sz="4" w:space="0" w:color="808080"/>
            </w:tcBorders>
            <w:noWrap/>
            <w:vAlign w:val="center"/>
            <w:hideMark/>
          </w:tcPr>
          <w:p w14:paraId="7101A1EC"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678</w:t>
            </w:r>
          </w:p>
        </w:tc>
        <w:tc>
          <w:tcPr>
            <w:tcW w:w="0" w:type="auto"/>
            <w:tcBorders>
              <w:top w:val="nil"/>
              <w:left w:val="nil"/>
              <w:bottom w:val="single" w:sz="4" w:space="0" w:color="808080"/>
              <w:right w:val="single" w:sz="4" w:space="0" w:color="808080"/>
            </w:tcBorders>
            <w:noWrap/>
            <w:vAlign w:val="center"/>
            <w:hideMark/>
          </w:tcPr>
          <w:p w14:paraId="66ADD91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3,631</w:t>
            </w:r>
          </w:p>
        </w:tc>
        <w:tc>
          <w:tcPr>
            <w:tcW w:w="0" w:type="auto"/>
            <w:tcBorders>
              <w:top w:val="nil"/>
              <w:left w:val="nil"/>
              <w:bottom w:val="single" w:sz="4" w:space="0" w:color="808080"/>
              <w:right w:val="single" w:sz="4" w:space="0" w:color="808080"/>
            </w:tcBorders>
            <w:noWrap/>
            <w:vAlign w:val="center"/>
            <w:hideMark/>
          </w:tcPr>
          <w:p w14:paraId="366D1E3E"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4,161</w:t>
            </w:r>
          </w:p>
        </w:tc>
        <w:tc>
          <w:tcPr>
            <w:tcW w:w="0" w:type="auto"/>
            <w:tcBorders>
              <w:top w:val="nil"/>
              <w:left w:val="nil"/>
              <w:bottom w:val="single" w:sz="4" w:space="0" w:color="808080"/>
              <w:right w:val="single" w:sz="4" w:space="0" w:color="808080"/>
            </w:tcBorders>
            <w:noWrap/>
            <w:vAlign w:val="center"/>
            <w:hideMark/>
          </w:tcPr>
          <w:p w14:paraId="132E0BC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7,792</w:t>
            </w:r>
          </w:p>
        </w:tc>
      </w:tr>
      <w:tr w:rsidR="00FF186B" w:rsidRPr="00FF186B" w14:paraId="47966F85"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E3E34D1"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 Pedro de Macorís</w:t>
            </w:r>
          </w:p>
        </w:tc>
        <w:tc>
          <w:tcPr>
            <w:tcW w:w="1479" w:type="dxa"/>
            <w:tcBorders>
              <w:top w:val="nil"/>
              <w:left w:val="nil"/>
              <w:bottom w:val="single" w:sz="4" w:space="0" w:color="808080"/>
              <w:right w:val="single" w:sz="4" w:space="0" w:color="808080"/>
            </w:tcBorders>
            <w:noWrap/>
            <w:vAlign w:val="center"/>
            <w:hideMark/>
          </w:tcPr>
          <w:p w14:paraId="537D0B4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1,753</w:t>
            </w:r>
          </w:p>
        </w:tc>
        <w:tc>
          <w:tcPr>
            <w:tcW w:w="0" w:type="auto"/>
            <w:tcBorders>
              <w:top w:val="nil"/>
              <w:left w:val="nil"/>
              <w:bottom w:val="single" w:sz="4" w:space="0" w:color="808080"/>
              <w:right w:val="single" w:sz="4" w:space="0" w:color="808080"/>
            </w:tcBorders>
            <w:noWrap/>
            <w:vAlign w:val="center"/>
            <w:hideMark/>
          </w:tcPr>
          <w:p w14:paraId="7F262BA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16,696</w:t>
            </w:r>
          </w:p>
        </w:tc>
        <w:tc>
          <w:tcPr>
            <w:tcW w:w="0" w:type="auto"/>
            <w:tcBorders>
              <w:top w:val="nil"/>
              <w:left w:val="nil"/>
              <w:bottom w:val="single" w:sz="4" w:space="0" w:color="808080"/>
              <w:right w:val="single" w:sz="4" w:space="0" w:color="808080"/>
            </w:tcBorders>
            <w:noWrap/>
            <w:vAlign w:val="center"/>
            <w:hideMark/>
          </w:tcPr>
          <w:p w14:paraId="7664D05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19,889</w:t>
            </w:r>
          </w:p>
        </w:tc>
        <w:tc>
          <w:tcPr>
            <w:tcW w:w="0" w:type="auto"/>
            <w:tcBorders>
              <w:top w:val="nil"/>
              <w:left w:val="nil"/>
              <w:bottom w:val="single" w:sz="4" w:space="0" w:color="808080"/>
              <w:right w:val="single" w:sz="4" w:space="0" w:color="808080"/>
            </w:tcBorders>
            <w:noWrap/>
            <w:vAlign w:val="center"/>
            <w:hideMark/>
          </w:tcPr>
          <w:p w14:paraId="1498DE5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36,585</w:t>
            </w:r>
          </w:p>
        </w:tc>
      </w:tr>
      <w:tr w:rsidR="00FF186B" w:rsidRPr="00FF186B" w14:paraId="62ADC624"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714118D4"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Sánchez Ramírez</w:t>
            </w:r>
          </w:p>
        </w:tc>
        <w:tc>
          <w:tcPr>
            <w:tcW w:w="1479" w:type="dxa"/>
            <w:tcBorders>
              <w:top w:val="nil"/>
              <w:left w:val="nil"/>
              <w:bottom w:val="single" w:sz="4" w:space="0" w:color="808080"/>
              <w:right w:val="single" w:sz="4" w:space="0" w:color="808080"/>
            </w:tcBorders>
            <w:noWrap/>
            <w:vAlign w:val="center"/>
            <w:hideMark/>
          </w:tcPr>
          <w:p w14:paraId="69628336"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903</w:t>
            </w:r>
          </w:p>
        </w:tc>
        <w:tc>
          <w:tcPr>
            <w:tcW w:w="0" w:type="auto"/>
            <w:tcBorders>
              <w:top w:val="nil"/>
              <w:left w:val="nil"/>
              <w:bottom w:val="single" w:sz="4" w:space="0" w:color="808080"/>
              <w:right w:val="single" w:sz="4" w:space="0" w:color="808080"/>
            </w:tcBorders>
            <w:noWrap/>
            <w:vAlign w:val="center"/>
            <w:hideMark/>
          </w:tcPr>
          <w:p w14:paraId="035094C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3,447</w:t>
            </w:r>
          </w:p>
        </w:tc>
        <w:tc>
          <w:tcPr>
            <w:tcW w:w="0" w:type="auto"/>
            <w:tcBorders>
              <w:top w:val="nil"/>
              <w:left w:val="nil"/>
              <w:bottom w:val="single" w:sz="4" w:space="0" w:color="808080"/>
              <w:right w:val="single" w:sz="4" w:space="0" w:color="808080"/>
            </w:tcBorders>
            <w:noWrap/>
            <w:vAlign w:val="center"/>
            <w:hideMark/>
          </w:tcPr>
          <w:p w14:paraId="45672CF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5,037</w:t>
            </w:r>
          </w:p>
        </w:tc>
        <w:tc>
          <w:tcPr>
            <w:tcW w:w="0" w:type="auto"/>
            <w:tcBorders>
              <w:top w:val="nil"/>
              <w:left w:val="nil"/>
              <w:bottom w:val="single" w:sz="4" w:space="0" w:color="808080"/>
              <w:right w:val="single" w:sz="4" w:space="0" w:color="808080"/>
            </w:tcBorders>
            <w:noWrap/>
            <w:vAlign w:val="center"/>
            <w:hideMark/>
          </w:tcPr>
          <w:p w14:paraId="2234E7C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8,484</w:t>
            </w:r>
          </w:p>
        </w:tc>
      </w:tr>
      <w:tr w:rsidR="00FF186B" w:rsidRPr="00FF186B" w14:paraId="71EEDB56"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3F973A08"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Santiago</w:t>
            </w:r>
          </w:p>
        </w:tc>
        <w:tc>
          <w:tcPr>
            <w:tcW w:w="1479" w:type="dxa"/>
            <w:tcBorders>
              <w:top w:val="nil"/>
              <w:left w:val="nil"/>
              <w:bottom w:val="single" w:sz="4" w:space="0" w:color="808080"/>
              <w:right w:val="single" w:sz="4" w:space="0" w:color="808080"/>
            </w:tcBorders>
            <w:noWrap/>
            <w:vAlign w:val="center"/>
            <w:hideMark/>
          </w:tcPr>
          <w:p w14:paraId="279A0E6A"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15,586</w:t>
            </w:r>
          </w:p>
        </w:tc>
        <w:tc>
          <w:tcPr>
            <w:tcW w:w="0" w:type="auto"/>
            <w:tcBorders>
              <w:top w:val="nil"/>
              <w:left w:val="nil"/>
              <w:bottom w:val="single" w:sz="4" w:space="0" w:color="808080"/>
              <w:right w:val="single" w:sz="4" w:space="0" w:color="808080"/>
            </w:tcBorders>
            <w:noWrap/>
            <w:vAlign w:val="center"/>
            <w:hideMark/>
          </w:tcPr>
          <w:p w14:paraId="5C27B340"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125,334</w:t>
            </w:r>
          </w:p>
        </w:tc>
        <w:tc>
          <w:tcPr>
            <w:tcW w:w="0" w:type="auto"/>
            <w:tcBorders>
              <w:top w:val="nil"/>
              <w:left w:val="nil"/>
              <w:bottom w:val="single" w:sz="4" w:space="0" w:color="808080"/>
              <w:right w:val="single" w:sz="4" w:space="0" w:color="808080"/>
            </w:tcBorders>
            <w:noWrap/>
            <w:vAlign w:val="center"/>
            <w:hideMark/>
          </w:tcPr>
          <w:p w14:paraId="7A1487AC"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139,569</w:t>
            </w:r>
          </w:p>
        </w:tc>
        <w:tc>
          <w:tcPr>
            <w:tcW w:w="0" w:type="auto"/>
            <w:tcBorders>
              <w:top w:val="nil"/>
              <w:left w:val="nil"/>
              <w:bottom w:val="single" w:sz="4" w:space="0" w:color="808080"/>
              <w:right w:val="single" w:sz="4" w:space="0" w:color="808080"/>
            </w:tcBorders>
            <w:noWrap/>
            <w:vAlign w:val="center"/>
            <w:hideMark/>
          </w:tcPr>
          <w:p w14:paraId="00A5C12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264,903</w:t>
            </w:r>
          </w:p>
        </w:tc>
      </w:tr>
      <w:tr w:rsidR="00FF186B" w:rsidRPr="00FF186B" w14:paraId="33353211"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736175F7"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Santiago Rodríguez</w:t>
            </w:r>
          </w:p>
        </w:tc>
        <w:tc>
          <w:tcPr>
            <w:tcW w:w="1479" w:type="dxa"/>
            <w:tcBorders>
              <w:top w:val="nil"/>
              <w:left w:val="nil"/>
              <w:bottom w:val="single" w:sz="4" w:space="0" w:color="808080"/>
              <w:right w:val="single" w:sz="4" w:space="0" w:color="808080"/>
            </w:tcBorders>
            <w:noWrap/>
            <w:vAlign w:val="center"/>
            <w:hideMark/>
          </w:tcPr>
          <w:p w14:paraId="7CF7768B"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390</w:t>
            </w:r>
          </w:p>
        </w:tc>
        <w:tc>
          <w:tcPr>
            <w:tcW w:w="0" w:type="auto"/>
            <w:tcBorders>
              <w:top w:val="nil"/>
              <w:left w:val="nil"/>
              <w:bottom w:val="single" w:sz="4" w:space="0" w:color="808080"/>
              <w:right w:val="single" w:sz="4" w:space="0" w:color="808080"/>
            </w:tcBorders>
            <w:noWrap/>
            <w:vAlign w:val="center"/>
            <w:hideMark/>
          </w:tcPr>
          <w:p w14:paraId="3C8BAF6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1,745</w:t>
            </w:r>
          </w:p>
        </w:tc>
        <w:tc>
          <w:tcPr>
            <w:tcW w:w="0" w:type="auto"/>
            <w:tcBorders>
              <w:top w:val="nil"/>
              <w:left w:val="nil"/>
              <w:bottom w:val="single" w:sz="4" w:space="0" w:color="808080"/>
              <w:right w:val="single" w:sz="4" w:space="0" w:color="808080"/>
            </w:tcBorders>
            <w:noWrap/>
            <w:vAlign w:val="center"/>
            <w:hideMark/>
          </w:tcPr>
          <w:p w14:paraId="55D4D477"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3,690</w:t>
            </w:r>
          </w:p>
        </w:tc>
        <w:tc>
          <w:tcPr>
            <w:tcW w:w="0" w:type="auto"/>
            <w:tcBorders>
              <w:top w:val="nil"/>
              <w:left w:val="nil"/>
              <w:bottom w:val="single" w:sz="4" w:space="0" w:color="808080"/>
              <w:right w:val="single" w:sz="4" w:space="0" w:color="808080"/>
            </w:tcBorders>
            <w:noWrap/>
            <w:vAlign w:val="center"/>
            <w:hideMark/>
          </w:tcPr>
          <w:p w14:paraId="60E7AF19"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5,435</w:t>
            </w:r>
          </w:p>
        </w:tc>
      </w:tr>
      <w:tr w:rsidR="00FF186B" w:rsidRPr="00FF186B" w14:paraId="0A8272BE"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1ACE83CE"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Santo Domingo</w:t>
            </w:r>
          </w:p>
        </w:tc>
        <w:tc>
          <w:tcPr>
            <w:tcW w:w="1479" w:type="dxa"/>
            <w:tcBorders>
              <w:top w:val="nil"/>
              <w:left w:val="nil"/>
              <w:bottom w:val="single" w:sz="4" w:space="0" w:color="808080"/>
              <w:right w:val="single" w:sz="4" w:space="0" w:color="808080"/>
            </w:tcBorders>
            <w:noWrap/>
            <w:vAlign w:val="center"/>
            <w:hideMark/>
          </w:tcPr>
          <w:p w14:paraId="7FA33034"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15,906</w:t>
            </w:r>
          </w:p>
        </w:tc>
        <w:tc>
          <w:tcPr>
            <w:tcW w:w="0" w:type="auto"/>
            <w:tcBorders>
              <w:top w:val="nil"/>
              <w:left w:val="nil"/>
              <w:bottom w:val="single" w:sz="4" w:space="0" w:color="808080"/>
              <w:right w:val="single" w:sz="4" w:space="0" w:color="808080"/>
            </w:tcBorders>
            <w:noWrap/>
            <w:vAlign w:val="center"/>
            <w:hideMark/>
          </w:tcPr>
          <w:p w14:paraId="327D27D6"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134,696</w:t>
            </w:r>
          </w:p>
        </w:tc>
        <w:tc>
          <w:tcPr>
            <w:tcW w:w="0" w:type="auto"/>
            <w:tcBorders>
              <w:top w:val="nil"/>
              <w:left w:val="nil"/>
              <w:bottom w:val="single" w:sz="4" w:space="0" w:color="808080"/>
              <w:right w:val="single" w:sz="4" w:space="0" w:color="808080"/>
            </w:tcBorders>
            <w:noWrap/>
            <w:vAlign w:val="center"/>
            <w:hideMark/>
          </w:tcPr>
          <w:p w14:paraId="066E1AC8"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208,280</w:t>
            </w:r>
          </w:p>
        </w:tc>
        <w:tc>
          <w:tcPr>
            <w:tcW w:w="0" w:type="auto"/>
            <w:tcBorders>
              <w:top w:val="nil"/>
              <w:left w:val="nil"/>
              <w:bottom w:val="single" w:sz="4" w:space="0" w:color="808080"/>
              <w:right w:val="single" w:sz="4" w:space="0" w:color="808080"/>
            </w:tcBorders>
            <w:noWrap/>
            <w:vAlign w:val="center"/>
            <w:hideMark/>
          </w:tcPr>
          <w:p w14:paraId="49061C8F"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342,976</w:t>
            </w:r>
          </w:p>
        </w:tc>
      </w:tr>
      <w:tr w:rsidR="00FF186B" w:rsidRPr="00FF186B" w14:paraId="1573F4D0" w14:textId="77777777" w:rsidTr="00FF186B">
        <w:trPr>
          <w:trHeight w:val="312"/>
        </w:trPr>
        <w:tc>
          <w:tcPr>
            <w:tcW w:w="1980" w:type="dxa"/>
            <w:tcBorders>
              <w:top w:val="nil"/>
              <w:left w:val="single" w:sz="4" w:space="0" w:color="808080"/>
              <w:bottom w:val="single" w:sz="4" w:space="0" w:color="808080"/>
              <w:right w:val="single" w:sz="4" w:space="0" w:color="808080"/>
            </w:tcBorders>
            <w:noWrap/>
            <w:vAlign w:val="center"/>
            <w:hideMark/>
          </w:tcPr>
          <w:p w14:paraId="49789FDD" w14:textId="77777777" w:rsidR="00FF186B" w:rsidRPr="00FF186B" w:rsidRDefault="00FF186B" w:rsidP="00FF186B">
            <w:pPr>
              <w:spacing w:after="0" w:line="240" w:lineRule="auto"/>
              <w:rPr>
                <w:rFonts w:eastAsia="Times New Roman"/>
                <w:spacing w:val="0"/>
                <w:lang w:val="es-DO" w:eastAsia="es-DO"/>
              </w:rPr>
            </w:pPr>
            <w:r w:rsidRPr="00FF186B">
              <w:rPr>
                <w:rFonts w:eastAsia="Times New Roman"/>
                <w:spacing w:val="0"/>
                <w:lang w:val="es-DO" w:eastAsia="es-DO"/>
              </w:rPr>
              <w:t>Valverde</w:t>
            </w:r>
          </w:p>
        </w:tc>
        <w:tc>
          <w:tcPr>
            <w:tcW w:w="1479" w:type="dxa"/>
            <w:tcBorders>
              <w:top w:val="nil"/>
              <w:left w:val="nil"/>
              <w:bottom w:val="single" w:sz="4" w:space="0" w:color="808080"/>
              <w:right w:val="single" w:sz="4" w:space="0" w:color="808080"/>
            </w:tcBorders>
            <w:noWrap/>
            <w:vAlign w:val="center"/>
            <w:hideMark/>
          </w:tcPr>
          <w:p w14:paraId="3399CE0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1,299</w:t>
            </w:r>
          </w:p>
        </w:tc>
        <w:tc>
          <w:tcPr>
            <w:tcW w:w="0" w:type="auto"/>
            <w:tcBorders>
              <w:top w:val="nil"/>
              <w:left w:val="nil"/>
              <w:bottom w:val="single" w:sz="4" w:space="0" w:color="808080"/>
              <w:right w:val="single" w:sz="4" w:space="0" w:color="808080"/>
            </w:tcBorders>
            <w:noWrap/>
            <w:vAlign w:val="center"/>
            <w:hideMark/>
          </w:tcPr>
          <w:p w14:paraId="2E80EBB5"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7,651</w:t>
            </w:r>
          </w:p>
        </w:tc>
        <w:tc>
          <w:tcPr>
            <w:tcW w:w="0" w:type="auto"/>
            <w:tcBorders>
              <w:top w:val="nil"/>
              <w:left w:val="nil"/>
              <w:bottom w:val="single" w:sz="4" w:space="0" w:color="808080"/>
              <w:right w:val="single" w:sz="4" w:space="0" w:color="808080"/>
            </w:tcBorders>
            <w:noWrap/>
            <w:vAlign w:val="center"/>
            <w:hideMark/>
          </w:tcPr>
          <w:p w14:paraId="22DF5573"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9,179</w:t>
            </w:r>
          </w:p>
        </w:tc>
        <w:tc>
          <w:tcPr>
            <w:tcW w:w="0" w:type="auto"/>
            <w:tcBorders>
              <w:top w:val="nil"/>
              <w:left w:val="nil"/>
              <w:bottom w:val="single" w:sz="4" w:space="0" w:color="808080"/>
              <w:right w:val="single" w:sz="4" w:space="0" w:color="808080"/>
            </w:tcBorders>
            <w:noWrap/>
            <w:vAlign w:val="center"/>
            <w:hideMark/>
          </w:tcPr>
          <w:p w14:paraId="6CDDD652" w14:textId="77777777" w:rsidR="00FF186B" w:rsidRPr="00FF186B" w:rsidRDefault="00FF186B" w:rsidP="00FF186B">
            <w:pPr>
              <w:spacing w:after="0" w:line="240" w:lineRule="auto"/>
              <w:jc w:val="center"/>
              <w:rPr>
                <w:rFonts w:eastAsia="Times New Roman"/>
                <w:spacing w:val="0"/>
                <w:lang w:val="es-DO" w:eastAsia="es-DO"/>
              </w:rPr>
            </w:pPr>
            <w:r w:rsidRPr="00FF186B">
              <w:rPr>
                <w:rFonts w:eastAsia="Times New Roman"/>
                <w:spacing w:val="0"/>
                <w:lang w:val="es-DO" w:eastAsia="es-DO"/>
              </w:rPr>
              <w:t>16,830</w:t>
            </w:r>
          </w:p>
        </w:tc>
      </w:tr>
      <w:tr w:rsidR="00FF186B" w:rsidRPr="00FF186B" w14:paraId="3B88B54F" w14:textId="77777777" w:rsidTr="00FF186B">
        <w:trPr>
          <w:trHeight w:val="312"/>
        </w:trPr>
        <w:tc>
          <w:tcPr>
            <w:tcW w:w="1980" w:type="dxa"/>
            <w:tcBorders>
              <w:top w:val="nil"/>
              <w:left w:val="single" w:sz="4" w:space="0" w:color="808080"/>
              <w:bottom w:val="single" w:sz="4" w:space="0" w:color="808080"/>
              <w:right w:val="single" w:sz="4" w:space="0" w:color="808080"/>
            </w:tcBorders>
            <w:shd w:val="clear" w:color="000000" w:fill="767171"/>
            <w:noWrap/>
            <w:vAlign w:val="center"/>
            <w:hideMark/>
          </w:tcPr>
          <w:p w14:paraId="1C838E21"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Total general</w:t>
            </w:r>
          </w:p>
        </w:tc>
        <w:tc>
          <w:tcPr>
            <w:tcW w:w="1479" w:type="dxa"/>
            <w:tcBorders>
              <w:top w:val="nil"/>
              <w:left w:val="nil"/>
              <w:bottom w:val="single" w:sz="4" w:space="0" w:color="808080"/>
              <w:right w:val="single" w:sz="4" w:space="0" w:color="808080"/>
            </w:tcBorders>
            <w:shd w:val="clear" w:color="000000" w:fill="767171"/>
            <w:noWrap/>
            <w:vAlign w:val="center"/>
            <w:hideMark/>
          </w:tcPr>
          <w:p w14:paraId="7DF05529"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116,911</w:t>
            </w:r>
          </w:p>
        </w:tc>
        <w:tc>
          <w:tcPr>
            <w:tcW w:w="0" w:type="auto"/>
            <w:tcBorders>
              <w:top w:val="nil"/>
              <w:left w:val="nil"/>
              <w:bottom w:val="single" w:sz="4" w:space="0" w:color="808080"/>
              <w:right w:val="single" w:sz="4" w:space="0" w:color="808080"/>
            </w:tcBorders>
            <w:shd w:val="clear" w:color="000000" w:fill="767171"/>
            <w:noWrap/>
            <w:vAlign w:val="center"/>
            <w:hideMark/>
          </w:tcPr>
          <w:p w14:paraId="0800098C"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1,175,781</w:t>
            </w:r>
          </w:p>
        </w:tc>
        <w:tc>
          <w:tcPr>
            <w:tcW w:w="0" w:type="auto"/>
            <w:tcBorders>
              <w:top w:val="nil"/>
              <w:left w:val="nil"/>
              <w:bottom w:val="single" w:sz="4" w:space="0" w:color="808080"/>
              <w:right w:val="single" w:sz="4" w:space="0" w:color="808080"/>
            </w:tcBorders>
            <w:shd w:val="clear" w:color="000000" w:fill="767171"/>
            <w:noWrap/>
            <w:vAlign w:val="center"/>
            <w:hideMark/>
          </w:tcPr>
          <w:p w14:paraId="047AF8E2"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1,296,324</w:t>
            </w:r>
          </w:p>
        </w:tc>
        <w:tc>
          <w:tcPr>
            <w:tcW w:w="0" w:type="auto"/>
            <w:tcBorders>
              <w:top w:val="nil"/>
              <w:left w:val="nil"/>
              <w:bottom w:val="single" w:sz="4" w:space="0" w:color="808080"/>
              <w:right w:val="single" w:sz="4" w:space="0" w:color="808080"/>
            </w:tcBorders>
            <w:shd w:val="clear" w:color="000000" w:fill="767171"/>
            <w:noWrap/>
            <w:vAlign w:val="center"/>
            <w:hideMark/>
          </w:tcPr>
          <w:p w14:paraId="7CAAB257" w14:textId="77777777" w:rsidR="00FF186B" w:rsidRPr="00FF186B" w:rsidRDefault="00FF186B" w:rsidP="00FF186B">
            <w:pPr>
              <w:spacing w:after="0" w:line="240" w:lineRule="auto"/>
              <w:jc w:val="center"/>
              <w:rPr>
                <w:rFonts w:eastAsia="Times New Roman"/>
                <w:b/>
                <w:bCs/>
                <w:color w:val="FFFFFF"/>
                <w:spacing w:val="0"/>
                <w:lang w:val="es-DO" w:eastAsia="es-DO"/>
              </w:rPr>
            </w:pPr>
            <w:r w:rsidRPr="00FF186B">
              <w:rPr>
                <w:rFonts w:eastAsia="Times New Roman"/>
                <w:b/>
                <w:bCs/>
                <w:color w:val="FFFFFF"/>
                <w:spacing w:val="0"/>
                <w:lang w:val="es-DO" w:eastAsia="es-DO"/>
              </w:rPr>
              <w:t>2,472,105</w:t>
            </w:r>
          </w:p>
        </w:tc>
      </w:tr>
    </w:tbl>
    <w:p w14:paraId="75E347F7" w14:textId="7BC23169" w:rsidR="00FC60A3" w:rsidRPr="005C133F" w:rsidRDefault="001D7136" w:rsidP="005C133F">
      <w:pPr>
        <w:spacing w:after="0" w:line="360" w:lineRule="auto"/>
        <w:jc w:val="both"/>
        <w:rPr>
          <w:rFonts w:eastAsia="Times New Roman"/>
          <w:sz w:val="18"/>
          <w:szCs w:val="18"/>
          <w:lang w:val="es-DO" w:eastAsia="es-DO"/>
        </w:rPr>
      </w:pPr>
      <w:r w:rsidRPr="005C133F">
        <w:rPr>
          <w:rFonts w:eastAsia="Times New Roman"/>
          <w:sz w:val="18"/>
          <w:szCs w:val="18"/>
          <w:lang w:val="es-DO" w:eastAsia="es-DO"/>
        </w:rPr>
        <w:t>Fuente: Elaboración Departamento de Estadísticas</w:t>
      </w:r>
      <w:r w:rsidR="00957CE2" w:rsidRPr="005C133F">
        <w:rPr>
          <w:rFonts w:eastAsia="Times New Roman"/>
          <w:sz w:val="18"/>
          <w:szCs w:val="18"/>
          <w:lang w:val="es-DO" w:eastAsia="es-DO"/>
        </w:rPr>
        <w:t>,</w:t>
      </w:r>
      <w:r w:rsidRPr="005C133F">
        <w:rPr>
          <w:rFonts w:eastAsia="Times New Roman"/>
          <w:sz w:val="18"/>
          <w:szCs w:val="18"/>
          <w:lang w:val="es-DO" w:eastAsia="es-DO"/>
        </w:rPr>
        <w:t xml:space="preserve"> SISALRIL </w:t>
      </w:r>
    </w:p>
    <w:p w14:paraId="0AB872A8" w14:textId="77777777" w:rsidR="00147C2D" w:rsidRPr="005C133F" w:rsidRDefault="00147C2D" w:rsidP="005C133F">
      <w:pPr>
        <w:spacing w:before="120" w:after="0" w:line="360" w:lineRule="auto"/>
        <w:jc w:val="both"/>
        <w:rPr>
          <w:rFonts w:eastAsia="Times New Roman"/>
          <w:lang w:val="es-DO" w:eastAsia="es-DO"/>
        </w:rPr>
      </w:pPr>
    </w:p>
    <w:p w14:paraId="7205C829" w14:textId="14D3180C" w:rsidR="00067949" w:rsidRPr="005C133F" w:rsidRDefault="005D360C" w:rsidP="005C133F">
      <w:pPr>
        <w:pStyle w:val="SUBTITULOM"/>
        <w:spacing w:after="0"/>
      </w:pPr>
      <w:bookmarkStart w:id="22" w:name="_Toc219121837"/>
      <w:r w:rsidRPr="005C133F">
        <w:lastRenderedPageBreak/>
        <w:t>3.1.1</w:t>
      </w:r>
      <w:r w:rsidR="002E0CA6" w:rsidRPr="005C133F">
        <w:t xml:space="preserve"> Protección de la población en el aseguramiento en salud y riesgos laborales</w:t>
      </w:r>
      <w:r w:rsidR="00AF79D1" w:rsidRPr="005C133F">
        <w:t xml:space="preserve"> (afiliación)</w:t>
      </w:r>
      <w:bookmarkEnd w:id="22"/>
      <w:r w:rsidR="00AF79D1" w:rsidRPr="005C133F">
        <w:t xml:space="preserve"> </w:t>
      </w:r>
    </w:p>
    <w:p w14:paraId="33C33BC1" w14:textId="77777777" w:rsidR="00067949" w:rsidRPr="00F31393" w:rsidRDefault="00067949" w:rsidP="0036251E">
      <w:pPr>
        <w:rPr>
          <w:lang w:val="es-DO"/>
        </w:rPr>
      </w:pPr>
    </w:p>
    <w:p w14:paraId="0391319C" w14:textId="4640D17D" w:rsidR="00B514E6" w:rsidRPr="005C133F" w:rsidRDefault="00D50623" w:rsidP="005C133F">
      <w:pPr>
        <w:spacing w:after="0" w:line="360" w:lineRule="auto"/>
        <w:jc w:val="both"/>
        <w:rPr>
          <w:rFonts w:eastAsia="Times New Roman"/>
          <w:b/>
          <w:lang w:val="es-DO" w:eastAsia="es-DO"/>
        </w:rPr>
      </w:pPr>
      <w:r w:rsidRPr="005C133F">
        <w:rPr>
          <w:rFonts w:eastAsia="Times New Roman"/>
          <w:lang w:val="es-DO" w:eastAsia="es-DO"/>
        </w:rPr>
        <w:t>Con el objetivo de fortalecer la protección en salud de la población afiliada</w:t>
      </w:r>
      <w:r w:rsidR="00067949" w:rsidRPr="005C133F">
        <w:rPr>
          <w:rFonts w:eastAsia="Times New Roman"/>
          <w:lang w:val="es-DO" w:eastAsia="es-DO"/>
        </w:rPr>
        <w:t>, incluyendo los pensionados</w:t>
      </w:r>
      <w:r w:rsidR="00E71695" w:rsidRPr="005C133F">
        <w:rPr>
          <w:rFonts w:eastAsia="Times New Roman"/>
          <w:lang w:val="es-DO" w:eastAsia="es-DO"/>
        </w:rPr>
        <w:t>,</w:t>
      </w:r>
      <w:r w:rsidR="00067949" w:rsidRPr="005C133F">
        <w:rPr>
          <w:rFonts w:eastAsia="Times New Roman"/>
          <w:lang w:val="es-DO" w:eastAsia="es-DO"/>
        </w:rPr>
        <w:t xml:space="preserve"> jubilados, y grupos </w:t>
      </w:r>
      <w:r w:rsidR="002A33BA" w:rsidRPr="005C133F">
        <w:rPr>
          <w:rFonts w:eastAsia="Times New Roman"/>
          <w:lang w:val="es-DO" w:eastAsia="es-DO"/>
        </w:rPr>
        <w:t xml:space="preserve">en condición de </w:t>
      </w:r>
      <w:r w:rsidR="002A14AE" w:rsidRPr="005C133F">
        <w:rPr>
          <w:rFonts w:eastAsia="Times New Roman"/>
          <w:lang w:val="es-DO" w:eastAsia="es-DO"/>
        </w:rPr>
        <w:t>vulnerabilidad</w:t>
      </w:r>
      <w:r w:rsidR="00067949" w:rsidRPr="005C133F">
        <w:rPr>
          <w:rFonts w:eastAsia="Times New Roman"/>
          <w:lang w:val="es-DO" w:eastAsia="es-DO"/>
        </w:rPr>
        <w:t>, durante el año 202</w:t>
      </w:r>
      <w:r w:rsidR="00576132" w:rsidRPr="005C133F">
        <w:rPr>
          <w:rFonts w:eastAsia="Times New Roman"/>
          <w:lang w:val="es-DO" w:eastAsia="es-DO"/>
        </w:rPr>
        <w:t>5, se r</w:t>
      </w:r>
      <w:r w:rsidR="00EC5DA6" w:rsidRPr="005C133F">
        <w:rPr>
          <w:rFonts w:eastAsia="Times New Roman"/>
          <w:lang w:val="es-DO" w:eastAsia="es-DO"/>
        </w:rPr>
        <w:t>ealizaron j</w:t>
      </w:r>
      <w:r w:rsidR="00681F0A" w:rsidRPr="005C133F">
        <w:rPr>
          <w:rFonts w:eastAsia="Times New Roman"/>
          <w:lang w:val="es-DO" w:eastAsia="es-DO"/>
        </w:rPr>
        <w:t>ornadas de supervisión</w:t>
      </w:r>
      <w:r w:rsidR="00314C49" w:rsidRPr="005C133F">
        <w:rPr>
          <w:rFonts w:eastAsia="Times New Roman"/>
          <w:lang w:val="es-DO" w:eastAsia="es-DO"/>
        </w:rPr>
        <w:t xml:space="preserve"> técnica orientadas a evaluar y mejorar la gestión de la afiliación al Régimen Subsidiado y a los Planes de Servicios de Salud Especial Transitorio (PSSET). </w:t>
      </w:r>
      <w:r w:rsidR="00681F0A" w:rsidRPr="005C133F">
        <w:rPr>
          <w:rFonts w:eastAsia="Times New Roman"/>
          <w:lang w:val="es-DO" w:eastAsia="es-DO"/>
        </w:rPr>
        <w:t xml:space="preserve"> </w:t>
      </w:r>
      <w:r w:rsidR="009917AB" w:rsidRPr="005C133F">
        <w:rPr>
          <w:rFonts w:eastAsia="Times New Roman"/>
          <w:lang w:val="es-DO" w:eastAsia="es-DO"/>
        </w:rPr>
        <w:t>Como resultados de estas jornadas se elaboraron</w:t>
      </w:r>
      <w:r w:rsidR="00681F0A" w:rsidRPr="005C133F">
        <w:rPr>
          <w:rFonts w:eastAsia="Times New Roman"/>
          <w:lang w:val="es-DO" w:eastAsia="es-DO"/>
        </w:rPr>
        <w:t xml:space="preserve"> c</w:t>
      </w:r>
      <w:r w:rsidR="00B514E6" w:rsidRPr="005C133F">
        <w:rPr>
          <w:rFonts w:eastAsia="Times New Roman"/>
          <w:lang w:val="es-DO" w:eastAsia="es-DO"/>
        </w:rPr>
        <w:t xml:space="preserve">inco (5) informes </w:t>
      </w:r>
      <w:r w:rsidR="00726B3F" w:rsidRPr="005C133F">
        <w:rPr>
          <w:rFonts w:eastAsia="Times New Roman"/>
          <w:lang w:val="es-DO" w:eastAsia="es-DO"/>
        </w:rPr>
        <w:t>de supervisión, cuyos principales hallazgos y acciones</w:t>
      </w:r>
      <w:r w:rsidR="00BD22CD" w:rsidRPr="005C133F">
        <w:rPr>
          <w:rFonts w:eastAsia="Times New Roman"/>
          <w:lang w:val="es-DO" w:eastAsia="es-DO"/>
        </w:rPr>
        <w:t xml:space="preserve"> se describen </w:t>
      </w:r>
      <w:r w:rsidR="00B514E6" w:rsidRPr="005C133F">
        <w:rPr>
          <w:rFonts w:eastAsia="Times New Roman"/>
          <w:lang w:val="es-DO" w:eastAsia="es-DO"/>
        </w:rPr>
        <w:t xml:space="preserve">a continuación: </w:t>
      </w:r>
    </w:p>
    <w:p w14:paraId="4D4A1C83" w14:textId="19B00C90" w:rsidR="0021376B" w:rsidRPr="005C133F" w:rsidRDefault="0021376B">
      <w:pPr>
        <w:pStyle w:val="NormalWeb"/>
        <w:numPr>
          <w:ilvl w:val="0"/>
          <w:numId w:val="57"/>
        </w:numPr>
        <w:spacing w:after="0" w:afterAutospacing="0" w:line="360" w:lineRule="auto"/>
        <w:jc w:val="both"/>
        <w:rPr>
          <w:color w:val="767171"/>
          <w:spacing w:val="20"/>
        </w:rPr>
      </w:pPr>
      <w:r w:rsidRPr="005C133F">
        <w:rPr>
          <w:color w:val="767171"/>
          <w:spacing w:val="20"/>
        </w:rPr>
        <w:t>Gestión efectiva de la cartera del Régimen Subsidiado</w:t>
      </w:r>
      <w:r w:rsidR="00F242DE" w:rsidRPr="005C133F">
        <w:rPr>
          <w:color w:val="767171"/>
          <w:spacing w:val="20"/>
        </w:rPr>
        <w:t xml:space="preserve">.   </w:t>
      </w:r>
      <w:r w:rsidR="00EB6FEB" w:rsidRPr="005C133F">
        <w:rPr>
          <w:color w:val="767171"/>
          <w:spacing w:val="20"/>
        </w:rPr>
        <w:t>Se evaluaron</w:t>
      </w:r>
      <w:r w:rsidR="00E73565" w:rsidRPr="005C133F">
        <w:rPr>
          <w:color w:val="767171"/>
          <w:spacing w:val="20"/>
        </w:rPr>
        <w:t xml:space="preserve"> </w:t>
      </w:r>
      <w:r w:rsidRPr="005C133F">
        <w:rPr>
          <w:color w:val="767171"/>
          <w:spacing w:val="20"/>
        </w:rPr>
        <w:t>los procesos de afiliación de la población elegible de este régimen</w:t>
      </w:r>
      <w:r w:rsidR="00E73565" w:rsidRPr="005C133F">
        <w:rPr>
          <w:color w:val="767171"/>
          <w:spacing w:val="20"/>
        </w:rPr>
        <w:t xml:space="preserve"> con el propósito de optimizar su gestión</w:t>
      </w:r>
      <w:r w:rsidRPr="005C133F">
        <w:rPr>
          <w:color w:val="767171"/>
          <w:spacing w:val="20"/>
        </w:rPr>
        <w:t xml:space="preserve">.  </w:t>
      </w:r>
      <w:r w:rsidR="00E73565" w:rsidRPr="005C133F">
        <w:rPr>
          <w:color w:val="767171"/>
          <w:spacing w:val="20"/>
        </w:rPr>
        <w:t xml:space="preserve">La </w:t>
      </w:r>
      <w:r w:rsidRPr="005C133F">
        <w:rPr>
          <w:color w:val="767171"/>
          <w:spacing w:val="20"/>
        </w:rPr>
        <w:t xml:space="preserve">supervisión </w:t>
      </w:r>
      <w:r w:rsidR="00E73565" w:rsidRPr="005C133F">
        <w:rPr>
          <w:color w:val="767171"/>
          <w:spacing w:val="20"/>
        </w:rPr>
        <w:t>abarcó siete (</w:t>
      </w:r>
      <w:r w:rsidRPr="005C133F">
        <w:rPr>
          <w:color w:val="767171"/>
          <w:spacing w:val="20"/>
        </w:rPr>
        <w:t>7</w:t>
      </w:r>
      <w:r w:rsidR="00E73565" w:rsidRPr="005C133F">
        <w:rPr>
          <w:color w:val="767171"/>
          <w:spacing w:val="20"/>
        </w:rPr>
        <w:t>)</w:t>
      </w:r>
      <w:r w:rsidRPr="005C133F">
        <w:rPr>
          <w:color w:val="767171"/>
          <w:spacing w:val="20"/>
        </w:rPr>
        <w:t xml:space="preserve"> Oficinas Regionales de la ARS SeNaSa, en las </w:t>
      </w:r>
      <w:r w:rsidR="00E73565" w:rsidRPr="005C133F">
        <w:rPr>
          <w:color w:val="767171"/>
          <w:spacing w:val="20"/>
        </w:rPr>
        <w:t xml:space="preserve">cuales </w:t>
      </w:r>
      <w:r w:rsidRPr="005C133F">
        <w:rPr>
          <w:color w:val="767171"/>
          <w:spacing w:val="20"/>
        </w:rPr>
        <w:t>no fueron encontradas no conformidades</w:t>
      </w:r>
      <w:r w:rsidR="00D17F38" w:rsidRPr="005C133F">
        <w:rPr>
          <w:color w:val="767171"/>
          <w:spacing w:val="20"/>
        </w:rPr>
        <w:t xml:space="preserve"> en la muestra seleccionada</w:t>
      </w:r>
      <w:r w:rsidRPr="005C133F">
        <w:rPr>
          <w:color w:val="767171"/>
          <w:spacing w:val="20"/>
        </w:rPr>
        <w:t>.  Los resultados evidencian el fortalecimiento de la gestión</w:t>
      </w:r>
      <w:r w:rsidR="00E73565" w:rsidRPr="005C133F">
        <w:rPr>
          <w:color w:val="767171"/>
          <w:spacing w:val="20"/>
        </w:rPr>
        <w:t xml:space="preserve"> institucional</w:t>
      </w:r>
      <w:r w:rsidRPr="005C133F">
        <w:rPr>
          <w:color w:val="767171"/>
          <w:spacing w:val="20"/>
        </w:rPr>
        <w:t xml:space="preserve"> para garantizar la protección en salud del 54% de la población dominicana afiliada de este régimen.</w:t>
      </w:r>
    </w:p>
    <w:p w14:paraId="124455EC" w14:textId="6C689295" w:rsidR="0021376B" w:rsidRPr="005C133F" w:rsidRDefault="0021376B">
      <w:pPr>
        <w:pStyle w:val="NormalWeb"/>
        <w:numPr>
          <w:ilvl w:val="0"/>
          <w:numId w:val="57"/>
        </w:numPr>
        <w:spacing w:after="0" w:afterAutospacing="0" w:line="360" w:lineRule="auto"/>
        <w:jc w:val="both"/>
        <w:rPr>
          <w:color w:val="767171"/>
          <w:spacing w:val="20"/>
        </w:rPr>
      </w:pPr>
      <w:r w:rsidRPr="005C133F">
        <w:rPr>
          <w:color w:val="767171"/>
          <w:spacing w:val="20"/>
        </w:rPr>
        <w:t>Gestión de la afiliación de niños, niñas y adolescentes huérfanos</w:t>
      </w:r>
      <w:r w:rsidR="000E6973" w:rsidRPr="005C133F">
        <w:rPr>
          <w:color w:val="767171"/>
          <w:spacing w:val="20"/>
        </w:rPr>
        <w:t xml:space="preserve"> en el Régimen Subsidiado. </w:t>
      </w:r>
      <w:r w:rsidR="00A343EE" w:rsidRPr="005C133F">
        <w:rPr>
          <w:color w:val="767171"/>
          <w:spacing w:val="20"/>
        </w:rPr>
        <w:t xml:space="preserve">En cumplimiento de </w:t>
      </w:r>
      <w:r w:rsidRPr="005C133F">
        <w:rPr>
          <w:color w:val="767171"/>
          <w:spacing w:val="20"/>
        </w:rPr>
        <w:t xml:space="preserve">la Resolución CNSS núm. 367-02, </w:t>
      </w:r>
      <w:r w:rsidR="00A343EE" w:rsidRPr="005C133F">
        <w:rPr>
          <w:color w:val="767171"/>
          <w:spacing w:val="20"/>
        </w:rPr>
        <w:t xml:space="preserve">se superviso </w:t>
      </w:r>
      <w:r w:rsidR="00C5211D" w:rsidRPr="005C133F">
        <w:rPr>
          <w:color w:val="767171"/>
          <w:spacing w:val="20"/>
        </w:rPr>
        <w:t xml:space="preserve">la gestión de la afiliación </w:t>
      </w:r>
      <w:r w:rsidR="003130C9" w:rsidRPr="005C133F">
        <w:rPr>
          <w:color w:val="767171"/>
          <w:spacing w:val="20"/>
        </w:rPr>
        <w:t xml:space="preserve">de esta población vulnerable </w:t>
      </w:r>
      <w:r w:rsidRPr="005C133F">
        <w:rPr>
          <w:color w:val="767171"/>
          <w:spacing w:val="20"/>
        </w:rPr>
        <w:t xml:space="preserve">en 6 Oficinas Regionales y la Oficina </w:t>
      </w:r>
      <w:r w:rsidR="00152274" w:rsidRPr="005C133F">
        <w:rPr>
          <w:color w:val="767171"/>
          <w:spacing w:val="20"/>
        </w:rPr>
        <w:t>de la ARS SeNaSa</w:t>
      </w:r>
      <w:r w:rsidRPr="005C133F">
        <w:rPr>
          <w:color w:val="767171"/>
          <w:spacing w:val="20"/>
        </w:rPr>
        <w:t xml:space="preserve">. </w:t>
      </w:r>
      <w:r w:rsidR="003130C9" w:rsidRPr="005C133F">
        <w:rPr>
          <w:color w:val="767171"/>
          <w:spacing w:val="20"/>
        </w:rPr>
        <w:t>Se identificaron</w:t>
      </w:r>
      <w:r w:rsidRPr="005C133F">
        <w:rPr>
          <w:color w:val="767171"/>
          <w:spacing w:val="20"/>
        </w:rPr>
        <w:t xml:space="preserve"> un conjunto de hallazgos y</w:t>
      </w:r>
      <w:r w:rsidR="007560C5" w:rsidRPr="005C133F">
        <w:rPr>
          <w:color w:val="767171"/>
          <w:spacing w:val="20"/>
        </w:rPr>
        <w:t xml:space="preserve"> se formularon</w:t>
      </w:r>
      <w:r w:rsidRPr="005C133F">
        <w:rPr>
          <w:color w:val="767171"/>
          <w:spacing w:val="20"/>
        </w:rPr>
        <w:t xml:space="preserve"> recomendaciones de mejora</w:t>
      </w:r>
      <w:r w:rsidR="003058E8" w:rsidRPr="005C133F">
        <w:rPr>
          <w:color w:val="767171"/>
          <w:spacing w:val="20"/>
        </w:rPr>
        <w:t xml:space="preserve"> orientadas a</w:t>
      </w:r>
      <w:r w:rsidRPr="005C133F">
        <w:rPr>
          <w:color w:val="767171"/>
          <w:spacing w:val="20"/>
        </w:rPr>
        <w:t xml:space="preserve"> fortalecer los procesos de afiliación </w:t>
      </w:r>
      <w:r w:rsidR="003058E8" w:rsidRPr="005C133F">
        <w:rPr>
          <w:color w:val="767171"/>
          <w:spacing w:val="20"/>
        </w:rPr>
        <w:t xml:space="preserve">y </w:t>
      </w:r>
      <w:r w:rsidR="00AC1851" w:rsidRPr="005C133F">
        <w:rPr>
          <w:color w:val="767171"/>
          <w:spacing w:val="20"/>
        </w:rPr>
        <w:t>garantizar su efectiva inclusión en el sistema</w:t>
      </w:r>
      <w:r w:rsidRPr="005C133F">
        <w:rPr>
          <w:color w:val="767171"/>
          <w:spacing w:val="20"/>
        </w:rPr>
        <w:t>.</w:t>
      </w:r>
    </w:p>
    <w:p w14:paraId="51EF0502" w14:textId="27425563" w:rsidR="0021376B" w:rsidRPr="005C133F" w:rsidRDefault="0021376B">
      <w:pPr>
        <w:pStyle w:val="NormalWeb"/>
        <w:numPr>
          <w:ilvl w:val="0"/>
          <w:numId w:val="57"/>
        </w:numPr>
        <w:spacing w:after="0" w:afterAutospacing="0" w:line="360" w:lineRule="auto"/>
        <w:jc w:val="both"/>
        <w:rPr>
          <w:color w:val="767171"/>
          <w:spacing w:val="20"/>
        </w:rPr>
      </w:pPr>
      <w:r w:rsidRPr="005C133F">
        <w:rPr>
          <w:color w:val="767171"/>
          <w:spacing w:val="20"/>
        </w:rPr>
        <w:lastRenderedPageBreak/>
        <w:t xml:space="preserve">Seguimiento </w:t>
      </w:r>
      <w:r w:rsidR="00E22CC1" w:rsidRPr="005C133F">
        <w:rPr>
          <w:color w:val="767171"/>
          <w:spacing w:val="20"/>
        </w:rPr>
        <w:t>al</w:t>
      </w:r>
      <w:r w:rsidRPr="005C133F">
        <w:rPr>
          <w:color w:val="767171"/>
          <w:spacing w:val="20"/>
        </w:rPr>
        <w:t xml:space="preserve"> Plan de Acción </w:t>
      </w:r>
      <w:r w:rsidR="00B70E69" w:rsidRPr="005C133F">
        <w:rPr>
          <w:color w:val="767171"/>
          <w:spacing w:val="20"/>
        </w:rPr>
        <w:t xml:space="preserve">sobre afiliación de dependientes menores en escuelas públicas.  </w:t>
      </w:r>
      <w:r w:rsidR="005D7D83" w:rsidRPr="005C133F">
        <w:rPr>
          <w:color w:val="767171"/>
          <w:spacing w:val="20"/>
        </w:rPr>
        <w:t>Se dio seguimiento a la implementación del plan de acción derivado de la supervisión</w:t>
      </w:r>
      <w:r w:rsidRPr="005C133F">
        <w:rPr>
          <w:color w:val="767171"/>
          <w:spacing w:val="20"/>
        </w:rPr>
        <w:t xml:space="preserve"> a la afiliación de los dependientes menores afiliados al Régimen Subsidiado, levantada en las escuelas públicas. Esta </w:t>
      </w:r>
      <w:r w:rsidR="00863132" w:rsidRPr="005C133F">
        <w:rPr>
          <w:color w:val="767171"/>
          <w:spacing w:val="20"/>
        </w:rPr>
        <w:t>acción involucró nueve</w:t>
      </w:r>
      <w:r w:rsidRPr="005C133F">
        <w:rPr>
          <w:color w:val="767171"/>
          <w:spacing w:val="20"/>
        </w:rPr>
        <w:t xml:space="preserve"> </w:t>
      </w:r>
      <w:r w:rsidR="00863132" w:rsidRPr="005C133F">
        <w:rPr>
          <w:color w:val="767171"/>
          <w:spacing w:val="20"/>
        </w:rPr>
        <w:t>(</w:t>
      </w:r>
      <w:r w:rsidRPr="005C133F">
        <w:rPr>
          <w:color w:val="767171"/>
          <w:spacing w:val="20"/>
        </w:rPr>
        <w:t>9</w:t>
      </w:r>
      <w:r w:rsidR="00863132" w:rsidRPr="005C133F">
        <w:rPr>
          <w:color w:val="767171"/>
          <w:spacing w:val="20"/>
        </w:rPr>
        <w:t>)</w:t>
      </w:r>
      <w:r w:rsidRPr="005C133F">
        <w:rPr>
          <w:color w:val="767171"/>
          <w:spacing w:val="20"/>
        </w:rPr>
        <w:t xml:space="preserve"> Oficinas Regionales </w:t>
      </w:r>
      <w:r w:rsidR="004718A3" w:rsidRPr="005C133F">
        <w:rPr>
          <w:color w:val="767171"/>
          <w:spacing w:val="20"/>
        </w:rPr>
        <w:t>y</w:t>
      </w:r>
      <w:r w:rsidRPr="005C133F">
        <w:rPr>
          <w:color w:val="767171"/>
          <w:spacing w:val="20"/>
        </w:rPr>
        <w:t xml:space="preserve"> la Oficina Principal de</w:t>
      </w:r>
      <w:r w:rsidR="004718A3" w:rsidRPr="005C133F">
        <w:rPr>
          <w:color w:val="767171"/>
          <w:spacing w:val="20"/>
        </w:rPr>
        <w:t xml:space="preserve"> la ARS</w:t>
      </w:r>
      <w:r w:rsidRPr="005C133F">
        <w:rPr>
          <w:color w:val="767171"/>
          <w:spacing w:val="20"/>
        </w:rPr>
        <w:t xml:space="preserve"> SeNaSa. </w:t>
      </w:r>
      <w:r w:rsidR="004718A3" w:rsidRPr="005C133F">
        <w:rPr>
          <w:color w:val="767171"/>
          <w:spacing w:val="20"/>
        </w:rPr>
        <w:t>Los</w:t>
      </w:r>
      <w:r w:rsidRPr="005C133F">
        <w:rPr>
          <w:color w:val="767171"/>
          <w:spacing w:val="20"/>
        </w:rPr>
        <w:t xml:space="preserve"> hallazgos </w:t>
      </w:r>
      <w:r w:rsidR="004718A3" w:rsidRPr="005C133F">
        <w:rPr>
          <w:color w:val="767171"/>
          <w:spacing w:val="20"/>
        </w:rPr>
        <w:t xml:space="preserve">identificados </w:t>
      </w:r>
      <w:r w:rsidRPr="005C133F">
        <w:rPr>
          <w:color w:val="767171"/>
          <w:spacing w:val="20"/>
        </w:rPr>
        <w:t xml:space="preserve">y </w:t>
      </w:r>
      <w:r w:rsidR="004718A3" w:rsidRPr="005C133F">
        <w:rPr>
          <w:color w:val="767171"/>
          <w:spacing w:val="20"/>
        </w:rPr>
        <w:t xml:space="preserve">las </w:t>
      </w:r>
      <w:r w:rsidRPr="005C133F">
        <w:rPr>
          <w:color w:val="767171"/>
          <w:spacing w:val="20"/>
        </w:rPr>
        <w:t xml:space="preserve">recomendaciones </w:t>
      </w:r>
      <w:r w:rsidR="004A0180" w:rsidRPr="005C133F">
        <w:rPr>
          <w:color w:val="767171"/>
          <w:spacing w:val="20"/>
        </w:rPr>
        <w:t xml:space="preserve">formuladas </w:t>
      </w:r>
      <w:r w:rsidR="00B743C2" w:rsidRPr="005C133F">
        <w:rPr>
          <w:color w:val="767171"/>
          <w:spacing w:val="20"/>
        </w:rPr>
        <w:t>buscan ampliar</w:t>
      </w:r>
      <w:r w:rsidRPr="005C133F">
        <w:rPr>
          <w:color w:val="767171"/>
          <w:spacing w:val="20"/>
        </w:rPr>
        <w:t xml:space="preserve"> y fortalecer la afiliación de esta población</w:t>
      </w:r>
      <w:r w:rsidR="004A0180" w:rsidRPr="005C133F">
        <w:rPr>
          <w:color w:val="767171"/>
          <w:spacing w:val="20"/>
        </w:rPr>
        <w:t>,</w:t>
      </w:r>
      <w:r w:rsidRPr="005C133F">
        <w:rPr>
          <w:color w:val="767171"/>
          <w:spacing w:val="20"/>
        </w:rPr>
        <w:t xml:space="preserve"> a fin de asegurar su protección en salud. </w:t>
      </w:r>
    </w:p>
    <w:p w14:paraId="599FEC40" w14:textId="7449B421" w:rsidR="0021376B" w:rsidRPr="005C133F" w:rsidRDefault="00A803F5">
      <w:pPr>
        <w:pStyle w:val="NormalWeb"/>
        <w:numPr>
          <w:ilvl w:val="0"/>
          <w:numId w:val="57"/>
        </w:numPr>
        <w:spacing w:after="0" w:afterAutospacing="0" w:line="360" w:lineRule="auto"/>
        <w:jc w:val="both"/>
        <w:rPr>
          <w:color w:val="767171"/>
          <w:spacing w:val="20"/>
        </w:rPr>
      </w:pPr>
      <w:r w:rsidRPr="005C133F">
        <w:rPr>
          <w:color w:val="767171"/>
          <w:spacing w:val="20"/>
        </w:rPr>
        <w:t xml:space="preserve">Supervisión del </w:t>
      </w:r>
      <w:r w:rsidR="0021376B" w:rsidRPr="005C133F">
        <w:rPr>
          <w:color w:val="767171"/>
          <w:spacing w:val="20"/>
        </w:rPr>
        <w:t>Plan de Servicios de Salud Especial Transitorio (PSSET)</w:t>
      </w:r>
      <w:r w:rsidR="003B7613" w:rsidRPr="005C133F">
        <w:rPr>
          <w:color w:val="767171"/>
          <w:spacing w:val="20"/>
        </w:rPr>
        <w:t xml:space="preserve"> - ARS CMD</w:t>
      </w:r>
      <w:r w:rsidR="007B6DE6" w:rsidRPr="005C133F">
        <w:rPr>
          <w:color w:val="767171"/>
          <w:spacing w:val="20"/>
        </w:rPr>
        <w:t>. En el marco del</w:t>
      </w:r>
      <w:r w:rsidR="00F1060D" w:rsidRPr="005C133F">
        <w:rPr>
          <w:color w:val="767171"/>
          <w:spacing w:val="20"/>
        </w:rPr>
        <w:t xml:space="preserve"> </w:t>
      </w:r>
      <w:r w:rsidR="0021376B" w:rsidRPr="005C133F">
        <w:rPr>
          <w:color w:val="767171"/>
          <w:spacing w:val="20"/>
        </w:rPr>
        <w:t xml:space="preserve">Decreto núm. 371-16, </w:t>
      </w:r>
      <w:r w:rsidR="00AA24B4" w:rsidRPr="005C133F">
        <w:rPr>
          <w:color w:val="767171"/>
          <w:spacing w:val="20"/>
        </w:rPr>
        <w:t>se superviso la gestión del PSSET</w:t>
      </w:r>
      <w:r w:rsidR="003B7613" w:rsidRPr="005C133F">
        <w:rPr>
          <w:color w:val="767171"/>
          <w:spacing w:val="20"/>
        </w:rPr>
        <w:t xml:space="preserve"> en la </w:t>
      </w:r>
      <w:r w:rsidR="0021376B" w:rsidRPr="005C133F">
        <w:rPr>
          <w:color w:val="767171"/>
          <w:spacing w:val="20"/>
        </w:rPr>
        <w:t>Oficina Principal de la ARS</w:t>
      </w:r>
      <w:r w:rsidR="00EA7800" w:rsidRPr="005C133F">
        <w:rPr>
          <w:color w:val="767171"/>
          <w:spacing w:val="20"/>
        </w:rPr>
        <w:t xml:space="preserve"> CMD</w:t>
      </w:r>
      <w:r w:rsidR="0021376B" w:rsidRPr="005C133F">
        <w:rPr>
          <w:color w:val="767171"/>
          <w:spacing w:val="20"/>
        </w:rPr>
        <w:t xml:space="preserve"> de Santo Domingo. Se identificaron hallazgos y se </w:t>
      </w:r>
      <w:r w:rsidR="00EA7800" w:rsidRPr="005C133F">
        <w:rPr>
          <w:color w:val="767171"/>
          <w:spacing w:val="20"/>
        </w:rPr>
        <w:t xml:space="preserve">emitieron </w:t>
      </w:r>
      <w:r w:rsidR="00B743C2" w:rsidRPr="005C133F">
        <w:rPr>
          <w:color w:val="767171"/>
          <w:spacing w:val="20"/>
        </w:rPr>
        <w:t>recomendaciones dirigidas</w:t>
      </w:r>
      <w:r w:rsidR="0021376B" w:rsidRPr="005C133F">
        <w:rPr>
          <w:color w:val="767171"/>
          <w:spacing w:val="20"/>
        </w:rPr>
        <w:t xml:space="preserve"> a la mejora en la calidad y eficiencia de los servicios a sus afiliados.</w:t>
      </w:r>
    </w:p>
    <w:p w14:paraId="4CDA853B" w14:textId="325DD164" w:rsidR="0021376B" w:rsidRPr="005C133F" w:rsidRDefault="00821AFF">
      <w:pPr>
        <w:pStyle w:val="NormalWeb"/>
        <w:numPr>
          <w:ilvl w:val="0"/>
          <w:numId w:val="57"/>
        </w:numPr>
        <w:spacing w:before="0" w:beforeAutospacing="0" w:after="0" w:afterAutospacing="0" w:line="360" w:lineRule="auto"/>
        <w:jc w:val="both"/>
        <w:rPr>
          <w:color w:val="767171"/>
          <w:spacing w:val="20"/>
        </w:rPr>
      </w:pPr>
      <w:r w:rsidRPr="005C133F">
        <w:rPr>
          <w:color w:val="767171"/>
          <w:spacing w:val="20"/>
        </w:rPr>
        <w:t xml:space="preserve">Supervisión </w:t>
      </w:r>
      <w:r w:rsidR="0021376B" w:rsidRPr="005C133F">
        <w:rPr>
          <w:color w:val="767171"/>
          <w:spacing w:val="20"/>
        </w:rPr>
        <w:t xml:space="preserve">del Plan de Acción sobre la gestión de la </w:t>
      </w:r>
      <w:r w:rsidR="00835344" w:rsidRPr="005C133F">
        <w:rPr>
          <w:color w:val="767171"/>
          <w:spacing w:val="20"/>
        </w:rPr>
        <w:t>afiliación en</w:t>
      </w:r>
      <w:r w:rsidR="0021376B" w:rsidRPr="005C133F">
        <w:rPr>
          <w:color w:val="767171"/>
          <w:spacing w:val="20"/>
        </w:rPr>
        <w:t xml:space="preserve"> el PSSET de los pensionados y jubilados afiliados a la ARS SEMMA</w:t>
      </w:r>
      <w:r w:rsidR="00835344" w:rsidRPr="005C133F">
        <w:rPr>
          <w:color w:val="767171"/>
          <w:spacing w:val="20"/>
        </w:rPr>
        <w:t>.  Conforme al</w:t>
      </w:r>
      <w:r w:rsidR="0021376B" w:rsidRPr="005C133F">
        <w:rPr>
          <w:color w:val="767171"/>
          <w:spacing w:val="20"/>
        </w:rPr>
        <w:t xml:space="preserve"> Decreto Núm. 342-09</w:t>
      </w:r>
      <w:r w:rsidR="004F1492" w:rsidRPr="005C133F">
        <w:rPr>
          <w:color w:val="767171"/>
          <w:spacing w:val="20"/>
        </w:rPr>
        <w:t xml:space="preserve"> se realizó una</w:t>
      </w:r>
      <w:r w:rsidR="0021376B" w:rsidRPr="005C133F">
        <w:rPr>
          <w:color w:val="767171"/>
          <w:spacing w:val="20"/>
        </w:rPr>
        <w:t xml:space="preserve"> supervisión </w:t>
      </w:r>
      <w:r w:rsidR="004F1492" w:rsidRPr="005C133F">
        <w:rPr>
          <w:color w:val="767171"/>
          <w:spacing w:val="20"/>
        </w:rPr>
        <w:t>a</w:t>
      </w:r>
      <w:r w:rsidR="0021376B" w:rsidRPr="005C133F">
        <w:rPr>
          <w:color w:val="767171"/>
          <w:spacing w:val="20"/>
        </w:rPr>
        <w:t xml:space="preserve"> la Oficina Principal de </w:t>
      </w:r>
      <w:r w:rsidR="004F1492" w:rsidRPr="005C133F">
        <w:rPr>
          <w:color w:val="767171"/>
          <w:spacing w:val="20"/>
        </w:rPr>
        <w:t>la ARS SEMMA</w:t>
      </w:r>
      <w:r w:rsidR="0021376B" w:rsidRPr="005C133F">
        <w:rPr>
          <w:color w:val="767171"/>
          <w:spacing w:val="20"/>
        </w:rPr>
        <w:t>, ubicada en el Distrito Nacional</w:t>
      </w:r>
      <w:r w:rsidR="004F1492" w:rsidRPr="005C133F">
        <w:rPr>
          <w:color w:val="767171"/>
          <w:spacing w:val="20"/>
        </w:rPr>
        <w:t>,</w:t>
      </w:r>
      <w:r w:rsidR="0021376B" w:rsidRPr="005C133F">
        <w:rPr>
          <w:color w:val="767171"/>
          <w:spacing w:val="20"/>
        </w:rPr>
        <w:t xml:space="preserve"> enfocada </w:t>
      </w:r>
      <w:r w:rsidR="004B0FAB" w:rsidRPr="005C133F">
        <w:rPr>
          <w:color w:val="767171"/>
          <w:spacing w:val="20"/>
        </w:rPr>
        <w:t xml:space="preserve">en </w:t>
      </w:r>
      <w:r w:rsidR="0021376B" w:rsidRPr="005C133F">
        <w:rPr>
          <w:color w:val="767171"/>
          <w:spacing w:val="20"/>
        </w:rPr>
        <w:t>verificar la gestión del proceso de afiliación de los beneficiarios de este Plan de salud</w:t>
      </w:r>
      <w:r w:rsidR="004B0FAB" w:rsidRPr="005C133F">
        <w:rPr>
          <w:color w:val="767171"/>
          <w:spacing w:val="20"/>
        </w:rPr>
        <w:t>.  Se identificaron</w:t>
      </w:r>
      <w:r w:rsidR="00835344" w:rsidRPr="005C133F">
        <w:rPr>
          <w:color w:val="767171"/>
          <w:spacing w:val="20"/>
        </w:rPr>
        <w:t xml:space="preserve"> </w:t>
      </w:r>
      <w:r w:rsidR="0021376B" w:rsidRPr="005C133F">
        <w:rPr>
          <w:color w:val="767171"/>
          <w:spacing w:val="20"/>
        </w:rPr>
        <w:t>una serie de hallazgos y recomendaciones que contribuirán al fortalecimiento de los procesos de afiliación para asegurar la protección en salud de esta población.</w:t>
      </w:r>
    </w:p>
    <w:p w14:paraId="7DB2D1A5" w14:textId="77777777" w:rsidR="009F0EA4" w:rsidRPr="005C133F" w:rsidRDefault="009F0EA4" w:rsidP="005C133F">
      <w:pPr>
        <w:pStyle w:val="NormalWeb"/>
        <w:spacing w:before="0" w:beforeAutospacing="0" w:after="0" w:afterAutospacing="0" w:line="360" w:lineRule="auto"/>
        <w:ind w:left="720"/>
        <w:jc w:val="both"/>
        <w:rPr>
          <w:color w:val="767171"/>
          <w:spacing w:val="20"/>
        </w:rPr>
      </w:pPr>
    </w:p>
    <w:p w14:paraId="3A3FDD49" w14:textId="5436AC03" w:rsidR="00750475" w:rsidRPr="005C133F" w:rsidRDefault="0021376B" w:rsidP="005C133F">
      <w:pPr>
        <w:pStyle w:val="NormalWeb"/>
        <w:spacing w:before="0" w:beforeAutospacing="0" w:after="0" w:afterAutospacing="0" w:line="360" w:lineRule="auto"/>
        <w:jc w:val="both"/>
        <w:rPr>
          <w:color w:val="767171"/>
          <w:spacing w:val="20"/>
        </w:rPr>
      </w:pPr>
      <w:r w:rsidRPr="005C133F">
        <w:rPr>
          <w:color w:val="767171"/>
          <w:spacing w:val="20"/>
        </w:rPr>
        <w:t xml:space="preserve">Los informes </w:t>
      </w:r>
      <w:r w:rsidR="00835344" w:rsidRPr="005C133F">
        <w:rPr>
          <w:color w:val="767171"/>
          <w:spacing w:val="20"/>
        </w:rPr>
        <w:t xml:space="preserve">derivados </w:t>
      </w:r>
      <w:r w:rsidRPr="005C133F">
        <w:rPr>
          <w:color w:val="767171"/>
          <w:spacing w:val="20"/>
        </w:rPr>
        <w:t xml:space="preserve">de estas supervisiones permitieron </w:t>
      </w:r>
      <w:r w:rsidR="00391B86" w:rsidRPr="005C133F">
        <w:rPr>
          <w:color w:val="767171"/>
          <w:spacing w:val="20"/>
        </w:rPr>
        <w:t>documentar</w:t>
      </w:r>
      <w:r w:rsidRPr="005C133F">
        <w:rPr>
          <w:color w:val="767171"/>
          <w:spacing w:val="20"/>
        </w:rPr>
        <w:t xml:space="preserve"> hallazgos relevantes y </w:t>
      </w:r>
      <w:r w:rsidR="00C01C63" w:rsidRPr="005C133F">
        <w:rPr>
          <w:color w:val="767171"/>
          <w:spacing w:val="20"/>
        </w:rPr>
        <w:t xml:space="preserve">formular </w:t>
      </w:r>
      <w:r w:rsidRPr="005C133F">
        <w:rPr>
          <w:color w:val="767171"/>
          <w:spacing w:val="20"/>
        </w:rPr>
        <w:t>recomendaciones de mejora</w:t>
      </w:r>
      <w:r w:rsidR="004F6886" w:rsidRPr="005C133F">
        <w:rPr>
          <w:color w:val="767171"/>
          <w:spacing w:val="20"/>
        </w:rPr>
        <w:t xml:space="preserve">, </w:t>
      </w:r>
      <w:r w:rsidRPr="005C133F">
        <w:rPr>
          <w:color w:val="767171"/>
          <w:spacing w:val="20"/>
        </w:rPr>
        <w:t xml:space="preserve">cuya implementación contribuirá a una mayor eficientización </w:t>
      </w:r>
      <w:r w:rsidRPr="005C133F">
        <w:rPr>
          <w:color w:val="767171"/>
          <w:spacing w:val="20"/>
        </w:rPr>
        <w:lastRenderedPageBreak/>
        <w:t>y calidad de la gestión de los procesos de afiliación en beneficio de esta población.</w:t>
      </w:r>
    </w:p>
    <w:p w14:paraId="14908E69" w14:textId="77777777" w:rsidR="009F0EA4" w:rsidRPr="005C133F" w:rsidRDefault="009F0EA4" w:rsidP="005C133F">
      <w:pPr>
        <w:pStyle w:val="NormalWeb"/>
        <w:spacing w:before="0" w:beforeAutospacing="0" w:after="0" w:afterAutospacing="0" w:line="360" w:lineRule="auto"/>
        <w:jc w:val="both"/>
        <w:rPr>
          <w:color w:val="767171"/>
          <w:spacing w:val="20"/>
        </w:rPr>
      </w:pPr>
    </w:p>
    <w:p w14:paraId="1E4974D3" w14:textId="33A787C0" w:rsidR="001C7F2E" w:rsidRPr="005C133F" w:rsidRDefault="00732F77" w:rsidP="005C133F">
      <w:pPr>
        <w:pStyle w:val="NormalWeb"/>
        <w:spacing w:before="0" w:beforeAutospacing="0" w:after="0" w:afterAutospacing="0" w:line="360" w:lineRule="auto"/>
        <w:jc w:val="both"/>
        <w:rPr>
          <w:rFonts w:eastAsia="Calibri"/>
          <w:color w:val="767171"/>
          <w:spacing w:val="20"/>
        </w:rPr>
      </w:pPr>
      <w:r w:rsidRPr="005C133F">
        <w:rPr>
          <w:color w:val="767171"/>
          <w:spacing w:val="20"/>
        </w:rPr>
        <w:t>Adicionalmente, como resultado de la acción</w:t>
      </w:r>
      <w:r w:rsidR="0016680E" w:rsidRPr="005C133F">
        <w:rPr>
          <w:color w:val="767171"/>
          <w:spacing w:val="20"/>
        </w:rPr>
        <w:t xml:space="preserve"> coordinada entre la Dirección de Aseguramiento en Salud para el Régimen Subsidiado, la Dirección Jurídica y la Dirección de Atención al Usuario, se </w:t>
      </w:r>
      <w:r w:rsidR="00FA7CC9" w:rsidRPr="005C133F">
        <w:rPr>
          <w:color w:val="767171"/>
          <w:spacing w:val="20"/>
        </w:rPr>
        <w:t>elaboró</w:t>
      </w:r>
      <w:r w:rsidR="0016680E" w:rsidRPr="005C133F">
        <w:rPr>
          <w:color w:val="767171"/>
          <w:spacing w:val="20"/>
        </w:rPr>
        <w:t xml:space="preserve"> un proyecto de resolución administrativa </w:t>
      </w:r>
      <w:r w:rsidR="00DC45A9" w:rsidRPr="005C133F">
        <w:rPr>
          <w:color w:val="767171"/>
          <w:spacing w:val="20"/>
        </w:rPr>
        <w:t>orientado a</w:t>
      </w:r>
      <w:r w:rsidR="0016680E" w:rsidRPr="005C133F">
        <w:rPr>
          <w:color w:val="767171"/>
          <w:spacing w:val="20"/>
        </w:rPr>
        <w:t xml:space="preserve"> establecer los mecanismos para eficientizar y automatizar el proceso de afiliación de la población perteneciente a los planes especiales transitorios de jubilados y pensionados del Estado dominicano, a cargo de la Dirección General de Jubilaciones y Pensionados del Ministerio de Hacienda (DGJP) y la Junta de Retiro y Fondo de Pensiones de las Fuerzas Armadas (JRFPFFAA). </w:t>
      </w:r>
      <w:r w:rsidR="00FA6D74" w:rsidRPr="00FA6D74">
        <w:rPr>
          <w:color w:val="767171"/>
          <w:spacing w:val="20"/>
        </w:rPr>
        <w:t>En diciembre 2025 se realizó una vista pública  con  actores claves del Si</w:t>
      </w:r>
      <w:r w:rsidR="00FA6D74">
        <w:rPr>
          <w:color w:val="767171"/>
          <w:spacing w:val="20"/>
        </w:rPr>
        <w:t>s</w:t>
      </w:r>
      <w:r w:rsidR="00FA6D74" w:rsidRPr="00FA6D74">
        <w:rPr>
          <w:color w:val="767171"/>
          <w:spacing w:val="20"/>
        </w:rPr>
        <w:t>tema</w:t>
      </w:r>
      <w:r w:rsidR="00FA6D74">
        <w:rPr>
          <w:color w:val="767171"/>
          <w:spacing w:val="20"/>
        </w:rPr>
        <w:t>s</w:t>
      </w:r>
      <w:r w:rsidR="00FA6D74" w:rsidRPr="00FA6D74">
        <w:rPr>
          <w:color w:val="767171"/>
          <w:spacing w:val="20"/>
        </w:rPr>
        <w:t xml:space="preserve"> Dominicano de Seguridad Social sobre  el contenido del proyecto</w:t>
      </w:r>
      <w:r w:rsidR="00FA6D74">
        <w:rPr>
          <w:color w:val="767171"/>
          <w:spacing w:val="20"/>
        </w:rPr>
        <w:t xml:space="preserve">, en el marco de la cual se levantaron los aportes que serán incluidos en el documento final. </w:t>
      </w:r>
    </w:p>
    <w:p w14:paraId="3FC34EB1" w14:textId="77777777" w:rsidR="00F1060D" w:rsidRPr="005C133F" w:rsidRDefault="00F1060D" w:rsidP="005C133F">
      <w:pPr>
        <w:pStyle w:val="NormalWeb"/>
        <w:spacing w:before="0" w:beforeAutospacing="0" w:after="0" w:afterAutospacing="0" w:line="360" w:lineRule="auto"/>
        <w:jc w:val="both"/>
        <w:rPr>
          <w:color w:val="767171"/>
          <w:spacing w:val="20"/>
        </w:rPr>
      </w:pPr>
    </w:p>
    <w:p w14:paraId="10F09510" w14:textId="635A1F4C" w:rsidR="00BF3B42" w:rsidRDefault="00CB43D0" w:rsidP="005C133F">
      <w:pPr>
        <w:pStyle w:val="Textoindependiente"/>
        <w:spacing w:line="360" w:lineRule="auto"/>
        <w:jc w:val="both"/>
        <w:rPr>
          <w:rFonts w:eastAsia="Calibri"/>
          <w:b w:val="0"/>
          <w:bCs w:val="0"/>
          <w:i w:val="0"/>
          <w:iCs w:val="0"/>
          <w:noProof/>
          <w:color w:val="767171"/>
          <w:spacing w:val="20"/>
          <w:sz w:val="24"/>
          <w:szCs w:val="24"/>
        </w:rPr>
      </w:pPr>
      <w:r w:rsidRPr="005C133F">
        <w:rPr>
          <w:rFonts w:eastAsia="Calibri"/>
          <w:b w:val="0"/>
          <w:bCs w:val="0"/>
          <w:i w:val="0"/>
          <w:iCs w:val="0"/>
          <w:noProof/>
          <w:color w:val="767171"/>
          <w:spacing w:val="20"/>
          <w:sz w:val="24"/>
          <w:szCs w:val="24"/>
        </w:rPr>
        <w:t>Asimismo, durante</w:t>
      </w:r>
      <w:r w:rsidR="00E22D62" w:rsidRPr="005C133F">
        <w:rPr>
          <w:rFonts w:eastAsia="Calibri"/>
          <w:b w:val="0"/>
          <w:bCs w:val="0"/>
          <w:i w:val="0"/>
          <w:iCs w:val="0"/>
          <w:noProof/>
          <w:color w:val="767171"/>
          <w:spacing w:val="20"/>
          <w:sz w:val="24"/>
          <w:szCs w:val="24"/>
        </w:rPr>
        <w:t xml:space="preserve"> el primer trimetre del año </w:t>
      </w:r>
      <w:r w:rsidR="001C7F2E" w:rsidRPr="005C133F">
        <w:rPr>
          <w:rFonts w:eastAsia="Calibri"/>
          <w:b w:val="0"/>
          <w:bCs w:val="0"/>
          <w:i w:val="0"/>
          <w:iCs w:val="0"/>
          <w:noProof/>
          <w:color w:val="767171"/>
          <w:spacing w:val="20"/>
          <w:sz w:val="24"/>
          <w:szCs w:val="24"/>
        </w:rPr>
        <w:t xml:space="preserve"> se realizó una (1) estimación con los aportes necesarios del Gobierno Central</w:t>
      </w:r>
      <w:r w:rsidR="00E22D62" w:rsidRPr="005C133F">
        <w:rPr>
          <w:rFonts w:eastAsia="Calibri"/>
          <w:b w:val="0"/>
          <w:bCs w:val="0"/>
          <w:i w:val="0"/>
          <w:iCs w:val="0"/>
          <w:noProof/>
          <w:color w:val="767171"/>
          <w:spacing w:val="20"/>
          <w:sz w:val="24"/>
          <w:szCs w:val="24"/>
        </w:rPr>
        <w:t xml:space="preserve"> </w:t>
      </w:r>
      <w:r w:rsidR="001C7F2E" w:rsidRPr="005C133F">
        <w:rPr>
          <w:rFonts w:eastAsia="Calibri"/>
          <w:b w:val="0"/>
          <w:bCs w:val="0"/>
          <w:i w:val="0"/>
          <w:iCs w:val="0"/>
          <w:noProof/>
          <w:color w:val="767171"/>
          <w:spacing w:val="20"/>
          <w:sz w:val="24"/>
          <w:szCs w:val="24"/>
        </w:rPr>
        <w:t>para los Planes Especiales de Pensionados y Jubilados, estos atendiendo a la reducción del aporte de los pensionados al 3.2% y la homologación de la Red de PSS, representando un monto total de RD$576,209,288.00.</w:t>
      </w:r>
    </w:p>
    <w:p w14:paraId="3AF27E2C" w14:textId="77777777" w:rsidR="00BF3B42" w:rsidRDefault="00BF3B42" w:rsidP="005C133F">
      <w:pPr>
        <w:pStyle w:val="Textoindependiente"/>
        <w:spacing w:line="360" w:lineRule="auto"/>
        <w:jc w:val="both"/>
        <w:rPr>
          <w:rFonts w:eastAsia="Calibri"/>
          <w:b w:val="0"/>
          <w:bCs w:val="0"/>
          <w:i w:val="0"/>
          <w:iCs w:val="0"/>
          <w:noProof/>
          <w:color w:val="767171"/>
          <w:spacing w:val="20"/>
          <w:sz w:val="24"/>
          <w:szCs w:val="24"/>
        </w:rPr>
      </w:pPr>
    </w:p>
    <w:p w14:paraId="252B4E4D" w14:textId="77777777" w:rsidR="00BF3B42" w:rsidRDefault="00BF3B42" w:rsidP="005C133F">
      <w:pPr>
        <w:pStyle w:val="Textoindependiente"/>
        <w:spacing w:line="360" w:lineRule="auto"/>
        <w:jc w:val="both"/>
        <w:rPr>
          <w:rFonts w:eastAsia="Calibri"/>
          <w:b w:val="0"/>
          <w:bCs w:val="0"/>
          <w:i w:val="0"/>
          <w:iCs w:val="0"/>
          <w:noProof/>
          <w:color w:val="767171"/>
          <w:spacing w:val="20"/>
          <w:sz w:val="24"/>
          <w:szCs w:val="24"/>
        </w:rPr>
      </w:pPr>
    </w:p>
    <w:p w14:paraId="6833F60E" w14:textId="77777777" w:rsidR="00BF3B42" w:rsidRDefault="00BF3B42" w:rsidP="005C133F">
      <w:pPr>
        <w:pStyle w:val="Textoindependiente"/>
        <w:spacing w:line="360" w:lineRule="auto"/>
        <w:jc w:val="both"/>
        <w:rPr>
          <w:rFonts w:eastAsia="Calibri"/>
          <w:b w:val="0"/>
          <w:bCs w:val="0"/>
          <w:i w:val="0"/>
          <w:iCs w:val="0"/>
          <w:noProof/>
          <w:color w:val="767171"/>
          <w:spacing w:val="20"/>
          <w:sz w:val="24"/>
          <w:szCs w:val="24"/>
        </w:rPr>
      </w:pPr>
    </w:p>
    <w:p w14:paraId="633B947F" w14:textId="77777777" w:rsidR="00BF3B42" w:rsidRDefault="00BF3B42" w:rsidP="005C133F">
      <w:pPr>
        <w:pStyle w:val="Textoindependiente"/>
        <w:spacing w:line="360" w:lineRule="auto"/>
        <w:jc w:val="both"/>
        <w:rPr>
          <w:rFonts w:eastAsia="Calibri"/>
          <w:b w:val="0"/>
          <w:bCs w:val="0"/>
          <w:i w:val="0"/>
          <w:iCs w:val="0"/>
          <w:noProof/>
          <w:color w:val="767171"/>
          <w:spacing w:val="20"/>
          <w:sz w:val="24"/>
          <w:szCs w:val="24"/>
        </w:rPr>
      </w:pPr>
    </w:p>
    <w:p w14:paraId="43219B34" w14:textId="77777777" w:rsidR="00BF3B42" w:rsidRPr="005C133F" w:rsidRDefault="00BF3B42" w:rsidP="005C133F">
      <w:pPr>
        <w:pStyle w:val="Textoindependiente"/>
        <w:spacing w:line="360" w:lineRule="auto"/>
        <w:jc w:val="both"/>
        <w:rPr>
          <w:rFonts w:eastAsia="Calibri"/>
          <w:b w:val="0"/>
          <w:bCs w:val="0"/>
          <w:i w:val="0"/>
          <w:iCs w:val="0"/>
          <w:noProof/>
          <w:color w:val="767171"/>
          <w:spacing w:val="20"/>
          <w:sz w:val="24"/>
          <w:szCs w:val="24"/>
        </w:rPr>
      </w:pPr>
    </w:p>
    <w:p w14:paraId="1CF2FF12" w14:textId="0318A40C" w:rsidR="000415A0" w:rsidRPr="005C133F" w:rsidRDefault="0002357D" w:rsidP="00BF3B42">
      <w:pPr>
        <w:pStyle w:val="SUBTITULOM"/>
        <w:spacing w:before="0" w:after="0"/>
      </w:pPr>
      <w:bookmarkStart w:id="23" w:name="_Toc219121838"/>
      <w:r w:rsidRPr="005C133F">
        <w:lastRenderedPageBreak/>
        <w:t xml:space="preserve">3.1.2 </w:t>
      </w:r>
      <w:r w:rsidR="00104249" w:rsidRPr="005C133F">
        <w:t>Mejoras en las condiciones de acceso a los servicios de salud</w:t>
      </w:r>
      <w:bookmarkEnd w:id="23"/>
    </w:p>
    <w:p w14:paraId="075FFAB9" w14:textId="77777777" w:rsidR="001C7F2E" w:rsidRPr="005C133F" w:rsidRDefault="001C7F2E" w:rsidP="005C133F">
      <w:pPr>
        <w:spacing w:after="0" w:line="360" w:lineRule="auto"/>
        <w:rPr>
          <w:noProof/>
          <w:lang w:val="es-DO"/>
        </w:rPr>
      </w:pPr>
    </w:p>
    <w:p w14:paraId="17772EEF" w14:textId="2F4FA17D" w:rsidR="008B2203" w:rsidRDefault="008B2203" w:rsidP="005C133F">
      <w:pPr>
        <w:spacing w:after="0" w:line="360" w:lineRule="auto"/>
        <w:jc w:val="both"/>
        <w:rPr>
          <w:rFonts w:eastAsia="Calibri"/>
          <w:b/>
          <w:bCs/>
          <w:lang w:val="es-ES"/>
        </w:rPr>
      </w:pPr>
      <w:r w:rsidRPr="005C133F">
        <w:rPr>
          <w:rFonts w:eastAsia="Calibri"/>
          <w:b/>
          <w:bCs/>
          <w:lang w:val="es-ES"/>
        </w:rPr>
        <w:t>Ampliación de cobertura en salud a afiliados del Régimen Subsidiado en los componentes: Plan de Servicios de Salud/Plan Básico de Salud y FONAMAT</w:t>
      </w:r>
    </w:p>
    <w:p w14:paraId="291A7DE7" w14:textId="77777777" w:rsidR="00BF3B42" w:rsidRPr="005C133F" w:rsidRDefault="00BF3B42" w:rsidP="005C133F">
      <w:pPr>
        <w:spacing w:after="0" w:line="360" w:lineRule="auto"/>
        <w:jc w:val="both"/>
        <w:rPr>
          <w:rFonts w:eastAsia="Calibri"/>
          <w:b/>
          <w:bCs/>
          <w:lang w:val="es-ES"/>
        </w:rPr>
      </w:pPr>
    </w:p>
    <w:p w14:paraId="5250520D" w14:textId="087766E5" w:rsidR="008B2203" w:rsidRPr="005C133F" w:rsidRDefault="008B2203" w:rsidP="005C133F">
      <w:pPr>
        <w:spacing w:after="0" w:line="360" w:lineRule="auto"/>
        <w:jc w:val="both"/>
        <w:rPr>
          <w:rFonts w:eastAsia="Calibri"/>
          <w:noProof/>
          <w:lang w:val="es-ES"/>
        </w:rPr>
      </w:pPr>
      <w:r w:rsidRPr="005C133F">
        <w:rPr>
          <w:rFonts w:eastAsia="Calibri"/>
          <w:noProof/>
          <w:lang w:val="es-ES"/>
        </w:rPr>
        <w:t xml:space="preserve">Durante el año 2025 </w:t>
      </w:r>
      <w:r w:rsidR="00B47003" w:rsidRPr="005C133F">
        <w:rPr>
          <w:rFonts w:eastAsia="Calibri"/>
          <w:noProof/>
          <w:lang w:val="es-ES"/>
        </w:rPr>
        <w:t>como resultado</w:t>
      </w:r>
      <w:r w:rsidRPr="005C133F">
        <w:rPr>
          <w:rFonts w:eastAsia="Calibri"/>
          <w:noProof/>
          <w:lang w:val="es-ES"/>
        </w:rPr>
        <w:t xml:space="preserve"> de la actualización del </w:t>
      </w:r>
      <w:r w:rsidR="00CE1FA3" w:rsidRPr="005C133F">
        <w:rPr>
          <w:rFonts w:eastAsia="Calibri"/>
          <w:noProof/>
          <w:lang w:val="es-ES"/>
        </w:rPr>
        <w:t>Plan de Servicios de Salud (</w:t>
      </w:r>
      <w:r w:rsidRPr="005C133F">
        <w:rPr>
          <w:rFonts w:eastAsia="Calibri"/>
          <w:noProof/>
          <w:lang w:val="es-ES"/>
        </w:rPr>
        <w:t>PDSS</w:t>
      </w:r>
      <w:r w:rsidR="00CE1FA3" w:rsidRPr="005C133F">
        <w:rPr>
          <w:rFonts w:eastAsia="Calibri"/>
          <w:noProof/>
          <w:lang w:val="es-ES"/>
        </w:rPr>
        <w:t>)</w:t>
      </w:r>
      <w:r w:rsidRPr="005C133F">
        <w:rPr>
          <w:rFonts w:eastAsia="Calibri"/>
          <w:noProof/>
          <w:lang w:val="es-ES"/>
        </w:rPr>
        <w:t xml:space="preserve"> del Régimen Subsidiado, mediante a la Resolución CNSS Num. 610-04, de fecha 27 de marzo de 2025, se </w:t>
      </w:r>
      <w:r w:rsidR="003B12B5" w:rsidRPr="005C133F">
        <w:rPr>
          <w:rFonts w:eastAsia="Calibri"/>
          <w:noProof/>
          <w:lang w:val="es-ES"/>
        </w:rPr>
        <w:t>implementaron importantes medidas orientadas a la ampliación de la cobertura en salud de los afiliados a este régimen.</w:t>
      </w:r>
      <w:r w:rsidR="00792FED" w:rsidRPr="005C133F">
        <w:rPr>
          <w:rFonts w:eastAsia="Calibri"/>
          <w:noProof/>
          <w:lang w:val="es-ES"/>
        </w:rPr>
        <w:t xml:space="preserve"> </w:t>
      </w:r>
      <w:r w:rsidR="009F0E52" w:rsidRPr="005C133F">
        <w:rPr>
          <w:rFonts w:eastAsia="Calibri"/>
          <w:noProof/>
          <w:lang w:val="es-ES"/>
        </w:rPr>
        <w:t xml:space="preserve">En el marco de dicha resolución, se estableció </w:t>
      </w:r>
      <w:r w:rsidRPr="005C133F">
        <w:rPr>
          <w:rFonts w:eastAsia="Calibri"/>
          <w:noProof/>
          <w:lang w:val="es-ES"/>
        </w:rPr>
        <w:t xml:space="preserve"> un nuevo per cápita de RD$321.97, para la ampliación de Cobertura de Medicamentos de Alto Costo relacionados al Tratamiento del Cáncer en un millón</w:t>
      </w:r>
      <w:r w:rsidR="00301EF9" w:rsidRPr="005C133F">
        <w:rPr>
          <w:rFonts w:eastAsia="Calibri"/>
          <w:noProof/>
          <w:lang w:val="es-ES"/>
        </w:rPr>
        <w:t xml:space="preserve"> de pesos dominicanos</w:t>
      </w:r>
      <w:r w:rsidRPr="005C133F">
        <w:rPr>
          <w:rFonts w:eastAsia="Calibri"/>
          <w:noProof/>
          <w:lang w:val="es-ES"/>
        </w:rPr>
        <w:t xml:space="preserve"> (RD$1,000,000.00) </w:t>
      </w:r>
      <w:r w:rsidR="00960D85" w:rsidRPr="005C133F">
        <w:rPr>
          <w:rFonts w:eastAsia="Calibri"/>
          <w:noProof/>
          <w:lang w:val="es-ES"/>
        </w:rPr>
        <w:t xml:space="preserve">y se unifica la cobertura ya dispuesta </w:t>
      </w:r>
      <w:r w:rsidRPr="005C133F">
        <w:rPr>
          <w:rFonts w:eastAsia="Calibri"/>
          <w:noProof/>
          <w:lang w:val="es-ES"/>
        </w:rPr>
        <w:t xml:space="preserve">para el otorgamiento </w:t>
      </w:r>
      <w:r w:rsidR="000F159C" w:rsidRPr="005C133F">
        <w:rPr>
          <w:rFonts w:eastAsia="Calibri"/>
          <w:noProof/>
          <w:lang w:val="es-ES"/>
        </w:rPr>
        <w:t xml:space="preserve">de un tope </w:t>
      </w:r>
      <w:r w:rsidRPr="005C133F">
        <w:rPr>
          <w:rFonts w:eastAsia="Calibri"/>
          <w:noProof/>
          <w:lang w:val="es-ES"/>
        </w:rPr>
        <w:t>por este concepto de dos millones noventa mil (RD $ 2,090,000.00).</w:t>
      </w:r>
    </w:p>
    <w:p w14:paraId="6E68A4A5" w14:textId="42C07A97" w:rsidR="008B2203" w:rsidRPr="005C133F" w:rsidRDefault="008B2203" w:rsidP="005C133F">
      <w:pPr>
        <w:spacing w:after="0" w:line="360" w:lineRule="auto"/>
        <w:jc w:val="both"/>
        <w:rPr>
          <w:rFonts w:eastAsia="Calibri"/>
          <w:noProof/>
          <w:lang w:val="es-ES"/>
        </w:rPr>
      </w:pPr>
      <w:r w:rsidRPr="005C133F">
        <w:rPr>
          <w:rFonts w:eastAsia="Calibri"/>
          <w:noProof/>
          <w:lang w:val="es-ES"/>
        </w:rPr>
        <w:t xml:space="preserve">Asimismo, </w:t>
      </w:r>
      <w:r w:rsidR="00EE2307" w:rsidRPr="005C133F">
        <w:rPr>
          <w:rFonts w:eastAsia="Calibri"/>
          <w:noProof/>
          <w:lang w:val="es-ES"/>
        </w:rPr>
        <w:t xml:space="preserve">se </w:t>
      </w:r>
      <w:r w:rsidRPr="005C133F">
        <w:rPr>
          <w:rFonts w:eastAsia="Calibri"/>
          <w:noProof/>
          <w:lang w:val="es-ES"/>
        </w:rPr>
        <w:t>aprobó un millón</w:t>
      </w:r>
      <w:r w:rsidR="00EE2307" w:rsidRPr="005C133F">
        <w:rPr>
          <w:rFonts w:eastAsia="Calibri"/>
          <w:noProof/>
          <w:lang w:val="es-ES"/>
        </w:rPr>
        <w:t xml:space="preserve"> de pesos dominicanos</w:t>
      </w:r>
      <w:r w:rsidRPr="005C133F">
        <w:rPr>
          <w:rFonts w:eastAsia="Calibri"/>
          <w:noProof/>
          <w:lang w:val="es-ES"/>
        </w:rPr>
        <w:t xml:space="preserve"> (RD$1,000,000.00) la extensión de la cobertura de medicamentos de Alto Costo para otras patologías distintas a cáncer</w:t>
      </w:r>
      <w:r w:rsidR="00A04184" w:rsidRPr="005C133F">
        <w:rPr>
          <w:rFonts w:eastAsia="Calibri"/>
          <w:noProof/>
          <w:lang w:val="es-ES"/>
        </w:rPr>
        <w:t>.  Como parte de las acciones técnicas y normativas desarrolladas para la implementación de esta ampliación, se realizaron las siguientes actividades</w:t>
      </w:r>
      <w:r w:rsidRPr="005C133F">
        <w:rPr>
          <w:rFonts w:eastAsia="Calibri"/>
          <w:noProof/>
          <w:lang w:val="es-ES"/>
        </w:rPr>
        <w:t>:</w:t>
      </w:r>
    </w:p>
    <w:p w14:paraId="3F814BAC" w14:textId="53034C8B" w:rsidR="008B2203" w:rsidRPr="005C133F" w:rsidRDefault="00B227D0">
      <w:pPr>
        <w:numPr>
          <w:ilvl w:val="0"/>
          <w:numId w:val="59"/>
        </w:numPr>
        <w:spacing w:after="0" w:line="360" w:lineRule="auto"/>
        <w:jc w:val="both"/>
        <w:rPr>
          <w:rFonts w:eastAsia="Calibri"/>
          <w:noProof/>
          <w:lang w:val="es-ES"/>
        </w:rPr>
      </w:pPr>
      <w:r w:rsidRPr="005C133F">
        <w:rPr>
          <w:rFonts w:eastAsia="Calibri"/>
          <w:noProof/>
          <w:lang w:val="es-ES"/>
        </w:rPr>
        <w:t>Gestión y acompañamiento técnico para</w:t>
      </w:r>
      <w:r w:rsidR="008B2203" w:rsidRPr="005C133F">
        <w:rPr>
          <w:rFonts w:eastAsia="Calibri"/>
          <w:noProof/>
          <w:lang w:val="es-ES"/>
        </w:rPr>
        <w:t xml:space="preserve">la actualización de la nueva versión del Catálogo del Régimen Subsidiado publicado en la </w:t>
      </w:r>
      <w:r w:rsidR="00435AB7" w:rsidRPr="005C133F">
        <w:rPr>
          <w:rFonts w:eastAsia="Calibri"/>
          <w:noProof/>
          <w:lang w:val="es-ES"/>
        </w:rPr>
        <w:t>Oficina Virtual</w:t>
      </w:r>
      <w:r w:rsidR="008B2203" w:rsidRPr="005C133F">
        <w:rPr>
          <w:rFonts w:eastAsia="Calibri"/>
          <w:noProof/>
          <w:lang w:val="es-ES"/>
        </w:rPr>
        <w:t>.</w:t>
      </w:r>
    </w:p>
    <w:p w14:paraId="5E40D788" w14:textId="4A632E4E" w:rsidR="008B2203" w:rsidRPr="005C133F" w:rsidRDefault="004333C6">
      <w:pPr>
        <w:numPr>
          <w:ilvl w:val="0"/>
          <w:numId w:val="59"/>
        </w:numPr>
        <w:spacing w:after="0" w:line="360" w:lineRule="auto"/>
        <w:jc w:val="both"/>
        <w:rPr>
          <w:rFonts w:eastAsia="Calibri"/>
          <w:noProof/>
          <w:lang w:val="es-ES"/>
        </w:rPr>
      </w:pPr>
      <w:r w:rsidRPr="005C133F">
        <w:rPr>
          <w:rFonts w:eastAsia="Calibri"/>
          <w:noProof/>
          <w:lang w:val="es-ES"/>
        </w:rPr>
        <w:t>Elaboración y presentación ante el</w:t>
      </w:r>
      <w:r w:rsidR="008B2203" w:rsidRPr="005C133F">
        <w:rPr>
          <w:rFonts w:eastAsia="Calibri"/>
          <w:noProof/>
          <w:lang w:val="es-ES"/>
        </w:rPr>
        <w:t xml:space="preserve">Comité Interinstitucional de Salud y Riesgos Laborales </w:t>
      </w:r>
      <w:r w:rsidRPr="005C133F">
        <w:rPr>
          <w:rFonts w:eastAsia="Calibri"/>
          <w:noProof/>
          <w:lang w:val="es-ES"/>
        </w:rPr>
        <w:t xml:space="preserve">de </w:t>
      </w:r>
      <w:r w:rsidR="008B2203" w:rsidRPr="005C133F">
        <w:rPr>
          <w:rFonts w:eastAsia="Calibri"/>
          <w:noProof/>
          <w:lang w:val="es-ES"/>
        </w:rPr>
        <w:t xml:space="preserve">la propuesta de adecuación técnica a la Resolución Núm. 610-04 del CNSS, </w:t>
      </w:r>
      <w:r w:rsidR="0086527F" w:rsidRPr="005C133F">
        <w:rPr>
          <w:rFonts w:eastAsia="Calibri"/>
          <w:noProof/>
          <w:lang w:val="es-ES"/>
        </w:rPr>
        <w:lastRenderedPageBreak/>
        <w:t>específicamente en lo relativo a</w:t>
      </w:r>
      <w:r w:rsidR="008B2203" w:rsidRPr="005C133F">
        <w:rPr>
          <w:rFonts w:eastAsia="Calibri"/>
          <w:noProof/>
          <w:lang w:val="es-ES"/>
        </w:rPr>
        <w:t>la cobertura para el Régimen Subsidiado de medicamentos a patologías no oncológicos a los fines de precisar elementos normativos de relevancia.</w:t>
      </w:r>
    </w:p>
    <w:p w14:paraId="556474F4" w14:textId="77777777" w:rsidR="00086D5D" w:rsidRPr="005C133F" w:rsidRDefault="00086D5D" w:rsidP="005C133F">
      <w:pPr>
        <w:spacing w:after="0" w:line="360" w:lineRule="auto"/>
        <w:ind w:left="720"/>
        <w:jc w:val="both"/>
        <w:rPr>
          <w:rFonts w:eastAsia="Calibri"/>
          <w:noProof/>
          <w:lang w:val="es-ES"/>
        </w:rPr>
      </w:pPr>
    </w:p>
    <w:p w14:paraId="78995245" w14:textId="6C5A2D08" w:rsidR="008B2203" w:rsidRPr="005C133F" w:rsidRDefault="008B2203" w:rsidP="005C133F">
      <w:pPr>
        <w:spacing w:after="0" w:line="360" w:lineRule="auto"/>
        <w:jc w:val="both"/>
        <w:rPr>
          <w:b/>
          <w:bCs/>
          <w:lang w:val="es-ES"/>
        </w:rPr>
      </w:pPr>
      <w:r w:rsidRPr="005C133F">
        <w:rPr>
          <w:b/>
          <w:bCs/>
          <w:lang w:val="es-ES"/>
        </w:rPr>
        <w:t>Garantía de Cobertura del SFS para Núcleos Afectados por la Tragedia del Jet Set</w:t>
      </w:r>
    </w:p>
    <w:p w14:paraId="6EB7122C" w14:textId="77777777" w:rsidR="00B10F13" w:rsidRPr="005C133F" w:rsidRDefault="00B10F13" w:rsidP="005C133F">
      <w:pPr>
        <w:spacing w:after="0" w:line="360" w:lineRule="auto"/>
        <w:jc w:val="both"/>
        <w:rPr>
          <w:b/>
          <w:bCs/>
          <w:noProof/>
          <w:lang w:val="es-ES"/>
        </w:rPr>
      </w:pPr>
    </w:p>
    <w:p w14:paraId="5931B227" w14:textId="63ECEA50" w:rsidR="00B10F13" w:rsidRPr="005C133F" w:rsidRDefault="00FD5E47" w:rsidP="005C133F">
      <w:pPr>
        <w:spacing w:after="0" w:line="360" w:lineRule="auto"/>
        <w:jc w:val="both"/>
        <w:rPr>
          <w:lang w:val="es-DO"/>
        </w:rPr>
      </w:pPr>
      <w:r w:rsidRPr="005C133F">
        <w:rPr>
          <w:lang w:val="es-ES"/>
        </w:rPr>
        <w:t xml:space="preserve">La </w:t>
      </w:r>
      <w:r w:rsidR="0086527F" w:rsidRPr="005C133F">
        <w:rPr>
          <w:lang w:val="es-ES"/>
        </w:rPr>
        <w:t xml:space="preserve">SISALRIL </w:t>
      </w:r>
      <w:r w:rsidRPr="005C133F">
        <w:rPr>
          <w:lang w:val="es-ES"/>
        </w:rPr>
        <w:t>asumió el seguimiento técnico</w:t>
      </w:r>
      <w:r w:rsidR="00B222AF" w:rsidRPr="005C133F">
        <w:rPr>
          <w:lang w:val="es-ES"/>
        </w:rPr>
        <w:t xml:space="preserve"> del cumplimiento</w:t>
      </w:r>
      <w:r w:rsidR="00B222AF" w:rsidRPr="005C133F">
        <w:rPr>
          <w:lang w:val="es-DO"/>
        </w:rPr>
        <w:t xml:space="preserve"> a la Resolución 613-03 del CNSS</w:t>
      </w:r>
      <w:r w:rsidR="009C0CAA" w:rsidRPr="005C133F">
        <w:rPr>
          <w:lang w:val="es-DO"/>
        </w:rPr>
        <w:t xml:space="preserve"> </w:t>
      </w:r>
      <w:r w:rsidR="004E491C" w:rsidRPr="005C133F">
        <w:rPr>
          <w:lang w:val="es-DO"/>
        </w:rPr>
        <w:t>mediante la cual se dispusieron</w:t>
      </w:r>
      <w:r w:rsidR="009C0CAA" w:rsidRPr="005C133F">
        <w:rPr>
          <w:lang w:val="es-DO"/>
        </w:rPr>
        <w:t xml:space="preserve"> medidas excepcionales para garantizar la continuidad </w:t>
      </w:r>
      <w:r w:rsidR="00A011A9" w:rsidRPr="005C133F">
        <w:rPr>
          <w:lang w:val="es-DO"/>
        </w:rPr>
        <w:t xml:space="preserve">de cobertura en el </w:t>
      </w:r>
      <w:r w:rsidR="009C0CAA" w:rsidRPr="005C133F">
        <w:rPr>
          <w:lang w:val="es-DO"/>
        </w:rPr>
        <w:t>SFS a los dependientes de las víctimas del evento ocurrido en “Jet Set” el 8 de abril de 2025</w:t>
      </w:r>
      <w:r w:rsidR="0014154D" w:rsidRPr="005C133F">
        <w:rPr>
          <w:lang w:val="es-DO"/>
        </w:rPr>
        <w:t xml:space="preserve">.  </w:t>
      </w:r>
      <w:r w:rsidR="009030B2" w:rsidRPr="005C133F">
        <w:rPr>
          <w:lang w:val="es-DO"/>
        </w:rPr>
        <w:t>En este marco</w:t>
      </w:r>
      <w:r w:rsidR="00B73148" w:rsidRPr="005C133F">
        <w:rPr>
          <w:lang w:val="es-DO"/>
        </w:rPr>
        <w:t xml:space="preserve">, la institución </w:t>
      </w:r>
      <w:r w:rsidR="00A07A3E" w:rsidRPr="005C133F">
        <w:rPr>
          <w:lang w:val="es-DO"/>
        </w:rPr>
        <w:t>tuvo a cargo la verificación de</w:t>
      </w:r>
      <w:r w:rsidRPr="005C133F">
        <w:rPr>
          <w:lang w:val="es-ES"/>
        </w:rPr>
        <w:t xml:space="preserve"> la afiliación, la cobertura y la </w:t>
      </w:r>
      <w:r w:rsidR="00076D10" w:rsidRPr="005C133F">
        <w:rPr>
          <w:lang w:val="es-ES"/>
        </w:rPr>
        <w:t xml:space="preserve">correcta </w:t>
      </w:r>
      <w:r w:rsidRPr="005C133F">
        <w:rPr>
          <w:lang w:val="es-ES"/>
        </w:rPr>
        <w:t>dispersión del per cápita</w:t>
      </w:r>
      <w:r w:rsidR="00076D10" w:rsidRPr="005C133F">
        <w:rPr>
          <w:lang w:val="es-ES"/>
        </w:rPr>
        <w:t xml:space="preserve"> correspondiente.</w:t>
      </w:r>
      <w:r w:rsidR="008B2203" w:rsidRPr="005C133F">
        <w:rPr>
          <w:lang w:val="es-DO"/>
        </w:rPr>
        <w:t xml:space="preserve"> </w:t>
      </w:r>
    </w:p>
    <w:p w14:paraId="7A52DB35" w14:textId="1A5C7DF3" w:rsidR="008B2203" w:rsidRPr="005C133F" w:rsidRDefault="008B2203" w:rsidP="005C133F">
      <w:pPr>
        <w:spacing w:after="0" w:line="360" w:lineRule="auto"/>
        <w:jc w:val="both"/>
        <w:rPr>
          <w:lang w:val="es-ES"/>
        </w:rPr>
      </w:pPr>
      <w:r w:rsidRPr="005C133F">
        <w:rPr>
          <w:lang w:val="es-ES"/>
        </w:rPr>
        <w:t xml:space="preserve">En la primera revisión, </w:t>
      </w:r>
      <w:r w:rsidR="00EB7460" w:rsidRPr="005C133F">
        <w:rPr>
          <w:lang w:val="es-ES"/>
        </w:rPr>
        <w:t>realizada a través de las plataformas</w:t>
      </w:r>
      <w:r w:rsidRPr="005C133F">
        <w:rPr>
          <w:lang w:val="es-ES"/>
        </w:rPr>
        <w:t xml:space="preserve"> UNISIGMA y SUIRPLUS, se identificaron 93 núcleos familiares afectados, integrados por 170 dependientes directos y 18 adicionales</w:t>
      </w:r>
      <w:r w:rsidR="003F56C4" w:rsidRPr="005C133F">
        <w:rPr>
          <w:lang w:val="es-ES"/>
        </w:rPr>
        <w:t>.  Esta</w:t>
      </w:r>
      <w:r w:rsidRPr="005C133F">
        <w:rPr>
          <w:lang w:val="es-ES"/>
        </w:rPr>
        <w:t xml:space="preserve"> información </w:t>
      </w:r>
      <w:r w:rsidR="009B505B" w:rsidRPr="005C133F">
        <w:rPr>
          <w:lang w:val="es-ES"/>
        </w:rPr>
        <w:t xml:space="preserve">fue consolidada y </w:t>
      </w:r>
      <w:r w:rsidRPr="005C133F">
        <w:rPr>
          <w:lang w:val="es-ES"/>
        </w:rPr>
        <w:t>remitida al CNSS en agosto de 2025.</w:t>
      </w:r>
    </w:p>
    <w:p w14:paraId="3F5925C6" w14:textId="77777777" w:rsidR="00B10F13" w:rsidRPr="005C133F" w:rsidRDefault="00B10F13" w:rsidP="005C133F">
      <w:pPr>
        <w:spacing w:after="0" w:line="360" w:lineRule="auto"/>
        <w:jc w:val="both"/>
        <w:rPr>
          <w:lang w:val="es-ES"/>
        </w:rPr>
      </w:pPr>
    </w:p>
    <w:p w14:paraId="57B067F4" w14:textId="6BB106B1" w:rsidR="008B2203" w:rsidRPr="005C133F" w:rsidRDefault="009B505B" w:rsidP="005C133F">
      <w:pPr>
        <w:spacing w:after="0" w:line="360" w:lineRule="auto"/>
        <w:jc w:val="both"/>
        <w:rPr>
          <w:lang w:val="es-ES"/>
        </w:rPr>
      </w:pPr>
      <w:r w:rsidRPr="005C133F">
        <w:rPr>
          <w:lang w:val="es-ES"/>
        </w:rPr>
        <w:t>Posteriormente, un</w:t>
      </w:r>
      <w:r w:rsidR="008B2203" w:rsidRPr="005C133F">
        <w:rPr>
          <w:lang w:val="es-ES"/>
        </w:rPr>
        <w:t xml:space="preserve"> segundo análisis, correspondiente a las dispersiones </w:t>
      </w:r>
      <w:r w:rsidRPr="005C133F">
        <w:rPr>
          <w:lang w:val="es-ES"/>
        </w:rPr>
        <w:t xml:space="preserve">a los meses </w:t>
      </w:r>
      <w:r w:rsidR="008B2203" w:rsidRPr="005C133F">
        <w:rPr>
          <w:lang w:val="es-ES"/>
        </w:rPr>
        <w:t>de agosto y septiembre</w:t>
      </w:r>
      <w:r w:rsidR="00E054E7" w:rsidRPr="005C133F">
        <w:rPr>
          <w:lang w:val="es-ES"/>
        </w:rPr>
        <w:t xml:space="preserve"> 2025</w:t>
      </w:r>
      <w:r w:rsidR="008B2203" w:rsidRPr="005C133F">
        <w:rPr>
          <w:lang w:val="es-ES"/>
        </w:rPr>
        <w:t>, abarcó 65 núcleos</w:t>
      </w:r>
      <w:r w:rsidR="00E054E7" w:rsidRPr="005C133F">
        <w:rPr>
          <w:lang w:val="es-ES"/>
        </w:rPr>
        <w:t xml:space="preserve"> familiares</w:t>
      </w:r>
      <w:r w:rsidR="00FC4466" w:rsidRPr="005C133F">
        <w:rPr>
          <w:lang w:val="es-ES"/>
        </w:rPr>
        <w:t xml:space="preserve">, conformado </w:t>
      </w:r>
      <w:r w:rsidR="00B743C2" w:rsidRPr="005C133F">
        <w:rPr>
          <w:lang w:val="es-ES"/>
        </w:rPr>
        <w:t>por 12</w:t>
      </w:r>
      <w:r w:rsidR="008B2203" w:rsidRPr="005C133F">
        <w:rPr>
          <w:lang w:val="es-ES"/>
        </w:rPr>
        <w:t xml:space="preserve"> titulares sobrevivientes, 113 dependientes directos y 14 adicionales. </w:t>
      </w:r>
      <w:r w:rsidR="00F26C49" w:rsidRPr="005C133F">
        <w:rPr>
          <w:lang w:val="es-ES"/>
        </w:rPr>
        <w:t xml:space="preserve">En este período se </w:t>
      </w:r>
      <w:r w:rsidR="008B2203" w:rsidRPr="005C133F">
        <w:rPr>
          <w:lang w:val="es-ES"/>
        </w:rPr>
        <w:t xml:space="preserve">confirmaron 135 </w:t>
      </w:r>
      <w:proofErr w:type="spellStart"/>
      <w:r w:rsidR="008B2203" w:rsidRPr="005C133F">
        <w:rPr>
          <w:lang w:val="es-ES"/>
        </w:rPr>
        <w:t>cápitas</w:t>
      </w:r>
      <w:proofErr w:type="spellEnd"/>
      <w:r w:rsidR="008B2203" w:rsidRPr="005C133F">
        <w:rPr>
          <w:lang w:val="es-ES"/>
        </w:rPr>
        <w:t xml:space="preserve"> emitidas en agosto y 118 en septiembre. La reducción respecto a los primeros meses respondió a procesos de unificación de núcleos, movimientos al Régimen Contributivo, nuevas afiliaciones por elegibilidad y reinicios de cotización.</w:t>
      </w:r>
    </w:p>
    <w:p w14:paraId="72141073" w14:textId="77777777" w:rsidR="00B10F13" w:rsidRPr="005C133F" w:rsidRDefault="00B10F13" w:rsidP="005C133F">
      <w:pPr>
        <w:spacing w:after="0" w:line="360" w:lineRule="auto"/>
        <w:jc w:val="both"/>
        <w:rPr>
          <w:lang w:val="es-ES"/>
        </w:rPr>
      </w:pPr>
    </w:p>
    <w:p w14:paraId="43948D1A" w14:textId="35C68867" w:rsidR="00B10F13" w:rsidRPr="005C133F" w:rsidRDefault="008B2203" w:rsidP="005C133F">
      <w:pPr>
        <w:spacing w:after="0" w:line="360" w:lineRule="auto"/>
        <w:jc w:val="both"/>
        <w:rPr>
          <w:lang w:val="es-ES"/>
        </w:rPr>
      </w:pPr>
      <w:r w:rsidRPr="005C133F">
        <w:rPr>
          <w:lang w:val="es-ES"/>
        </w:rPr>
        <w:lastRenderedPageBreak/>
        <w:t>El análisis</w:t>
      </w:r>
      <w:r w:rsidR="005600BD" w:rsidRPr="005C133F">
        <w:rPr>
          <w:lang w:val="es-ES"/>
        </w:rPr>
        <w:t xml:space="preserve"> técnico</w:t>
      </w:r>
      <w:r w:rsidRPr="005C133F">
        <w:rPr>
          <w:lang w:val="es-ES"/>
        </w:rPr>
        <w:t xml:space="preserve"> también identificó situaciones que requerían seguimiento</w:t>
      </w:r>
      <w:r w:rsidR="005600BD" w:rsidRPr="005C133F">
        <w:rPr>
          <w:lang w:val="es-ES"/>
        </w:rPr>
        <w:t xml:space="preserve"> espec</w:t>
      </w:r>
      <w:r w:rsidR="00CB0D88" w:rsidRPr="005C133F">
        <w:rPr>
          <w:lang w:val="es-ES"/>
        </w:rPr>
        <w:t>í</w:t>
      </w:r>
      <w:r w:rsidR="005600BD" w:rsidRPr="005C133F">
        <w:rPr>
          <w:lang w:val="es-ES"/>
        </w:rPr>
        <w:t>fico</w:t>
      </w:r>
      <w:r w:rsidRPr="005C133F">
        <w:rPr>
          <w:lang w:val="es-ES"/>
        </w:rPr>
        <w:t>, como dependientes mayores de edad que pasaron a ser titulares dejando menores sin incorporación, menores afiliados en núcleos distintos a los de sus tutores y beneficiarios pendientes de evaluación para ingresar formalmente al Régimen Subsidiado.</w:t>
      </w:r>
    </w:p>
    <w:p w14:paraId="6AD23EC4" w14:textId="77777777" w:rsidR="00086D5D" w:rsidRPr="005C133F" w:rsidRDefault="00086D5D" w:rsidP="005C133F">
      <w:pPr>
        <w:spacing w:after="0" w:line="360" w:lineRule="auto"/>
        <w:jc w:val="both"/>
        <w:rPr>
          <w:lang w:val="es-ES"/>
        </w:rPr>
      </w:pPr>
    </w:p>
    <w:p w14:paraId="4299877E" w14:textId="091AF10F" w:rsidR="008B2203" w:rsidRPr="005C133F" w:rsidRDefault="00A50BF7" w:rsidP="005C133F">
      <w:pPr>
        <w:spacing w:after="0" w:line="360" w:lineRule="auto"/>
        <w:jc w:val="both"/>
        <w:rPr>
          <w:lang w:val="es-ES"/>
        </w:rPr>
      </w:pPr>
      <w:r w:rsidRPr="005C133F">
        <w:rPr>
          <w:lang w:val="es-ES"/>
        </w:rPr>
        <w:t>Como resultado la SISALRIL</w:t>
      </w:r>
      <w:r w:rsidR="00892DF8" w:rsidRPr="005C133F">
        <w:rPr>
          <w:lang w:val="es-ES"/>
        </w:rPr>
        <w:t xml:space="preserve"> </w:t>
      </w:r>
      <w:r w:rsidR="008B2203" w:rsidRPr="005C133F">
        <w:rPr>
          <w:lang w:val="es-ES"/>
        </w:rPr>
        <w:t xml:space="preserve">recomendó fortalecer el acompañamiento de la Dirección General de Información y Defensa de los Afiliados, especialmente </w:t>
      </w:r>
      <w:r w:rsidR="00B743C2" w:rsidRPr="005C133F">
        <w:rPr>
          <w:lang w:val="es-ES"/>
        </w:rPr>
        <w:t>en relación con</w:t>
      </w:r>
      <w:r w:rsidR="00E7623F" w:rsidRPr="005C133F">
        <w:rPr>
          <w:lang w:val="es-ES"/>
        </w:rPr>
        <w:t xml:space="preserve"> </w:t>
      </w:r>
      <w:r w:rsidR="008B2203" w:rsidRPr="005C133F">
        <w:rPr>
          <w:lang w:val="es-ES"/>
        </w:rPr>
        <w:t xml:space="preserve">los 23 menores aún en proceso de traspaso, y sugirió a SeNaSa agilizar </w:t>
      </w:r>
      <w:r w:rsidR="00F96C29" w:rsidRPr="005C133F">
        <w:rPr>
          <w:lang w:val="es-ES"/>
        </w:rPr>
        <w:t>los procesos de</w:t>
      </w:r>
      <w:r w:rsidR="008B2203" w:rsidRPr="005C133F">
        <w:rPr>
          <w:lang w:val="es-ES"/>
        </w:rPr>
        <w:t xml:space="preserve"> afiliación de dependientes mayores de edad y adicionales con elegibilidad</w:t>
      </w:r>
      <w:r w:rsidR="00AC5521" w:rsidRPr="005C133F">
        <w:rPr>
          <w:lang w:val="es-ES"/>
        </w:rPr>
        <w:t xml:space="preserve"> confirmada</w:t>
      </w:r>
      <w:r w:rsidR="008B2203" w:rsidRPr="005C133F">
        <w:rPr>
          <w:lang w:val="es-ES"/>
        </w:rPr>
        <w:t>.</w:t>
      </w:r>
    </w:p>
    <w:p w14:paraId="58F594B4" w14:textId="77777777" w:rsidR="00B10F13" w:rsidRPr="005C133F" w:rsidRDefault="00B10F13" w:rsidP="005C133F">
      <w:pPr>
        <w:spacing w:after="0" w:line="360" w:lineRule="auto"/>
        <w:jc w:val="both"/>
        <w:rPr>
          <w:lang w:val="es-ES"/>
        </w:rPr>
      </w:pPr>
    </w:p>
    <w:p w14:paraId="71542A25" w14:textId="69C6968C" w:rsidR="001C7F2E" w:rsidRPr="005C133F" w:rsidRDefault="008B2203" w:rsidP="005C133F">
      <w:pPr>
        <w:spacing w:after="0" w:line="360" w:lineRule="auto"/>
        <w:jc w:val="both"/>
        <w:rPr>
          <w:lang w:val="es-ES"/>
        </w:rPr>
      </w:pPr>
      <w:r w:rsidRPr="005C133F">
        <w:rPr>
          <w:lang w:val="es-ES"/>
        </w:rPr>
        <w:t xml:space="preserve">Las acciones de seguimiento </w:t>
      </w:r>
      <w:r w:rsidR="00DF041D" w:rsidRPr="005C133F">
        <w:rPr>
          <w:lang w:val="es-ES"/>
        </w:rPr>
        <w:t xml:space="preserve">y coordinación interinstitucional implementadas permitieron garantizar la continuidad </w:t>
      </w:r>
      <w:r w:rsidRPr="005C133F">
        <w:rPr>
          <w:lang w:val="es-ES"/>
        </w:rPr>
        <w:t>de la protección en salud de los núcleos</w:t>
      </w:r>
      <w:r w:rsidR="00A51AD8" w:rsidRPr="005C133F">
        <w:rPr>
          <w:lang w:val="es-ES"/>
        </w:rPr>
        <w:t xml:space="preserve"> familiares</w:t>
      </w:r>
      <w:r w:rsidRPr="005C133F">
        <w:rPr>
          <w:lang w:val="es-ES"/>
        </w:rPr>
        <w:t xml:space="preserve"> afectados, conforme a los principios de equidad, continuidad y solidaridad establecidos en la Ley 87-01.</w:t>
      </w:r>
    </w:p>
    <w:p w14:paraId="6BD4A746" w14:textId="77777777" w:rsidR="00B253D8" w:rsidRPr="005C133F" w:rsidRDefault="00B253D8" w:rsidP="005C133F">
      <w:pPr>
        <w:spacing w:after="0" w:line="360" w:lineRule="auto"/>
        <w:jc w:val="both"/>
        <w:rPr>
          <w:lang w:val="es-ES"/>
        </w:rPr>
      </w:pPr>
    </w:p>
    <w:p w14:paraId="19B5E256" w14:textId="2D769C77" w:rsidR="00592C53" w:rsidRPr="005C133F" w:rsidRDefault="00592C53" w:rsidP="005C133F">
      <w:pPr>
        <w:spacing w:after="0" w:line="360" w:lineRule="auto"/>
        <w:jc w:val="both"/>
        <w:rPr>
          <w:b/>
          <w:bCs/>
          <w:lang w:val="es-ES"/>
        </w:rPr>
      </w:pPr>
      <w:r w:rsidRPr="005C133F">
        <w:rPr>
          <w:b/>
          <w:bCs/>
          <w:lang w:val="es-ES"/>
        </w:rPr>
        <w:t>Aumento del per cápita por concepto de inde</w:t>
      </w:r>
      <w:r w:rsidR="00497702" w:rsidRPr="005C133F">
        <w:rPr>
          <w:b/>
          <w:bCs/>
          <w:lang w:val="es-ES"/>
        </w:rPr>
        <w:t>xación a las ARS</w:t>
      </w:r>
    </w:p>
    <w:p w14:paraId="303BAF16" w14:textId="77777777" w:rsidR="00B253D8" w:rsidRPr="005C133F" w:rsidRDefault="00B253D8" w:rsidP="005C133F">
      <w:pPr>
        <w:spacing w:after="0" w:line="360" w:lineRule="auto"/>
        <w:jc w:val="both"/>
        <w:rPr>
          <w:lang w:val="es-ES"/>
        </w:rPr>
      </w:pPr>
    </w:p>
    <w:p w14:paraId="454C1226" w14:textId="77777777" w:rsidR="00246DA5" w:rsidRPr="005C133F" w:rsidRDefault="00497702" w:rsidP="005C133F">
      <w:pPr>
        <w:widowControl w:val="0"/>
        <w:autoSpaceDE w:val="0"/>
        <w:autoSpaceDN w:val="0"/>
        <w:spacing w:after="0" w:line="360" w:lineRule="auto"/>
        <w:jc w:val="both"/>
        <w:rPr>
          <w:lang w:val="es-DO"/>
        </w:rPr>
      </w:pPr>
      <w:r w:rsidRPr="005C133F">
        <w:rPr>
          <w:lang w:val="es-DO"/>
        </w:rPr>
        <w:t>Se elaboró una (1)</w:t>
      </w:r>
      <w:r w:rsidR="00B253D8" w:rsidRPr="005C133F">
        <w:rPr>
          <w:lang w:val="es-DO"/>
        </w:rPr>
        <w:t xml:space="preserve"> propuesta</w:t>
      </w:r>
      <w:r w:rsidRPr="005C133F">
        <w:rPr>
          <w:lang w:val="es-DO"/>
        </w:rPr>
        <w:t xml:space="preserve"> </w:t>
      </w:r>
      <w:r w:rsidR="00B253D8" w:rsidRPr="005C133F">
        <w:rPr>
          <w:lang w:val="es-DO"/>
        </w:rPr>
        <w:t>para el aumento del per cápita por concepto de</w:t>
      </w:r>
      <w:r w:rsidR="00CA6446" w:rsidRPr="005C133F">
        <w:rPr>
          <w:lang w:val="es-DO"/>
        </w:rPr>
        <w:t xml:space="preserve"> la</w:t>
      </w:r>
      <w:r w:rsidR="00B253D8" w:rsidRPr="005C133F">
        <w:rPr>
          <w:lang w:val="es-DO"/>
        </w:rPr>
        <w:t xml:space="preserve"> indexación a las </w:t>
      </w:r>
      <w:r w:rsidR="00E617D2" w:rsidRPr="005C133F">
        <w:rPr>
          <w:lang w:val="es-DO"/>
        </w:rPr>
        <w:t>Administradoras de Riesgos de Salud (ARS)</w:t>
      </w:r>
      <w:r w:rsidR="00B253D8" w:rsidRPr="005C133F">
        <w:rPr>
          <w:lang w:val="es-DO"/>
        </w:rPr>
        <w:t xml:space="preserve">, </w:t>
      </w:r>
      <w:r w:rsidR="00521D77" w:rsidRPr="005C133F">
        <w:rPr>
          <w:lang w:val="es-DO"/>
        </w:rPr>
        <w:t>en la cual se analizaron y modelaron diversos</w:t>
      </w:r>
      <w:r w:rsidR="00F1060D" w:rsidRPr="005C133F">
        <w:rPr>
          <w:lang w:val="es-DO"/>
        </w:rPr>
        <w:t xml:space="preserve"> </w:t>
      </w:r>
      <w:r w:rsidR="00B253D8" w:rsidRPr="005C133F">
        <w:rPr>
          <w:lang w:val="es-DO"/>
        </w:rPr>
        <w:t>escenarios</w:t>
      </w:r>
      <w:r w:rsidR="00AB2BB1" w:rsidRPr="005C133F">
        <w:rPr>
          <w:lang w:val="es-DO"/>
        </w:rPr>
        <w:t xml:space="preserve"> financieros y actuariales</w:t>
      </w:r>
      <w:r w:rsidR="00B253D8" w:rsidRPr="005C133F">
        <w:rPr>
          <w:lang w:val="es-DO"/>
        </w:rPr>
        <w:t>,</w:t>
      </w:r>
      <w:r w:rsidR="00CB1F66" w:rsidRPr="005C133F">
        <w:rPr>
          <w:lang w:val="es-DO"/>
        </w:rPr>
        <w:t xml:space="preserve"> a fin de evaluar su impacto y sostenibilidad dentro del Sistema Dominicano de Seguridad Social.</w:t>
      </w:r>
      <w:r w:rsidR="00B253D8" w:rsidRPr="005C133F">
        <w:rPr>
          <w:lang w:val="es-DO"/>
        </w:rPr>
        <w:t xml:space="preserve"> </w:t>
      </w:r>
      <w:r w:rsidR="00CB1F66" w:rsidRPr="005C133F">
        <w:rPr>
          <w:lang w:val="es-DO"/>
        </w:rPr>
        <w:t xml:space="preserve">Como resultado de este ejercicio </w:t>
      </w:r>
      <w:r w:rsidR="00DC6E08" w:rsidRPr="005C133F">
        <w:rPr>
          <w:lang w:val="es-DO"/>
        </w:rPr>
        <w:t xml:space="preserve">se aprobó </w:t>
      </w:r>
      <w:r w:rsidR="00B253D8" w:rsidRPr="005C133F">
        <w:rPr>
          <w:lang w:val="es-DO"/>
        </w:rPr>
        <w:t>la indexación correspondiente al per</w:t>
      </w:r>
      <w:r w:rsidR="00132E46" w:rsidRPr="005C133F">
        <w:rPr>
          <w:lang w:val="es-DO"/>
        </w:rPr>
        <w:t>í</w:t>
      </w:r>
      <w:r w:rsidR="00B253D8" w:rsidRPr="005C133F">
        <w:rPr>
          <w:lang w:val="es-DO"/>
        </w:rPr>
        <w:t>odo abril 2023 – marzo 2025:</w:t>
      </w:r>
    </w:p>
    <w:p w14:paraId="24D4FCB4" w14:textId="1282F70B" w:rsidR="00B253D8" w:rsidRPr="005C133F" w:rsidRDefault="00B253D8" w:rsidP="005C133F">
      <w:pPr>
        <w:widowControl w:val="0"/>
        <w:autoSpaceDE w:val="0"/>
        <w:autoSpaceDN w:val="0"/>
        <w:spacing w:after="0" w:line="360" w:lineRule="auto"/>
        <w:jc w:val="both"/>
        <w:rPr>
          <w:b/>
          <w:bCs/>
          <w:lang w:val="es-DO"/>
        </w:rPr>
      </w:pPr>
      <w:r w:rsidRPr="005C133F">
        <w:rPr>
          <w:lang w:val="es-DO"/>
        </w:rPr>
        <w:lastRenderedPageBreak/>
        <w:t xml:space="preserve"> </w:t>
      </w:r>
    </w:p>
    <w:p w14:paraId="70D6A4DB" w14:textId="1093AEE2" w:rsidR="00681980" w:rsidRPr="005C133F" w:rsidRDefault="00681980" w:rsidP="00BF3B42">
      <w:pPr>
        <w:pStyle w:val="Descripcin"/>
        <w:keepNext/>
        <w:spacing w:after="0"/>
        <w:jc w:val="center"/>
        <w:rPr>
          <w:rFonts w:eastAsia="Calibri"/>
          <w:b/>
          <w:bCs/>
          <w:i w:val="0"/>
          <w:iCs w:val="0"/>
          <w:noProof/>
          <w:color w:val="767171"/>
          <w:sz w:val="24"/>
          <w:szCs w:val="24"/>
          <w:lang w:val="es-DO"/>
        </w:rPr>
      </w:pPr>
      <w:bookmarkStart w:id="24" w:name="_Toc218784137"/>
      <w:r w:rsidRPr="005C133F">
        <w:rPr>
          <w:rFonts w:eastAsia="Calibri"/>
          <w:b/>
          <w:bCs/>
          <w:i w:val="0"/>
          <w:iCs w:val="0"/>
          <w:noProof/>
          <w:color w:val="767171"/>
          <w:sz w:val="24"/>
          <w:szCs w:val="24"/>
          <w:lang w:val="es-DO"/>
        </w:rPr>
        <w:t xml:space="preserve">Tabla </w:t>
      </w:r>
      <w:r w:rsidRPr="005C133F">
        <w:rPr>
          <w:rFonts w:eastAsia="Calibri"/>
          <w:b/>
          <w:bCs/>
          <w:i w:val="0"/>
          <w:iCs w:val="0"/>
          <w:noProof/>
          <w:color w:val="767171"/>
          <w:sz w:val="24"/>
          <w:szCs w:val="24"/>
          <w:lang w:val="es-DO"/>
        </w:rPr>
        <w:fldChar w:fldCharType="begin"/>
      </w:r>
      <w:r w:rsidRPr="005C133F">
        <w:rPr>
          <w:rFonts w:eastAsia="Calibri"/>
          <w:b/>
          <w:bCs/>
          <w:i w:val="0"/>
          <w:iCs w:val="0"/>
          <w:noProof/>
          <w:color w:val="767171"/>
          <w:sz w:val="24"/>
          <w:szCs w:val="24"/>
          <w:lang w:val="es-DO"/>
        </w:rPr>
        <w:instrText xml:space="preserve"> SEQ Tabla \* ARABIC </w:instrText>
      </w:r>
      <w:r w:rsidRPr="005C133F">
        <w:rPr>
          <w:rFonts w:eastAsia="Calibri"/>
          <w:b/>
          <w:bCs/>
          <w:i w:val="0"/>
          <w:iCs w:val="0"/>
          <w:noProof/>
          <w:color w:val="767171"/>
          <w:sz w:val="24"/>
          <w:szCs w:val="24"/>
          <w:lang w:val="es-DO"/>
        </w:rPr>
        <w:fldChar w:fldCharType="separate"/>
      </w:r>
      <w:r w:rsidR="00814341">
        <w:rPr>
          <w:rFonts w:eastAsia="Calibri"/>
          <w:b/>
          <w:bCs/>
          <w:i w:val="0"/>
          <w:iCs w:val="0"/>
          <w:noProof/>
          <w:color w:val="767171"/>
          <w:sz w:val="24"/>
          <w:szCs w:val="24"/>
          <w:lang w:val="es-DO"/>
        </w:rPr>
        <w:t>5</w:t>
      </w:r>
      <w:r w:rsidRPr="005C133F">
        <w:rPr>
          <w:rFonts w:eastAsia="Calibri"/>
          <w:b/>
          <w:bCs/>
          <w:i w:val="0"/>
          <w:iCs w:val="0"/>
          <w:noProof/>
          <w:color w:val="767171"/>
          <w:sz w:val="24"/>
          <w:szCs w:val="24"/>
          <w:lang w:val="es-DO"/>
        </w:rPr>
        <w:fldChar w:fldCharType="end"/>
      </w:r>
      <w:r w:rsidRPr="005C133F">
        <w:rPr>
          <w:rFonts w:eastAsia="Calibri"/>
          <w:b/>
          <w:bCs/>
          <w:i w:val="0"/>
          <w:iCs w:val="0"/>
          <w:noProof/>
          <w:color w:val="767171"/>
          <w:sz w:val="24"/>
          <w:szCs w:val="24"/>
          <w:lang w:val="es-DO"/>
        </w:rPr>
        <w:t>. Per cápita acumulado a considerar agregar por concepto de indexación/Régimen Contributivo</w:t>
      </w:r>
      <w:bookmarkEnd w:id="24"/>
    </w:p>
    <w:tbl>
      <w:tblPr>
        <w:tblW w:w="0" w:type="auto"/>
        <w:jc w:val="center"/>
        <w:tblCellMar>
          <w:left w:w="70" w:type="dxa"/>
          <w:right w:w="70" w:type="dxa"/>
        </w:tblCellMar>
        <w:tblLook w:val="04A0" w:firstRow="1" w:lastRow="0" w:firstColumn="1" w:lastColumn="0" w:noHBand="0" w:noVBand="1"/>
      </w:tblPr>
      <w:tblGrid>
        <w:gridCol w:w="3964"/>
        <w:gridCol w:w="1666"/>
        <w:gridCol w:w="2280"/>
      </w:tblGrid>
      <w:tr w:rsidR="005C133F" w:rsidRPr="005C133F" w14:paraId="40DC0B3C" w14:textId="77777777" w:rsidTr="006A7520">
        <w:trPr>
          <w:trHeight w:val="113"/>
          <w:tblHeader/>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152CFD3F" w14:textId="6B286EA8"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Per</w:t>
            </w:r>
            <w:r w:rsidR="00957CE2" w:rsidRPr="005C133F">
              <w:rPr>
                <w:b/>
                <w:bCs/>
                <w:color w:val="FFFFFF" w:themeColor="background1"/>
                <w:lang w:val="es-DO" w:eastAsia="es-DO"/>
              </w:rPr>
              <w:t>í</w:t>
            </w:r>
            <w:r w:rsidRPr="005C133F">
              <w:rPr>
                <w:b/>
                <w:bCs/>
                <w:color w:val="FFFFFF" w:themeColor="background1"/>
                <w:lang w:val="es-DO" w:eastAsia="es-DO"/>
              </w:rPr>
              <w:t>odo indexación</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79FC0F3C"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Per cápita acumulado</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55E15739"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Impacto anual</w:t>
            </w:r>
          </w:p>
        </w:tc>
      </w:tr>
      <w:tr w:rsidR="004921FF" w:rsidRPr="005C133F" w14:paraId="7944818E" w14:textId="77777777" w:rsidTr="004A40AA">
        <w:trPr>
          <w:trHeight w:val="113"/>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A7DB5B" w14:textId="02D9AAB7" w:rsidR="00B253D8" w:rsidRPr="005C133F" w:rsidRDefault="00B253D8" w:rsidP="00BF3B42">
            <w:pPr>
              <w:spacing w:after="0" w:line="240" w:lineRule="auto"/>
              <w:rPr>
                <w:lang w:val="es-DO" w:eastAsia="es-DO"/>
              </w:rPr>
            </w:pPr>
            <w:r w:rsidRPr="005C133F">
              <w:rPr>
                <w:lang w:val="es-DO" w:eastAsia="es-DO"/>
              </w:rPr>
              <w:t xml:space="preserve">Abril 2023 - </w:t>
            </w:r>
            <w:r w:rsidR="001A325F" w:rsidRPr="005C133F">
              <w:rPr>
                <w:lang w:val="es-DO" w:eastAsia="es-DO"/>
              </w:rPr>
              <w:t>octubre</w:t>
            </w:r>
            <w:r w:rsidRPr="005C133F">
              <w:rPr>
                <w:lang w:val="es-DO" w:eastAsia="es-DO"/>
              </w:rPr>
              <w:t xml:space="preserve"> 2024</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69714BD" w14:textId="77777777" w:rsidR="00B253D8" w:rsidRPr="005C133F" w:rsidRDefault="00B253D8" w:rsidP="00BF3B42">
            <w:pPr>
              <w:spacing w:after="0" w:line="240" w:lineRule="auto"/>
              <w:jc w:val="center"/>
              <w:rPr>
                <w:lang w:val="es-DO" w:eastAsia="es-DO"/>
              </w:rPr>
            </w:pPr>
            <w:r w:rsidRPr="005C133F">
              <w:rPr>
                <w:lang w:val="es-DO" w:eastAsia="es-DO"/>
              </w:rPr>
              <w:t>106.43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D0378F8" w14:textId="77777777" w:rsidR="00B253D8" w:rsidRPr="005C133F" w:rsidRDefault="00B253D8" w:rsidP="00BF3B42">
            <w:pPr>
              <w:spacing w:after="0" w:line="240" w:lineRule="auto"/>
              <w:jc w:val="center"/>
              <w:rPr>
                <w:lang w:val="es-DO" w:eastAsia="es-DO"/>
              </w:rPr>
            </w:pPr>
            <w:r w:rsidRPr="005C133F">
              <w:rPr>
                <w:lang w:val="es-DO" w:eastAsia="es-DO"/>
              </w:rPr>
              <w:t>$6,130,627,866.02</w:t>
            </w:r>
          </w:p>
        </w:tc>
      </w:tr>
      <w:tr w:rsidR="004921FF" w:rsidRPr="005C133F" w14:paraId="58D977B6" w14:textId="77777777" w:rsidTr="004A40AA">
        <w:trPr>
          <w:trHeight w:val="113"/>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2B1F05" w14:textId="348D713F" w:rsidR="00B253D8" w:rsidRPr="005C133F" w:rsidRDefault="00B253D8" w:rsidP="00BF3B42">
            <w:pPr>
              <w:spacing w:after="0" w:line="240" w:lineRule="auto"/>
              <w:rPr>
                <w:lang w:val="es-DO" w:eastAsia="es-DO"/>
              </w:rPr>
            </w:pPr>
            <w:r w:rsidRPr="005C133F">
              <w:rPr>
                <w:lang w:val="es-DO" w:eastAsia="es-DO"/>
              </w:rPr>
              <w:t xml:space="preserve">Abril 2023 - </w:t>
            </w:r>
            <w:r w:rsidR="001A325F" w:rsidRPr="005C133F">
              <w:rPr>
                <w:lang w:val="es-DO" w:eastAsia="es-DO"/>
              </w:rPr>
              <w:t>diciembre</w:t>
            </w:r>
            <w:r w:rsidRPr="005C133F">
              <w:rPr>
                <w:lang w:val="es-DO" w:eastAsia="es-DO"/>
              </w:rPr>
              <w:t xml:space="preserve"> 2024</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51D52A" w14:textId="77777777" w:rsidR="00B253D8" w:rsidRPr="005C133F" w:rsidRDefault="00B253D8" w:rsidP="00BF3B42">
            <w:pPr>
              <w:spacing w:after="0" w:line="240" w:lineRule="auto"/>
              <w:jc w:val="center"/>
              <w:rPr>
                <w:lang w:val="es-DO" w:eastAsia="es-DO"/>
              </w:rPr>
            </w:pPr>
            <w:r w:rsidRPr="005C133F">
              <w:rPr>
                <w:lang w:val="es-DO" w:eastAsia="es-DO"/>
              </w:rPr>
              <w:t>119.96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6B77A2" w14:textId="77777777" w:rsidR="00B253D8" w:rsidRPr="005C133F" w:rsidRDefault="00B253D8" w:rsidP="00BF3B42">
            <w:pPr>
              <w:spacing w:after="0" w:line="240" w:lineRule="auto"/>
              <w:jc w:val="center"/>
              <w:rPr>
                <w:lang w:val="es-DO" w:eastAsia="es-DO"/>
              </w:rPr>
            </w:pPr>
            <w:r w:rsidRPr="005C133F">
              <w:rPr>
                <w:lang w:val="es-DO" w:eastAsia="es-DO"/>
              </w:rPr>
              <w:t>$6,909,780,041.11</w:t>
            </w:r>
          </w:p>
        </w:tc>
      </w:tr>
      <w:tr w:rsidR="004921FF" w:rsidRPr="005C133F" w14:paraId="36935569" w14:textId="77777777" w:rsidTr="004A40AA">
        <w:trPr>
          <w:trHeight w:val="113"/>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9D276AE" w14:textId="0D081AD4" w:rsidR="00B253D8" w:rsidRPr="005C133F" w:rsidRDefault="00B253D8" w:rsidP="00BF3B42">
            <w:pPr>
              <w:spacing w:after="0" w:line="240" w:lineRule="auto"/>
              <w:rPr>
                <w:lang w:val="es-DO" w:eastAsia="es-DO"/>
              </w:rPr>
            </w:pPr>
            <w:r w:rsidRPr="005C133F">
              <w:rPr>
                <w:lang w:val="es-DO" w:eastAsia="es-DO"/>
              </w:rPr>
              <w:t xml:space="preserve">Abril 2023 - </w:t>
            </w:r>
            <w:r w:rsidR="00244C82" w:rsidRPr="005C133F">
              <w:rPr>
                <w:lang w:val="es-DO" w:eastAsia="es-DO"/>
              </w:rPr>
              <w:t>marzo</w:t>
            </w:r>
            <w:r w:rsidRPr="005C133F">
              <w:rPr>
                <w:lang w:val="es-DO" w:eastAsia="es-DO"/>
              </w:rPr>
              <w:t xml:space="preserve"> 2025</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1FCAD4" w14:textId="77777777" w:rsidR="00B253D8" w:rsidRPr="005C133F" w:rsidRDefault="00B253D8" w:rsidP="00BF3B42">
            <w:pPr>
              <w:spacing w:after="0" w:line="240" w:lineRule="auto"/>
              <w:jc w:val="center"/>
              <w:rPr>
                <w:lang w:val="es-DO" w:eastAsia="es-DO"/>
              </w:rPr>
            </w:pPr>
            <w:r w:rsidRPr="005C133F">
              <w:rPr>
                <w:lang w:val="es-DO" w:eastAsia="es-DO"/>
              </w:rPr>
              <w:t>142.08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0B4E3C9" w14:textId="77777777" w:rsidR="00B253D8" w:rsidRPr="005C133F" w:rsidRDefault="00B253D8" w:rsidP="00BF3B42">
            <w:pPr>
              <w:spacing w:after="0" w:line="240" w:lineRule="auto"/>
              <w:jc w:val="center"/>
              <w:rPr>
                <w:lang w:val="es-DO" w:eastAsia="es-DO"/>
              </w:rPr>
            </w:pPr>
            <w:r w:rsidRPr="005C133F">
              <w:rPr>
                <w:lang w:val="es-DO" w:eastAsia="es-DO"/>
              </w:rPr>
              <w:t>$8,183,809,760.79</w:t>
            </w:r>
          </w:p>
        </w:tc>
      </w:tr>
      <w:tr w:rsidR="004921FF" w:rsidRPr="005C133F" w14:paraId="4E807553" w14:textId="77777777" w:rsidTr="004A40AA">
        <w:trPr>
          <w:trHeight w:val="113"/>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D406A3F" w14:textId="34040EA6" w:rsidR="00B253D8" w:rsidRPr="005C133F" w:rsidRDefault="00B253D8" w:rsidP="00BF3B42">
            <w:pPr>
              <w:spacing w:after="0" w:line="240" w:lineRule="auto"/>
              <w:rPr>
                <w:lang w:val="es-DO" w:eastAsia="es-DO"/>
              </w:rPr>
            </w:pPr>
            <w:r w:rsidRPr="005C133F">
              <w:rPr>
                <w:lang w:val="es-DO" w:eastAsia="es-DO"/>
              </w:rPr>
              <w:t xml:space="preserve">Abril 2023 - </w:t>
            </w:r>
            <w:r w:rsidR="00244C82" w:rsidRPr="005C133F">
              <w:rPr>
                <w:lang w:val="es-DO" w:eastAsia="es-DO"/>
              </w:rPr>
              <w:t>mayo</w:t>
            </w:r>
            <w:r w:rsidRPr="005C133F">
              <w:rPr>
                <w:lang w:val="es-DO" w:eastAsia="es-DO"/>
              </w:rPr>
              <w:t xml:space="preserve"> 2025</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B38D4AB" w14:textId="77777777" w:rsidR="00B253D8" w:rsidRPr="005C133F" w:rsidRDefault="00B253D8" w:rsidP="00BF3B42">
            <w:pPr>
              <w:spacing w:after="0" w:line="240" w:lineRule="auto"/>
              <w:jc w:val="center"/>
              <w:rPr>
                <w:lang w:val="es-DO" w:eastAsia="es-DO"/>
              </w:rPr>
            </w:pPr>
            <w:r w:rsidRPr="005C133F">
              <w:rPr>
                <w:lang w:val="es-DO" w:eastAsia="es-DO"/>
              </w:rPr>
              <w:t>154.62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E437F89" w14:textId="77777777" w:rsidR="00B253D8" w:rsidRPr="005C133F" w:rsidRDefault="00B253D8" w:rsidP="00BF3B42">
            <w:pPr>
              <w:spacing w:after="0" w:line="240" w:lineRule="auto"/>
              <w:jc w:val="center"/>
              <w:rPr>
                <w:lang w:val="es-DO" w:eastAsia="es-DO"/>
              </w:rPr>
            </w:pPr>
            <w:r w:rsidRPr="005C133F">
              <w:rPr>
                <w:lang w:val="es-DO" w:eastAsia="es-DO"/>
              </w:rPr>
              <w:t>$8,906,371,586.01</w:t>
            </w:r>
          </w:p>
        </w:tc>
      </w:tr>
      <w:tr w:rsidR="004921FF" w:rsidRPr="005C133F" w14:paraId="25EFB6C9" w14:textId="77777777" w:rsidTr="004A40AA">
        <w:trPr>
          <w:trHeight w:val="113"/>
          <w:jc w:val="center"/>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121C0BA" w14:textId="77777777" w:rsidR="00B253D8" w:rsidRPr="005C133F" w:rsidRDefault="00B253D8" w:rsidP="00BF3B42">
            <w:pPr>
              <w:spacing w:after="0" w:line="240" w:lineRule="auto"/>
              <w:rPr>
                <w:lang w:val="es-DO" w:eastAsia="es-DO"/>
              </w:rPr>
            </w:pPr>
            <w:r w:rsidRPr="005C133F">
              <w:rPr>
                <w:lang w:val="es-DO" w:eastAsia="es-DO"/>
              </w:rPr>
              <w:t>Abril 2023 - Julio 2025</w:t>
            </w:r>
          </w:p>
        </w:tc>
        <w:tc>
          <w:tcPr>
            <w:tcW w:w="1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6EB75A9" w14:textId="77777777" w:rsidR="00B253D8" w:rsidRPr="005C133F" w:rsidRDefault="00B253D8" w:rsidP="00BF3B42">
            <w:pPr>
              <w:spacing w:after="0" w:line="240" w:lineRule="auto"/>
              <w:jc w:val="center"/>
              <w:rPr>
                <w:lang w:val="es-DO" w:eastAsia="es-DO"/>
              </w:rPr>
            </w:pPr>
            <w:r w:rsidRPr="005C133F">
              <w:rPr>
                <w:lang w:val="es-DO" w:eastAsia="es-DO"/>
              </w:rPr>
              <w:t>166.51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0DC948" w14:textId="77777777" w:rsidR="00B253D8" w:rsidRPr="005C133F" w:rsidRDefault="00B253D8" w:rsidP="00BF3B42">
            <w:pPr>
              <w:spacing w:after="0" w:line="240" w:lineRule="auto"/>
              <w:jc w:val="center"/>
              <w:rPr>
                <w:lang w:val="es-DO" w:eastAsia="es-DO"/>
              </w:rPr>
            </w:pPr>
            <w:r w:rsidRPr="005C133F">
              <w:rPr>
                <w:lang w:val="es-DO" w:eastAsia="es-DO"/>
              </w:rPr>
              <w:t>$9,590,707,449.54</w:t>
            </w:r>
          </w:p>
        </w:tc>
      </w:tr>
    </w:tbl>
    <w:p w14:paraId="106F2DC2" w14:textId="1BE606B9" w:rsidR="00B253D8" w:rsidRPr="00BF3B42" w:rsidRDefault="00132E46" w:rsidP="00BF3B42">
      <w:pPr>
        <w:spacing w:after="0" w:line="240" w:lineRule="auto"/>
        <w:rPr>
          <w:sz w:val="18"/>
          <w:szCs w:val="18"/>
          <w:lang w:val="es-DO"/>
        </w:rPr>
      </w:pPr>
      <w:r w:rsidRPr="00BF3B42">
        <w:rPr>
          <w:sz w:val="18"/>
          <w:szCs w:val="18"/>
          <w:lang w:val="es-DO"/>
        </w:rPr>
        <w:t>Fuente: Dirección de Gestión Act</w:t>
      </w:r>
      <w:r w:rsidR="00266A78" w:rsidRPr="00BF3B42">
        <w:rPr>
          <w:sz w:val="18"/>
          <w:szCs w:val="18"/>
          <w:lang w:val="es-DO"/>
        </w:rPr>
        <w:t xml:space="preserve">uarial del SFS y el SRL </w:t>
      </w:r>
    </w:p>
    <w:p w14:paraId="7206BE31" w14:textId="77777777" w:rsidR="00D503A8" w:rsidRPr="005C133F" w:rsidRDefault="00D503A8" w:rsidP="005C133F">
      <w:pPr>
        <w:spacing w:after="0" w:line="360" w:lineRule="auto"/>
        <w:jc w:val="both"/>
        <w:rPr>
          <w:lang w:val="es-DO"/>
        </w:rPr>
      </w:pPr>
    </w:p>
    <w:p w14:paraId="2F8C5B42" w14:textId="1C19E071" w:rsidR="00364082" w:rsidRPr="005C133F" w:rsidRDefault="00B253D8" w:rsidP="005C133F">
      <w:pPr>
        <w:spacing w:after="0" w:line="360" w:lineRule="auto"/>
        <w:jc w:val="both"/>
        <w:rPr>
          <w:lang w:val="es-DO"/>
        </w:rPr>
      </w:pPr>
      <w:r w:rsidRPr="005C133F">
        <w:rPr>
          <w:lang w:val="es-DO"/>
        </w:rPr>
        <w:t xml:space="preserve">Finalmente, el cuadro resumen expresado en la Resolución No. 624-02, aprueba </w:t>
      </w:r>
      <w:r w:rsidR="007B4A7F" w:rsidRPr="005C133F">
        <w:rPr>
          <w:lang w:val="es-DO"/>
        </w:rPr>
        <w:t>un incremento</w:t>
      </w:r>
      <w:r w:rsidRPr="005C133F">
        <w:rPr>
          <w:lang w:val="es-DO"/>
        </w:rPr>
        <w:t xml:space="preserve"> de RD$204.32 de incremento del costo per cápita del Seguro Familiar de Salud (SFS) del Régimen Contributivo, pasando así el per cápita de RD$1,683.22 a RD$1,887.54, de los cuales RD$1,882.49 se dispersarán a las ARS, y RD$5.05 al Fondo Especial para Programas Prioritarios de Salud Pública, a partir de la dispersión del mes de noviembre del año 2025, con beneficios a partir de noviembre 2025:</w:t>
      </w:r>
    </w:p>
    <w:p w14:paraId="21FC3187" w14:textId="77777777" w:rsidR="00364082" w:rsidRPr="005C133F" w:rsidRDefault="00364082" w:rsidP="005C133F">
      <w:pPr>
        <w:pStyle w:val="Descripcin"/>
        <w:keepNext/>
        <w:spacing w:after="0" w:line="360" w:lineRule="auto"/>
        <w:rPr>
          <w:rFonts w:eastAsia="Calibri"/>
          <w:b/>
          <w:i w:val="0"/>
          <w:color w:val="767171"/>
          <w:sz w:val="24"/>
          <w:szCs w:val="24"/>
          <w:lang w:val="es-DO"/>
        </w:rPr>
      </w:pPr>
    </w:p>
    <w:p w14:paraId="16BC9A8D" w14:textId="3BBE8072" w:rsidR="00D503A8" w:rsidRPr="005C133F" w:rsidRDefault="00D503A8" w:rsidP="00BF3B42">
      <w:pPr>
        <w:pStyle w:val="Descripcin"/>
        <w:keepNext/>
        <w:spacing w:after="0"/>
        <w:rPr>
          <w:b/>
          <w:bCs/>
          <w:i w:val="0"/>
          <w:iCs w:val="0"/>
          <w:color w:val="767171"/>
          <w:sz w:val="24"/>
          <w:szCs w:val="24"/>
          <w:lang w:val="es-DO"/>
        </w:rPr>
      </w:pPr>
      <w:bookmarkStart w:id="25" w:name="_Toc218784138"/>
      <w:r w:rsidRPr="005C133F">
        <w:rPr>
          <w:b/>
          <w:bCs/>
          <w:i w:val="0"/>
          <w:iCs w:val="0"/>
          <w:color w:val="767171"/>
          <w:sz w:val="24"/>
          <w:szCs w:val="24"/>
          <w:lang w:val="es-DO"/>
        </w:rPr>
        <w:t xml:space="preserve">Tabla </w:t>
      </w:r>
      <w:r w:rsidR="00681980" w:rsidRPr="005C133F">
        <w:rPr>
          <w:rFonts w:eastAsia="Calibri"/>
          <w:b/>
          <w:bCs/>
          <w:i w:val="0"/>
          <w:iCs w:val="0"/>
          <w:noProof/>
          <w:color w:val="767171"/>
          <w:sz w:val="24"/>
          <w:szCs w:val="24"/>
          <w:lang w:val="es-DO"/>
        </w:rPr>
        <w:fldChar w:fldCharType="begin"/>
      </w:r>
      <w:r w:rsidR="00681980" w:rsidRPr="005C133F">
        <w:rPr>
          <w:rFonts w:eastAsia="Calibri"/>
          <w:b/>
          <w:bCs/>
          <w:i w:val="0"/>
          <w:iCs w:val="0"/>
          <w:noProof/>
          <w:color w:val="767171"/>
          <w:sz w:val="24"/>
          <w:szCs w:val="24"/>
          <w:lang w:val="es-DO"/>
        </w:rPr>
        <w:instrText xml:space="preserve"> SEQ Tabla \* ARABIC </w:instrText>
      </w:r>
      <w:r w:rsidR="00681980" w:rsidRPr="005C133F">
        <w:rPr>
          <w:rFonts w:eastAsia="Calibri"/>
          <w:b/>
          <w:bCs/>
          <w:i w:val="0"/>
          <w:iCs w:val="0"/>
          <w:noProof/>
          <w:color w:val="767171"/>
          <w:sz w:val="24"/>
          <w:szCs w:val="24"/>
          <w:lang w:val="es-DO"/>
        </w:rPr>
        <w:fldChar w:fldCharType="separate"/>
      </w:r>
      <w:r w:rsidR="00814341">
        <w:rPr>
          <w:rFonts w:eastAsia="Calibri"/>
          <w:b/>
          <w:bCs/>
          <w:i w:val="0"/>
          <w:iCs w:val="0"/>
          <w:noProof/>
          <w:color w:val="767171"/>
          <w:sz w:val="24"/>
          <w:szCs w:val="24"/>
          <w:lang w:val="es-DO"/>
        </w:rPr>
        <w:t>6</w:t>
      </w:r>
      <w:r w:rsidR="00681980" w:rsidRPr="005C133F">
        <w:rPr>
          <w:rFonts w:eastAsia="Calibri"/>
          <w:b/>
          <w:bCs/>
          <w:i w:val="0"/>
          <w:iCs w:val="0"/>
          <w:noProof/>
          <w:color w:val="767171"/>
          <w:sz w:val="24"/>
          <w:szCs w:val="24"/>
          <w:lang w:val="es-DO"/>
        </w:rPr>
        <w:fldChar w:fldCharType="end"/>
      </w:r>
      <w:r w:rsidR="00681980" w:rsidRPr="005C133F">
        <w:rPr>
          <w:rFonts w:eastAsia="Calibri"/>
          <w:b/>
          <w:bCs/>
          <w:i w:val="0"/>
          <w:iCs w:val="0"/>
          <w:noProof/>
          <w:color w:val="767171"/>
          <w:sz w:val="24"/>
          <w:szCs w:val="24"/>
          <w:lang w:val="es-DO"/>
        </w:rPr>
        <w:t>.</w:t>
      </w:r>
      <w:r w:rsidRPr="005C133F">
        <w:rPr>
          <w:b/>
          <w:bCs/>
          <w:i w:val="0"/>
          <w:iCs w:val="0"/>
          <w:color w:val="767171"/>
          <w:sz w:val="24"/>
          <w:szCs w:val="24"/>
          <w:lang w:val="es-DO"/>
        </w:rPr>
        <w:t xml:space="preserve"> Aumento del per cápita en el Régimen Contributivo</w:t>
      </w:r>
      <w:bookmarkEnd w:id="25"/>
    </w:p>
    <w:tbl>
      <w:tblPr>
        <w:tblpPr w:leftFromText="141" w:rightFromText="141" w:vertAnchor="text" w:tblpXSpec="center"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681"/>
        <w:gridCol w:w="2108"/>
        <w:gridCol w:w="920"/>
        <w:gridCol w:w="1201"/>
      </w:tblGrid>
      <w:tr w:rsidR="004921FF" w:rsidRPr="005C133F" w14:paraId="622A0605" w14:textId="77777777" w:rsidTr="006A7520">
        <w:trPr>
          <w:trHeight w:val="271"/>
          <w:tblHeader/>
        </w:trPr>
        <w:tc>
          <w:tcPr>
            <w:tcW w:w="3681" w:type="dxa"/>
            <w:shd w:val="clear" w:color="auto" w:fill="011C50"/>
            <w:noWrap/>
            <w:vAlign w:val="bottom"/>
            <w:hideMark/>
          </w:tcPr>
          <w:p w14:paraId="6D2DA280"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Rubro</w:t>
            </w:r>
          </w:p>
        </w:tc>
        <w:tc>
          <w:tcPr>
            <w:tcW w:w="2108" w:type="dxa"/>
            <w:shd w:val="clear" w:color="auto" w:fill="011C50"/>
            <w:noWrap/>
            <w:vAlign w:val="bottom"/>
            <w:hideMark/>
          </w:tcPr>
          <w:p w14:paraId="0ABFF8D2"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Per cápita mensual</w:t>
            </w:r>
          </w:p>
        </w:tc>
        <w:tc>
          <w:tcPr>
            <w:tcW w:w="0" w:type="auto"/>
            <w:shd w:val="clear" w:color="auto" w:fill="011C50"/>
            <w:noWrap/>
            <w:vAlign w:val="bottom"/>
            <w:hideMark/>
          </w:tcPr>
          <w:p w14:paraId="01B94E8F"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ARS</w:t>
            </w:r>
          </w:p>
        </w:tc>
        <w:tc>
          <w:tcPr>
            <w:tcW w:w="0" w:type="auto"/>
            <w:shd w:val="clear" w:color="auto" w:fill="011C50"/>
            <w:noWrap/>
            <w:vAlign w:val="bottom"/>
            <w:hideMark/>
          </w:tcPr>
          <w:p w14:paraId="3D077541" w14:textId="77777777" w:rsidR="00B253D8" w:rsidRPr="005C133F" w:rsidRDefault="00B253D8" w:rsidP="00BF3B42">
            <w:pPr>
              <w:spacing w:after="0" w:line="240" w:lineRule="auto"/>
              <w:jc w:val="center"/>
              <w:rPr>
                <w:b/>
                <w:bCs/>
                <w:color w:val="FFFFFF" w:themeColor="background1"/>
                <w:lang w:val="es-DO" w:eastAsia="es-DO"/>
              </w:rPr>
            </w:pPr>
            <w:r w:rsidRPr="005C133F">
              <w:rPr>
                <w:b/>
                <w:bCs/>
                <w:color w:val="FFFFFF" w:themeColor="background1"/>
                <w:lang w:val="es-DO" w:eastAsia="es-DO"/>
              </w:rPr>
              <w:t>Fondo 1/</w:t>
            </w:r>
          </w:p>
        </w:tc>
      </w:tr>
      <w:tr w:rsidR="004921FF" w:rsidRPr="005C133F" w14:paraId="1D78FFCE" w14:textId="77777777" w:rsidTr="0093593D">
        <w:trPr>
          <w:trHeight w:val="885"/>
        </w:trPr>
        <w:tc>
          <w:tcPr>
            <w:tcW w:w="3681" w:type="dxa"/>
            <w:vAlign w:val="center"/>
            <w:hideMark/>
          </w:tcPr>
          <w:p w14:paraId="0135E2A2" w14:textId="77777777" w:rsidR="00B253D8" w:rsidRPr="005C133F" w:rsidRDefault="00B253D8" w:rsidP="00BF3B42">
            <w:pPr>
              <w:spacing w:after="0" w:line="240" w:lineRule="auto"/>
              <w:rPr>
                <w:lang w:val="es-DO" w:eastAsia="es-DO"/>
              </w:rPr>
            </w:pPr>
            <w:r w:rsidRPr="005C133F">
              <w:rPr>
                <w:lang w:val="es-DO" w:eastAsia="es-DO"/>
              </w:rPr>
              <w:t>Aumento a las ARS por concepto de indexación desde abril - 2023 hasta marzo 2025</w:t>
            </w:r>
          </w:p>
        </w:tc>
        <w:tc>
          <w:tcPr>
            <w:tcW w:w="2108" w:type="dxa"/>
            <w:vAlign w:val="center"/>
            <w:hideMark/>
          </w:tcPr>
          <w:p w14:paraId="0B441B26" w14:textId="77777777" w:rsidR="00B253D8" w:rsidRPr="005C133F" w:rsidRDefault="00B253D8" w:rsidP="00BF3B42">
            <w:pPr>
              <w:spacing w:after="0" w:line="240" w:lineRule="auto"/>
              <w:jc w:val="center"/>
              <w:rPr>
                <w:lang w:eastAsia="es-DO"/>
              </w:rPr>
            </w:pPr>
            <w:r w:rsidRPr="005C133F">
              <w:rPr>
                <w:lang w:eastAsia="es-DO"/>
              </w:rPr>
              <w:t>142.08</w:t>
            </w:r>
          </w:p>
        </w:tc>
        <w:tc>
          <w:tcPr>
            <w:tcW w:w="0" w:type="auto"/>
            <w:vAlign w:val="center"/>
            <w:hideMark/>
          </w:tcPr>
          <w:p w14:paraId="4ED2406B" w14:textId="77777777" w:rsidR="00B253D8" w:rsidRPr="005C133F" w:rsidRDefault="00B253D8" w:rsidP="00BF3B42">
            <w:pPr>
              <w:spacing w:after="0" w:line="240" w:lineRule="auto"/>
              <w:jc w:val="center"/>
              <w:rPr>
                <w:lang w:eastAsia="es-DO"/>
              </w:rPr>
            </w:pPr>
            <w:r w:rsidRPr="005C133F">
              <w:rPr>
                <w:lang w:eastAsia="es-DO"/>
              </w:rPr>
              <w:t>142.08</w:t>
            </w:r>
          </w:p>
        </w:tc>
        <w:tc>
          <w:tcPr>
            <w:tcW w:w="0" w:type="auto"/>
            <w:vAlign w:val="center"/>
            <w:hideMark/>
          </w:tcPr>
          <w:p w14:paraId="72FE3660" w14:textId="77777777" w:rsidR="00B253D8" w:rsidRPr="005C133F" w:rsidRDefault="00B253D8" w:rsidP="00BF3B42">
            <w:pPr>
              <w:spacing w:after="0" w:line="240" w:lineRule="auto"/>
              <w:jc w:val="center"/>
              <w:rPr>
                <w:lang w:eastAsia="es-DO"/>
              </w:rPr>
            </w:pPr>
            <w:r w:rsidRPr="005C133F">
              <w:rPr>
                <w:lang w:eastAsia="es-DO"/>
              </w:rPr>
              <w:t>0</w:t>
            </w:r>
          </w:p>
        </w:tc>
      </w:tr>
      <w:tr w:rsidR="004921FF" w:rsidRPr="005C133F" w14:paraId="113BE1DA" w14:textId="77777777" w:rsidTr="0093593D">
        <w:trPr>
          <w:trHeight w:val="885"/>
        </w:trPr>
        <w:tc>
          <w:tcPr>
            <w:tcW w:w="3681" w:type="dxa"/>
            <w:vAlign w:val="center"/>
            <w:hideMark/>
          </w:tcPr>
          <w:p w14:paraId="45FA5049" w14:textId="77777777" w:rsidR="00B253D8" w:rsidRPr="005C133F" w:rsidRDefault="00B253D8" w:rsidP="00BF3B42">
            <w:pPr>
              <w:spacing w:after="0" w:line="240" w:lineRule="auto"/>
              <w:rPr>
                <w:lang w:val="es-DO" w:eastAsia="es-DO"/>
              </w:rPr>
            </w:pPr>
            <w:r w:rsidRPr="005C133F">
              <w:rPr>
                <w:lang w:val="es-DO" w:eastAsia="es-DO"/>
              </w:rPr>
              <w:t>Aumento de RD$250 a las consultas ambulatorias, psicológicas y psiquiátricas</w:t>
            </w:r>
          </w:p>
        </w:tc>
        <w:tc>
          <w:tcPr>
            <w:tcW w:w="2108" w:type="dxa"/>
            <w:vAlign w:val="center"/>
            <w:hideMark/>
          </w:tcPr>
          <w:p w14:paraId="2EE6E12E" w14:textId="77777777" w:rsidR="00B253D8" w:rsidRPr="005C133F" w:rsidRDefault="00B253D8" w:rsidP="00BF3B42">
            <w:pPr>
              <w:spacing w:after="0" w:line="240" w:lineRule="auto"/>
              <w:jc w:val="center"/>
              <w:rPr>
                <w:lang w:eastAsia="es-DO"/>
              </w:rPr>
            </w:pPr>
            <w:r w:rsidRPr="005C133F">
              <w:rPr>
                <w:lang w:eastAsia="es-DO"/>
              </w:rPr>
              <w:t>44.71</w:t>
            </w:r>
          </w:p>
        </w:tc>
        <w:tc>
          <w:tcPr>
            <w:tcW w:w="0" w:type="auto"/>
            <w:vAlign w:val="center"/>
            <w:hideMark/>
          </w:tcPr>
          <w:p w14:paraId="6A596153" w14:textId="77777777" w:rsidR="00B253D8" w:rsidRPr="005C133F" w:rsidRDefault="00B253D8" w:rsidP="00BF3B42">
            <w:pPr>
              <w:spacing w:after="0" w:line="240" w:lineRule="auto"/>
              <w:jc w:val="center"/>
              <w:rPr>
                <w:lang w:eastAsia="es-DO"/>
              </w:rPr>
            </w:pPr>
            <w:r w:rsidRPr="005C133F">
              <w:rPr>
                <w:lang w:eastAsia="es-DO"/>
              </w:rPr>
              <w:t>44.71</w:t>
            </w:r>
          </w:p>
        </w:tc>
        <w:tc>
          <w:tcPr>
            <w:tcW w:w="0" w:type="auto"/>
            <w:vAlign w:val="center"/>
            <w:hideMark/>
          </w:tcPr>
          <w:p w14:paraId="01F78F2A" w14:textId="77777777" w:rsidR="00B253D8" w:rsidRPr="005C133F" w:rsidRDefault="00B253D8" w:rsidP="00BF3B42">
            <w:pPr>
              <w:spacing w:after="0" w:line="240" w:lineRule="auto"/>
              <w:jc w:val="center"/>
              <w:rPr>
                <w:lang w:eastAsia="es-DO"/>
              </w:rPr>
            </w:pPr>
            <w:r w:rsidRPr="005C133F">
              <w:rPr>
                <w:lang w:eastAsia="es-DO"/>
              </w:rPr>
              <w:t>0</w:t>
            </w:r>
          </w:p>
        </w:tc>
      </w:tr>
      <w:tr w:rsidR="004921FF" w:rsidRPr="005C133F" w14:paraId="60FD9622" w14:textId="77777777" w:rsidTr="0093593D">
        <w:trPr>
          <w:trHeight w:val="600"/>
        </w:trPr>
        <w:tc>
          <w:tcPr>
            <w:tcW w:w="3681" w:type="dxa"/>
            <w:vAlign w:val="center"/>
            <w:hideMark/>
          </w:tcPr>
          <w:p w14:paraId="41542663" w14:textId="1C2777F8" w:rsidR="00B253D8" w:rsidRPr="005C133F" w:rsidRDefault="00B253D8" w:rsidP="00BF3B42">
            <w:pPr>
              <w:spacing w:after="0" w:line="240" w:lineRule="auto"/>
              <w:jc w:val="both"/>
              <w:rPr>
                <w:lang w:val="es-DO" w:eastAsia="es-DO"/>
              </w:rPr>
            </w:pPr>
            <w:r w:rsidRPr="005C133F">
              <w:rPr>
                <w:lang w:val="es-DO" w:eastAsia="es-DO"/>
              </w:rPr>
              <w:t>Aumento por concepto</w:t>
            </w:r>
            <w:r w:rsidR="0093593D" w:rsidRPr="005C133F">
              <w:rPr>
                <w:lang w:val="es-DO" w:eastAsia="es-DO"/>
              </w:rPr>
              <w:t xml:space="preserve"> </w:t>
            </w:r>
            <w:r w:rsidRPr="005C133F">
              <w:rPr>
                <w:lang w:val="es-DO" w:eastAsia="es-DO"/>
              </w:rPr>
              <w:t>de ampliación de beneficios</w:t>
            </w:r>
          </w:p>
        </w:tc>
        <w:tc>
          <w:tcPr>
            <w:tcW w:w="2108" w:type="dxa"/>
            <w:vAlign w:val="center"/>
            <w:hideMark/>
          </w:tcPr>
          <w:p w14:paraId="54518BAA" w14:textId="77777777" w:rsidR="00B253D8" w:rsidRPr="005C133F" w:rsidRDefault="00B253D8" w:rsidP="00BF3B42">
            <w:pPr>
              <w:spacing w:after="0" w:line="240" w:lineRule="auto"/>
              <w:jc w:val="center"/>
              <w:rPr>
                <w:lang w:eastAsia="es-DO"/>
              </w:rPr>
            </w:pPr>
            <w:r w:rsidRPr="005C133F">
              <w:rPr>
                <w:lang w:eastAsia="es-DO"/>
              </w:rPr>
              <w:t>17.53</w:t>
            </w:r>
          </w:p>
        </w:tc>
        <w:tc>
          <w:tcPr>
            <w:tcW w:w="0" w:type="auto"/>
            <w:vAlign w:val="center"/>
            <w:hideMark/>
          </w:tcPr>
          <w:p w14:paraId="5767E195" w14:textId="77777777" w:rsidR="00B253D8" w:rsidRPr="005C133F" w:rsidRDefault="00B253D8" w:rsidP="00BF3B42">
            <w:pPr>
              <w:spacing w:after="0" w:line="240" w:lineRule="auto"/>
              <w:jc w:val="center"/>
              <w:rPr>
                <w:lang w:eastAsia="es-DO"/>
              </w:rPr>
            </w:pPr>
            <w:r w:rsidRPr="005C133F">
              <w:rPr>
                <w:lang w:eastAsia="es-DO"/>
              </w:rPr>
              <w:t>12.48</w:t>
            </w:r>
          </w:p>
        </w:tc>
        <w:tc>
          <w:tcPr>
            <w:tcW w:w="0" w:type="auto"/>
            <w:vAlign w:val="center"/>
            <w:hideMark/>
          </w:tcPr>
          <w:p w14:paraId="4745EF63" w14:textId="77777777" w:rsidR="00B253D8" w:rsidRPr="005C133F" w:rsidRDefault="00B253D8" w:rsidP="00BF3B42">
            <w:pPr>
              <w:spacing w:after="0" w:line="240" w:lineRule="auto"/>
              <w:jc w:val="center"/>
              <w:rPr>
                <w:lang w:eastAsia="es-DO"/>
              </w:rPr>
            </w:pPr>
            <w:r w:rsidRPr="005C133F">
              <w:rPr>
                <w:lang w:eastAsia="es-DO"/>
              </w:rPr>
              <w:t>5.05</w:t>
            </w:r>
          </w:p>
        </w:tc>
      </w:tr>
      <w:tr w:rsidR="005C133F" w:rsidRPr="005C133F" w14:paraId="6F772D77" w14:textId="77777777" w:rsidTr="006A7520">
        <w:trPr>
          <w:trHeight w:val="147"/>
        </w:trPr>
        <w:tc>
          <w:tcPr>
            <w:tcW w:w="3681" w:type="dxa"/>
            <w:shd w:val="clear" w:color="auto" w:fill="011C50"/>
            <w:vAlign w:val="center"/>
          </w:tcPr>
          <w:p w14:paraId="7B758923" w14:textId="77777777" w:rsidR="00B253D8" w:rsidRPr="005C133F" w:rsidRDefault="00B253D8" w:rsidP="00BF3B42">
            <w:pPr>
              <w:spacing w:after="0" w:line="240" w:lineRule="auto"/>
              <w:jc w:val="right"/>
              <w:rPr>
                <w:b/>
                <w:bCs/>
                <w:color w:val="FFFFFF" w:themeColor="background1"/>
                <w:lang w:eastAsia="es-DO"/>
              </w:rPr>
            </w:pPr>
            <w:r w:rsidRPr="005C133F">
              <w:rPr>
                <w:b/>
                <w:bCs/>
                <w:color w:val="FFFFFF" w:themeColor="background1"/>
                <w:lang w:eastAsia="es-DO"/>
              </w:rPr>
              <w:t xml:space="preserve">Total </w:t>
            </w:r>
          </w:p>
        </w:tc>
        <w:tc>
          <w:tcPr>
            <w:tcW w:w="2108" w:type="dxa"/>
            <w:shd w:val="clear" w:color="auto" w:fill="011C50"/>
            <w:vAlign w:val="center"/>
          </w:tcPr>
          <w:p w14:paraId="671B0E68" w14:textId="77777777" w:rsidR="00B253D8" w:rsidRPr="005C133F" w:rsidRDefault="00B253D8" w:rsidP="00BF3B42">
            <w:pPr>
              <w:spacing w:after="0" w:line="240" w:lineRule="auto"/>
              <w:jc w:val="center"/>
              <w:rPr>
                <w:color w:val="FFFFFF" w:themeColor="background1"/>
                <w:lang w:eastAsia="es-DO"/>
              </w:rPr>
            </w:pPr>
            <w:r w:rsidRPr="005C133F">
              <w:rPr>
                <w:b/>
                <w:bCs/>
                <w:color w:val="FFFFFF" w:themeColor="background1"/>
                <w:lang w:eastAsia="es-DO"/>
              </w:rPr>
              <w:t>204.32</w:t>
            </w:r>
          </w:p>
        </w:tc>
        <w:tc>
          <w:tcPr>
            <w:tcW w:w="0" w:type="auto"/>
            <w:shd w:val="clear" w:color="auto" w:fill="011C50"/>
            <w:vAlign w:val="center"/>
          </w:tcPr>
          <w:p w14:paraId="14048E04" w14:textId="77777777" w:rsidR="00B253D8" w:rsidRPr="005C133F" w:rsidRDefault="00B253D8" w:rsidP="00BF3B42">
            <w:pPr>
              <w:spacing w:after="0" w:line="240" w:lineRule="auto"/>
              <w:jc w:val="center"/>
              <w:rPr>
                <w:color w:val="FFFFFF" w:themeColor="background1"/>
                <w:lang w:eastAsia="es-DO"/>
              </w:rPr>
            </w:pPr>
            <w:r w:rsidRPr="005C133F">
              <w:rPr>
                <w:b/>
                <w:bCs/>
                <w:color w:val="FFFFFF" w:themeColor="background1"/>
                <w:lang w:eastAsia="es-DO"/>
              </w:rPr>
              <w:t>199.27</w:t>
            </w:r>
          </w:p>
        </w:tc>
        <w:tc>
          <w:tcPr>
            <w:tcW w:w="0" w:type="auto"/>
            <w:shd w:val="clear" w:color="auto" w:fill="011C50"/>
            <w:vAlign w:val="center"/>
          </w:tcPr>
          <w:p w14:paraId="0DC8E7F4" w14:textId="77777777" w:rsidR="00B253D8" w:rsidRPr="005C133F" w:rsidRDefault="00B253D8" w:rsidP="00BF3B42">
            <w:pPr>
              <w:spacing w:after="0" w:line="240" w:lineRule="auto"/>
              <w:jc w:val="center"/>
              <w:rPr>
                <w:color w:val="FFFFFF" w:themeColor="background1"/>
                <w:lang w:eastAsia="es-DO"/>
              </w:rPr>
            </w:pPr>
            <w:r w:rsidRPr="005C133F">
              <w:rPr>
                <w:b/>
                <w:bCs/>
                <w:color w:val="FFFFFF" w:themeColor="background1"/>
                <w:lang w:eastAsia="es-DO"/>
              </w:rPr>
              <w:t>5.05</w:t>
            </w:r>
          </w:p>
        </w:tc>
      </w:tr>
    </w:tbl>
    <w:p w14:paraId="4B791BD2" w14:textId="6AF2545B" w:rsidR="00FF52E0" w:rsidRPr="00BF3B42" w:rsidRDefault="00FF52E0" w:rsidP="005C133F">
      <w:pPr>
        <w:spacing w:after="0" w:line="360" w:lineRule="auto"/>
        <w:rPr>
          <w:sz w:val="18"/>
          <w:szCs w:val="18"/>
          <w:lang w:val="es-DO"/>
        </w:rPr>
      </w:pPr>
      <w:r w:rsidRPr="005C133F">
        <w:rPr>
          <w:lang w:val="es-DO"/>
        </w:rPr>
        <w:t xml:space="preserve"> </w:t>
      </w:r>
      <w:r w:rsidRPr="00BF3B42">
        <w:rPr>
          <w:sz w:val="18"/>
          <w:szCs w:val="18"/>
          <w:lang w:val="es-DO"/>
        </w:rPr>
        <w:t>Fuente: Dirección de Gestión Actuarial del SFS y el SRL</w:t>
      </w:r>
    </w:p>
    <w:p w14:paraId="352385C1" w14:textId="77777777" w:rsidR="00F75FCE" w:rsidRPr="005C133F" w:rsidRDefault="00F75FCE" w:rsidP="005C133F">
      <w:pPr>
        <w:pStyle w:val="Sinespaciado"/>
        <w:spacing w:line="360" w:lineRule="auto"/>
        <w:rPr>
          <w:color w:val="767171"/>
          <w:highlight w:val="lightGray"/>
          <w:lang w:val="es-DO"/>
        </w:rPr>
      </w:pPr>
    </w:p>
    <w:p w14:paraId="02172908" w14:textId="02F32FDC" w:rsidR="00FF52E0" w:rsidRPr="005C133F" w:rsidRDefault="00F6404F" w:rsidP="005C133F">
      <w:pPr>
        <w:spacing w:after="0" w:line="360" w:lineRule="auto"/>
        <w:jc w:val="both"/>
        <w:rPr>
          <w:b/>
          <w:bCs/>
          <w:lang w:val="es-ES"/>
        </w:rPr>
      </w:pPr>
      <w:r w:rsidRPr="005C133F">
        <w:rPr>
          <w:b/>
          <w:bCs/>
          <w:lang w:val="es-ES"/>
        </w:rPr>
        <w:lastRenderedPageBreak/>
        <w:t xml:space="preserve">Implementación del Per cápita diferenciado por riesgo, según sexo y edad </w:t>
      </w:r>
    </w:p>
    <w:p w14:paraId="2E6778D7" w14:textId="77777777" w:rsidR="00EF7A7E" w:rsidRPr="005C133F" w:rsidRDefault="00EF7A7E" w:rsidP="005C133F">
      <w:pPr>
        <w:spacing w:after="0" w:line="360" w:lineRule="auto"/>
        <w:jc w:val="both"/>
        <w:rPr>
          <w:b/>
          <w:bCs/>
          <w:lang w:val="es-ES"/>
        </w:rPr>
      </w:pPr>
    </w:p>
    <w:p w14:paraId="0A9D4499" w14:textId="57FC38AD" w:rsidR="00F6404F" w:rsidRPr="005C133F" w:rsidRDefault="00BF63E0" w:rsidP="005C133F">
      <w:pPr>
        <w:spacing w:after="0" w:line="360" w:lineRule="auto"/>
        <w:jc w:val="both"/>
        <w:rPr>
          <w:lang w:val="es-DO"/>
        </w:rPr>
      </w:pPr>
      <w:r w:rsidRPr="005C133F">
        <w:rPr>
          <w:lang w:val="es-DO"/>
        </w:rPr>
        <w:t xml:space="preserve">Se elaboró la </w:t>
      </w:r>
      <w:r w:rsidR="00F6404F" w:rsidRPr="005C133F">
        <w:rPr>
          <w:lang w:val="es-DO"/>
        </w:rPr>
        <w:t>propuesta para la implementación del per cápita por riesgo en el Régimen Contributivo del Seguro Familiar de Salud, aproba</w:t>
      </w:r>
      <w:r w:rsidRPr="005C133F">
        <w:rPr>
          <w:lang w:val="es-DO"/>
        </w:rPr>
        <w:t>da</w:t>
      </w:r>
      <w:r w:rsidR="00F6404F" w:rsidRPr="005C133F">
        <w:rPr>
          <w:lang w:val="es-DO"/>
        </w:rPr>
        <w:t xml:space="preserve"> en la Resolución del CNSS No. 624-02. Esta propuesta toma como premisa que el per cápita de los dependientes adicionales se mantenga fijo, es decir, se aporte por cada uno de ellos RD$1,887.54 sin importar sexo y edad. En el caso de los titulares y dependientes directos, a partir del per cápita aprobado para dispersión a las ARS (RD$1,882.49), se dispone de un per cápita base de RD$1,694.24 y se mantiene el 10% de gasto administrativo, siendo de RD$188.25. Con el per cápita base se obtiene un per cápita ajustado por riesgo (PCA) por grupo de edad y sexo, donde los factores de riesgos individual, FARIND se obtuvieron al dividir los per cápita ajustados por riesgo por grupo de edad y sexo entre el per cápita único</w:t>
      </w:r>
      <w:r w:rsidR="00CF1A28" w:rsidRPr="005C133F">
        <w:rPr>
          <w:lang w:val="es-DO"/>
        </w:rPr>
        <w:t>:</w:t>
      </w:r>
    </w:p>
    <w:p w14:paraId="55CC4944" w14:textId="77777777" w:rsidR="00ED1FEF" w:rsidRPr="005C133F" w:rsidRDefault="00ED1FEF" w:rsidP="005C133F">
      <w:pPr>
        <w:spacing w:after="0" w:line="360" w:lineRule="auto"/>
        <w:jc w:val="both"/>
        <w:rPr>
          <w:lang w:val="es-DO"/>
        </w:rPr>
      </w:pPr>
    </w:p>
    <w:p w14:paraId="58B0D5C7" w14:textId="5D12774F" w:rsidR="009D1BA3" w:rsidRPr="005C133F" w:rsidRDefault="00ED1FEF" w:rsidP="005C133F">
      <w:pPr>
        <w:spacing w:after="0" w:line="360" w:lineRule="auto"/>
        <w:jc w:val="both"/>
        <w:rPr>
          <w:lang w:val="es-DO"/>
        </w:rPr>
      </w:pPr>
      <w:r w:rsidRPr="005C133F">
        <w:rPr>
          <w:lang w:val="es-DO"/>
        </w:rPr>
        <w:t>El valor del per cápita ajustado (PCA) se calcula mediante la siguiente fórmula:</w:t>
      </w:r>
    </w:p>
    <w:p w14:paraId="7EEC51D2" w14:textId="77777777" w:rsidR="00EF7A7E" w:rsidRPr="005C133F" w:rsidRDefault="00EF7A7E" w:rsidP="00BF3B42">
      <w:pPr>
        <w:spacing w:after="0" w:line="240" w:lineRule="auto"/>
        <w:jc w:val="both"/>
        <w:rPr>
          <w:lang w:val="es-DO"/>
        </w:rPr>
      </w:pPr>
    </w:p>
    <w:p w14:paraId="22EDD4CE" w14:textId="0B07461F" w:rsidR="00681980" w:rsidRPr="005C133F" w:rsidRDefault="00681980" w:rsidP="00BF3B42">
      <w:pPr>
        <w:pStyle w:val="Descripcin"/>
        <w:keepNext/>
        <w:spacing w:after="0"/>
        <w:jc w:val="center"/>
        <w:rPr>
          <w:b/>
          <w:bCs/>
          <w:i w:val="0"/>
          <w:iCs w:val="0"/>
          <w:color w:val="767171"/>
          <w:sz w:val="24"/>
          <w:szCs w:val="24"/>
          <w:lang w:val="es-DO"/>
        </w:rPr>
      </w:pPr>
      <w:bookmarkStart w:id="26" w:name="_Toc218784139"/>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7</w:t>
      </w:r>
      <w:r w:rsidRPr="005C133F">
        <w:rPr>
          <w:b/>
          <w:bCs/>
          <w:i w:val="0"/>
          <w:iCs w:val="0"/>
          <w:color w:val="767171"/>
          <w:sz w:val="24"/>
          <w:szCs w:val="24"/>
          <w:lang w:val="es-DO"/>
        </w:rPr>
        <w:fldChar w:fldCharType="end"/>
      </w:r>
      <w:r w:rsidRPr="005C133F">
        <w:rPr>
          <w:b/>
          <w:bCs/>
          <w:i w:val="0"/>
          <w:iCs w:val="0"/>
          <w:color w:val="767171"/>
          <w:sz w:val="24"/>
          <w:szCs w:val="24"/>
          <w:lang w:val="es-DO"/>
        </w:rPr>
        <w:t>. Fórmula de ajuste por riesgo</w:t>
      </w:r>
      <w:bookmarkEnd w:id="26"/>
    </w:p>
    <w:tbl>
      <w:tblPr>
        <w:tblW w:w="5960" w:type="dxa"/>
        <w:jc w:val="center"/>
        <w:tblBorders>
          <w:top w:val="single" w:sz="4" w:space="0" w:color="767170"/>
          <w:left w:val="single" w:sz="4" w:space="0" w:color="767170"/>
          <w:bottom w:val="single" w:sz="4" w:space="0" w:color="767170"/>
          <w:right w:val="single" w:sz="4" w:space="0" w:color="767170"/>
          <w:insideH w:val="single" w:sz="4" w:space="0" w:color="767170"/>
          <w:insideV w:val="single" w:sz="4" w:space="0" w:color="767170"/>
        </w:tblBorders>
        <w:tblCellMar>
          <w:left w:w="70" w:type="dxa"/>
          <w:right w:w="70" w:type="dxa"/>
        </w:tblCellMar>
        <w:tblLook w:val="04A0" w:firstRow="1" w:lastRow="0" w:firstColumn="1" w:lastColumn="0" w:noHBand="0" w:noVBand="1"/>
      </w:tblPr>
      <w:tblGrid>
        <w:gridCol w:w="2200"/>
        <w:gridCol w:w="3760"/>
      </w:tblGrid>
      <w:tr w:rsidR="005C133F" w:rsidRPr="005C133F" w14:paraId="6A44C522" w14:textId="77777777" w:rsidTr="00266BC9">
        <w:trPr>
          <w:trHeight w:val="312"/>
          <w:jc w:val="center"/>
        </w:trPr>
        <w:tc>
          <w:tcPr>
            <w:tcW w:w="2200" w:type="dxa"/>
            <w:shd w:val="clear" w:color="000000" w:fill="011C50"/>
            <w:vAlign w:val="bottom"/>
            <w:hideMark/>
          </w:tcPr>
          <w:p w14:paraId="531EDFB8" w14:textId="77777777" w:rsidR="00F62530" w:rsidRPr="005C133F" w:rsidRDefault="00F62530" w:rsidP="00BF3B4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Fórmula </w:t>
            </w:r>
          </w:p>
        </w:tc>
        <w:tc>
          <w:tcPr>
            <w:tcW w:w="3760" w:type="dxa"/>
            <w:shd w:val="clear" w:color="000000" w:fill="011C50"/>
            <w:vAlign w:val="bottom"/>
            <w:hideMark/>
          </w:tcPr>
          <w:p w14:paraId="62798088" w14:textId="77777777" w:rsidR="00F62530" w:rsidRPr="005C133F" w:rsidRDefault="00F62530" w:rsidP="00BF3B4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Descripción </w:t>
            </w:r>
          </w:p>
        </w:tc>
      </w:tr>
      <w:tr w:rsidR="004921FF" w:rsidRPr="00CD02F5" w14:paraId="181476AC" w14:textId="77777777" w:rsidTr="00266BC9">
        <w:trPr>
          <w:trHeight w:val="1744"/>
          <w:jc w:val="center"/>
        </w:trPr>
        <w:tc>
          <w:tcPr>
            <w:tcW w:w="2200" w:type="dxa"/>
            <w:vAlign w:val="center"/>
            <w:hideMark/>
          </w:tcPr>
          <w:p w14:paraId="6B4BA07C" w14:textId="77777777" w:rsidR="00F62530" w:rsidRPr="005C133F" w:rsidRDefault="00F62530" w:rsidP="00BF3B42">
            <w:pPr>
              <w:spacing w:after="0" w:line="240" w:lineRule="auto"/>
              <w:rPr>
                <w:rFonts w:eastAsia="Times New Roman"/>
                <w:spacing w:val="0"/>
                <w:lang w:val="es-DO" w:eastAsia="es-DO"/>
              </w:rPr>
            </w:pPr>
            <w:r w:rsidRPr="005C133F">
              <w:rPr>
                <w:rFonts w:eastAsia="Times New Roman"/>
                <w:spacing w:val="0"/>
                <w:lang w:val="es-DO" w:eastAsia="es-DO"/>
              </w:rPr>
              <w:t>PCA = PC×FARIND</w:t>
            </w:r>
          </w:p>
        </w:tc>
        <w:tc>
          <w:tcPr>
            <w:tcW w:w="3760" w:type="dxa"/>
            <w:vAlign w:val="bottom"/>
            <w:hideMark/>
          </w:tcPr>
          <w:p w14:paraId="4F58ADE8" w14:textId="64A06D5A" w:rsidR="00F62530" w:rsidRPr="005C133F" w:rsidRDefault="00F62530" w:rsidP="00BF3B42">
            <w:pPr>
              <w:spacing w:after="0" w:line="240" w:lineRule="auto"/>
              <w:rPr>
                <w:rFonts w:eastAsia="Times New Roman"/>
                <w:spacing w:val="0"/>
                <w:lang w:val="es-DO" w:eastAsia="es-DO"/>
              </w:rPr>
            </w:pPr>
            <w:r w:rsidRPr="005C133F">
              <w:rPr>
                <w:rFonts w:eastAsia="Times New Roman"/>
                <w:spacing w:val="0"/>
                <w:lang w:val="es-DO" w:eastAsia="es-DO"/>
              </w:rPr>
              <w:t xml:space="preserve">PCA: Per cápita ajustado por riesgo. </w:t>
            </w:r>
            <w:r w:rsidRPr="005C133F">
              <w:rPr>
                <w:rFonts w:eastAsia="Times New Roman"/>
                <w:spacing w:val="0"/>
                <w:lang w:val="es-DO" w:eastAsia="es-DO"/>
              </w:rPr>
              <w:br/>
              <w:t xml:space="preserve">PC: Per cápita de riesgo base (El 90% del per cápita único aprobado). </w:t>
            </w:r>
            <w:r w:rsidRPr="005C133F">
              <w:rPr>
                <w:rFonts w:eastAsia="Times New Roman"/>
                <w:spacing w:val="0"/>
                <w:lang w:val="es-DO" w:eastAsia="es-DO"/>
              </w:rPr>
              <w:br/>
              <w:t xml:space="preserve">FARIND: Factor de ajuste por riesgo individual, que considera edad y sexo. </w:t>
            </w:r>
          </w:p>
        </w:tc>
      </w:tr>
    </w:tbl>
    <w:p w14:paraId="4A355B2A" w14:textId="13267EFA" w:rsidR="00F62530" w:rsidRPr="00BF3B42" w:rsidRDefault="00F62530" w:rsidP="005C133F">
      <w:pPr>
        <w:spacing w:after="0" w:line="360" w:lineRule="auto"/>
        <w:jc w:val="center"/>
        <w:rPr>
          <w:sz w:val="18"/>
          <w:szCs w:val="18"/>
          <w:lang w:val="es-DO"/>
        </w:rPr>
      </w:pPr>
      <w:r w:rsidRPr="00BF3B42">
        <w:rPr>
          <w:sz w:val="18"/>
          <w:szCs w:val="18"/>
          <w:lang w:val="es-DO"/>
        </w:rPr>
        <w:t>Fuente: Dirección de Gestión Actuarial del SFS y el SRL</w:t>
      </w:r>
    </w:p>
    <w:p w14:paraId="0A7B0C14" w14:textId="77777777" w:rsidR="00675285" w:rsidRPr="005C133F" w:rsidRDefault="00675285" w:rsidP="005C133F">
      <w:pPr>
        <w:spacing w:after="0" w:line="360" w:lineRule="auto"/>
        <w:jc w:val="both"/>
        <w:rPr>
          <w:lang w:val="es-DO"/>
        </w:rPr>
      </w:pPr>
    </w:p>
    <w:p w14:paraId="50584697" w14:textId="2093623D" w:rsidR="00681980" w:rsidRPr="005C133F" w:rsidRDefault="00681980" w:rsidP="00A056C4">
      <w:pPr>
        <w:pStyle w:val="Descripcin"/>
        <w:keepNext/>
        <w:spacing w:after="0"/>
        <w:jc w:val="center"/>
        <w:rPr>
          <w:b/>
          <w:bCs/>
          <w:i w:val="0"/>
          <w:iCs w:val="0"/>
          <w:color w:val="767171"/>
          <w:sz w:val="24"/>
          <w:szCs w:val="24"/>
          <w:lang w:val="es-DO"/>
        </w:rPr>
      </w:pPr>
      <w:bookmarkStart w:id="27" w:name="_Toc218784140"/>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8</w:t>
      </w:r>
      <w:r w:rsidRPr="005C133F">
        <w:rPr>
          <w:b/>
          <w:bCs/>
          <w:i w:val="0"/>
          <w:iCs w:val="0"/>
          <w:color w:val="767171"/>
          <w:sz w:val="24"/>
          <w:szCs w:val="24"/>
          <w:lang w:val="es-DO"/>
        </w:rPr>
        <w:fldChar w:fldCharType="end"/>
      </w:r>
      <w:r w:rsidRPr="005C133F">
        <w:rPr>
          <w:b/>
          <w:bCs/>
          <w:i w:val="0"/>
          <w:iCs w:val="0"/>
          <w:color w:val="767171"/>
          <w:sz w:val="24"/>
          <w:szCs w:val="24"/>
          <w:lang w:val="es-DO"/>
        </w:rPr>
        <w:t>. Seguro Familiar de Salud Régimen Contributivo: factor de ajuste estimado por edad y sexo</w:t>
      </w:r>
      <w:bookmarkEnd w:id="27"/>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248"/>
        <w:gridCol w:w="2235"/>
        <w:gridCol w:w="2427"/>
      </w:tblGrid>
      <w:tr w:rsidR="005C133F" w:rsidRPr="005C133F" w14:paraId="6CD57D52" w14:textId="77777777" w:rsidTr="006A7520">
        <w:trPr>
          <w:tblHeader/>
        </w:trPr>
        <w:tc>
          <w:tcPr>
            <w:tcW w:w="3329" w:type="dxa"/>
            <w:tcBorders>
              <w:bottom w:val="single" w:sz="4" w:space="0" w:color="767171"/>
            </w:tcBorders>
            <w:shd w:val="clear" w:color="auto" w:fill="011C50"/>
          </w:tcPr>
          <w:p w14:paraId="0C0D8477" w14:textId="77777777" w:rsidR="00554F6F" w:rsidRPr="005C133F" w:rsidRDefault="00554F6F" w:rsidP="00A056C4">
            <w:pPr>
              <w:jc w:val="center"/>
              <w:rPr>
                <w:b/>
                <w:bCs/>
                <w:color w:val="FFFFFF" w:themeColor="background1"/>
                <w:lang w:val="es-ES"/>
              </w:rPr>
            </w:pPr>
            <w:r w:rsidRPr="005C133F">
              <w:rPr>
                <w:b/>
                <w:bCs/>
                <w:color w:val="FFFFFF" w:themeColor="background1"/>
                <w:lang w:val="es-ES"/>
              </w:rPr>
              <w:t>Grupo de Edad</w:t>
            </w:r>
          </w:p>
        </w:tc>
        <w:tc>
          <w:tcPr>
            <w:tcW w:w="2195" w:type="dxa"/>
            <w:tcBorders>
              <w:bottom w:val="single" w:sz="4" w:space="0" w:color="767171"/>
            </w:tcBorders>
            <w:shd w:val="clear" w:color="auto" w:fill="011C50"/>
          </w:tcPr>
          <w:p w14:paraId="7D9F74FC" w14:textId="77777777" w:rsidR="00554F6F" w:rsidRPr="005C133F" w:rsidRDefault="00554F6F" w:rsidP="00A056C4">
            <w:pPr>
              <w:jc w:val="center"/>
              <w:rPr>
                <w:b/>
                <w:bCs/>
                <w:color w:val="FFFFFF" w:themeColor="background1"/>
                <w:lang w:val="es-ES"/>
              </w:rPr>
            </w:pPr>
            <w:r w:rsidRPr="005C133F">
              <w:rPr>
                <w:b/>
                <w:bCs/>
                <w:color w:val="FFFFFF" w:themeColor="background1"/>
                <w:lang w:val="es-ES"/>
              </w:rPr>
              <w:t>Mujeres</w:t>
            </w:r>
          </w:p>
        </w:tc>
        <w:tc>
          <w:tcPr>
            <w:tcW w:w="2386" w:type="dxa"/>
            <w:tcBorders>
              <w:bottom w:val="single" w:sz="4" w:space="0" w:color="767171"/>
            </w:tcBorders>
            <w:shd w:val="clear" w:color="auto" w:fill="011C50"/>
          </w:tcPr>
          <w:p w14:paraId="6957EABE" w14:textId="77777777" w:rsidR="00554F6F" w:rsidRPr="005C133F" w:rsidRDefault="00554F6F" w:rsidP="00A056C4">
            <w:pPr>
              <w:jc w:val="center"/>
              <w:rPr>
                <w:b/>
                <w:bCs/>
                <w:color w:val="FFFFFF" w:themeColor="background1"/>
                <w:lang w:val="es-ES"/>
              </w:rPr>
            </w:pPr>
            <w:r w:rsidRPr="005C133F">
              <w:rPr>
                <w:b/>
                <w:bCs/>
                <w:color w:val="FFFFFF" w:themeColor="background1"/>
                <w:lang w:val="es-ES"/>
              </w:rPr>
              <w:t>Hombres</w:t>
            </w:r>
          </w:p>
        </w:tc>
      </w:tr>
      <w:tr w:rsidR="004921FF" w:rsidRPr="005C133F" w14:paraId="6996A129" w14:textId="77777777" w:rsidTr="00E44049">
        <w:trPr>
          <w:trHeight w:val="245"/>
        </w:trPr>
        <w:tc>
          <w:tcPr>
            <w:tcW w:w="3329" w:type="dxa"/>
          </w:tcPr>
          <w:p w14:paraId="5535AE1F" w14:textId="77777777" w:rsidR="00554F6F" w:rsidRPr="005C133F" w:rsidRDefault="00554F6F" w:rsidP="00A056C4">
            <w:pPr>
              <w:jc w:val="center"/>
              <w:rPr>
                <w:lang w:val="es-ES"/>
              </w:rPr>
            </w:pPr>
            <w:r w:rsidRPr="005C133F">
              <w:rPr>
                <w:lang w:val="es-ES"/>
              </w:rPr>
              <w:t>0</w:t>
            </w:r>
          </w:p>
        </w:tc>
        <w:tc>
          <w:tcPr>
            <w:tcW w:w="2195" w:type="dxa"/>
          </w:tcPr>
          <w:p w14:paraId="0765B481" w14:textId="77777777" w:rsidR="00554F6F" w:rsidRPr="005C133F" w:rsidRDefault="00554F6F" w:rsidP="00A056C4">
            <w:pPr>
              <w:jc w:val="center"/>
              <w:rPr>
                <w:lang w:val="es-ES"/>
              </w:rPr>
            </w:pPr>
            <w:r w:rsidRPr="005C133F">
              <w:rPr>
                <w:lang w:val="es-ES"/>
              </w:rPr>
              <w:t>0.77</w:t>
            </w:r>
          </w:p>
        </w:tc>
        <w:tc>
          <w:tcPr>
            <w:tcW w:w="2386" w:type="dxa"/>
          </w:tcPr>
          <w:p w14:paraId="63CA7926" w14:textId="77777777" w:rsidR="00554F6F" w:rsidRPr="005C133F" w:rsidRDefault="00554F6F" w:rsidP="00A056C4">
            <w:pPr>
              <w:jc w:val="center"/>
              <w:rPr>
                <w:lang w:val="es-ES"/>
              </w:rPr>
            </w:pPr>
            <w:r w:rsidRPr="005C133F">
              <w:rPr>
                <w:lang w:val="es-ES"/>
              </w:rPr>
              <w:t>0.91</w:t>
            </w:r>
          </w:p>
        </w:tc>
      </w:tr>
      <w:tr w:rsidR="004921FF" w:rsidRPr="005C133F" w14:paraId="7DC2D68C" w14:textId="77777777">
        <w:tc>
          <w:tcPr>
            <w:tcW w:w="3329" w:type="dxa"/>
          </w:tcPr>
          <w:p w14:paraId="52B1937C" w14:textId="77777777" w:rsidR="00554F6F" w:rsidRPr="005C133F" w:rsidRDefault="00554F6F" w:rsidP="00A056C4">
            <w:pPr>
              <w:jc w:val="center"/>
              <w:rPr>
                <w:lang w:val="es-ES"/>
              </w:rPr>
            </w:pPr>
            <w:r w:rsidRPr="005C133F">
              <w:rPr>
                <w:lang w:val="es-ES"/>
              </w:rPr>
              <w:t>1-5</w:t>
            </w:r>
          </w:p>
        </w:tc>
        <w:tc>
          <w:tcPr>
            <w:tcW w:w="2195" w:type="dxa"/>
          </w:tcPr>
          <w:p w14:paraId="0173E3FA" w14:textId="77777777" w:rsidR="00554F6F" w:rsidRPr="005C133F" w:rsidRDefault="00554F6F" w:rsidP="00A056C4">
            <w:pPr>
              <w:jc w:val="center"/>
              <w:rPr>
                <w:lang w:val="es-ES"/>
              </w:rPr>
            </w:pPr>
            <w:r w:rsidRPr="005C133F">
              <w:rPr>
                <w:lang w:val="es-ES"/>
              </w:rPr>
              <w:t>0.63</w:t>
            </w:r>
          </w:p>
        </w:tc>
        <w:tc>
          <w:tcPr>
            <w:tcW w:w="2386" w:type="dxa"/>
          </w:tcPr>
          <w:p w14:paraId="55FD9ED3" w14:textId="77777777" w:rsidR="00554F6F" w:rsidRPr="005C133F" w:rsidRDefault="00554F6F" w:rsidP="00A056C4">
            <w:pPr>
              <w:jc w:val="center"/>
              <w:rPr>
                <w:lang w:val="es-ES"/>
              </w:rPr>
            </w:pPr>
            <w:r w:rsidRPr="005C133F">
              <w:rPr>
                <w:lang w:val="es-ES"/>
              </w:rPr>
              <w:t>0.76</w:t>
            </w:r>
          </w:p>
        </w:tc>
      </w:tr>
      <w:tr w:rsidR="004921FF" w:rsidRPr="005C133F" w14:paraId="3AF9D15E" w14:textId="77777777">
        <w:tc>
          <w:tcPr>
            <w:tcW w:w="3329" w:type="dxa"/>
          </w:tcPr>
          <w:p w14:paraId="36ADB29E" w14:textId="77777777" w:rsidR="00554F6F" w:rsidRPr="005C133F" w:rsidRDefault="00554F6F" w:rsidP="00A056C4">
            <w:pPr>
              <w:jc w:val="center"/>
              <w:rPr>
                <w:lang w:val="es-ES"/>
              </w:rPr>
            </w:pPr>
            <w:r w:rsidRPr="005C133F">
              <w:rPr>
                <w:lang w:val="es-ES"/>
              </w:rPr>
              <w:t>6-11</w:t>
            </w:r>
          </w:p>
        </w:tc>
        <w:tc>
          <w:tcPr>
            <w:tcW w:w="2195" w:type="dxa"/>
          </w:tcPr>
          <w:p w14:paraId="40AA37AE" w14:textId="77777777" w:rsidR="00554F6F" w:rsidRPr="005C133F" w:rsidRDefault="00554F6F" w:rsidP="00A056C4">
            <w:pPr>
              <w:jc w:val="center"/>
              <w:rPr>
                <w:lang w:val="es-ES"/>
              </w:rPr>
            </w:pPr>
            <w:r w:rsidRPr="005C133F">
              <w:rPr>
                <w:lang w:val="es-ES"/>
              </w:rPr>
              <w:t>0.38</w:t>
            </w:r>
          </w:p>
        </w:tc>
        <w:tc>
          <w:tcPr>
            <w:tcW w:w="2386" w:type="dxa"/>
          </w:tcPr>
          <w:p w14:paraId="5D26F7B5" w14:textId="77777777" w:rsidR="00554F6F" w:rsidRPr="005C133F" w:rsidRDefault="00554F6F" w:rsidP="00A056C4">
            <w:pPr>
              <w:jc w:val="center"/>
              <w:rPr>
                <w:lang w:val="es-ES"/>
              </w:rPr>
            </w:pPr>
            <w:r w:rsidRPr="005C133F">
              <w:rPr>
                <w:lang w:val="es-ES"/>
              </w:rPr>
              <w:t>0.42</w:t>
            </w:r>
          </w:p>
        </w:tc>
      </w:tr>
      <w:tr w:rsidR="004921FF" w:rsidRPr="005C133F" w14:paraId="4E1CF47C" w14:textId="77777777">
        <w:tc>
          <w:tcPr>
            <w:tcW w:w="3329" w:type="dxa"/>
          </w:tcPr>
          <w:p w14:paraId="1CE1CB3B" w14:textId="77777777" w:rsidR="00554F6F" w:rsidRPr="005C133F" w:rsidRDefault="00554F6F" w:rsidP="00A056C4">
            <w:pPr>
              <w:jc w:val="center"/>
              <w:rPr>
                <w:lang w:val="es-ES"/>
              </w:rPr>
            </w:pPr>
            <w:r w:rsidRPr="005C133F">
              <w:rPr>
                <w:lang w:val="es-ES"/>
              </w:rPr>
              <w:t>12-14</w:t>
            </w:r>
          </w:p>
        </w:tc>
        <w:tc>
          <w:tcPr>
            <w:tcW w:w="2195" w:type="dxa"/>
          </w:tcPr>
          <w:p w14:paraId="1D3E663C" w14:textId="77777777" w:rsidR="00554F6F" w:rsidRPr="005C133F" w:rsidRDefault="00554F6F" w:rsidP="00A056C4">
            <w:pPr>
              <w:jc w:val="center"/>
              <w:rPr>
                <w:lang w:val="es-ES"/>
              </w:rPr>
            </w:pPr>
            <w:r w:rsidRPr="005C133F">
              <w:rPr>
                <w:lang w:val="es-ES"/>
              </w:rPr>
              <w:t>0.31</w:t>
            </w:r>
          </w:p>
        </w:tc>
        <w:tc>
          <w:tcPr>
            <w:tcW w:w="2386" w:type="dxa"/>
          </w:tcPr>
          <w:p w14:paraId="7DE4D06E" w14:textId="77777777" w:rsidR="00554F6F" w:rsidRPr="005C133F" w:rsidRDefault="00554F6F" w:rsidP="00A056C4">
            <w:pPr>
              <w:jc w:val="center"/>
              <w:rPr>
                <w:lang w:val="es-ES"/>
              </w:rPr>
            </w:pPr>
            <w:r w:rsidRPr="005C133F">
              <w:rPr>
                <w:lang w:val="es-ES"/>
              </w:rPr>
              <w:t>0.34</w:t>
            </w:r>
          </w:p>
        </w:tc>
      </w:tr>
      <w:tr w:rsidR="004921FF" w:rsidRPr="005C133F" w14:paraId="74F29A96" w14:textId="77777777">
        <w:tc>
          <w:tcPr>
            <w:tcW w:w="3329" w:type="dxa"/>
          </w:tcPr>
          <w:p w14:paraId="47DC21DF" w14:textId="77777777" w:rsidR="00554F6F" w:rsidRPr="005C133F" w:rsidRDefault="00554F6F" w:rsidP="00A056C4">
            <w:pPr>
              <w:jc w:val="center"/>
              <w:rPr>
                <w:lang w:val="es-ES"/>
              </w:rPr>
            </w:pPr>
            <w:r w:rsidRPr="005C133F">
              <w:rPr>
                <w:lang w:val="es-ES"/>
              </w:rPr>
              <w:t>15-18</w:t>
            </w:r>
          </w:p>
        </w:tc>
        <w:tc>
          <w:tcPr>
            <w:tcW w:w="2195" w:type="dxa"/>
          </w:tcPr>
          <w:p w14:paraId="630C4645" w14:textId="77777777" w:rsidR="00554F6F" w:rsidRPr="005C133F" w:rsidRDefault="00554F6F" w:rsidP="00A056C4">
            <w:pPr>
              <w:jc w:val="center"/>
              <w:rPr>
                <w:lang w:val="es-ES"/>
              </w:rPr>
            </w:pPr>
            <w:r w:rsidRPr="005C133F">
              <w:rPr>
                <w:lang w:val="es-ES"/>
              </w:rPr>
              <w:t>0.42</w:t>
            </w:r>
          </w:p>
        </w:tc>
        <w:tc>
          <w:tcPr>
            <w:tcW w:w="2386" w:type="dxa"/>
          </w:tcPr>
          <w:p w14:paraId="68F0B23C" w14:textId="77777777" w:rsidR="00554F6F" w:rsidRPr="005C133F" w:rsidRDefault="00554F6F" w:rsidP="00A056C4">
            <w:pPr>
              <w:jc w:val="center"/>
              <w:rPr>
                <w:lang w:val="es-ES"/>
              </w:rPr>
            </w:pPr>
            <w:r w:rsidRPr="005C133F">
              <w:rPr>
                <w:lang w:val="es-ES"/>
              </w:rPr>
              <w:t>0.33</w:t>
            </w:r>
          </w:p>
        </w:tc>
      </w:tr>
      <w:tr w:rsidR="004921FF" w:rsidRPr="005C133F" w14:paraId="07D7498B" w14:textId="77777777">
        <w:tc>
          <w:tcPr>
            <w:tcW w:w="3329" w:type="dxa"/>
          </w:tcPr>
          <w:p w14:paraId="1A2150D3" w14:textId="77777777" w:rsidR="00554F6F" w:rsidRPr="005C133F" w:rsidRDefault="00554F6F" w:rsidP="00A056C4">
            <w:pPr>
              <w:jc w:val="center"/>
              <w:rPr>
                <w:lang w:val="es-ES"/>
              </w:rPr>
            </w:pPr>
            <w:r w:rsidRPr="005C133F">
              <w:rPr>
                <w:lang w:val="es-ES"/>
              </w:rPr>
              <w:t>19-29</w:t>
            </w:r>
          </w:p>
        </w:tc>
        <w:tc>
          <w:tcPr>
            <w:tcW w:w="2195" w:type="dxa"/>
          </w:tcPr>
          <w:p w14:paraId="0B266A86" w14:textId="77777777" w:rsidR="00554F6F" w:rsidRPr="005C133F" w:rsidRDefault="00554F6F" w:rsidP="00A056C4">
            <w:pPr>
              <w:jc w:val="center"/>
              <w:rPr>
                <w:lang w:val="es-ES"/>
              </w:rPr>
            </w:pPr>
            <w:r w:rsidRPr="005C133F">
              <w:rPr>
                <w:lang w:val="es-ES"/>
              </w:rPr>
              <w:t>1.07</w:t>
            </w:r>
          </w:p>
        </w:tc>
        <w:tc>
          <w:tcPr>
            <w:tcW w:w="2386" w:type="dxa"/>
          </w:tcPr>
          <w:p w14:paraId="5BD14F2D" w14:textId="77777777" w:rsidR="00554F6F" w:rsidRPr="005C133F" w:rsidRDefault="00554F6F" w:rsidP="00A056C4">
            <w:pPr>
              <w:jc w:val="center"/>
              <w:rPr>
                <w:lang w:val="es-ES"/>
              </w:rPr>
            </w:pPr>
            <w:r w:rsidRPr="005C133F">
              <w:rPr>
                <w:lang w:val="es-ES"/>
              </w:rPr>
              <w:t>0.37</w:t>
            </w:r>
          </w:p>
        </w:tc>
      </w:tr>
      <w:tr w:rsidR="004921FF" w:rsidRPr="005C133F" w14:paraId="12867EEC" w14:textId="77777777">
        <w:tc>
          <w:tcPr>
            <w:tcW w:w="3329" w:type="dxa"/>
          </w:tcPr>
          <w:p w14:paraId="692D04F4" w14:textId="77777777" w:rsidR="00554F6F" w:rsidRPr="005C133F" w:rsidRDefault="00554F6F" w:rsidP="00A056C4">
            <w:pPr>
              <w:jc w:val="center"/>
              <w:rPr>
                <w:lang w:val="es-ES"/>
              </w:rPr>
            </w:pPr>
            <w:r w:rsidRPr="005C133F">
              <w:rPr>
                <w:lang w:val="es-ES"/>
              </w:rPr>
              <w:t>30-49</w:t>
            </w:r>
          </w:p>
        </w:tc>
        <w:tc>
          <w:tcPr>
            <w:tcW w:w="2195" w:type="dxa"/>
          </w:tcPr>
          <w:p w14:paraId="7F23EBF7" w14:textId="77777777" w:rsidR="00554F6F" w:rsidRPr="005C133F" w:rsidRDefault="00554F6F" w:rsidP="00A056C4">
            <w:pPr>
              <w:jc w:val="center"/>
              <w:rPr>
                <w:lang w:val="es-ES"/>
              </w:rPr>
            </w:pPr>
            <w:r w:rsidRPr="005C133F">
              <w:rPr>
                <w:lang w:val="es-ES"/>
              </w:rPr>
              <w:t>1.36</w:t>
            </w:r>
          </w:p>
        </w:tc>
        <w:tc>
          <w:tcPr>
            <w:tcW w:w="2386" w:type="dxa"/>
          </w:tcPr>
          <w:p w14:paraId="20204F14" w14:textId="77777777" w:rsidR="00554F6F" w:rsidRPr="005C133F" w:rsidRDefault="00554F6F" w:rsidP="00A056C4">
            <w:pPr>
              <w:jc w:val="center"/>
              <w:rPr>
                <w:lang w:val="es-ES"/>
              </w:rPr>
            </w:pPr>
            <w:r w:rsidRPr="005C133F">
              <w:rPr>
                <w:lang w:val="es-ES"/>
              </w:rPr>
              <w:t>0.62</w:t>
            </w:r>
          </w:p>
        </w:tc>
      </w:tr>
      <w:tr w:rsidR="004921FF" w:rsidRPr="005C133F" w14:paraId="6CD77CCC" w14:textId="77777777">
        <w:tc>
          <w:tcPr>
            <w:tcW w:w="3329" w:type="dxa"/>
          </w:tcPr>
          <w:p w14:paraId="4CBFD03E" w14:textId="77777777" w:rsidR="00554F6F" w:rsidRPr="005C133F" w:rsidRDefault="00554F6F" w:rsidP="00A056C4">
            <w:pPr>
              <w:jc w:val="center"/>
              <w:rPr>
                <w:lang w:val="es-ES"/>
              </w:rPr>
            </w:pPr>
            <w:r w:rsidRPr="005C133F">
              <w:rPr>
                <w:lang w:val="es-ES"/>
              </w:rPr>
              <w:t>50-64</w:t>
            </w:r>
          </w:p>
        </w:tc>
        <w:tc>
          <w:tcPr>
            <w:tcW w:w="2195" w:type="dxa"/>
          </w:tcPr>
          <w:p w14:paraId="75A4B050" w14:textId="77777777" w:rsidR="00554F6F" w:rsidRPr="005C133F" w:rsidRDefault="00554F6F" w:rsidP="00A056C4">
            <w:pPr>
              <w:jc w:val="center"/>
              <w:rPr>
                <w:lang w:val="es-ES"/>
              </w:rPr>
            </w:pPr>
            <w:r w:rsidRPr="005C133F">
              <w:rPr>
                <w:lang w:val="es-ES"/>
              </w:rPr>
              <w:t>1.94</w:t>
            </w:r>
          </w:p>
        </w:tc>
        <w:tc>
          <w:tcPr>
            <w:tcW w:w="2386" w:type="dxa"/>
          </w:tcPr>
          <w:p w14:paraId="4A0CEC71" w14:textId="77777777" w:rsidR="00554F6F" w:rsidRPr="005C133F" w:rsidRDefault="00554F6F" w:rsidP="00A056C4">
            <w:pPr>
              <w:jc w:val="center"/>
              <w:rPr>
                <w:lang w:val="es-ES"/>
              </w:rPr>
            </w:pPr>
            <w:r w:rsidRPr="005C133F">
              <w:rPr>
                <w:lang w:val="es-ES"/>
              </w:rPr>
              <w:t>1.41</w:t>
            </w:r>
          </w:p>
        </w:tc>
      </w:tr>
      <w:tr w:rsidR="004921FF" w:rsidRPr="005C133F" w14:paraId="31F180EB" w14:textId="77777777">
        <w:tc>
          <w:tcPr>
            <w:tcW w:w="3329" w:type="dxa"/>
            <w:tcBorders>
              <w:bottom w:val="single" w:sz="4" w:space="0" w:color="767171"/>
            </w:tcBorders>
          </w:tcPr>
          <w:p w14:paraId="21DB7E78" w14:textId="77777777" w:rsidR="00554F6F" w:rsidRPr="005C133F" w:rsidRDefault="00554F6F" w:rsidP="00A056C4">
            <w:pPr>
              <w:jc w:val="center"/>
              <w:rPr>
                <w:lang w:val="es-ES"/>
              </w:rPr>
            </w:pPr>
            <w:r w:rsidRPr="005C133F">
              <w:rPr>
                <w:lang w:val="es-ES"/>
              </w:rPr>
              <w:t>64 y Más</w:t>
            </w:r>
          </w:p>
        </w:tc>
        <w:tc>
          <w:tcPr>
            <w:tcW w:w="2195" w:type="dxa"/>
            <w:tcBorders>
              <w:bottom w:val="single" w:sz="4" w:space="0" w:color="767171"/>
            </w:tcBorders>
          </w:tcPr>
          <w:p w14:paraId="7C8F8BD8" w14:textId="77777777" w:rsidR="00554F6F" w:rsidRPr="005C133F" w:rsidRDefault="00554F6F" w:rsidP="00A056C4">
            <w:pPr>
              <w:jc w:val="center"/>
              <w:rPr>
                <w:lang w:val="es-ES"/>
              </w:rPr>
            </w:pPr>
            <w:r w:rsidRPr="005C133F">
              <w:rPr>
                <w:lang w:val="es-ES"/>
              </w:rPr>
              <w:t>3.10</w:t>
            </w:r>
          </w:p>
        </w:tc>
        <w:tc>
          <w:tcPr>
            <w:tcW w:w="2386" w:type="dxa"/>
            <w:tcBorders>
              <w:bottom w:val="single" w:sz="4" w:space="0" w:color="767171"/>
            </w:tcBorders>
          </w:tcPr>
          <w:p w14:paraId="29F4DDE6" w14:textId="77777777" w:rsidR="00554F6F" w:rsidRPr="005C133F" w:rsidRDefault="00554F6F" w:rsidP="00A056C4">
            <w:pPr>
              <w:jc w:val="center"/>
              <w:rPr>
                <w:lang w:val="es-ES"/>
              </w:rPr>
            </w:pPr>
            <w:r w:rsidRPr="005C133F">
              <w:rPr>
                <w:lang w:val="es-ES"/>
              </w:rPr>
              <w:t>3.29</w:t>
            </w:r>
          </w:p>
        </w:tc>
      </w:tr>
      <w:tr w:rsidR="004921FF" w:rsidRPr="00CD02F5" w14:paraId="2059B45A" w14:textId="77777777">
        <w:tc>
          <w:tcPr>
            <w:tcW w:w="0" w:type="auto"/>
            <w:gridSpan w:val="3"/>
            <w:tcBorders>
              <w:top w:val="single" w:sz="4" w:space="0" w:color="767171"/>
              <w:left w:val="nil"/>
              <w:bottom w:val="nil"/>
              <w:right w:val="nil"/>
            </w:tcBorders>
          </w:tcPr>
          <w:p w14:paraId="18EB9256" w14:textId="00360B03" w:rsidR="00554F6F" w:rsidRPr="005C133F" w:rsidRDefault="00554F6F" w:rsidP="00A056C4">
            <w:pPr>
              <w:rPr>
                <w:sz w:val="18"/>
                <w:szCs w:val="18"/>
                <w:lang w:val="es-ES"/>
              </w:rPr>
            </w:pPr>
            <w:r w:rsidRPr="005C133F">
              <w:rPr>
                <w:sz w:val="18"/>
                <w:szCs w:val="18"/>
                <w:lang w:val="es-ES"/>
              </w:rPr>
              <w:t>Fuente: SISALRIL, a partir del esquema 7 y de las bases de datos TSS-UNIPAGO</w:t>
            </w:r>
            <w:r w:rsidR="00CE35C6" w:rsidRPr="005C133F">
              <w:rPr>
                <w:sz w:val="18"/>
                <w:szCs w:val="18"/>
                <w:lang w:val="es-ES"/>
              </w:rPr>
              <w:t>, m</w:t>
            </w:r>
            <w:r w:rsidRPr="005C133F">
              <w:rPr>
                <w:sz w:val="18"/>
                <w:szCs w:val="18"/>
                <w:lang w:val="es-ES"/>
              </w:rPr>
              <w:t>ayo 2025</w:t>
            </w:r>
          </w:p>
        </w:tc>
      </w:tr>
    </w:tbl>
    <w:p w14:paraId="2C68A2A2" w14:textId="77777777" w:rsidR="00554F6F" w:rsidRPr="005C133F" w:rsidRDefault="00554F6F" w:rsidP="005C133F">
      <w:pPr>
        <w:widowControl w:val="0"/>
        <w:tabs>
          <w:tab w:val="left" w:pos="1800"/>
        </w:tabs>
        <w:autoSpaceDE w:val="0"/>
        <w:autoSpaceDN w:val="0"/>
        <w:spacing w:before="1" w:after="0" w:line="360" w:lineRule="auto"/>
        <w:ind w:right="1081"/>
        <w:jc w:val="both"/>
        <w:rPr>
          <w:lang w:val="es-DO"/>
        </w:rPr>
      </w:pPr>
    </w:p>
    <w:p w14:paraId="3C23B9A6" w14:textId="7F9CC88B" w:rsidR="00675285" w:rsidRPr="005C133F" w:rsidRDefault="00675285" w:rsidP="005C133F">
      <w:pPr>
        <w:spacing w:after="0" w:line="360" w:lineRule="auto"/>
        <w:jc w:val="both"/>
        <w:rPr>
          <w:lang w:val="es-DO"/>
        </w:rPr>
      </w:pPr>
      <w:r w:rsidRPr="005C133F">
        <w:rPr>
          <w:lang w:val="es-DO"/>
        </w:rPr>
        <w:t>Estos factores (</w:t>
      </w:r>
      <w:r w:rsidR="00554F6F" w:rsidRPr="005C133F">
        <w:rPr>
          <w:lang w:val="es-DO"/>
        </w:rPr>
        <w:t>Tabla</w:t>
      </w:r>
      <w:r w:rsidRPr="005C133F">
        <w:rPr>
          <w:lang w:val="es-DO"/>
        </w:rPr>
        <w:t xml:space="preserve"> No. </w:t>
      </w:r>
      <w:r w:rsidR="009C4CDE" w:rsidRPr="005C133F">
        <w:rPr>
          <w:lang w:val="es-DO"/>
        </w:rPr>
        <w:t>7</w:t>
      </w:r>
      <w:r w:rsidRPr="005C133F">
        <w:rPr>
          <w:lang w:val="es-DO"/>
        </w:rPr>
        <w:t>), permiten ajustar el per cápita base de riesgo por afiliado por mes y se aplican al per cápita de riesgo base, que a partir de noviembre 2025 es de RD$1,694.24 y se mantiene el 10% del per cápita fijo RD$188.25, para Gastos Administrativos.</w:t>
      </w:r>
    </w:p>
    <w:p w14:paraId="097D3D3C" w14:textId="77777777" w:rsidR="009945D9" w:rsidRPr="005C133F" w:rsidRDefault="009945D9" w:rsidP="005C133F">
      <w:pPr>
        <w:spacing w:after="0" w:line="360" w:lineRule="auto"/>
        <w:jc w:val="both"/>
        <w:rPr>
          <w:lang w:val="es-DO"/>
        </w:rPr>
      </w:pPr>
    </w:p>
    <w:p w14:paraId="67105E08" w14:textId="7F9D08A8" w:rsidR="00681980" w:rsidRPr="005C133F" w:rsidRDefault="00681980" w:rsidP="00A056C4">
      <w:pPr>
        <w:pStyle w:val="Descripcin"/>
        <w:keepNext/>
        <w:spacing w:after="0"/>
        <w:jc w:val="center"/>
        <w:rPr>
          <w:b/>
          <w:bCs/>
          <w:i w:val="0"/>
          <w:iCs w:val="0"/>
          <w:color w:val="767171"/>
          <w:sz w:val="24"/>
          <w:szCs w:val="24"/>
          <w:lang w:val="es-DO"/>
        </w:rPr>
      </w:pPr>
      <w:bookmarkStart w:id="28" w:name="_Toc218784141"/>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9</w:t>
      </w:r>
      <w:r w:rsidRPr="005C133F">
        <w:rPr>
          <w:b/>
          <w:bCs/>
          <w:i w:val="0"/>
          <w:iCs w:val="0"/>
          <w:color w:val="767171"/>
          <w:sz w:val="24"/>
          <w:szCs w:val="24"/>
          <w:lang w:val="es-DO"/>
        </w:rPr>
        <w:fldChar w:fldCharType="end"/>
      </w:r>
      <w:r w:rsidRPr="005C133F">
        <w:rPr>
          <w:b/>
          <w:bCs/>
          <w:i w:val="0"/>
          <w:iCs w:val="0"/>
          <w:color w:val="767171"/>
          <w:sz w:val="24"/>
          <w:szCs w:val="24"/>
          <w:lang w:val="es-DO"/>
        </w:rPr>
        <w:t>. Seguro Familiar de Salud Régimen Contributivo: Per cápita por riesgo salud por edad y sexo</w:t>
      </w:r>
      <w:bookmarkEnd w:id="28"/>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786"/>
        <w:gridCol w:w="2635"/>
        <w:gridCol w:w="2489"/>
      </w:tblGrid>
      <w:tr w:rsidR="005C133F" w:rsidRPr="005C133F" w14:paraId="23F37FB7" w14:textId="77777777" w:rsidTr="006A7520">
        <w:trPr>
          <w:tblHeader/>
        </w:trPr>
        <w:tc>
          <w:tcPr>
            <w:tcW w:w="2830" w:type="dxa"/>
            <w:tcBorders>
              <w:bottom w:val="single" w:sz="4" w:space="0" w:color="767171"/>
            </w:tcBorders>
            <w:shd w:val="clear" w:color="auto" w:fill="011C50"/>
          </w:tcPr>
          <w:p w14:paraId="1E66A505" w14:textId="77777777" w:rsidR="00F408D3" w:rsidRPr="005C133F" w:rsidRDefault="00F408D3" w:rsidP="00A056C4">
            <w:pPr>
              <w:jc w:val="center"/>
              <w:rPr>
                <w:b/>
                <w:bCs/>
                <w:color w:val="FFFFFF" w:themeColor="background1"/>
                <w:lang w:val="es-ES"/>
              </w:rPr>
            </w:pPr>
            <w:r w:rsidRPr="005C133F">
              <w:rPr>
                <w:b/>
                <w:bCs/>
                <w:color w:val="FFFFFF" w:themeColor="background1"/>
                <w:lang w:val="es-ES"/>
              </w:rPr>
              <w:t>Grupo de Edad</w:t>
            </w:r>
          </w:p>
        </w:tc>
        <w:tc>
          <w:tcPr>
            <w:tcW w:w="2627" w:type="dxa"/>
            <w:tcBorders>
              <w:bottom w:val="single" w:sz="4" w:space="0" w:color="767171"/>
            </w:tcBorders>
            <w:shd w:val="clear" w:color="auto" w:fill="011C50"/>
          </w:tcPr>
          <w:p w14:paraId="62D56244" w14:textId="77777777" w:rsidR="00F408D3" w:rsidRPr="005C133F" w:rsidRDefault="00F408D3" w:rsidP="00A056C4">
            <w:pPr>
              <w:jc w:val="center"/>
              <w:rPr>
                <w:b/>
                <w:bCs/>
                <w:color w:val="FFFFFF" w:themeColor="background1"/>
                <w:lang w:val="es-ES"/>
              </w:rPr>
            </w:pPr>
            <w:r w:rsidRPr="005C133F">
              <w:rPr>
                <w:b/>
                <w:bCs/>
                <w:color w:val="FFFFFF" w:themeColor="background1"/>
                <w:lang w:val="es-ES"/>
              </w:rPr>
              <w:t>Mujeres</w:t>
            </w:r>
          </w:p>
        </w:tc>
        <w:tc>
          <w:tcPr>
            <w:tcW w:w="2453" w:type="dxa"/>
            <w:tcBorders>
              <w:bottom w:val="single" w:sz="4" w:space="0" w:color="767171"/>
            </w:tcBorders>
            <w:shd w:val="clear" w:color="auto" w:fill="011C50"/>
          </w:tcPr>
          <w:p w14:paraId="2F27C669" w14:textId="77777777" w:rsidR="00F408D3" w:rsidRPr="005C133F" w:rsidRDefault="00F408D3" w:rsidP="00A056C4">
            <w:pPr>
              <w:jc w:val="center"/>
              <w:rPr>
                <w:b/>
                <w:bCs/>
                <w:color w:val="FFFFFF" w:themeColor="background1"/>
                <w:lang w:val="es-ES"/>
              </w:rPr>
            </w:pPr>
            <w:r w:rsidRPr="005C133F">
              <w:rPr>
                <w:b/>
                <w:bCs/>
                <w:color w:val="FFFFFF" w:themeColor="background1"/>
                <w:lang w:val="es-ES"/>
              </w:rPr>
              <w:t>Hombres</w:t>
            </w:r>
          </w:p>
        </w:tc>
      </w:tr>
      <w:tr w:rsidR="004921FF" w:rsidRPr="005C133F" w14:paraId="17ED7F67" w14:textId="77777777" w:rsidTr="00A77298">
        <w:tc>
          <w:tcPr>
            <w:tcW w:w="2830" w:type="dxa"/>
          </w:tcPr>
          <w:p w14:paraId="4F775397" w14:textId="77777777" w:rsidR="00F408D3" w:rsidRPr="005C133F" w:rsidRDefault="00F408D3" w:rsidP="00A056C4">
            <w:pPr>
              <w:jc w:val="center"/>
              <w:rPr>
                <w:lang w:val="es-ES"/>
              </w:rPr>
            </w:pPr>
            <w:r w:rsidRPr="005C133F">
              <w:rPr>
                <w:lang w:val="es-ES"/>
              </w:rPr>
              <w:t>0</w:t>
            </w:r>
          </w:p>
        </w:tc>
        <w:tc>
          <w:tcPr>
            <w:tcW w:w="2627" w:type="dxa"/>
          </w:tcPr>
          <w:p w14:paraId="2FCEA5F7" w14:textId="6A143617" w:rsidR="00F408D3" w:rsidRPr="005C133F" w:rsidRDefault="007F1E4A" w:rsidP="00A056C4">
            <w:pPr>
              <w:jc w:val="center"/>
              <w:rPr>
                <w:lang w:val="es-ES"/>
              </w:rPr>
            </w:pPr>
            <w:r w:rsidRPr="005C133F">
              <w:rPr>
                <w:lang w:val="es-ES"/>
              </w:rPr>
              <w:t>1,304</w:t>
            </w:r>
            <w:r w:rsidR="007B2EF6" w:rsidRPr="005C133F">
              <w:rPr>
                <w:lang w:val="es-ES"/>
              </w:rPr>
              <w:t>.57</w:t>
            </w:r>
          </w:p>
        </w:tc>
        <w:tc>
          <w:tcPr>
            <w:tcW w:w="2453" w:type="dxa"/>
          </w:tcPr>
          <w:p w14:paraId="25C1D3F7" w14:textId="76078B07" w:rsidR="00F408D3" w:rsidRPr="005C133F" w:rsidRDefault="00D02AC2" w:rsidP="00A056C4">
            <w:pPr>
              <w:jc w:val="center"/>
              <w:rPr>
                <w:lang w:val="es-ES"/>
              </w:rPr>
            </w:pPr>
            <w:r w:rsidRPr="005C133F">
              <w:rPr>
                <w:lang w:val="es-ES"/>
              </w:rPr>
              <w:t>1,541.76</w:t>
            </w:r>
          </w:p>
        </w:tc>
      </w:tr>
      <w:tr w:rsidR="004921FF" w:rsidRPr="005C133F" w14:paraId="7B7A3B6E" w14:textId="77777777" w:rsidTr="00A77298">
        <w:tc>
          <w:tcPr>
            <w:tcW w:w="2830" w:type="dxa"/>
          </w:tcPr>
          <w:p w14:paraId="0D3D4FA3" w14:textId="77777777" w:rsidR="00F408D3" w:rsidRPr="005C133F" w:rsidRDefault="00F408D3" w:rsidP="00A056C4">
            <w:pPr>
              <w:jc w:val="center"/>
              <w:rPr>
                <w:lang w:val="es-ES"/>
              </w:rPr>
            </w:pPr>
            <w:r w:rsidRPr="005C133F">
              <w:rPr>
                <w:lang w:val="es-ES"/>
              </w:rPr>
              <w:t>1-5</w:t>
            </w:r>
          </w:p>
        </w:tc>
        <w:tc>
          <w:tcPr>
            <w:tcW w:w="2627" w:type="dxa"/>
          </w:tcPr>
          <w:p w14:paraId="0424E30E" w14:textId="11CA12F3" w:rsidR="00F408D3" w:rsidRPr="005C133F" w:rsidRDefault="007B2EF6" w:rsidP="00A056C4">
            <w:pPr>
              <w:jc w:val="center"/>
              <w:rPr>
                <w:lang w:val="es-ES"/>
              </w:rPr>
            </w:pPr>
            <w:r w:rsidRPr="005C133F">
              <w:rPr>
                <w:lang w:val="es-ES"/>
              </w:rPr>
              <w:t>1,067.37</w:t>
            </w:r>
          </w:p>
        </w:tc>
        <w:tc>
          <w:tcPr>
            <w:tcW w:w="2453" w:type="dxa"/>
          </w:tcPr>
          <w:p w14:paraId="16274477" w14:textId="4DB44802" w:rsidR="00F408D3" w:rsidRPr="005C133F" w:rsidRDefault="00D02AC2" w:rsidP="00A056C4">
            <w:pPr>
              <w:jc w:val="center"/>
              <w:rPr>
                <w:lang w:val="es-ES"/>
              </w:rPr>
            </w:pPr>
            <w:r w:rsidRPr="005C133F">
              <w:rPr>
                <w:lang w:val="es-ES"/>
              </w:rPr>
              <w:t>1,2</w:t>
            </w:r>
            <w:r w:rsidR="0077032B" w:rsidRPr="005C133F">
              <w:rPr>
                <w:lang w:val="es-ES"/>
              </w:rPr>
              <w:t>87.62</w:t>
            </w:r>
          </w:p>
        </w:tc>
      </w:tr>
      <w:tr w:rsidR="004921FF" w:rsidRPr="005C133F" w14:paraId="0444CE17" w14:textId="77777777" w:rsidTr="00A77298">
        <w:tc>
          <w:tcPr>
            <w:tcW w:w="2830" w:type="dxa"/>
          </w:tcPr>
          <w:p w14:paraId="1B46DFA0" w14:textId="77777777" w:rsidR="00F408D3" w:rsidRPr="005C133F" w:rsidRDefault="00F408D3" w:rsidP="00A056C4">
            <w:pPr>
              <w:jc w:val="center"/>
              <w:rPr>
                <w:lang w:val="es-ES"/>
              </w:rPr>
            </w:pPr>
            <w:r w:rsidRPr="005C133F">
              <w:rPr>
                <w:lang w:val="es-ES"/>
              </w:rPr>
              <w:t>6-11</w:t>
            </w:r>
          </w:p>
        </w:tc>
        <w:tc>
          <w:tcPr>
            <w:tcW w:w="2627" w:type="dxa"/>
          </w:tcPr>
          <w:p w14:paraId="08FDCFED" w14:textId="54832E25" w:rsidR="00F408D3" w:rsidRPr="005C133F" w:rsidRDefault="007B2EF6" w:rsidP="00A056C4">
            <w:pPr>
              <w:jc w:val="center"/>
              <w:rPr>
                <w:lang w:val="es-ES"/>
              </w:rPr>
            </w:pPr>
            <w:r w:rsidRPr="005C133F">
              <w:rPr>
                <w:lang w:val="es-ES"/>
              </w:rPr>
              <w:t>643.81</w:t>
            </w:r>
          </w:p>
        </w:tc>
        <w:tc>
          <w:tcPr>
            <w:tcW w:w="2453" w:type="dxa"/>
          </w:tcPr>
          <w:p w14:paraId="0C1E5F90" w14:textId="3734E7C6" w:rsidR="00F408D3" w:rsidRPr="005C133F" w:rsidRDefault="0077032B" w:rsidP="00A056C4">
            <w:pPr>
              <w:jc w:val="center"/>
              <w:rPr>
                <w:lang w:val="es-ES"/>
              </w:rPr>
            </w:pPr>
            <w:r w:rsidRPr="005C133F">
              <w:rPr>
                <w:lang w:val="es-ES"/>
              </w:rPr>
              <w:t>711.58</w:t>
            </w:r>
          </w:p>
        </w:tc>
      </w:tr>
      <w:tr w:rsidR="004921FF" w:rsidRPr="005C133F" w14:paraId="1BFA27DA" w14:textId="77777777" w:rsidTr="00A77298">
        <w:tc>
          <w:tcPr>
            <w:tcW w:w="2830" w:type="dxa"/>
          </w:tcPr>
          <w:p w14:paraId="5EA2F35D" w14:textId="77777777" w:rsidR="00F408D3" w:rsidRPr="005C133F" w:rsidRDefault="00F408D3" w:rsidP="00A056C4">
            <w:pPr>
              <w:jc w:val="center"/>
              <w:rPr>
                <w:lang w:val="es-ES"/>
              </w:rPr>
            </w:pPr>
            <w:r w:rsidRPr="005C133F">
              <w:rPr>
                <w:lang w:val="es-ES"/>
              </w:rPr>
              <w:t>12-14</w:t>
            </w:r>
          </w:p>
        </w:tc>
        <w:tc>
          <w:tcPr>
            <w:tcW w:w="2627" w:type="dxa"/>
          </w:tcPr>
          <w:p w14:paraId="2C5F1AAB" w14:textId="5CE4C0CB" w:rsidR="00F408D3" w:rsidRPr="005C133F" w:rsidRDefault="007B2EF6" w:rsidP="00A056C4">
            <w:pPr>
              <w:jc w:val="center"/>
              <w:rPr>
                <w:lang w:val="es-ES"/>
              </w:rPr>
            </w:pPr>
            <w:r w:rsidRPr="005C133F">
              <w:rPr>
                <w:lang w:val="es-ES"/>
              </w:rPr>
              <w:t>525.21</w:t>
            </w:r>
          </w:p>
        </w:tc>
        <w:tc>
          <w:tcPr>
            <w:tcW w:w="2453" w:type="dxa"/>
          </w:tcPr>
          <w:p w14:paraId="578ECA77" w14:textId="4351B2DD" w:rsidR="00F408D3" w:rsidRPr="005C133F" w:rsidRDefault="0077032B" w:rsidP="00A056C4">
            <w:pPr>
              <w:jc w:val="center"/>
              <w:rPr>
                <w:lang w:val="es-ES"/>
              </w:rPr>
            </w:pPr>
            <w:r w:rsidRPr="005C133F">
              <w:rPr>
                <w:lang w:val="es-ES"/>
              </w:rPr>
              <w:t>576.04</w:t>
            </w:r>
          </w:p>
        </w:tc>
      </w:tr>
      <w:tr w:rsidR="004921FF" w:rsidRPr="005C133F" w14:paraId="4E9A3C91" w14:textId="77777777" w:rsidTr="00A77298">
        <w:tc>
          <w:tcPr>
            <w:tcW w:w="2830" w:type="dxa"/>
          </w:tcPr>
          <w:p w14:paraId="66D789E5" w14:textId="77777777" w:rsidR="00F408D3" w:rsidRPr="005C133F" w:rsidRDefault="00F408D3" w:rsidP="00A056C4">
            <w:pPr>
              <w:jc w:val="center"/>
              <w:rPr>
                <w:lang w:val="es-ES"/>
              </w:rPr>
            </w:pPr>
            <w:r w:rsidRPr="005C133F">
              <w:rPr>
                <w:lang w:val="es-ES"/>
              </w:rPr>
              <w:t>15-18</w:t>
            </w:r>
          </w:p>
        </w:tc>
        <w:tc>
          <w:tcPr>
            <w:tcW w:w="2627" w:type="dxa"/>
          </w:tcPr>
          <w:p w14:paraId="75D1FCC4" w14:textId="511EDCAC" w:rsidR="00F408D3" w:rsidRPr="005C133F" w:rsidRDefault="007B2EF6" w:rsidP="00A056C4">
            <w:pPr>
              <w:jc w:val="center"/>
              <w:rPr>
                <w:lang w:val="es-ES"/>
              </w:rPr>
            </w:pPr>
            <w:r w:rsidRPr="005C133F">
              <w:rPr>
                <w:lang w:val="es-ES"/>
              </w:rPr>
              <w:t>711</w:t>
            </w:r>
            <w:r w:rsidR="00574833" w:rsidRPr="005C133F">
              <w:rPr>
                <w:lang w:val="es-ES"/>
              </w:rPr>
              <w:t>.58</w:t>
            </w:r>
          </w:p>
        </w:tc>
        <w:tc>
          <w:tcPr>
            <w:tcW w:w="2453" w:type="dxa"/>
          </w:tcPr>
          <w:p w14:paraId="13DADE99" w14:textId="01803BB4" w:rsidR="00F408D3" w:rsidRPr="005C133F" w:rsidRDefault="0077032B" w:rsidP="00A056C4">
            <w:pPr>
              <w:jc w:val="center"/>
              <w:rPr>
                <w:lang w:val="es-ES"/>
              </w:rPr>
            </w:pPr>
            <w:r w:rsidRPr="005C133F">
              <w:rPr>
                <w:lang w:val="es-ES"/>
              </w:rPr>
              <w:t>559.10</w:t>
            </w:r>
          </w:p>
        </w:tc>
      </w:tr>
      <w:tr w:rsidR="004921FF" w:rsidRPr="005C133F" w14:paraId="1049934A" w14:textId="77777777" w:rsidTr="00A77298">
        <w:tc>
          <w:tcPr>
            <w:tcW w:w="2830" w:type="dxa"/>
          </w:tcPr>
          <w:p w14:paraId="0E126E3B" w14:textId="77777777" w:rsidR="00F408D3" w:rsidRPr="005C133F" w:rsidRDefault="00F408D3" w:rsidP="00A056C4">
            <w:pPr>
              <w:jc w:val="center"/>
              <w:rPr>
                <w:lang w:val="es-ES"/>
              </w:rPr>
            </w:pPr>
            <w:r w:rsidRPr="005C133F">
              <w:rPr>
                <w:lang w:val="es-ES"/>
              </w:rPr>
              <w:t>19-29</w:t>
            </w:r>
          </w:p>
        </w:tc>
        <w:tc>
          <w:tcPr>
            <w:tcW w:w="2627" w:type="dxa"/>
          </w:tcPr>
          <w:p w14:paraId="741B81F5" w14:textId="3FF3455B" w:rsidR="00F408D3" w:rsidRPr="005C133F" w:rsidRDefault="00574833" w:rsidP="00A056C4">
            <w:pPr>
              <w:jc w:val="center"/>
              <w:rPr>
                <w:lang w:val="es-ES"/>
              </w:rPr>
            </w:pPr>
            <w:r w:rsidRPr="005C133F">
              <w:rPr>
                <w:lang w:val="es-ES"/>
              </w:rPr>
              <w:t>1,812.84</w:t>
            </w:r>
          </w:p>
        </w:tc>
        <w:tc>
          <w:tcPr>
            <w:tcW w:w="2453" w:type="dxa"/>
          </w:tcPr>
          <w:p w14:paraId="5E557A81" w14:textId="394D0BD4" w:rsidR="00F408D3" w:rsidRPr="005C133F" w:rsidRDefault="0077032B" w:rsidP="00A056C4">
            <w:pPr>
              <w:jc w:val="center"/>
              <w:rPr>
                <w:lang w:val="es-ES"/>
              </w:rPr>
            </w:pPr>
            <w:r w:rsidRPr="005C133F">
              <w:rPr>
                <w:lang w:val="es-ES"/>
              </w:rPr>
              <w:t>626</w:t>
            </w:r>
            <w:r w:rsidR="00385ADE" w:rsidRPr="005C133F">
              <w:rPr>
                <w:lang w:val="es-ES"/>
              </w:rPr>
              <w:t>.87</w:t>
            </w:r>
          </w:p>
        </w:tc>
      </w:tr>
      <w:tr w:rsidR="004921FF" w:rsidRPr="005C133F" w14:paraId="3B725108" w14:textId="77777777" w:rsidTr="00A77298">
        <w:tc>
          <w:tcPr>
            <w:tcW w:w="2830" w:type="dxa"/>
          </w:tcPr>
          <w:p w14:paraId="71A42AFD" w14:textId="77777777" w:rsidR="00F408D3" w:rsidRPr="005C133F" w:rsidRDefault="00F408D3" w:rsidP="00A056C4">
            <w:pPr>
              <w:jc w:val="center"/>
              <w:rPr>
                <w:lang w:val="es-ES"/>
              </w:rPr>
            </w:pPr>
            <w:r w:rsidRPr="005C133F">
              <w:rPr>
                <w:lang w:val="es-ES"/>
              </w:rPr>
              <w:t>30-49</w:t>
            </w:r>
          </w:p>
        </w:tc>
        <w:tc>
          <w:tcPr>
            <w:tcW w:w="2627" w:type="dxa"/>
          </w:tcPr>
          <w:p w14:paraId="42121316" w14:textId="7BB75CC6" w:rsidR="00F408D3" w:rsidRPr="005C133F" w:rsidRDefault="00574833" w:rsidP="00A056C4">
            <w:pPr>
              <w:jc w:val="center"/>
              <w:rPr>
                <w:lang w:val="es-ES"/>
              </w:rPr>
            </w:pPr>
            <w:r w:rsidRPr="005C133F">
              <w:rPr>
                <w:lang w:val="es-ES"/>
              </w:rPr>
              <w:t>2,304.17</w:t>
            </w:r>
          </w:p>
        </w:tc>
        <w:tc>
          <w:tcPr>
            <w:tcW w:w="2453" w:type="dxa"/>
          </w:tcPr>
          <w:p w14:paraId="4A73117A" w14:textId="5B67C9AD" w:rsidR="00F408D3" w:rsidRPr="005C133F" w:rsidRDefault="00385ADE" w:rsidP="00A056C4">
            <w:pPr>
              <w:jc w:val="center"/>
              <w:rPr>
                <w:lang w:val="es-ES"/>
              </w:rPr>
            </w:pPr>
            <w:r w:rsidRPr="005C133F">
              <w:rPr>
                <w:lang w:val="es-ES"/>
              </w:rPr>
              <w:t>1050.43</w:t>
            </w:r>
          </w:p>
        </w:tc>
      </w:tr>
      <w:tr w:rsidR="004921FF" w:rsidRPr="005C133F" w14:paraId="1DD57666" w14:textId="77777777" w:rsidTr="00A77298">
        <w:tc>
          <w:tcPr>
            <w:tcW w:w="2830" w:type="dxa"/>
          </w:tcPr>
          <w:p w14:paraId="2B9B8656" w14:textId="77777777" w:rsidR="00F408D3" w:rsidRPr="005C133F" w:rsidRDefault="00F408D3" w:rsidP="00A056C4">
            <w:pPr>
              <w:jc w:val="center"/>
              <w:rPr>
                <w:lang w:val="es-ES"/>
              </w:rPr>
            </w:pPr>
            <w:r w:rsidRPr="005C133F">
              <w:rPr>
                <w:lang w:val="es-ES"/>
              </w:rPr>
              <w:t>50-64</w:t>
            </w:r>
          </w:p>
        </w:tc>
        <w:tc>
          <w:tcPr>
            <w:tcW w:w="2627" w:type="dxa"/>
          </w:tcPr>
          <w:p w14:paraId="087D5056" w14:textId="0F3EB2C3" w:rsidR="00F408D3" w:rsidRPr="005C133F" w:rsidRDefault="006D1592" w:rsidP="00A056C4">
            <w:pPr>
              <w:jc w:val="center"/>
              <w:rPr>
                <w:lang w:val="es-ES"/>
              </w:rPr>
            </w:pPr>
            <w:r w:rsidRPr="005C133F">
              <w:rPr>
                <w:lang w:val="es-ES"/>
              </w:rPr>
              <w:t>3</w:t>
            </w:r>
            <w:r w:rsidR="006671F6" w:rsidRPr="005C133F">
              <w:rPr>
                <w:lang w:val="es-ES"/>
              </w:rPr>
              <w:t>,286.83</w:t>
            </w:r>
          </w:p>
        </w:tc>
        <w:tc>
          <w:tcPr>
            <w:tcW w:w="2453" w:type="dxa"/>
          </w:tcPr>
          <w:p w14:paraId="4A7FA478" w14:textId="217AAF3A" w:rsidR="00F408D3" w:rsidRPr="005C133F" w:rsidRDefault="000E1FAC" w:rsidP="00A056C4">
            <w:pPr>
              <w:jc w:val="center"/>
              <w:rPr>
                <w:lang w:val="es-ES"/>
              </w:rPr>
            </w:pPr>
            <w:r w:rsidRPr="005C133F">
              <w:rPr>
                <w:lang w:val="es-ES"/>
              </w:rPr>
              <w:t>2,388.88</w:t>
            </w:r>
          </w:p>
        </w:tc>
      </w:tr>
      <w:tr w:rsidR="004921FF" w:rsidRPr="005C133F" w14:paraId="210C9628" w14:textId="77777777" w:rsidTr="00A77298">
        <w:tc>
          <w:tcPr>
            <w:tcW w:w="2830" w:type="dxa"/>
            <w:tcBorders>
              <w:bottom w:val="single" w:sz="4" w:space="0" w:color="767171"/>
            </w:tcBorders>
          </w:tcPr>
          <w:p w14:paraId="212BE2A0" w14:textId="77777777" w:rsidR="00F408D3" w:rsidRPr="005C133F" w:rsidRDefault="00F408D3" w:rsidP="00A056C4">
            <w:pPr>
              <w:jc w:val="center"/>
              <w:rPr>
                <w:lang w:val="es-ES"/>
              </w:rPr>
            </w:pPr>
            <w:r w:rsidRPr="005C133F">
              <w:rPr>
                <w:lang w:val="es-ES"/>
              </w:rPr>
              <w:t>64 y Más</w:t>
            </w:r>
          </w:p>
        </w:tc>
        <w:tc>
          <w:tcPr>
            <w:tcW w:w="2627" w:type="dxa"/>
            <w:tcBorders>
              <w:bottom w:val="single" w:sz="4" w:space="0" w:color="767171"/>
            </w:tcBorders>
          </w:tcPr>
          <w:p w14:paraId="2BA1D71D" w14:textId="0E9AA915" w:rsidR="00F408D3" w:rsidRPr="005C133F" w:rsidRDefault="006D1592" w:rsidP="00A056C4">
            <w:pPr>
              <w:jc w:val="center"/>
              <w:rPr>
                <w:lang w:val="es-ES"/>
              </w:rPr>
            </w:pPr>
            <w:r w:rsidRPr="005C133F">
              <w:rPr>
                <w:lang w:val="es-ES"/>
              </w:rPr>
              <w:t>5,252.15</w:t>
            </w:r>
          </w:p>
        </w:tc>
        <w:tc>
          <w:tcPr>
            <w:tcW w:w="2453" w:type="dxa"/>
            <w:tcBorders>
              <w:bottom w:val="single" w:sz="4" w:space="0" w:color="767171"/>
            </w:tcBorders>
          </w:tcPr>
          <w:p w14:paraId="7AC635D8" w14:textId="15E595DA" w:rsidR="00F408D3" w:rsidRPr="005C133F" w:rsidRDefault="006671F6" w:rsidP="00A056C4">
            <w:pPr>
              <w:jc w:val="center"/>
              <w:rPr>
                <w:lang w:val="es-ES"/>
              </w:rPr>
            </w:pPr>
            <w:r w:rsidRPr="005C133F">
              <w:rPr>
                <w:lang w:val="es-ES"/>
              </w:rPr>
              <w:t>5,574.05</w:t>
            </w:r>
          </w:p>
        </w:tc>
      </w:tr>
      <w:tr w:rsidR="004921FF" w:rsidRPr="00CD02F5" w14:paraId="63055ECE" w14:textId="77777777">
        <w:tc>
          <w:tcPr>
            <w:tcW w:w="0" w:type="auto"/>
            <w:gridSpan w:val="3"/>
            <w:tcBorders>
              <w:top w:val="single" w:sz="4" w:space="0" w:color="767171"/>
              <w:left w:val="nil"/>
              <w:bottom w:val="nil"/>
              <w:right w:val="nil"/>
            </w:tcBorders>
          </w:tcPr>
          <w:p w14:paraId="7AE94B94" w14:textId="3229A3DD" w:rsidR="00F408D3" w:rsidRPr="005C133F" w:rsidRDefault="00F408D3" w:rsidP="00A056C4">
            <w:pPr>
              <w:rPr>
                <w:sz w:val="18"/>
                <w:szCs w:val="18"/>
                <w:lang w:val="es-ES"/>
              </w:rPr>
            </w:pPr>
            <w:r w:rsidRPr="005C133F">
              <w:rPr>
                <w:sz w:val="18"/>
                <w:szCs w:val="18"/>
                <w:lang w:val="es-ES"/>
              </w:rPr>
              <w:t>Fuente: SISALRIL, a partir del esquema 7 y de las bases de datos TSS-UNIPAGO</w:t>
            </w:r>
            <w:r w:rsidR="009945D9" w:rsidRPr="005C133F">
              <w:rPr>
                <w:sz w:val="18"/>
                <w:szCs w:val="18"/>
                <w:lang w:val="es-ES"/>
              </w:rPr>
              <w:t>, m</w:t>
            </w:r>
            <w:r w:rsidRPr="005C133F">
              <w:rPr>
                <w:sz w:val="18"/>
                <w:szCs w:val="18"/>
                <w:lang w:val="es-ES"/>
              </w:rPr>
              <w:t>ayo 2025</w:t>
            </w:r>
          </w:p>
        </w:tc>
      </w:tr>
    </w:tbl>
    <w:p w14:paraId="79936332" w14:textId="77777777" w:rsidR="00F408D3" w:rsidRDefault="00F408D3" w:rsidP="005C133F">
      <w:pPr>
        <w:pStyle w:val="Textoindependiente"/>
        <w:spacing w:before="19" w:line="360" w:lineRule="auto"/>
        <w:ind w:right="1080"/>
        <w:jc w:val="both"/>
        <w:rPr>
          <w:b w:val="0"/>
          <w:bCs w:val="0"/>
          <w:i w:val="0"/>
          <w:iCs w:val="0"/>
          <w:color w:val="767171"/>
          <w:sz w:val="24"/>
          <w:szCs w:val="24"/>
          <w:lang w:val="es-DO"/>
        </w:rPr>
      </w:pPr>
    </w:p>
    <w:p w14:paraId="5092F5FF" w14:textId="77777777" w:rsidR="00A056C4" w:rsidRPr="005C133F" w:rsidRDefault="00A056C4" w:rsidP="005C133F">
      <w:pPr>
        <w:pStyle w:val="Textoindependiente"/>
        <w:spacing w:before="19" w:line="360" w:lineRule="auto"/>
        <w:ind w:right="1080"/>
        <w:jc w:val="both"/>
        <w:rPr>
          <w:b w:val="0"/>
          <w:bCs w:val="0"/>
          <w:i w:val="0"/>
          <w:iCs w:val="0"/>
          <w:color w:val="767171"/>
          <w:sz w:val="24"/>
          <w:szCs w:val="24"/>
          <w:lang w:val="es-DO"/>
        </w:rPr>
      </w:pPr>
    </w:p>
    <w:p w14:paraId="1AC1DDEE" w14:textId="3F789418" w:rsidR="006A68B4" w:rsidRPr="005C133F" w:rsidRDefault="002A147B" w:rsidP="005C133F">
      <w:pPr>
        <w:pStyle w:val="SUBTITULOM"/>
        <w:spacing w:after="0"/>
      </w:pPr>
      <w:bookmarkStart w:id="29" w:name="_Toc219121839"/>
      <w:r w:rsidRPr="005C133F">
        <w:lastRenderedPageBreak/>
        <w:t>3.1.3 Cobertura efectiva de los servicios básicos de salud</w:t>
      </w:r>
      <w:bookmarkEnd w:id="29"/>
    </w:p>
    <w:p w14:paraId="3EA27178" w14:textId="77777777" w:rsidR="00C267DB" w:rsidRPr="005C133F" w:rsidRDefault="00C267DB" w:rsidP="005C133F">
      <w:pPr>
        <w:spacing w:after="0" w:line="360" w:lineRule="auto"/>
        <w:ind w:left="720"/>
        <w:rPr>
          <w:rFonts w:eastAsia="Calibri"/>
          <w:b/>
          <w:bCs/>
          <w:noProof/>
          <w:lang w:val="es-DO"/>
        </w:rPr>
      </w:pPr>
    </w:p>
    <w:p w14:paraId="60BF973C" w14:textId="42F7FC9A" w:rsidR="00C267DB" w:rsidRPr="005C133F" w:rsidRDefault="00C267DB" w:rsidP="005C133F">
      <w:pPr>
        <w:spacing w:after="0" w:line="360" w:lineRule="auto"/>
        <w:ind w:left="720"/>
        <w:rPr>
          <w:rFonts w:eastAsia="Calibri"/>
          <w:b/>
          <w:bCs/>
          <w:noProof/>
          <w:lang w:val="es-DO"/>
        </w:rPr>
      </w:pPr>
      <w:r w:rsidRPr="005C133F">
        <w:rPr>
          <w:rFonts w:eastAsia="Calibri"/>
          <w:b/>
          <w:bCs/>
          <w:noProof/>
          <w:lang w:val="es-DO"/>
        </w:rPr>
        <w:t>Mejora de las prestaciones del SFS y SRL</w:t>
      </w:r>
    </w:p>
    <w:p w14:paraId="27E0EA1F" w14:textId="77777777" w:rsidR="00CA6F10" w:rsidRPr="005C133F" w:rsidRDefault="00CA6F10" w:rsidP="005C133F">
      <w:pPr>
        <w:spacing w:after="0" w:line="360" w:lineRule="auto"/>
        <w:rPr>
          <w:noProof/>
          <w:lang w:val="es-DO"/>
        </w:rPr>
      </w:pPr>
    </w:p>
    <w:p w14:paraId="3A87220B" w14:textId="33FBC9C0" w:rsidR="004B6202" w:rsidRDefault="006A68B4" w:rsidP="005C133F">
      <w:pPr>
        <w:spacing w:after="0" w:line="360" w:lineRule="auto"/>
        <w:jc w:val="both"/>
        <w:rPr>
          <w:rStyle w:val="normaltextrun"/>
          <w:rFonts w:eastAsiaTheme="majorEastAsia"/>
          <w:lang w:val="es-DO"/>
        </w:rPr>
      </w:pPr>
      <w:r w:rsidRPr="005C133F">
        <w:rPr>
          <w:noProof/>
          <w:lang w:val="es-DO"/>
        </w:rPr>
        <w:t xml:space="preserve">Durante el </w:t>
      </w:r>
      <w:r w:rsidR="00321F97" w:rsidRPr="005C133F">
        <w:rPr>
          <w:noProof/>
          <w:lang w:val="es-DO"/>
        </w:rPr>
        <w:t>período enero-</w:t>
      </w:r>
      <w:r w:rsidR="00C467A0">
        <w:rPr>
          <w:noProof/>
          <w:lang w:val="es-DO"/>
        </w:rPr>
        <w:t>diciembre</w:t>
      </w:r>
      <w:r w:rsidR="00321F97" w:rsidRPr="005C133F">
        <w:rPr>
          <w:noProof/>
          <w:lang w:val="es-DO"/>
        </w:rPr>
        <w:t xml:space="preserve"> </w:t>
      </w:r>
      <w:r w:rsidR="003E2121" w:rsidRPr="005C133F">
        <w:rPr>
          <w:noProof/>
          <w:lang w:val="es-DO"/>
        </w:rPr>
        <w:t>202</w:t>
      </w:r>
      <w:r w:rsidR="00B44B8A" w:rsidRPr="005C133F">
        <w:rPr>
          <w:noProof/>
          <w:lang w:val="es-DO"/>
        </w:rPr>
        <w:t>5</w:t>
      </w:r>
      <w:r w:rsidR="00162217" w:rsidRPr="005C133F">
        <w:rPr>
          <w:noProof/>
          <w:lang w:val="es-DO"/>
        </w:rPr>
        <w:t xml:space="preserve">, la </w:t>
      </w:r>
      <w:r w:rsidR="009F15E2" w:rsidRPr="005C133F">
        <w:rPr>
          <w:noProof/>
          <w:lang w:val="es-DO"/>
        </w:rPr>
        <w:t xml:space="preserve">SISALRIL </w:t>
      </w:r>
      <w:r w:rsidR="00162217" w:rsidRPr="005C133F">
        <w:rPr>
          <w:noProof/>
          <w:lang w:val="es-DO"/>
        </w:rPr>
        <w:t xml:space="preserve">sometió </w:t>
      </w:r>
      <w:r w:rsidR="004B6202" w:rsidRPr="005C133F">
        <w:rPr>
          <w:rStyle w:val="normaltextrun"/>
          <w:rFonts w:eastAsiaTheme="majorEastAsia"/>
          <w:lang w:val="es-DO"/>
        </w:rPr>
        <w:t xml:space="preserve">a la aprobación del Consejo Nacional de la Seguridad Social (CNSS) </w:t>
      </w:r>
      <w:r w:rsidR="009F15E2" w:rsidRPr="005C133F">
        <w:rPr>
          <w:rStyle w:val="normaltextrun"/>
          <w:rFonts w:eastAsiaTheme="majorEastAsia"/>
          <w:lang w:val="es-DO"/>
        </w:rPr>
        <w:t xml:space="preserve">un total de </w:t>
      </w:r>
      <w:r w:rsidR="004B6202" w:rsidRPr="005C133F">
        <w:rPr>
          <w:rStyle w:val="normaltextrun"/>
          <w:rFonts w:eastAsiaTheme="majorEastAsia"/>
          <w:lang w:val="es-DO"/>
        </w:rPr>
        <w:t>siete (7) propuestas para mejorar las prestaciones del</w:t>
      </w:r>
      <w:r w:rsidR="009F15E2" w:rsidRPr="005C133F">
        <w:rPr>
          <w:rStyle w:val="normaltextrun"/>
          <w:rFonts w:eastAsiaTheme="majorEastAsia"/>
          <w:lang w:val="es-DO"/>
        </w:rPr>
        <w:t xml:space="preserve"> Plan Básico de Salud</w:t>
      </w:r>
      <w:r w:rsidR="004B6202" w:rsidRPr="005C133F">
        <w:rPr>
          <w:rStyle w:val="normaltextrun"/>
          <w:rFonts w:eastAsiaTheme="majorEastAsia"/>
          <w:lang w:val="es-DO"/>
        </w:rPr>
        <w:t xml:space="preserve"> </w:t>
      </w:r>
      <w:r w:rsidR="009F15E2" w:rsidRPr="005C133F">
        <w:rPr>
          <w:rStyle w:val="normaltextrun"/>
          <w:rFonts w:eastAsiaTheme="majorEastAsia"/>
          <w:lang w:val="es-DO"/>
        </w:rPr>
        <w:t>(</w:t>
      </w:r>
      <w:r w:rsidR="004B6202" w:rsidRPr="005C133F">
        <w:rPr>
          <w:rStyle w:val="normaltextrun"/>
          <w:rFonts w:eastAsiaTheme="majorEastAsia"/>
          <w:lang w:val="es-DO"/>
        </w:rPr>
        <w:t>PBS</w:t>
      </w:r>
      <w:r w:rsidR="009F15E2" w:rsidRPr="005C133F">
        <w:rPr>
          <w:rStyle w:val="normaltextrun"/>
          <w:rFonts w:eastAsiaTheme="majorEastAsia"/>
          <w:lang w:val="es-DO"/>
        </w:rPr>
        <w:t>)</w:t>
      </w:r>
      <w:r w:rsidR="0069568F" w:rsidRPr="005C133F">
        <w:rPr>
          <w:rStyle w:val="normaltextrun"/>
          <w:rFonts w:eastAsiaTheme="majorEastAsia"/>
          <w:lang w:val="es-DO"/>
        </w:rPr>
        <w:t>, con el objetivo de cerrar brechas de cobertura, fortalecer la protección financiera y responder a necesidades prioritarias de la población afiliada. Las propuestas presentadas fueron las siguientes</w:t>
      </w:r>
      <w:r w:rsidR="004B6202" w:rsidRPr="005C133F">
        <w:rPr>
          <w:rStyle w:val="normaltextrun"/>
          <w:rFonts w:eastAsiaTheme="majorEastAsia"/>
          <w:lang w:val="es-DO"/>
        </w:rPr>
        <w:t xml:space="preserve">: </w:t>
      </w:r>
    </w:p>
    <w:p w14:paraId="63651944" w14:textId="77777777" w:rsidR="00E05B71" w:rsidRPr="005C133F" w:rsidRDefault="00E05B71" w:rsidP="005C133F">
      <w:pPr>
        <w:spacing w:after="0" w:line="360" w:lineRule="auto"/>
        <w:jc w:val="both"/>
        <w:rPr>
          <w:rStyle w:val="normaltextrun"/>
          <w:noProof/>
          <w:lang w:val="es-DO"/>
        </w:rPr>
      </w:pPr>
    </w:p>
    <w:p w14:paraId="6D31D21D" w14:textId="77777777" w:rsidR="004B6202" w:rsidRPr="005C133F" w:rsidRDefault="004B6202">
      <w:pPr>
        <w:pStyle w:val="Prrafodelista"/>
        <w:numPr>
          <w:ilvl w:val="0"/>
          <w:numId w:val="49"/>
        </w:numPr>
        <w:spacing w:after="0" w:line="360" w:lineRule="auto"/>
        <w:jc w:val="both"/>
        <w:rPr>
          <w:rStyle w:val="normaltextrun"/>
          <w:rFonts w:eastAsiaTheme="majorEastAsia"/>
          <w:lang w:val="es-DO"/>
        </w:rPr>
      </w:pPr>
      <w:r w:rsidRPr="005C133F">
        <w:rPr>
          <w:rStyle w:val="normaltextrun"/>
          <w:rFonts w:eastAsiaTheme="majorEastAsia"/>
          <w:lang w:val="es-DO" w:eastAsia="es-ES"/>
        </w:rPr>
        <w:t xml:space="preserve">Financiamiento del </w:t>
      </w:r>
      <w:proofErr w:type="spellStart"/>
      <w:r w:rsidRPr="005C133F">
        <w:rPr>
          <w:rStyle w:val="normaltextrun"/>
          <w:rFonts w:eastAsiaTheme="majorEastAsia"/>
          <w:lang w:val="es-DO" w:eastAsia="es-ES"/>
        </w:rPr>
        <w:t>Ribociclib</w:t>
      </w:r>
      <w:proofErr w:type="spellEnd"/>
      <w:r w:rsidRPr="005C133F">
        <w:rPr>
          <w:rStyle w:val="normaltextrun"/>
          <w:rFonts w:eastAsiaTheme="majorEastAsia"/>
          <w:lang w:val="es-DO" w:eastAsia="es-ES"/>
        </w:rPr>
        <w:t xml:space="preserve"> y Palbociclib en afiliadas Peri, Pre y Post menopáusicas con Cáncer de Mama Metastásico HR+ Y HER2-, y el </w:t>
      </w:r>
      <w:proofErr w:type="spellStart"/>
      <w:r w:rsidRPr="005C133F">
        <w:rPr>
          <w:rStyle w:val="normaltextrun"/>
          <w:rFonts w:eastAsiaTheme="majorEastAsia"/>
          <w:lang w:val="es-DO" w:eastAsia="es-ES"/>
        </w:rPr>
        <w:t>Pembrolizumab</w:t>
      </w:r>
      <w:proofErr w:type="spellEnd"/>
      <w:r w:rsidRPr="005C133F">
        <w:rPr>
          <w:rStyle w:val="normaltextrun"/>
          <w:rFonts w:eastAsiaTheme="majorEastAsia"/>
          <w:lang w:val="es-DO" w:eastAsia="es-ES"/>
        </w:rPr>
        <w:t xml:space="preserve"> en afiliados con Cáncer de Pulmón no Microcítico (CPNM) Metastásico, para el cierre de brecha del</w:t>
      </w:r>
      <w:r w:rsidRPr="005C133F">
        <w:rPr>
          <w:rStyle w:val="normaltextrun"/>
          <w:rFonts w:eastAsiaTheme="majorEastAsia"/>
          <w:lang w:val="es-ES" w:eastAsia="es-ES"/>
        </w:rPr>
        <w:t xml:space="preserve"> PDSS </w:t>
      </w:r>
      <w:r w:rsidRPr="005C133F">
        <w:rPr>
          <w:rStyle w:val="normaltextrun"/>
          <w:rFonts w:eastAsiaTheme="majorEastAsia"/>
          <w:lang w:val="es-DO" w:eastAsia="es-ES"/>
        </w:rPr>
        <w:t>en relación con terapia dirigida para el Cáncer de Mama y Cáncer de Pulmón.</w:t>
      </w:r>
    </w:p>
    <w:p w14:paraId="2B56A5BC" w14:textId="44922E6D" w:rsidR="004B6202" w:rsidRPr="005C133F" w:rsidRDefault="004B6202">
      <w:pPr>
        <w:pStyle w:val="Prrafodelista"/>
        <w:numPr>
          <w:ilvl w:val="0"/>
          <w:numId w:val="49"/>
        </w:numPr>
        <w:spacing w:after="0" w:line="360" w:lineRule="auto"/>
        <w:jc w:val="both"/>
        <w:rPr>
          <w:rStyle w:val="normaltextrun"/>
          <w:rFonts w:eastAsiaTheme="majorEastAsia"/>
          <w:lang w:val="es-DO"/>
        </w:rPr>
      </w:pPr>
      <w:r w:rsidRPr="005C133F">
        <w:rPr>
          <w:rStyle w:val="normaltextrun"/>
          <w:rFonts w:eastAsiaTheme="majorEastAsia"/>
          <w:lang w:val="es-DO" w:eastAsia="es-ES"/>
        </w:rPr>
        <w:t>F</w:t>
      </w:r>
      <w:r w:rsidR="003739A8" w:rsidRPr="005C133F">
        <w:rPr>
          <w:rStyle w:val="normaltextrun"/>
          <w:rFonts w:eastAsiaTheme="majorEastAsia"/>
          <w:lang w:val="es-DO" w:eastAsia="es-ES"/>
        </w:rPr>
        <w:t>inanciamiento</w:t>
      </w:r>
      <w:r w:rsidRPr="005C133F">
        <w:rPr>
          <w:rStyle w:val="normaltextrun"/>
          <w:rFonts w:eastAsiaTheme="majorEastAsia"/>
          <w:lang w:val="es-ES" w:eastAsia="es-ES"/>
        </w:rPr>
        <w:t xml:space="preserve"> integral (todas las etapas) de </w:t>
      </w:r>
      <w:r w:rsidRPr="005C133F">
        <w:rPr>
          <w:rStyle w:val="normaltextrun"/>
          <w:rFonts w:eastAsiaTheme="majorEastAsia"/>
          <w:lang w:val="es-DO" w:eastAsia="es-ES"/>
        </w:rPr>
        <w:t xml:space="preserve">Trasplante Hepático / Trasplante de Medula Ósea </w:t>
      </w:r>
      <w:r w:rsidRPr="005C133F">
        <w:rPr>
          <w:rStyle w:val="normaltextrun"/>
          <w:rFonts w:eastAsiaTheme="majorEastAsia"/>
          <w:lang w:val="es-ES" w:eastAsia="es-ES"/>
        </w:rPr>
        <w:t xml:space="preserve">en población adulta e infantil en el Seguro Familiar de Salud (SFS), en respuesta a la necesidad país en materia de donación y trasplante de órganos a dos trasplantes priorizados como parte de la respuesta integral algunas patologías sobre todo en edad infantil. </w:t>
      </w:r>
    </w:p>
    <w:p w14:paraId="3620F93C" w14:textId="77777777" w:rsidR="004B6202" w:rsidRPr="005C133F" w:rsidRDefault="004B6202">
      <w:pPr>
        <w:pStyle w:val="Prrafodelista"/>
        <w:numPr>
          <w:ilvl w:val="0"/>
          <w:numId w:val="49"/>
        </w:numPr>
        <w:spacing w:after="0" w:line="360" w:lineRule="auto"/>
        <w:jc w:val="both"/>
        <w:rPr>
          <w:rStyle w:val="normaltextrun"/>
          <w:rFonts w:eastAsiaTheme="majorEastAsia"/>
          <w:lang w:val="es-DO"/>
        </w:rPr>
      </w:pPr>
      <w:r w:rsidRPr="005C133F">
        <w:rPr>
          <w:rStyle w:val="normaltextrun"/>
          <w:rFonts w:eastAsiaTheme="majorEastAsia"/>
          <w:lang w:val="es-DO" w:eastAsia="es-ES"/>
        </w:rPr>
        <w:t xml:space="preserve">Financiamiento y suministro a través del Seguro Familiar de Salud de los antirretrovirales, medicamentos y pruebas de Tuberculosis, VIH y Hepatitis B. Se analiza y presenta propuesta de </w:t>
      </w:r>
      <w:r w:rsidRPr="005C133F">
        <w:rPr>
          <w:rStyle w:val="normaltextrun"/>
          <w:rFonts w:eastAsiaTheme="majorEastAsia"/>
          <w:lang w:val="es-ES" w:eastAsia="es-ES"/>
        </w:rPr>
        <w:t xml:space="preserve">cobertura ilimitada de los medicamentos </w:t>
      </w:r>
      <w:r w:rsidRPr="005C133F">
        <w:rPr>
          <w:rStyle w:val="normaltextrun"/>
          <w:rFonts w:eastAsiaTheme="majorEastAsia"/>
          <w:lang w:val="es-ES" w:eastAsia="es-ES"/>
        </w:rPr>
        <w:lastRenderedPageBreak/>
        <w:t xml:space="preserve">utilizados en la atención de los afiliados con tuberculosis, por el grupo 12.3 sobre “Programas Especiales de Salud Pública” </w:t>
      </w:r>
      <w:r w:rsidRPr="005C133F">
        <w:rPr>
          <w:rStyle w:val="normaltextrun"/>
          <w:rFonts w:eastAsiaTheme="majorEastAsia"/>
          <w:lang w:val="es-DO" w:eastAsia="es-ES"/>
        </w:rPr>
        <w:t>a través de un fondo especial para recaudo y compra conjunta de dichos medicamentos por PROMESECAL. Las pruebas diagnósticas y moleculares de TB, así como otras atenciones médicas especializadas a través de la red de servicios pública y privada contratadas por las Administradoras de Riesgo de Salud (ARS) en el SFS.</w:t>
      </w:r>
    </w:p>
    <w:p w14:paraId="2A0647C4" w14:textId="77777777" w:rsidR="004B6202" w:rsidRPr="005C133F" w:rsidRDefault="004B6202">
      <w:pPr>
        <w:pStyle w:val="Prrafodelista"/>
        <w:numPr>
          <w:ilvl w:val="0"/>
          <w:numId w:val="49"/>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Financiamiento de 47 nuevos principios activos oficializados por el Ministerio de Salud en el Cuadro Básico de Medicamentos esenciales 2024.</w:t>
      </w:r>
    </w:p>
    <w:p w14:paraId="4DFC034B" w14:textId="77777777" w:rsidR="004B6202" w:rsidRPr="005C133F" w:rsidRDefault="004B6202">
      <w:pPr>
        <w:pStyle w:val="Prrafodelista"/>
        <w:numPr>
          <w:ilvl w:val="0"/>
          <w:numId w:val="49"/>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Financiamiento de Mamoplastia de reducción asociada a Hipertrofia de Mamas sintomática en el hombre y la mujer (</w:t>
      </w:r>
      <w:proofErr w:type="spellStart"/>
      <w:r w:rsidRPr="005C133F">
        <w:rPr>
          <w:rStyle w:val="normaltextrun"/>
          <w:rFonts w:eastAsiaTheme="majorEastAsia"/>
          <w:lang w:val="es-DO" w:eastAsia="es-ES"/>
        </w:rPr>
        <w:t>Gigantomastia</w:t>
      </w:r>
      <w:proofErr w:type="spellEnd"/>
      <w:r w:rsidRPr="005C133F">
        <w:rPr>
          <w:rStyle w:val="normaltextrun"/>
          <w:rFonts w:eastAsiaTheme="majorEastAsia"/>
          <w:lang w:val="es-DO" w:eastAsia="es-ES"/>
        </w:rPr>
        <w:t xml:space="preserve"> /Ginecomastia) a través del Seguro Familiar de Salud en el grupo 7, con cobertura de 90% y cuota moderadora variable de 10%.  </w:t>
      </w:r>
    </w:p>
    <w:p w14:paraId="58172CF6" w14:textId="01AB4B32" w:rsidR="004B6202" w:rsidRPr="005C133F" w:rsidRDefault="004B6202">
      <w:pPr>
        <w:pStyle w:val="Prrafodelista"/>
        <w:numPr>
          <w:ilvl w:val="0"/>
          <w:numId w:val="49"/>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 xml:space="preserve">Financiamiento de biológicos: moléculas de alto costo "Adalimumab, </w:t>
      </w:r>
      <w:proofErr w:type="spellStart"/>
      <w:r w:rsidRPr="005C133F">
        <w:rPr>
          <w:rStyle w:val="normaltextrun"/>
          <w:rFonts w:eastAsiaTheme="majorEastAsia"/>
          <w:lang w:val="es-DO" w:eastAsia="es-ES"/>
        </w:rPr>
        <w:t>Etanercep</w:t>
      </w:r>
      <w:proofErr w:type="spellEnd"/>
      <w:r w:rsidRPr="005C133F">
        <w:rPr>
          <w:rStyle w:val="normaltextrun"/>
          <w:rFonts w:eastAsiaTheme="majorEastAsia"/>
          <w:lang w:val="es-DO" w:eastAsia="es-ES"/>
        </w:rPr>
        <w:t>, Golimumab,</w:t>
      </w:r>
      <w:r w:rsidR="002E5D25" w:rsidRPr="005C133F">
        <w:rPr>
          <w:rStyle w:val="normaltextrun"/>
          <w:rFonts w:eastAsiaTheme="majorEastAsia"/>
          <w:lang w:val="es-DO" w:eastAsia="es-ES"/>
        </w:rPr>
        <w:t xml:space="preserve"> </w:t>
      </w:r>
      <w:proofErr w:type="spellStart"/>
      <w:r w:rsidRPr="005C133F">
        <w:rPr>
          <w:rStyle w:val="normaltextrun"/>
          <w:rFonts w:eastAsiaTheme="majorEastAsia"/>
          <w:lang w:val="es-DO" w:eastAsia="es-ES"/>
        </w:rPr>
        <w:t>Infliximab</w:t>
      </w:r>
      <w:proofErr w:type="spellEnd"/>
      <w:r w:rsidRPr="005C133F">
        <w:rPr>
          <w:rStyle w:val="normaltextrun"/>
          <w:rFonts w:eastAsiaTheme="majorEastAsia"/>
          <w:lang w:val="es-DO" w:eastAsia="es-ES"/>
        </w:rPr>
        <w:t xml:space="preserve">, </w:t>
      </w:r>
      <w:proofErr w:type="spellStart"/>
      <w:r w:rsidRPr="005C133F">
        <w:rPr>
          <w:rStyle w:val="normaltextrun"/>
          <w:rFonts w:eastAsiaTheme="majorEastAsia"/>
          <w:lang w:val="es-DO" w:eastAsia="es-ES"/>
        </w:rPr>
        <w:t>Tocilixumab</w:t>
      </w:r>
      <w:proofErr w:type="spellEnd"/>
      <w:r w:rsidRPr="005C133F">
        <w:rPr>
          <w:rStyle w:val="normaltextrun"/>
          <w:rFonts w:eastAsiaTheme="majorEastAsia"/>
          <w:lang w:val="es-DO" w:eastAsia="es-ES"/>
        </w:rPr>
        <w:t xml:space="preserve"> y Ustekinumab, a partir de evaluaciones de tecnología sanitarias, para el cierre de brechas de respuesta en segunda y tercera línea a enfermedades autoinmunes que generan discapacidad y representan alto impacto social. </w:t>
      </w:r>
    </w:p>
    <w:p w14:paraId="0C24B59B" w14:textId="77777777" w:rsidR="004B6202" w:rsidRDefault="004B6202">
      <w:pPr>
        <w:pStyle w:val="Prrafodelista"/>
        <w:numPr>
          <w:ilvl w:val="0"/>
          <w:numId w:val="49"/>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 xml:space="preserve">Propuesta para análisis actuarial del impacto de la sustitución del procedimiento transposición de músculos extraoculares por Cirugía de corrección de Estrabismo. </w:t>
      </w:r>
    </w:p>
    <w:p w14:paraId="6F01D78A" w14:textId="77777777" w:rsidR="00E05B71" w:rsidRPr="005C133F" w:rsidRDefault="00E05B71" w:rsidP="00E05B71">
      <w:pPr>
        <w:pStyle w:val="Prrafodelista"/>
        <w:spacing w:after="0" w:line="360" w:lineRule="auto"/>
        <w:jc w:val="both"/>
        <w:rPr>
          <w:rStyle w:val="normaltextrun"/>
          <w:rFonts w:eastAsiaTheme="majorEastAsia"/>
          <w:lang w:val="es-DO" w:eastAsia="es-ES"/>
        </w:rPr>
      </w:pPr>
    </w:p>
    <w:p w14:paraId="726D9AB1" w14:textId="1DBA97B9" w:rsidR="00C02E94" w:rsidRPr="005C133F" w:rsidRDefault="0069568F" w:rsidP="005C133F">
      <w:pPr>
        <w:spacing w:after="0" w:line="360" w:lineRule="auto"/>
        <w:rPr>
          <w:rStyle w:val="normaltextrun"/>
          <w:rFonts w:eastAsiaTheme="majorEastAsia"/>
          <w:lang w:val="es-DO" w:eastAsia="es-ES"/>
        </w:rPr>
      </w:pPr>
      <w:r w:rsidRPr="005C133F">
        <w:rPr>
          <w:rStyle w:val="normaltextrun"/>
          <w:rFonts w:eastAsiaTheme="majorEastAsia"/>
          <w:lang w:val="es-DO" w:eastAsia="es-ES"/>
        </w:rPr>
        <w:t>Como resultado de este proceso</w:t>
      </w:r>
      <w:r w:rsidR="004B6202" w:rsidRPr="005C133F">
        <w:rPr>
          <w:rStyle w:val="normaltextrun"/>
          <w:rFonts w:eastAsiaTheme="majorEastAsia"/>
          <w:lang w:val="es-DO" w:eastAsia="es-ES"/>
        </w:rPr>
        <w:t>, mediante la resolución 624-02 del CNSS</w:t>
      </w:r>
      <w:r w:rsidR="007254E4" w:rsidRPr="005C133F">
        <w:rPr>
          <w:rStyle w:val="normaltextrun"/>
          <w:rFonts w:eastAsiaTheme="majorEastAsia"/>
          <w:lang w:val="es-DO" w:eastAsia="es-ES"/>
        </w:rPr>
        <w:t xml:space="preserve"> fueron aprobados </w:t>
      </w:r>
      <w:r w:rsidR="004B6202" w:rsidRPr="005C133F">
        <w:rPr>
          <w:rStyle w:val="normaltextrun"/>
          <w:rFonts w:eastAsiaTheme="majorEastAsia"/>
          <w:lang w:val="es-DO" w:eastAsia="es-ES"/>
        </w:rPr>
        <w:t xml:space="preserve">los siguientes beneficios: </w:t>
      </w:r>
    </w:p>
    <w:p w14:paraId="1E3888CF" w14:textId="77777777" w:rsidR="00C85B7D" w:rsidRPr="005C133F" w:rsidRDefault="004B6202">
      <w:pPr>
        <w:pStyle w:val="Prrafodelista"/>
        <w:numPr>
          <w:ilvl w:val="0"/>
          <w:numId w:val="50"/>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lastRenderedPageBreak/>
        <w:t xml:space="preserve">Mamoplastia de reducción, destinada a hombres y mujeres con crecimiento patológica de mamas; </w:t>
      </w:r>
    </w:p>
    <w:p w14:paraId="47107333" w14:textId="77777777" w:rsidR="00C85B7D" w:rsidRPr="005C133F" w:rsidRDefault="00C85B7D">
      <w:pPr>
        <w:pStyle w:val="Prrafodelista"/>
        <w:numPr>
          <w:ilvl w:val="0"/>
          <w:numId w:val="50"/>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A</w:t>
      </w:r>
      <w:r w:rsidR="004B6202" w:rsidRPr="005C133F">
        <w:rPr>
          <w:rStyle w:val="normaltextrun"/>
          <w:rFonts w:eastAsiaTheme="majorEastAsia"/>
          <w:lang w:val="es-DO" w:eastAsia="es-ES"/>
        </w:rPr>
        <w:t>ntirretrovirales</w:t>
      </w:r>
      <w:r w:rsidRPr="005C133F">
        <w:rPr>
          <w:rStyle w:val="normaltextrun"/>
          <w:rFonts w:eastAsiaTheme="majorEastAsia"/>
          <w:lang w:val="es-DO" w:eastAsia="es-ES"/>
        </w:rPr>
        <w:t xml:space="preserve"> </w:t>
      </w:r>
      <w:r w:rsidR="004B6202" w:rsidRPr="005C133F">
        <w:rPr>
          <w:rStyle w:val="normaltextrun"/>
          <w:rFonts w:eastAsiaTheme="majorEastAsia"/>
          <w:lang w:val="es-DO" w:eastAsia="es-ES"/>
        </w:rPr>
        <w:t xml:space="preserve">para pacientes con VIH / Hepatitis B; </w:t>
      </w:r>
    </w:p>
    <w:p w14:paraId="0AFBE057" w14:textId="77777777" w:rsidR="00C85B7D" w:rsidRPr="005C133F" w:rsidRDefault="00C85B7D">
      <w:pPr>
        <w:pStyle w:val="Prrafodelista"/>
        <w:numPr>
          <w:ilvl w:val="0"/>
          <w:numId w:val="50"/>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D</w:t>
      </w:r>
      <w:r w:rsidR="004B6202" w:rsidRPr="005C133F">
        <w:rPr>
          <w:rStyle w:val="normaltextrun"/>
          <w:rFonts w:eastAsiaTheme="majorEastAsia"/>
          <w:lang w:val="es-DO" w:eastAsia="es-ES"/>
        </w:rPr>
        <w:t xml:space="preserve">iagnóstico y tratamiento integral de la Tuberculosis; </w:t>
      </w:r>
    </w:p>
    <w:p w14:paraId="6C96ADD8" w14:textId="77777777" w:rsidR="00C85B7D" w:rsidRPr="005C133F" w:rsidRDefault="00C85B7D">
      <w:pPr>
        <w:pStyle w:val="Prrafodelista"/>
        <w:numPr>
          <w:ilvl w:val="0"/>
          <w:numId w:val="50"/>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A</w:t>
      </w:r>
      <w:r w:rsidR="004B6202" w:rsidRPr="005C133F">
        <w:rPr>
          <w:rStyle w:val="normaltextrun"/>
          <w:rFonts w:eastAsiaTheme="majorEastAsia"/>
          <w:lang w:val="es-DO" w:eastAsia="es-ES"/>
        </w:rPr>
        <w:t xml:space="preserve">mpliación de medicamentos ambulatorios del grupo 12 en función de la última actualización del Cuadro Básico de Medicamentos Esenciales, incluyendo nuevos medicamentos para Diabetes, Hipertensión, antibióticos, anticonceptivos y otros; </w:t>
      </w:r>
    </w:p>
    <w:p w14:paraId="1D8E1C59" w14:textId="67CE528A" w:rsidR="00C93CFD" w:rsidRDefault="00C85B7D">
      <w:pPr>
        <w:pStyle w:val="Prrafodelista"/>
        <w:numPr>
          <w:ilvl w:val="0"/>
          <w:numId w:val="50"/>
        </w:num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A</w:t>
      </w:r>
      <w:r w:rsidR="004B6202" w:rsidRPr="005C133F">
        <w:rPr>
          <w:rStyle w:val="normaltextrun"/>
          <w:rFonts w:eastAsiaTheme="majorEastAsia"/>
          <w:lang w:val="es-DO" w:eastAsia="es-ES"/>
        </w:rPr>
        <w:t>ument</w:t>
      </w:r>
      <w:r w:rsidRPr="005C133F">
        <w:rPr>
          <w:rStyle w:val="normaltextrun"/>
          <w:rFonts w:eastAsiaTheme="majorEastAsia"/>
          <w:lang w:val="es-DO" w:eastAsia="es-ES"/>
        </w:rPr>
        <w:t>o</w:t>
      </w:r>
      <w:r w:rsidR="004B6202" w:rsidRPr="005C133F">
        <w:rPr>
          <w:rStyle w:val="normaltextrun"/>
          <w:rFonts w:eastAsiaTheme="majorEastAsia"/>
          <w:lang w:val="es-DO" w:eastAsia="es-ES"/>
        </w:rPr>
        <w:t xml:space="preserve"> en un 50% la consulta ambulatoria para todas las especialidades</w:t>
      </w:r>
      <w:r w:rsidR="00977C05" w:rsidRPr="005C133F">
        <w:rPr>
          <w:rStyle w:val="normaltextrun"/>
          <w:rFonts w:eastAsiaTheme="majorEastAsia"/>
          <w:lang w:val="es-DO" w:eastAsia="es-ES"/>
        </w:rPr>
        <w:t xml:space="preserve"> </w:t>
      </w:r>
      <w:r w:rsidR="004B6202" w:rsidRPr="005C133F">
        <w:rPr>
          <w:rStyle w:val="normaltextrun"/>
          <w:rFonts w:eastAsiaTheme="majorEastAsia"/>
          <w:lang w:val="es-DO" w:eastAsia="es-ES"/>
        </w:rPr>
        <w:t>incluyendo</w:t>
      </w:r>
      <w:r w:rsidR="00977C05" w:rsidRPr="005C133F">
        <w:rPr>
          <w:rStyle w:val="normaltextrun"/>
          <w:rFonts w:eastAsiaTheme="majorEastAsia"/>
          <w:lang w:val="es-DO" w:eastAsia="es-ES"/>
        </w:rPr>
        <w:t xml:space="preserve"> </w:t>
      </w:r>
      <w:r w:rsidR="004B6202" w:rsidRPr="005C133F">
        <w:rPr>
          <w:rStyle w:val="normaltextrun"/>
          <w:rFonts w:eastAsiaTheme="majorEastAsia"/>
          <w:lang w:val="es-DO" w:eastAsia="es-ES"/>
        </w:rPr>
        <w:t xml:space="preserve">psicología, psiquiatría y odontología, pasando de RD$500 pesos a RD$750. </w:t>
      </w:r>
    </w:p>
    <w:p w14:paraId="3569EB4B" w14:textId="77777777" w:rsidR="00E05B71" w:rsidRPr="005C133F" w:rsidRDefault="00E05B71" w:rsidP="00E05B71">
      <w:pPr>
        <w:pStyle w:val="Prrafodelista"/>
        <w:spacing w:after="0" w:line="360" w:lineRule="auto"/>
        <w:jc w:val="both"/>
        <w:rPr>
          <w:rStyle w:val="normaltextrun"/>
          <w:rFonts w:eastAsiaTheme="majorEastAsia"/>
          <w:lang w:val="es-DO" w:eastAsia="es-ES"/>
        </w:rPr>
      </w:pPr>
    </w:p>
    <w:p w14:paraId="0E6917CE" w14:textId="3B747CC1" w:rsidR="005C133F" w:rsidRDefault="002C0842" w:rsidP="005C133F">
      <w:pPr>
        <w:spacing w:after="0" w:line="360" w:lineRule="auto"/>
        <w:jc w:val="both"/>
        <w:rPr>
          <w:lang w:val="es-DO"/>
        </w:rPr>
      </w:pPr>
      <w:r w:rsidRPr="005C133F">
        <w:rPr>
          <w:lang w:val="es-DO"/>
        </w:rPr>
        <w:t xml:space="preserve">Para </w:t>
      </w:r>
      <w:r w:rsidR="00016B97" w:rsidRPr="005C133F">
        <w:rPr>
          <w:lang w:val="es-DO"/>
        </w:rPr>
        <w:t xml:space="preserve">la implementación de </w:t>
      </w:r>
      <w:r w:rsidRPr="005C133F">
        <w:rPr>
          <w:lang w:val="es-DO"/>
        </w:rPr>
        <w:t>estos beneficios se</w:t>
      </w:r>
      <w:r w:rsidR="00A233FF" w:rsidRPr="005C133F">
        <w:rPr>
          <w:lang w:val="es-DO"/>
        </w:rPr>
        <w:t xml:space="preserve"> </w:t>
      </w:r>
      <w:r w:rsidR="00016B97" w:rsidRPr="005C133F">
        <w:rPr>
          <w:lang w:val="es-DO"/>
        </w:rPr>
        <w:t xml:space="preserve">dispuso </w:t>
      </w:r>
      <w:r w:rsidR="00A233FF" w:rsidRPr="005C133F">
        <w:rPr>
          <w:lang w:val="es-DO"/>
        </w:rPr>
        <w:t xml:space="preserve">la creación de un Fondo Especial para Programas Prioritarios de Salud Pública (FONSAP) </w:t>
      </w:r>
      <w:r w:rsidR="009725B0" w:rsidRPr="005C133F">
        <w:rPr>
          <w:lang w:val="es-DO"/>
        </w:rPr>
        <w:t xml:space="preserve">destinado a </w:t>
      </w:r>
      <w:r w:rsidR="00A233FF" w:rsidRPr="005C133F">
        <w:rPr>
          <w:lang w:val="es-DO"/>
        </w:rPr>
        <w:t xml:space="preserve">la gestión de las compras de medicamentos para el tratamiento de la Tuberculosis, VIH y Hepatitis B, </w:t>
      </w:r>
      <w:r w:rsidR="006253A0" w:rsidRPr="005C133F">
        <w:rPr>
          <w:lang w:val="es-DO"/>
        </w:rPr>
        <w:t xml:space="preserve">financiado </w:t>
      </w:r>
      <w:r w:rsidR="00A233FF" w:rsidRPr="005C133F">
        <w:rPr>
          <w:lang w:val="es-DO"/>
        </w:rPr>
        <w:t xml:space="preserve">con un per cápita de RD$5.05 por afiliado. </w:t>
      </w:r>
    </w:p>
    <w:p w14:paraId="25BC131A" w14:textId="77777777" w:rsidR="00E05B71" w:rsidRPr="00E05B71" w:rsidRDefault="00E05B71" w:rsidP="005C133F">
      <w:pPr>
        <w:spacing w:after="0" w:line="360" w:lineRule="auto"/>
        <w:jc w:val="both"/>
        <w:rPr>
          <w:lang w:val="es-DO"/>
        </w:rPr>
      </w:pPr>
    </w:p>
    <w:p w14:paraId="614011AD" w14:textId="2CE3333B" w:rsidR="007A3E4B" w:rsidRPr="005C133F" w:rsidRDefault="007A3E4B" w:rsidP="00E05B71">
      <w:pPr>
        <w:pStyle w:val="Descripcin"/>
        <w:keepNext/>
        <w:spacing w:after="0"/>
        <w:jc w:val="center"/>
        <w:rPr>
          <w:rFonts w:eastAsia="Times New Roman"/>
          <w:b/>
          <w:bCs/>
          <w:i w:val="0"/>
          <w:iCs w:val="0"/>
          <w:color w:val="767171"/>
          <w:sz w:val="24"/>
          <w:szCs w:val="24"/>
          <w:lang w:val="es-DO" w:eastAsia="es-DO"/>
        </w:rPr>
      </w:pPr>
      <w:bookmarkStart w:id="30" w:name="_Toc218784142"/>
      <w:r w:rsidRPr="005C133F">
        <w:rPr>
          <w:rFonts w:eastAsia="Times New Roman"/>
          <w:b/>
          <w:bCs/>
          <w:i w:val="0"/>
          <w:iCs w:val="0"/>
          <w:color w:val="767171"/>
          <w:sz w:val="24"/>
          <w:szCs w:val="24"/>
          <w:lang w:val="es-DO" w:eastAsia="es-DO"/>
        </w:rPr>
        <w:t xml:space="preserve">Tabla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Tabla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10</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Per cápita asociados a los beneficios aprobados mediante la resolución 624-02</w:t>
      </w:r>
      <w:bookmarkEnd w:id="30"/>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681"/>
        <w:gridCol w:w="2480"/>
        <w:gridCol w:w="780"/>
        <w:gridCol w:w="969"/>
      </w:tblGrid>
      <w:tr w:rsidR="005C133F" w:rsidRPr="00F31393" w14:paraId="522ABABD" w14:textId="77777777" w:rsidTr="00E05B71">
        <w:trPr>
          <w:trHeight w:val="686"/>
          <w:tblHeader/>
          <w:jc w:val="center"/>
        </w:trPr>
        <w:tc>
          <w:tcPr>
            <w:tcW w:w="3681" w:type="dxa"/>
            <w:shd w:val="clear" w:color="auto" w:fill="011C50"/>
            <w:vAlign w:val="center"/>
            <w:hideMark/>
          </w:tcPr>
          <w:p w14:paraId="6FE2356E" w14:textId="1A073E19" w:rsidR="00C93CFD" w:rsidRPr="00F31393" w:rsidRDefault="00C93CFD" w:rsidP="00F31393">
            <w:pPr>
              <w:spacing w:after="0" w:line="240" w:lineRule="auto"/>
              <w:jc w:val="center"/>
              <w:rPr>
                <w:b/>
                <w:bCs/>
                <w:color w:val="FFFFFF" w:themeColor="background1"/>
                <w:lang w:val="es-DO" w:eastAsia="es-DO"/>
              </w:rPr>
            </w:pPr>
            <w:r w:rsidRPr="00F31393">
              <w:rPr>
                <w:b/>
                <w:bCs/>
                <w:color w:val="FFFFFF" w:themeColor="background1"/>
                <w:lang w:val="es-DO" w:eastAsia="es-DO"/>
              </w:rPr>
              <w:t>Concepto</w:t>
            </w:r>
            <w:r w:rsidR="00060A3D" w:rsidRPr="00F31393">
              <w:rPr>
                <w:b/>
                <w:bCs/>
                <w:color w:val="FFFFFF" w:themeColor="background1"/>
                <w:lang w:val="es-DO" w:eastAsia="es-DO"/>
              </w:rPr>
              <w:t>/</w:t>
            </w:r>
            <w:r w:rsidR="0050309E" w:rsidRPr="00F31393">
              <w:rPr>
                <w:b/>
                <w:bCs/>
                <w:color w:val="FFFFFF" w:themeColor="background1"/>
                <w:lang w:val="es-DO" w:eastAsia="es-DO"/>
              </w:rPr>
              <w:t>Coberturas</w:t>
            </w:r>
          </w:p>
        </w:tc>
        <w:tc>
          <w:tcPr>
            <w:tcW w:w="2480" w:type="dxa"/>
            <w:shd w:val="clear" w:color="auto" w:fill="011C50"/>
            <w:vAlign w:val="center"/>
            <w:hideMark/>
          </w:tcPr>
          <w:p w14:paraId="5428B884" w14:textId="77777777" w:rsidR="00C93CFD" w:rsidRPr="00F31393" w:rsidRDefault="00C93CFD" w:rsidP="00F31393">
            <w:pPr>
              <w:spacing w:after="0" w:line="240" w:lineRule="auto"/>
              <w:jc w:val="center"/>
              <w:rPr>
                <w:b/>
                <w:bCs/>
                <w:color w:val="FFFFFF" w:themeColor="background1"/>
                <w:lang w:val="es-DO" w:eastAsia="es-DO"/>
              </w:rPr>
            </w:pPr>
            <w:r w:rsidRPr="00F31393">
              <w:rPr>
                <w:b/>
                <w:bCs/>
                <w:color w:val="FFFFFF" w:themeColor="background1"/>
                <w:lang w:val="es-DO" w:eastAsia="es-DO"/>
              </w:rPr>
              <w:t>Per cápita mensual con gastos administrativos</w:t>
            </w:r>
          </w:p>
        </w:tc>
        <w:tc>
          <w:tcPr>
            <w:tcW w:w="0" w:type="auto"/>
            <w:shd w:val="clear" w:color="auto" w:fill="011C50"/>
            <w:vAlign w:val="center"/>
            <w:hideMark/>
          </w:tcPr>
          <w:p w14:paraId="393B8E06" w14:textId="77777777" w:rsidR="00C93CFD" w:rsidRPr="00F31393" w:rsidRDefault="00C93CFD" w:rsidP="00F31393">
            <w:pPr>
              <w:spacing w:after="0" w:line="240" w:lineRule="auto"/>
              <w:jc w:val="center"/>
              <w:rPr>
                <w:b/>
                <w:bCs/>
                <w:color w:val="FFFFFF" w:themeColor="background1"/>
                <w:lang w:val="es-DO" w:eastAsia="es-DO"/>
              </w:rPr>
            </w:pPr>
            <w:r w:rsidRPr="00F31393">
              <w:rPr>
                <w:b/>
                <w:bCs/>
                <w:color w:val="FFFFFF" w:themeColor="background1"/>
                <w:lang w:val="es-DO" w:eastAsia="es-DO"/>
              </w:rPr>
              <w:t>ARS</w:t>
            </w:r>
          </w:p>
        </w:tc>
        <w:tc>
          <w:tcPr>
            <w:tcW w:w="0" w:type="auto"/>
            <w:shd w:val="clear" w:color="auto" w:fill="011C50"/>
            <w:vAlign w:val="center"/>
            <w:hideMark/>
          </w:tcPr>
          <w:p w14:paraId="3CC44F80" w14:textId="77777777" w:rsidR="00C93CFD" w:rsidRPr="00F31393" w:rsidRDefault="00C93CFD" w:rsidP="00F31393">
            <w:pPr>
              <w:spacing w:after="0" w:line="240" w:lineRule="auto"/>
              <w:jc w:val="center"/>
              <w:rPr>
                <w:b/>
                <w:bCs/>
                <w:color w:val="FFFFFF" w:themeColor="background1"/>
                <w:lang w:val="es-DO" w:eastAsia="es-DO"/>
              </w:rPr>
            </w:pPr>
            <w:r w:rsidRPr="00F31393">
              <w:rPr>
                <w:b/>
                <w:bCs/>
                <w:color w:val="FFFFFF" w:themeColor="background1"/>
                <w:lang w:val="es-DO" w:eastAsia="es-DO"/>
              </w:rPr>
              <w:t>Fondo 1/</w:t>
            </w:r>
          </w:p>
        </w:tc>
      </w:tr>
      <w:tr w:rsidR="004921FF" w:rsidRPr="00F31393" w14:paraId="6398ED7C" w14:textId="77777777" w:rsidTr="00E05B71">
        <w:trPr>
          <w:trHeight w:val="265"/>
          <w:jc w:val="center"/>
        </w:trPr>
        <w:tc>
          <w:tcPr>
            <w:tcW w:w="3681" w:type="dxa"/>
            <w:vAlign w:val="center"/>
            <w:hideMark/>
          </w:tcPr>
          <w:p w14:paraId="39C302A8" w14:textId="77777777" w:rsidR="00C93CFD" w:rsidRPr="00F31393" w:rsidRDefault="00C93CFD" w:rsidP="00F31393">
            <w:pPr>
              <w:spacing w:after="0" w:line="240" w:lineRule="auto"/>
              <w:rPr>
                <w:lang w:val="es-DO" w:eastAsia="es-DO"/>
              </w:rPr>
            </w:pPr>
            <w:proofErr w:type="spellStart"/>
            <w:r w:rsidRPr="00F31393">
              <w:rPr>
                <w:lang w:val="es-DO" w:eastAsia="es-DO"/>
              </w:rPr>
              <w:t>Gigantomastia</w:t>
            </w:r>
            <w:proofErr w:type="spellEnd"/>
            <w:r w:rsidRPr="00F31393">
              <w:rPr>
                <w:lang w:val="es-DO" w:eastAsia="es-DO"/>
              </w:rPr>
              <w:t xml:space="preserve"> y ginecomastia</w:t>
            </w:r>
          </w:p>
        </w:tc>
        <w:tc>
          <w:tcPr>
            <w:tcW w:w="2480" w:type="dxa"/>
            <w:vAlign w:val="center"/>
            <w:hideMark/>
          </w:tcPr>
          <w:p w14:paraId="0949BCFA" w14:textId="77777777" w:rsidR="00C93CFD" w:rsidRPr="00F31393" w:rsidRDefault="00C93CFD" w:rsidP="00F31393">
            <w:pPr>
              <w:spacing w:after="0" w:line="240" w:lineRule="auto"/>
              <w:jc w:val="center"/>
              <w:rPr>
                <w:lang w:val="es-DO" w:eastAsia="es-DO"/>
              </w:rPr>
            </w:pPr>
            <w:r w:rsidRPr="00F31393">
              <w:rPr>
                <w:lang w:val="es-DO" w:eastAsia="es-DO"/>
              </w:rPr>
              <w:t>2.19</w:t>
            </w:r>
          </w:p>
        </w:tc>
        <w:tc>
          <w:tcPr>
            <w:tcW w:w="0" w:type="auto"/>
            <w:vAlign w:val="center"/>
            <w:hideMark/>
          </w:tcPr>
          <w:p w14:paraId="6CE38368" w14:textId="77777777" w:rsidR="00C93CFD" w:rsidRPr="00F31393" w:rsidRDefault="00C93CFD" w:rsidP="00F31393">
            <w:pPr>
              <w:spacing w:after="0" w:line="240" w:lineRule="auto"/>
              <w:jc w:val="center"/>
              <w:rPr>
                <w:lang w:val="es-DO" w:eastAsia="es-DO"/>
              </w:rPr>
            </w:pPr>
            <w:r w:rsidRPr="00F31393">
              <w:rPr>
                <w:lang w:val="es-DO" w:eastAsia="es-DO"/>
              </w:rPr>
              <w:t>2.19</w:t>
            </w:r>
          </w:p>
        </w:tc>
        <w:tc>
          <w:tcPr>
            <w:tcW w:w="0" w:type="auto"/>
            <w:vAlign w:val="center"/>
            <w:hideMark/>
          </w:tcPr>
          <w:p w14:paraId="6F351CA6" w14:textId="77777777" w:rsidR="00C93CFD" w:rsidRPr="00F31393" w:rsidRDefault="00C93CFD" w:rsidP="00F31393">
            <w:pPr>
              <w:spacing w:after="0" w:line="240" w:lineRule="auto"/>
              <w:jc w:val="center"/>
              <w:rPr>
                <w:lang w:val="es-DO" w:eastAsia="es-DO"/>
              </w:rPr>
            </w:pPr>
            <w:r w:rsidRPr="00F31393">
              <w:rPr>
                <w:lang w:val="es-DO" w:eastAsia="es-DO"/>
              </w:rPr>
              <w:t>0</w:t>
            </w:r>
          </w:p>
        </w:tc>
      </w:tr>
      <w:tr w:rsidR="004921FF" w:rsidRPr="00F31393" w14:paraId="6AD8A575" w14:textId="77777777" w:rsidTr="00E05B71">
        <w:trPr>
          <w:trHeight w:val="265"/>
          <w:jc w:val="center"/>
        </w:trPr>
        <w:tc>
          <w:tcPr>
            <w:tcW w:w="3681" w:type="dxa"/>
            <w:vAlign w:val="center"/>
            <w:hideMark/>
          </w:tcPr>
          <w:p w14:paraId="7CDB9E83" w14:textId="77777777" w:rsidR="00C93CFD" w:rsidRPr="00F31393" w:rsidRDefault="00C93CFD" w:rsidP="00F31393">
            <w:pPr>
              <w:spacing w:after="0" w:line="240" w:lineRule="auto"/>
              <w:rPr>
                <w:lang w:val="es-DO" w:eastAsia="es-DO"/>
              </w:rPr>
            </w:pPr>
            <w:r w:rsidRPr="00F31393">
              <w:rPr>
                <w:lang w:val="es-DO" w:eastAsia="es-DO"/>
              </w:rPr>
              <w:t>Antirretrovirales (ARV) para VIH</w:t>
            </w:r>
          </w:p>
        </w:tc>
        <w:tc>
          <w:tcPr>
            <w:tcW w:w="2480" w:type="dxa"/>
            <w:vAlign w:val="center"/>
            <w:hideMark/>
          </w:tcPr>
          <w:p w14:paraId="105CFA15" w14:textId="77777777" w:rsidR="00C93CFD" w:rsidRPr="00F31393" w:rsidRDefault="00C93CFD" w:rsidP="00F31393">
            <w:pPr>
              <w:spacing w:after="0" w:line="240" w:lineRule="auto"/>
              <w:jc w:val="center"/>
              <w:rPr>
                <w:lang w:val="es-DO" w:eastAsia="es-DO"/>
              </w:rPr>
            </w:pPr>
            <w:r w:rsidRPr="00F31393">
              <w:rPr>
                <w:lang w:val="es-DO" w:eastAsia="es-DO"/>
              </w:rPr>
              <w:t>3.56</w:t>
            </w:r>
          </w:p>
        </w:tc>
        <w:tc>
          <w:tcPr>
            <w:tcW w:w="0" w:type="auto"/>
            <w:vAlign w:val="center"/>
            <w:hideMark/>
          </w:tcPr>
          <w:p w14:paraId="59F2C015" w14:textId="77777777" w:rsidR="00C93CFD" w:rsidRPr="00F31393" w:rsidRDefault="00C93CFD" w:rsidP="00F31393">
            <w:pPr>
              <w:spacing w:after="0" w:line="240" w:lineRule="auto"/>
              <w:jc w:val="center"/>
              <w:rPr>
                <w:lang w:val="es-DO" w:eastAsia="es-DO"/>
              </w:rPr>
            </w:pPr>
            <w:r w:rsidRPr="00F31393">
              <w:rPr>
                <w:lang w:val="es-DO" w:eastAsia="es-DO"/>
              </w:rPr>
              <w:t>0</w:t>
            </w:r>
          </w:p>
        </w:tc>
        <w:tc>
          <w:tcPr>
            <w:tcW w:w="0" w:type="auto"/>
            <w:vAlign w:val="center"/>
            <w:hideMark/>
          </w:tcPr>
          <w:p w14:paraId="50BFD845" w14:textId="77777777" w:rsidR="00C93CFD" w:rsidRPr="00F31393" w:rsidRDefault="00C93CFD" w:rsidP="00F31393">
            <w:pPr>
              <w:spacing w:after="0" w:line="240" w:lineRule="auto"/>
              <w:jc w:val="center"/>
              <w:rPr>
                <w:lang w:val="es-DO" w:eastAsia="es-DO"/>
              </w:rPr>
            </w:pPr>
            <w:r w:rsidRPr="00F31393">
              <w:rPr>
                <w:lang w:val="es-DO" w:eastAsia="es-DO"/>
              </w:rPr>
              <w:t>3.56</w:t>
            </w:r>
          </w:p>
        </w:tc>
      </w:tr>
      <w:tr w:rsidR="004921FF" w:rsidRPr="00F31393" w14:paraId="17506DD5" w14:textId="77777777" w:rsidTr="00E05B71">
        <w:trPr>
          <w:trHeight w:val="265"/>
          <w:jc w:val="center"/>
        </w:trPr>
        <w:tc>
          <w:tcPr>
            <w:tcW w:w="3681" w:type="dxa"/>
            <w:vAlign w:val="center"/>
            <w:hideMark/>
          </w:tcPr>
          <w:p w14:paraId="145063E8" w14:textId="77777777" w:rsidR="00C93CFD" w:rsidRPr="00F31393" w:rsidRDefault="00C93CFD" w:rsidP="00F31393">
            <w:pPr>
              <w:spacing w:after="0" w:line="240" w:lineRule="auto"/>
              <w:rPr>
                <w:lang w:val="es-DO" w:eastAsia="es-DO"/>
              </w:rPr>
            </w:pPr>
            <w:r w:rsidRPr="00F31393">
              <w:rPr>
                <w:lang w:val="es-DO" w:eastAsia="es-DO"/>
              </w:rPr>
              <w:t>Tratamiento integral de la Tuberculosis</w:t>
            </w:r>
          </w:p>
        </w:tc>
        <w:tc>
          <w:tcPr>
            <w:tcW w:w="2480" w:type="dxa"/>
            <w:vAlign w:val="center"/>
            <w:hideMark/>
          </w:tcPr>
          <w:p w14:paraId="6B156C0F" w14:textId="77777777" w:rsidR="00C93CFD" w:rsidRPr="00F31393" w:rsidRDefault="00C93CFD" w:rsidP="00F31393">
            <w:pPr>
              <w:spacing w:after="0" w:line="240" w:lineRule="auto"/>
              <w:jc w:val="center"/>
              <w:rPr>
                <w:lang w:val="es-DO" w:eastAsia="es-DO"/>
              </w:rPr>
            </w:pPr>
            <w:r w:rsidRPr="00F31393">
              <w:rPr>
                <w:lang w:val="es-DO" w:eastAsia="es-DO"/>
              </w:rPr>
              <w:t>5.61</w:t>
            </w:r>
          </w:p>
        </w:tc>
        <w:tc>
          <w:tcPr>
            <w:tcW w:w="0" w:type="auto"/>
            <w:vAlign w:val="center"/>
            <w:hideMark/>
          </w:tcPr>
          <w:p w14:paraId="2FDF5ECE" w14:textId="77777777" w:rsidR="00C93CFD" w:rsidRPr="00F31393" w:rsidRDefault="00C93CFD" w:rsidP="00F31393">
            <w:pPr>
              <w:spacing w:after="0" w:line="240" w:lineRule="auto"/>
              <w:jc w:val="center"/>
              <w:rPr>
                <w:lang w:val="es-DO" w:eastAsia="es-DO"/>
              </w:rPr>
            </w:pPr>
            <w:r w:rsidRPr="00F31393">
              <w:rPr>
                <w:lang w:val="es-DO" w:eastAsia="es-DO"/>
              </w:rPr>
              <w:t>4.12</w:t>
            </w:r>
          </w:p>
        </w:tc>
        <w:tc>
          <w:tcPr>
            <w:tcW w:w="0" w:type="auto"/>
            <w:vAlign w:val="center"/>
            <w:hideMark/>
          </w:tcPr>
          <w:p w14:paraId="2744D948" w14:textId="77777777" w:rsidR="00C93CFD" w:rsidRPr="00F31393" w:rsidRDefault="00C93CFD" w:rsidP="00F31393">
            <w:pPr>
              <w:spacing w:after="0" w:line="240" w:lineRule="auto"/>
              <w:jc w:val="center"/>
              <w:rPr>
                <w:lang w:val="es-DO" w:eastAsia="es-DO"/>
              </w:rPr>
            </w:pPr>
            <w:r w:rsidRPr="00F31393">
              <w:rPr>
                <w:lang w:val="es-DO" w:eastAsia="es-DO"/>
              </w:rPr>
              <w:t>1.49</w:t>
            </w:r>
          </w:p>
        </w:tc>
      </w:tr>
      <w:tr w:rsidR="004921FF" w:rsidRPr="00F31393" w14:paraId="64844C2B" w14:textId="77777777" w:rsidTr="00E05B71">
        <w:trPr>
          <w:trHeight w:val="356"/>
          <w:jc w:val="center"/>
        </w:trPr>
        <w:tc>
          <w:tcPr>
            <w:tcW w:w="3681" w:type="dxa"/>
            <w:vAlign w:val="center"/>
            <w:hideMark/>
          </w:tcPr>
          <w:p w14:paraId="03925395" w14:textId="77777777" w:rsidR="00C93CFD" w:rsidRPr="00F31393" w:rsidRDefault="00C93CFD" w:rsidP="00F31393">
            <w:pPr>
              <w:spacing w:after="0" w:line="240" w:lineRule="auto"/>
              <w:rPr>
                <w:lang w:val="es-DO" w:eastAsia="es-DO"/>
              </w:rPr>
            </w:pPr>
            <w:r w:rsidRPr="00F31393">
              <w:rPr>
                <w:lang w:val="es-DO" w:eastAsia="es-DO"/>
              </w:rPr>
              <w:t>Cuadro Básico de Medicamentos</w:t>
            </w:r>
          </w:p>
        </w:tc>
        <w:tc>
          <w:tcPr>
            <w:tcW w:w="2480" w:type="dxa"/>
            <w:vAlign w:val="center"/>
            <w:hideMark/>
          </w:tcPr>
          <w:p w14:paraId="1F9D2E62" w14:textId="77777777" w:rsidR="00C93CFD" w:rsidRPr="00F31393" w:rsidRDefault="00C93CFD" w:rsidP="00F31393">
            <w:pPr>
              <w:spacing w:after="0" w:line="240" w:lineRule="auto"/>
              <w:jc w:val="center"/>
              <w:rPr>
                <w:lang w:val="es-DO" w:eastAsia="es-DO"/>
              </w:rPr>
            </w:pPr>
            <w:r w:rsidRPr="00F31393">
              <w:rPr>
                <w:lang w:val="es-DO" w:eastAsia="es-DO"/>
              </w:rPr>
              <w:t>6.17</w:t>
            </w:r>
          </w:p>
        </w:tc>
        <w:tc>
          <w:tcPr>
            <w:tcW w:w="0" w:type="auto"/>
            <w:vAlign w:val="center"/>
            <w:hideMark/>
          </w:tcPr>
          <w:p w14:paraId="6C09225E" w14:textId="77777777" w:rsidR="00C93CFD" w:rsidRPr="00F31393" w:rsidRDefault="00C93CFD" w:rsidP="00F31393">
            <w:pPr>
              <w:spacing w:after="0" w:line="240" w:lineRule="auto"/>
              <w:jc w:val="center"/>
              <w:rPr>
                <w:lang w:val="es-DO" w:eastAsia="es-DO"/>
              </w:rPr>
            </w:pPr>
            <w:r w:rsidRPr="00F31393">
              <w:rPr>
                <w:lang w:val="es-DO" w:eastAsia="es-DO"/>
              </w:rPr>
              <w:t>6.17</w:t>
            </w:r>
          </w:p>
        </w:tc>
        <w:tc>
          <w:tcPr>
            <w:tcW w:w="0" w:type="auto"/>
            <w:vAlign w:val="center"/>
            <w:hideMark/>
          </w:tcPr>
          <w:p w14:paraId="357855E7" w14:textId="77777777" w:rsidR="00C93CFD" w:rsidRPr="00F31393" w:rsidRDefault="00C93CFD" w:rsidP="00F31393">
            <w:pPr>
              <w:spacing w:after="0" w:line="240" w:lineRule="auto"/>
              <w:jc w:val="center"/>
              <w:rPr>
                <w:lang w:val="es-DO" w:eastAsia="es-DO"/>
              </w:rPr>
            </w:pPr>
            <w:r w:rsidRPr="00F31393">
              <w:rPr>
                <w:lang w:val="es-DO" w:eastAsia="es-DO"/>
              </w:rPr>
              <w:t>0</w:t>
            </w:r>
          </w:p>
        </w:tc>
      </w:tr>
      <w:tr w:rsidR="005C133F" w:rsidRPr="00F31393" w14:paraId="31920088" w14:textId="77777777" w:rsidTr="00E05B71">
        <w:trPr>
          <w:trHeight w:val="265"/>
          <w:jc w:val="center"/>
        </w:trPr>
        <w:tc>
          <w:tcPr>
            <w:tcW w:w="3681" w:type="dxa"/>
            <w:shd w:val="clear" w:color="auto" w:fill="767171"/>
            <w:vAlign w:val="center"/>
          </w:tcPr>
          <w:p w14:paraId="2405C54E" w14:textId="49EFBF3D" w:rsidR="0050309E" w:rsidRPr="00F31393" w:rsidRDefault="00905E86" w:rsidP="00F31393">
            <w:pPr>
              <w:spacing w:after="0" w:line="240" w:lineRule="auto"/>
              <w:jc w:val="right"/>
              <w:rPr>
                <w:b/>
                <w:bCs/>
                <w:color w:val="FFFFFF" w:themeColor="background1"/>
                <w:lang w:val="es-DO" w:eastAsia="es-DO"/>
              </w:rPr>
            </w:pPr>
            <w:r w:rsidRPr="00F31393">
              <w:rPr>
                <w:b/>
                <w:bCs/>
                <w:color w:val="FFFFFF" w:themeColor="background1"/>
                <w:lang w:val="es-DO" w:eastAsia="es-DO"/>
              </w:rPr>
              <w:t xml:space="preserve">Total </w:t>
            </w:r>
          </w:p>
        </w:tc>
        <w:tc>
          <w:tcPr>
            <w:tcW w:w="2480" w:type="dxa"/>
            <w:shd w:val="clear" w:color="auto" w:fill="767171"/>
            <w:vAlign w:val="center"/>
          </w:tcPr>
          <w:p w14:paraId="0C6F1722" w14:textId="1E1ACD57" w:rsidR="0050309E" w:rsidRPr="00F31393" w:rsidRDefault="00AF19BC" w:rsidP="00F31393">
            <w:pPr>
              <w:spacing w:after="0" w:line="240" w:lineRule="auto"/>
              <w:jc w:val="center"/>
              <w:rPr>
                <w:b/>
                <w:bCs/>
                <w:color w:val="FFFFFF" w:themeColor="background1"/>
                <w:lang w:val="es-DO" w:eastAsia="es-DO"/>
              </w:rPr>
            </w:pPr>
            <w:r w:rsidRPr="00F31393">
              <w:rPr>
                <w:b/>
                <w:bCs/>
                <w:color w:val="FFFFFF" w:themeColor="background1"/>
                <w:lang w:val="es-DO" w:eastAsia="es-DO"/>
              </w:rPr>
              <w:t>17.53</w:t>
            </w:r>
          </w:p>
        </w:tc>
        <w:tc>
          <w:tcPr>
            <w:tcW w:w="0" w:type="auto"/>
            <w:shd w:val="clear" w:color="auto" w:fill="767171"/>
            <w:vAlign w:val="center"/>
          </w:tcPr>
          <w:p w14:paraId="1CD72601" w14:textId="60FCAAC4" w:rsidR="0050309E" w:rsidRPr="00F31393" w:rsidRDefault="00AF19BC" w:rsidP="00F31393">
            <w:pPr>
              <w:spacing w:after="0" w:line="240" w:lineRule="auto"/>
              <w:jc w:val="center"/>
              <w:rPr>
                <w:b/>
                <w:bCs/>
                <w:color w:val="FFFFFF" w:themeColor="background1"/>
                <w:lang w:val="es-DO" w:eastAsia="es-DO"/>
              </w:rPr>
            </w:pPr>
            <w:r w:rsidRPr="00F31393">
              <w:rPr>
                <w:b/>
                <w:bCs/>
                <w:color w:val="FFFFFF" w:themeColor="background1"/>
                <w:lang w:val="es-DO" w:eastAsia="es-DO"/>
              </w:rPr>
              <w:t>12.48</w:t>
            </w:r>
          </w:p>
        </w:tc>
        <w:tc>
          <w:tcPr>
            <w:tcW w:w="0" w:type="auto"/>
            <w:shd w:val="clear" w:color="auto" w:fill="767171"/>
            <w:vAlign w:val="center"/>
          </w:tcPr>
          <w:p w14:paraId="04D9C61D" w14:textId="2C07DDAC" w:rsidR="0050309E" w:rsidRPr="00F31393" w:rsidRDefault="00AF19BC" w:rsidP="00F31393">
            <w:pPr>
              <w:spacing w:after="0" w:line="240" w:lineRule="auto"/>
              <w:jc w:val="center"/>
              <w:rPr>
                <w:b/>
                <w:bCs/>
                <w:color w:val="FFFFFF" w:themeColor="background1"/>
                <w:lang w:val="es-DO" w:eastAsia="es-DO"/>
              </w:rPr>
            </w:pPr>
            <w:r w:rsidRPr="00F31393">
              <w:rPr>
                <w:b/>
                <w:bCs/>
                <w:color w:val="FFFFFF" w:themeColor="background1"/>
                <w:lang w:val="es-DO" w:eastAsia="es-DO"/>
              </w:rPr>
              <w:t>5.05</w:t>
            </w:r>
          </w:p>
        </w:tc>
      </w:tr>
    </w:tbl>
    <w:p w14:paraId="58368B1F" w14:textId="03EA2B09" w:rsidR="00C93CFD" w:rsidRPr="00F31393" w:rsidRDefault="00E44049" w:rsidP="005C133F">
      <w:pPr>
        <w:tabs>
          <w:tab w:val="left" w:pos="1920"/>
        </w:tabs>
        <w:spacing w:after="0" w:line="360" w:lineRule="auto"/>
        <w:jc w:val="both"/>
        <w:rPr>
          <w:rStyle w:val="normaltextrun"/>
          <w:rFonts w:eastAsiaTheme="majorEastAsia"/>
          <w:sz w:val="18"/>
          <w:szCs w:val="18"/>
          <w:lang w:val="es-DO" w:eastAsia="es-ES"/>
        </w:rPr>
      </w:pPr>
      <w:r w:rsidRPr="00F31393">
        <w:rPr>
          <w:rStyle w:val="normaltextrun"/>
          <w:rFonts w:eastAsiaTheme="majorEastAsia"/>
          <w:sz w:val="18"/>
          <w:szCs w:val="18"/>
          <w:lang w:val="es-DO" w:eastAsia="es-ES"/>
        </w:rPr>
        <w:t>Fuente: Dirección de Gestión Actuarial del SFS y el SRL</w:t>
      </w:r>
    </w:p>
    <w:p w14:paraId="2695DB19" w14:textId="77777777" w:rsidR="00F31393" w:rsidRPr="005C133F" w:rsidRDefault="00F31393" w:rsidP="005C133F">
      <w:pPr>
        <w:tabs>
          <w:tab w:val="left" w:pos="1920"/>
        </w:tabs>
        <w:spacing w:after="0" w:line="360" w:lineRule="auto"/>
        <w:jc w:val="both"/>
        <w:rPr>
          <w:rStyle w:val="normaltextrun"/>
          <w:rFonts w:eastAsiaTheme="majorEastAsia"/>
          <w:lang w:val="es-DO" w:eastAsia="es-ES"/>
        </w:rPr>
      </w:pPr>
    </w:p>
    <w:p w14:paraId="7D4B9EFC" w14:textId="2E1B3F61" w:rsidR="004B6202" w:rsidRPr="005C133F" w:rsidRDefault="00381A38" w:rsidP="005C133F">
      <w:pPr>
        <w:spacing w:after="0" w:line="360" w:lineRule="auto"/>
        <w:jc w:val="both"/>
        <w:rPr>
          <w:rStyle w:val="normaltextrun"/>
          <w:rFonts w:eastAsiaTheme="majorEastAsia"/>
          <w:lang w:val="es-DO" w:eastAsia="es-ES"/>
        </w:rPr>
      </w:pPr>
      <w:r w:rsidRPr="005C133F">
        <w:rPr>
          <w:rStyle w:val="normaltextrun"/>
          <w:rFonts w:eastAsiaTheme="majorEastAsia"/>
          <w:lang w:val="es-DO" w:eastAsia="es-ES"/>
        </w:rPr>
        <w:t xml:space="preserve">Durante el 2025 </w:t>
      </w:r>
      <w:r w:rsidR="00DE0A86" w:rsidRPr="005C133F">
        <w:rPr>
          <w:rStyle w:val="normaltextrun"/>
          <w:rFonts w:eastAsiaTheme="majorEastAsia"/>
          <w:lang w:val="es-DO" w:eastAsia="es-ES"/>
        </w:rPr>
        <w:t>se presentaron</w:t>
      </w:r>
      <w:r w:rsidR="00040B61" w:rsidRPr="005C133F">
        <w:rPr>
          <w:rStyle w:val="normaltextrun"/>
          <w:rFonts w:eastAsiaTheme="majorEastAsia"/>
          <w:lang w:val="es-DO" w:eastAsia="es-ES"/>
        </w:rPr>
        <w:t xml:space="preserve"> para análisis y costeo </w:t>
      </w:r>
      <w:r w:rsidR="00DE0A86" w:rsidRPr="005C133F">
        <w:rPr>
          <w:rStyle w:val="normaltextrun"/>
          <w:rFonts w:eastAsiaTheme="majorEastAsia"/>
          <w:lang w:val="es-DO" w:eastAsia="es-ES"/>
        </w:rPr>
        <w:t xml:space="preserve">actuarial un conjunto de propuestas orientadas a la ampliación y mejora de las prestaciones del Seguro Familiar de Salud (SFS), priorizando condiciones de alto impacto sanitario y social. Las propuestas sometidas fueron las </w:t>
      </w:r>
      <w:r w:rsidR="00BB54F5" w:rsidRPr="005C133F">
        <w:rPr>
          <w:rStyle w:val="normaltextrun"/>
          <w:rFonts w:eastAsiaTheme="majorEastAsia"/>
          <w:lang w:val="es-DO" w:eastAsia="es-ES"/>
        </w:rPr>
        <w:t>siguientes:</w:t>
      </w:r>
      <w:r w:rsidR="004B6202" w:rsidRPr="005C133F">
        <w:rPr>
          <w:rStyle w:val="normaltextrun"/>
          <w:rFonts w:eastAsiaTheme="majorEastAsia"/>
          <w:lang w:val="es-DO" w:eastAsia="es-ES"/>
        </w:rPr>
        <w:t xml:space="preserve"> </w:t>
      </w:r>
    </w:p>
    <w:p w14:paraId="591F2A33" w14:textId="77777777" w:rsidR="004B6202" w:rsidRPr="005C133F" w:rsidRDefault="004B6202">
      <w:pPr>
        <w:pStyle w:val="Prrafodelista"/>
        <w:numPr>
          <w:ilvl w:val="0"/>
          <w:numId w:val="51"/>
        </w:numPr>
        <w:spacing w:after="0" w:line="360" w:lineRule="auto"/>
        <w:jc w:val="both"/>
        <w:rPr>
          <w:rFonts w:eastAsiaTheme="majorEastAsia"/>
          <w:lang w:val="es-DO" w:eastAsia="es-ES"/>
        </w:rPr>
      </w:pPr>
      <w:r w:rsidRPr="005C133F">
        <w:rPr>
          <w:rFonts w:eastAsia="Times New Roman"/>
          <w:iCs/>
          <w:lang w:val="es-DO" w:eastAsia="es-DO"/>
        </w:rPr>
        <w:t xml:space="preserve">Cobertura Cirugía Bariátrica en el Seguro Familiar de Salud, para afiliados con obesidad mórbida, o asociada a comorbilidades como Hipertensión Arterial y/o Diabetes Mellitus II. </w:t>
      </w:r>
    </w:p>
    <w:p w14:paraId="1BA2BBB9" w14:textId="77777777" w:rsidR="004B6202" w:rsidRPr="005C133F" w:rsidRDefault="004B6202">
      <w:pPr>
        <w:pStyle w:val="Prrafodelista"/>
        <w:numPr>
          <w:ilvl w:val="0"/>
          <w:numId w:val="51"/>
        </w:numPr>
        <w:spacing w:after="0" w:line="360" w:lineRule="auto"/>
        <w:jc w:val="both"/>
        <w:rPr>
          <w:rFonts w:eastAsiaTheme="majorEastAsia"/>
          <w:lang w:val="es-DO" w:eastAsia="es-ES"/>
        </w:rPr>
      </w:pPr>
      <w:r w:rsidRPr="005C133F">
        <w:rPr>
          <w:rFonts w:eastAsia="Times New Roman"/>
          <w:iCs/>
          <w:lang w:val="es-DO" w:eastAsia="es-DO"/>
        </w:rPr>
        <w:t xml:space="preserve">Cobertura integral de 6 Canceres priorizados que afectan a la población infantil. Fueron analizadas coberturas diagnosticas, de tratamiento y rehabilitación, a través de los distintos grupos y subgrupos del catálogo de prestaciones. </w:t>
      </w:r>
    </w:p>
    <w:p w14:paraId="4878C70C" w14:textId="77777777" w:rsidR="00F9365B" w:rsidRPr="005C133F" w:rsidRDefault="004B6202">
      <w:pPr>
        <w:pStyle w:val="Prrafodelista"/>
        <w:numPr>
          <w:ilvl w:val="0"/>
          <w:numId w:val="51"/>
        </w:numPr>
        <w:spacing w:after="0" w:line="360" w:lineRule="auto"/>
        <w:jc w:val="both"/>
        <w:rPr>
          <w:rFonts w:eastAsiaTheme="majorEastAsia"/>
          <w:lang w:val="es-DO" w:eastAsia="es-ES"/>
        </w:rPr>
      </w:pPr>
      <w:r w:rsidRPr="005C133F">
        <w:rPr>
          <w:rFonts w:eastAsia="Times New Roman"/>
          <w:iCs/>
          <w:lang w:val="es-DO" w:eastAsia="es-DO"/>
        </w:rPr>
        <w:t>Cobertura de atenciones de Primer Nivel mediante programas priorizados, para 12 programas de salud.</w:t>
      </w:r>
    </w:p>
    <w:p w14:paraId="57B75775" w14:textId="0F18E0E7" w:rsidR="004B6202" w:rsidRPr="005C133F" w:rsidRDefault="004B6202">
      <w:pPr>
        <w:pStyle w:val="Prrafodelista"/>
        <w:numPr>
          <w:ilvl w:val="0"/>
          <w:numId w:val="51"/>
        </w:numPr>
        <w:spacing w:after="0" w:line="360" w:lineRule="auto"/>
        <w:jc w:val="both"/>
        <w:rPr>
          <w:rFonts w:eastAsiaTheme="majorEastAsia"/>
          <w:lang w:val="es-DO" w:eastAsia="es-ES"/>
        </w:rPr>
      </w:pPr>
      <w:r w:rsidRPr="005C133F">
        <w:rPr>
          <w:rFonts w:eastAsia="Times New Roman"/>
          <w:iCs/>
          <w:lang w:val="es-DO" w:eastAsia="es-DO"/>
        </w:rPr>
        <w:t>Mejora de salud mental en el marco de cuatro patologías priorizadas (Depresión, Esquizofrenia, Trastorno Bipolar y</w:t>
      </w:r>
      <w:r w:rsidRPr="005C133F">
        <w:rPr>
          <w:bCs/>
          <w:lang w:val="es-DO" w:eastAsia="es-DO"/>
        </w:rPr>
        <w:t xml:space="preserve"> </w:t>
      </w:r>
      <w:r w:rsidRPr="005C133F">
        <w:rPr>
          <w:rFonts w:eastAsia="Times New Roman"/>
          <w:iCs/>
          <w:lang w:val="es-DO" w:eastAsia="es-DO"/>
        </w:rPr>
        <w:t>Ansiedad). La propuesta incluye servicios diagnósticos (Screening de drogas) y de tratamiento (medicamentos, terapia cognitivo conductual y terapia electroconvulsiva) para el cierre de brechas de las prestaciones con mayor relevancia en la respuesta de estas patologías priorizadas</w:t>
      </w:r>
      <w:r w:rsidR="00C92F7F" w:rsidRPr="005C133F">
        <w:rPr>
          <w:rFonts w:eastAsia="Times New Roman"/>
          <w:iCs/>
          <w:lang w:val="es-DO" w:eastAsia="es-DO"/>
        </w:rPr>
        <w:t xml:space="preserve">. La propuesta contempla </w:t>
      </w:r>
      <w:r w:rsidR="00C92F7F" w:rsidRPr="005C133F">
        <w:rPr>
          <w:lang w:val="es-DO"/>
        </w:rPr>
        <w:t>el aumento de RD$250 a cargo de las ARS de las consultas ambulatorias, odontológicas, psicológicas y psiquiátricas, representando un per cápita de RD$44.71 por afiliado.</w:t>
      </w:r>
    </w:p>
    <w:p w14:paraId="2FA300DE" w14:textId="77777777" w:rsidR="004B6202" w:rsidRPr="005C133F" w:rsidRDefault="004B6202">
      <w:pPr>
        <w:pStyle w:val="Prrafodelista"/>
        <w:numPr>
          <w:ilvl w:val="0"/>
          <w:numId w:val="51"/>
        </w:numPr>
        <w:spacing w:after="0" w:line="360" w:lineRule="auto"/>
        <w:jc w:val="both"/>
        <w:rPr>
          <w:rFonts w:eastAsiaTheme="majorEastAsia"/>
          <w:lang w:val="es-DO" w:eastAsia="es-ES"/>
        </w:rPr>
      </w:pPr>
      <w:r w:rsidRPr="005C133F">
        <w:rPr>
          <w:rFonts w:eastAsia="Times New Roman"/>
          <w:lang w:val="es-DO" w:eastAsia="es-DO"/>
        </w:rPr>
        <w:t xml:space="preserve">Cobertura implante coclear para afiliados en edad pediátrica con Hipoacusia Severa o Moderada. </w:t>
      </w:r>
    </w:p>
    <w:p w14:paraId="53D96CAC" w14:textId="14CDF66E" w:rsidR="001141AF" w:rsidRPr="005C133F" w:rsidRDefault="00481B81" w:rsidP="005C133F">
      <w:pPr>
        <w:spacing w:after="0" w:line="360" w:lineRule="auto"/>
        <w:jc w:val="both"/>
        <w:rPr>
          <w:noProof/>
          <w:lang w:val="es-ES"/>
        </w:rPr>
      </w:pPr>
      <w:r w:rsidRPr="005C133F">
        <w:rPr>
          <w:noProof/>
          <w:lang w:val="es-ES"/>
        </w:rPr>
        <w:lastRenderedPageBreak/>
        <w:t xml:space="preserve">Asimismo, </w:t>
      </w:r>
      <w:r w:rsidR="00C83B12" w:rsidRPr="005C133F">
        <w:rPr>
          <w:noProof/>
          <w:lang w:val="es-ES"/>
        </w:rPr>
        <w:t>s</w:t>
      </w:r>
      <w:r w:rsidR="001141AF" w:rsidRPr="005C133F">
        <w:rPr>
          <w:noProof/>
          <w:lang w:val="es-ES"/>
        </w:rPr>
        <w:t xml:space="preserve">e elaboró </w:t>
      </w:r>
      <w:r w:rsidRPr="005C133F">
        <w:rPr>
          <w:noProof/>
          <w:lang w:val="es-ES"/>
        </w:rPr>
        <w:t xml:space="preserve">una </w:t>
      </w:r>
      <w:r w:rsidR="001141AF" w:rsidRPr="005C133F">
        <w:rPr>
          <w:noProof/>
          <w:lang w:val="es-ES"/>
        </w:rPr>
        <w:t>propuesta para la inclusión</w:t>
      </w:r>
      <w:r w:rsidR="00CC6B83" w:rsidRPr="005C133F">
        <w:rPr>
          <w:noProof/>
          <w:lang w:val="es-ES"/>
        </w:rPr>
        <w:t xml:space="preserve"> de coberturas</w:t>
      </w:r>
      <w:r w:rsidR="001141AF" w:rsidRPr="005C133F">
        <w:rPr>
          <w:noProof/>
          <w:lang w:val="es-ES"/>
        </w:rPr>
        <w:t xml:space="preserve"> del Trastorno del Espectro Autista </w:t>
      </w:r>
      <w:r w:rsidR="00CC6B83" w:rsidRPr="005C133F">
        <w:rPr>
          <w:noProof/>
          <w:lang w:val="es-ES"/>
        </w:rPr>
        <w:t xml:space="preserve">(TEA) </w:t>
      </w:r>
      <w:r w:rsidRPr="005C133F">
        <w:rPr>
          <w:noProof/>
          <w:lang w:val="es-ES"/>
        </w:rPr>
        <w:t xml:space="preserve">dirigidas </w:t>
      </w:r>
      <w:r w:rsidR="001141AF" w:rsidRPr="005C133F">
        <w:rPr>
          <w:noProof/>
          <w:lang w:val="es-ES"/>
        </w:rPr>
        <w:t>Niños, Niñas y Adolescentes</w:t>
      </w:r>
      <w:r w:rsidR="00CC6B83" w:rsidRPr="005C133F">
        <w:rPr>
          <w:noProof/>
          <w:lang w:val="es-ES"/>
        </w:rPr>
        <w:t xml:space="preserve"> en PDSS</w:t>
      </w:r>
      <w:r w:rsidR="001141AF" w:rsidRPr="005C133F">
        <w:rPr>
          <w:noProof/>
          <w:lang w:val="es-ES"/>
        </w:rPr>
        <w:t xml:space="preserve">, </w:t>
      </w:r>
      <w:r w:rsidRPr="005C133F">
        <w:rPr>
          <w:noProof/>
          <w:lang w:val="es-ES"/>
        </w:rPr>
        <w:t>conforme a</w:t>
      </w:r>
      <w:r w:rsidR="001141AF" w:rsidRPr="005C133F">
        <w:rPr>
          <w:noProof/>
          <w:lang w:val="es-ES"/>
        </w:rPr>
        <w:t xml:space="preserve"> la actualización aprobad</w:t>
      </w:r>
      <w:r w:rsidR="00556805" w:rsidRPr="005C133F">
        <w:rPr>
          <w:noProof/>
          <w:lang w:val="es-ES"/>
        </w:rPr>
        <w:t>a</w:t>
      </w:r>
      <w:r w:rsidR="001141AF" w:rsidRPr="005C133F">
        <w:rPr>
          <w:noProof/>
          <w:lang w:val="es-ES"/>
        </w:rPr>
        <w:t xml:space="preserve"> por el MISPAS en julio </w:t>
      </w:r>
      <w:r w:rsidR="00E4637B" w:rsidRPr="005C133F">
        <w:rPr>
          <w:noProof/>
          <w:lang w:val="es-ES"/>
        </w:rPr>
        <w:t>de 2025</w:t>
      </w:r>
      <w:r w:rsidR="00F96898" w:rsidRPr="005C133F">
        <w:rPr>
          <w:noProof/>
          <w:lang w:val="es-ES"/>
        </w:rPr>
        <w:t>.</w:t>
      </w:r>
    </w:p>
    <w:p w14:paraId="4799C403" w14:textId="6C6A2ABB" w:rsidR="00F96898" w:rsidRPr="005C133F" w:rsidRDefault="00F96898" w:rsidP="005C133F">
      <w:pPr>
        <w:spacing w:after="0" w:line="360" w:lineRule="auto"/>
        <w:jc w:val="both"/>
        <w:rPr>
          <w:noProof/>
          <w:lang w:val="es-ES"/>
        </w:rPr>
      </w:pPr>
      <w:r w:rsidRPr="005C133F">
        <w:rPr>
          <w:noProof/>
          <w:lang w:val="es-ES"/>
        </w:rPr>
        <w:t>Como parte del desarrollo de esta propuesta, se ejecutaron las siguientes acciones:</w:t>
      </w:r>
    </w:p>
    <w:p w14:paraId="572AEC82" w14:textId="3C739561" w:rsidR="001141AF" w:rsidRPr="005C133F" w:rsidRDefault="00121E7D">
      <w:pPr>
        <w:pStyle w:val="Prrafodelista"/>
        <w:numPr>
          <w:ilvl w:val="0"/>
          <w:numId w:val="60"/>
        </w:numPr>
        <w:spacing w:after="0" w:line="360" w:lineRule="auto"/>
        <w:jc w:val="both"/>
        <w:rPr>
          <w:noProof/>
          <w:lang w:val="es-ES"/>
        </w:rPr>
      </w:pPr>
      <w:r w:rsidRPr="005C133F">
        <w:rPr>
          <w:noProof/>
          <w:lang w:val="es-ES"/>
        </w:rPr>
        <w:t>Revisión y socialización de un total</w:t>
      </w:r>
      <w:r w:rsidR="001141AF" w:rsidRPr="005C133F">
        <w:rPr>
          <w:noProof/>
          <w:lang w:val="es-ES"/>
        </w:rPr>
        <w:t xml:space="preserve"> de 97 intervenciones</w:t>
      </w:r>
      <w:r w:rsidR="003E66E8" w:rsidRPr="005C133F">
        <w:rPr>
          <w:noProof/>
          <w:lang w:val="es-ES"/>
        </w:rPr>
        <w:t xml:space="preserve"> vinculadas a la atención integral del TEA.</w:t>
      </w:r>
      <w:r w:rsidR="001141AF" w:rsidRPr="005C133F">
        <w:rPr>
          <w:noProof/>
          <w:lang w:val="es-ES"/>
        </w:rPr>
        <w:t>.</w:t>
      </w:r>
    </w:p>
    <w:p w14:paraId="777B296C" w14:textId="1D2C0467" w:rsidR="001141AF" w:rsidRPr="005C133F" w:rsidRDefault="00793E46">
      <w:pPr>
        <w:pStyle w:val="Prrafodelista"/>
        <w:numPr>
          <w:ilvl w:val="0"/>
          <w:numId w:val="60"/>
        </w:numPr>
        <w:spacing w:after="0" w:line="360" w:lineRule="auto"/>
        <w:jc w:val="both"/>
        <w:rPr>
          <w:noProof/>
          <w:lang w:val="es-ES"/>
        </w:rPr>
      </w:pPr>
      <w:r w:rsidRPr="005C133F">
        <w:rPr>
          <w:noProof/>
          <w:lang w:val="es-ES"/>
        </w:rPr>
        <w:t>Análisis actuarial de</w:t>
      </w:r>
      <w:r w:rsidR="001141AF" w:rsidRPr="005C133F">
        <w:rPr>
          <w:noProof/>
          <w:lang w:val="es-ES"/>
        </w:rPr>
        <w:t>87 coberturas de las cuales 51 no se encuentran en el Catálogo de Prestaciones del PDSS.</w:t>
      </w:r>
    </w:p>
    <w:p w14:paraId="4AF10D05" w14:textId="296CFBBD" w:rsidR="001141AF" w:rsidRPr="005C133F" w:rsidRDefault="00D74F43">
      <w:pPr>
        <w:pStyle w:val="Prrafodelista"/>
        <w:numPr>
          <w:ilvl w:val="0"/>
          <w:numId w:val="60"/>
        </w:numPr>
        <w:spacing w:after="0" w:line="360" w:lineRule="auto"/>
        <w:jc w:val="both"/>
        <w:rPr>
          <w:noProof/>
          <w:lang w:val="es-ES"/>
        </w:rPr>
      </w:pPr>
      <w:r w:rsidRPr="005C133F">
        <w:rPr>
          <w:noProof/>
          <w:lang w:val="es-ES"/>
        </w:rPr>
        <w:t>Identificación de</w:t>
      </w:r>
      <w:r w:rsidR="001141AF" w:rsidRPr="005C133F">
        <w:rPr>
          <w:noProof/>
          <w:lang w:val="es-ES"/>
        </w:rPr>
        <w:t xml:space="preserve"> barreras operativas y técnicas para la implementación </w:t>
      </w:r>
      <w:r w:rsidR="001D5BD1" w:rsidRPr="005C133F">
        <w:rPr>
          <w:noProof/>
          <w:lang w:val="es-ES"/>
        </w:rPr>
        <w:t xml:space="preserve">efectiva </w:t>
      </w:r>
      <w:r w:rsidR="001141AF" w:rsidRPr="005C133F">
        <w:rPr>
          <w:noProof/>
          <w:lang w:val="es-ES"/>
        </w:rPr>
        <w:t xml:space="preserve">de estas coberturas </w:t>
      </w:r>
      <w:r w:rsidR="00542429" w:rsidRPr="005C133F">
        <w:rPr>
          <w:noProof/>
          <w:lang w:val="es-ES"/>
        </w:rPr>
        <w:t xml:space="preserve">las cuales fueron formalmente </w:t>
      </w:r>
      <w:r w:rsidR="001141AF" w:rsidRPr="005C133F">
        <w:rPr>
          <w:noProof/>
          <w:lang w:val="es-ES"/>
        </w:rPr>
        <w:t>comunicadas al MISPAS y al CNSS.</w:t>
      </w:r>
    </w:p>
    <w:p w14:paraId="1C8D4B2A" w14:textId="5B9C3BA4" w:rsidR="001141AF" w:rsidRPr="005C133F" w:rsidRDefault="00542429">
      <w:pPr>
        <w:pStyle w:val="Prrafodelista"/>
        <w:numPr>
          <w:ilvl w:val="0"/>
          <w:numId w:val="60"/>
        </w:numPr>
        <w:spacing w:after="0" w:line="360" w:lineRule="auto"/>
        <w:jc w:val="both"/>
        <w:rPr>
          <w:noProof/>
          <w:lang w:val="es-ES"/>
        </w:rPr>
      </w:pPr>
      <w:r w:rsidRPr="005C133F">
        <w:rPr>
          <w:noProof/>
          <w:lang w:val="es-ES"/>
        </w:rPr>
        <w:t>Elaboración de un</w:t>
      </w:r>
      <w:r w:rsidR="001141AF" w:rsidRPr="005C133F">
        <w:rPr>
          <w:noProof/>
          <w:lang w:val="es-ES"/>
        </w:rPr>
        <w:t xml:space="preserve"> documento conceptual o nota técnica, </w:t>
      </w:r>
      <w:r w:rsidR="007818CB" w:rsidRPr="005C133F">
        <w:rPr>
          <w:noProof/>
          <w:lang w:val="es-ES"/>
        </w:rPr>
        <w:t>que sustenta la propuesta</w:t>
      </w:r>
      <w:r w:rsidR="00A91EBC" w:rsidRPr="005C133F">
        <w:rPr>
          <w:noProof/>
          <w:lang w:val="es-ES"/>
        </w:rPr>
        <w:t xml:space="preserve">, </w:t>
      </w:r>
      <w:r w:rsidR="001141AF" w:rsidRPr="005C133F">
        <w:rPr>
          <w:noProof/>
          <w:lang w:val="es-ES"/>
        </w:rPr>
        <w:t xml:space="preserve">quedando pendiente </w:t>
      </w:r>
      <w:r w:rsidR="009A686C" w:rsidRPr="005C133F">
        <w:rPr>
          <w:noProof/>
          <w:lang w:val="es-ES"/>
        </w:rPr>
        <w:t xml:space="preserve">la convocatoria del </w:t>
      </w:r>
      <w:r w:rsidR="001141AF" w:rsidRPr="005C133F">
        <w:rPr>
          <w:noProof/>
          <w:lang w:val="es-ES"/>
        </w:rPr>
        <w:t xml:space="preserve"> CNSS para </w:t>
      </w:r>
      <w:r w:rsidR="00BE4223" w:rsidRPr="005C133F">
        <w:rPr>
          <w:noProof/>
          <w:lang w:val="es-ES"/>
        </w:rPr>
        <w:t xml:space="preserve">la instalación de </w:t>
      </w:r>
      <w:r w:rsidR="001141AF" w:rsidRPr="005C133F">
        <w:rPr>
          <w:noProof/>
          <w:lang w:val="es-ES"/>
        </w:rPr>
        <w:t>mesas tecnicas</w:t>
      </w:r>
      <w:r w:rsidR="00F7131F" w:rsidRPr="005C133F">
        <w:rPr>
          <w:noProof/>
          <w:lang w:val="es-ES"/>
        </w:rPr>
        <w:t xml:space="preserve"> que permitan su discusión y validación interinstitucional.</w:t>
      </w:r>
    </w:p>
    <w:p w14:paraId="738B5525" w14:textId="1C32E7FB" w:rsidR="00AD7BA9" w:rsidRPr="005C133F" w:rsidRDefault="004452F5" w:rsidP="005C133F">
      <w:pPr>
        <w:spacing w:after="0" w:line="360" w:lineRule="auto"/>
        <w:jc w:val="both"/>
        <w:rPr>
          <w:noProof/>
          <w:lang w:val="es-ES"/>
        </w:rPr>
      </w:pPr>
      <w:r w:rsidRPr="005C133F">
        <w:rPr>
          <w:noProof/>
          <w:lang w:val="es-ES"/>
        </w:rPr>
        <w:t>Esta iniciativa reafirma el compromiso institucional con la ampliación progresiva de la cobertura, la atención integral de poblaciones con condiciones específicas y el fortalecimiento del enfoque de equidad y derechos en salud dentro del Sistema Dominicano de Seguridad Social.</w:t>
      </w:r>
    </w:p>
    <w:p w14:paraId="385F64DB" w14:textId="77777777" w:rsidR="00BE3254" w:rsidRPr="005C133F" w:rsidRDefault="00BE3254" w:rsidP="005C133F">
      <w:pPr>
        <w:spacing w:after="0" w:line="360" w:lineRule="auto"/>
        <w:rPr>
          <w:rFonts w:eastAsia="Calibri"/>
          <w:lang w:val="es-DO"/>
        </w:rPr>
      </w:pPr>
    </w:p>
    <w:p w14:paraId="65BE8421" w14:textId="77777777" w:rsidR="004E31C6" w:rsidRDefault="00AD7BA9" w:rsidP="005C133F">
      <w:pPr>
        <w:tabs>
          <w:tab w:val="left" w:pos="1800"/>
        </w:tabs>
        <w:spacing w:before="1" w:after="0" w:line="360" w:lineRule="auto"/>
        <w:ind w:right="1081"/>
        <w:jc w:val="both"/>
        <w:rPr>
          <w:b/>
          <w:bCs/>
          <w:lang w:val="es-DO"/>
        </w:rPr>
      </w:pPr>
      <w:r w:rsidRPr="005C133F">
        <w:rPr>
          <w:b/>
          <w:bCs/>
          <w:lang w:val="es-DO"/>
        </w:rPr>
        <w:t>Evaluación y registro en el “Catálogo de Prestaciones del</w:t>
      </w:r>
      <w:r w:rsidR="009C4CDE" w:rsidRPr="005C133F">
        <w:rPr>
          <w:b/>
          <w:bCs/>
          <w:lang w:val="es-DO"/>
        </w:rPr>
        <w:t xml:space="preserve"> </w:t>
      </w:r>
      <w:r w:rsidRPr="005C133F">
        <w:rPr>
          <w:b/>
          <w:bCs/>
          <w:lang w:val="es-DO"/>
        </w:rPr>
        <w:t>PDSS</w:t>
      </w:r>
    </w:p>
    <w:p w14:paraId="7C31DD0A" w14:textId="77777777" w:rsidR="00CF647E" w:rsidRPr="005C133F" w:rsidRDefault="00CF647E" w:rsidP="005C133F">
      <w:pPr>
        <w:tabs>
          <w:tab w:val="left" w:pos="1800"/>
        </w:tabs>
        <w:spacing w:before="1" w:after="0" w:line="360" w:lineRule="auto"/>
        <w:ind w:right="1081"/>
        <w:jc w:val="both"/>
        <w:rPr>
          <w:b/>
          <w:bCs/>
          <w:lang w:val="es-DO"/>
        </w:rPr>
      </w:pPr>
    </w:p>
    <w:p w14:paraId="1FAFCA73" w14:textId="0EB9332B" w:rsidR="009C4CDE" w:rsidRPr="005C133F" w:rsidRDefault="00AD7BA9" w:rsidP="005C133F">
      <w:pPr>
        <w:spacing w:after="0" w:line="360" w:lineRule="auto"/>
        <w:jc w:val="both"/>
        <w:rPr>
          <w:noProof/>
          <w:lang w:val="es-ES"/>
        </w:rPr>
      </w:pPr>
      <w:r w:rsidRPr="005C133F">
        <w:rPr>
          <w:noProof/>
          <w:lang w:val="es-ES"/>
        </w:rPr>
        <mc:AlternateContent>
          <mc:Choice Requires="wps">
            <w:drawing>
              <wp:anchor distT="0" distB="0" distL="0" distR="0" simplePos="0" relativeHeight="251658247" behindDoc="1" locked="0" layoutInCell="1" allowOverlap="1" wp14:anchorId="630A8D56" wp14:editId="26DD1627">
                <wp:simplePos x="0" y="0"/>
                <wp:positionH relativeFrom="page">
                  <wp:posOffset>1829054</wp:posOffset>
                </wp:positionH>
                <wp:positionV relativeFrom="paragraph">
                  <wp:posOffset>211716</wp:posOffset>
                </wp:positionV>
                <wp:extent cx="67945" cy="184785"/>
                <wp:effectExtent l="0" t="0" r="0" b="0"/>
                <wp:wrapNone/>
                <wp:docPr id="505" name="Graphic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 cy="184785"/>
                        </a:xfrm>
                        <a:custGeom>
                          <a:avLst/>
                          <a:gdLst/>
                          <a:ahLst/>
                          <a:cxnLst/>
                          <a:rect l="l" t="t" r="r" b="b"/>
                          <a:pathLst>
                            <a:path w="67945" h="184785">
                              <a:moveTo>
                                <a:pt x="67495" y="-7"/>
                              </a:moveTo>
                              <a:lnTo>
                                <a:pt x="0" y="-7"/>
                              </a:lnTo>
                              <a:lnTo>
                                <a:pt x="0" y="184236"/>
                              </a:lnTo>
                              <a:lnTo>
                                <a:pt x="67495" y="184236"/>
                              </a:lnTo>
                              <a:lnTo>
                                <a:pt x="67495" y="-7"/>
                              </a:lnTo>
                              <a:close/>
                            </a:path>
                          </a:pathLst>
                        </a:custGeom>
                        <a:noFill/>
                      </wps:spPr>
                      <wps:bodyPr wrap="square" lIns="0" tIns="0" rIns="0" bIns="0" rtlCol="0">
                        <a:prstTxWarp prst="textNoShape">
                          <a:avLst/>
                        </a:prstTxWarp>
                        <a:noAutofit/>
                      </wps:bodyPr>
                    </wps:wsp>
                  </a:graphicData>
                </a:graphic>
              </wp:anchor>
            </w:drawing>
          </mc:Choice>
          <mc:Fallback>
            <w:pict>
              <v:shape w14:anchorId="771227E2" id="Graphic 505" o:spid="_x0000_s1026" style="position:absolute;margin-left:2in;margin-top:16.65pt;width:5.35pt;height:14.55pt;z-index:-251658233;visibility:visible;mso-wrap-style:square;mso-wrap-distance-left:0;mso-wrap-distance-top:0;mso-wrap-distance-right:0;mso-wrap-distance-bottom:0;mso-position-horizontal:absolute;mso-position-horizontal-relative:page;mso-position-vertical:absolute;mso-position-vertical-relative:text;v-text-anchor:top" coordsize="6794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" path="m67495,-7l,-7,,184236r67495,l67495,-7xe" filled="f" stroked="f">
                <v:path arrowok="t"/>
                <w10:wrap anchorx="page"/>
              </v:shape>
            </w:pict>
          </mc:Fallback>
        </mc:AlternateContent>
      </w:r>
      <w:r w:rsidRPr="005C133F">
        <w:rPr>
          <w:noProof/>
          <w:lang w:val="es-ES"/>
        </w:rPr>
        <w:t>Durante el período enero a noviembre</w:t>
      </w:r>
      <w:r w:rsidR="008D3D9E" w:rsidRPr="005C133F">
        <w:rPr>
          <w:noProof/>
          <w:lang w:val="es-ES"/>
        </w:rPr>
        <w:t xml:space="preserve"> 2025</w:t>
      </w:r>
      <w:r w:rsidRPr="005C133F">
        <w:rPr>
          <w:noProof/>
          <w:lang w:val="es-ES"/>
        </w:rPr>
        <w:t xml:space="preserve">, se evaluó y registró el 100 % de las coberturas incluidas en el Plan de Servicios de Salud para el Régimen Contributivo y el Régimen Subsidiado, </w:t>
      </w:r>
      <w:r w:rsidR="00635D1D" w:rsidRPr="005C133F">
        <w:rPr>
          <w:noProof/>
          <w:lang w:val="es-ES"/>
        </w:rPr>
        <w:t xml:space="preserve">en el </w:t>
      </w:r>
      <w:r w:rsidR="00635D1D" w:rsidRPr="005C133F">
        <w:rPr>
          <w:noProof/>
          <w:lang w:val="es-ES"/>
        </w:rPr>
        <w:lastRenderedPageBreak/>
        <w:t xml:space="preserve">“Catálogo de Prestaciones del PDSS”  en cumplimiento </w:t>
      </w:r>
      <w:r w:rsidRPr="005C133F">
        <w:rPr>
          <w:noProof/>
          <w:lang w:val="es-ES"/>
        </w:rPr>
        <w:t xml:space="preserve"> de las resoluciones </w:t>
      </w:r>
      <w:r w:rsidR="00D308C4" w:rsidRPr="005C133F">
        <w:rPr>
          <w:noProof/>
          <w:lang w:val="es-ES"/>
        </w:rPr>
        <w:t>emitidas por el</w:t>
      </w:r>
      <w:r w:rsidRPr="005C133F">
        <w:rPr>
          <w:noProof/>
          <w:lang w:val="es-ES"/>
        </w:rPr>
        <w:t xml:space="preserve"> CNSS Nos. 597-03, 610-04 y 624-02, con el propósito de que las ARS puedan reportar en el Esquema 35 las prestaciones otorgadas y pagadas a las PSS por los servicios demandados por los afiliados del SDSS.</w:t>
      </w:r>
    </w:p>
    <w:p w14:paraId="0834AC51" w14:textId="77777777" w:rsidR="009C4CDE" w:rsidRPr="005C133F" w:rsidRDefault="009C4CDE" w:rsidP="005C133F">
      <w:pPr>
        <w:spacing w:after="0" w:line="360" w:lineRule="auto"/>
        <w:jc w:val="both"/>
        <w:rPr>
          <w:noProof/>
          <w:lang w:val="es-ES"/>
        </w:rPr>
      </w:pPr>
    </w:p>
    <w:p w14:paraId="2D8DFE41" w14:textId="77777777" w:rsidR="009C4CDE" w:rsidRPr="005C133F" w:rsidRDefault="00AD7BA9">
      <w:pPr>
        <w:pStyle w:val="Prrafodelista"/>
        <w:numPr>
          <w:ilvl w:val="0"/>
          <w:numId w:val="61"/>
        </w:numPr>
        <w:spacing w:after="0" w:line="360" w:lineRule="auto"/>
        <w:jc w:val="both"/>
        <w:rPr>
          <w:noProof/>
          <w:lang w:val="es-ES"/>
        </w:rPr>
      </w:pPr>
      <w:r w:rsidRPr="005C133F">
        <w:rPr>
          <w:b/>
          <w:bCs/>
          <w:lang w:val="es-DO"/>
        </w:rPr>
        <w:t>Resolución No. 597-03 del CNSS</w:t>
      </w:r>
      <w:r w:rsidRPr="005C133F">
        <w:rPr>
          <w:lang w:val="es-DO"/>
        </w:rPr>
        <w:t>:</w:t>
      </w:r>
      <w:r w:rsidRPr="005C133F">
        <w:rPr>
          <w:b/>
          <w:bCs/>
          <w:lang w:val="es-DO"/>
        </w:rPr>
        <w:t xml:space="preserve"> </w:t>
      </w:r>
      <w:r w:rsidRPr="005C133F">
        <w:rPr>
          <w:lang w:val="es-DO"/>
        </w:rPr>
        <w:t xml:space="preserve"> se emitió una (1) circular dirigida a todas las ARS, en la cual se les notifica la rectificación en el </w:t>
      </w:r>
      <w:r w:rsidRPr="005C133F">
        <w:rPr>
          <w:b/>
          <w:bCs/>
          <w:lang w:val="es-DO"/>
        </w:rPr>
        <w:t xml:space="preserve">“Catálogo de Prestaciones del Plan de Servicios de Salud (PDSS)” Régimen Contributivo </w:t>
      </w:r>
      <w:r w:rsidRPr="005C133F">
        <w:rPr>
          <w:lang w:val="es-DO"/>
        </w:rPr>
        <w:t>del nombre del procedimiento “Trasposición de músculos extraoculares” (código SIMON:2681) para que en lo adelante se denomine: “Cirugía de corrección de estrabismo.</w:t>
      </w:r>
    </w:p>
    <w:p w14:paraId="71698CF6" w14:textId="77777777" w:rsidR="009C4CDE" w:rsidRPr="005C133F" w:rsidRDefault="009C4CDE" w:rsidP="005C133F">
      <w:pPr>
        <w:spacing w:after="0" w:line="360" w:lineRule="auto"/>
        <w:jc w:val="both"/>
        <w:rPr>
          <w:noProof/>
          <w:lang w:val="es-ES"/>
        </w:rPr>
      </w:pPr>
    </w:p>
    <w:p w14:paraId="4C0E52AC" w14:textId="4CADEB01" w:rsidR="009C4CDE" w:rsidRPr="005C133F" w:rsidRDefault="00AD7BA9">
      <w:pPr>
        <w:pStyle w:val="Prrafodelista"/>
        <w:numPr>
          <w:ilvl w:val="0"/>
          <w:numId w:val="61"/>
        </w:numPr>
        <w:spacing w:after="0" w:line="360" w:lineRule="auto"/>
        <w:jc w:val="both"/>
        <w:rPr>
          <w:noProof/>
          <w:lang w:val="es-ES"/>
        </w:rPr>
      </w:pPr>
      <w:r w:rsidRPr="005C133F">
        <w:rPr>
          <w:b/>
          <w:bCs/>
          <w:lang w:val="es-DO"/>
        </w:rPr>
        <w:t>Resolución No. 610-04 del CNSS</w:t>
      </w:r>
      <w:r w:rsidRPr="005C133F">
        <w:rPr>
          <w:lang w:val="es-DO"/>
        </w:rPr>
        <w:t xml:space="preserve">: se aumentó el per cápita mensual del Seguro Familiar de Salud (SFS) del Régimen Subsidiado (RS) por un monto de sesenta y dos pesos dominicanos con 54/100 (RD$62.54), pasando el per cápita de RD$259.43 a RD$321.97, para poder otorgarles a los afiliados los beneficios y servicios incluidos en el Plan de Servicios de Salud (PDSS y se evaluaron 106 coberturas correspondientes al Catálogo de Prestaciones del Régimen Subsidiado y se emitió una (1) circular a la ARS SENASA, mediante la cual se le notificó el nuevo per cápita, código SIMON y las siguientes modificaciones que se aplicaron al </w:t>
      </w:r>
      <w:r w:rsidRPr="005C133F">
        <w:rPr>
          <w:b/>
          <w:bCs/>
          <w:lang w:val="es-DO"/>
        </w:rPr>
        <w:t xml:space="preserve">Catálogo de Prestaciones del Plan de Servicios de Salud (PDSS 8.0)”  Régimen Subsidiad. </w:t>
      </w:r>
    </w:p>
    <w:p w14:paraId="60B1C946" w14:textId="77777777" w:rsidR="009C4CDE" w:rsidRPr="005C133F" w:rsidRDefault="009C4CDE" w:rsidP="005C133F">
      <w:pPr>
        <w:pStyle w:val="Prrafodelista"/>
        <w:spacing w:after="0" w:line="360" w:lineRule="auto"/>
        <w:rPr>
          <w:b/>
          <w:bCs/>
          <w:lang w:val="es-DO"/>
        </w:rPr>
      </w:pPr>
    </w:p>
    <w:p w14:paraId="3B07D29E" w14:textId="14344DA7" w:rsidR="002138EC" w:rsidRPr="005C133F" w:rsidRDefault="003B1C92">
      <w:pPr>
        <w:pStyle w:val="Prrafodelista"/>
        <w:numPr>
          <w:ilvl w:val="0"/>
          <w:numId w:val="61"/>
        </w:numPr>
        <w:spacing w:after="0" w:line="360" w:lineRule="auto"/>
        <w:jc w:val="both"/>
        <w:rPr>
          <w:noProof/>
          <w:lang w:val="es-ES"/>
        </w:rPr>
      </w:pPr>
      <w:r w:rsidRPr="005C133F">
        <w:rPr>
          <w:b/>
          <w:bCs/>
          <w:lang w:val="es-DO"/>
        </w:rPr>
        <w:lastRenderedPageBreak/>
        <w:t>Resolución No. 624-02 del CNSS</w:t>
      </w:r>
      <w:r w:rsidRPr="005C133F">
        <w:rPr>
          <w:lang w:val="es-DO"/>
        </w:rPr>
        <w:t>: se evaluaron y notificaron 47 coberturas asociadas a la garantía de mejora en el acceso de los afiliados del SDSS a las prestaciones del Plan Básico de Salud del Régimen Contributivo. Todas estas coberturas fueron evaluadas y notificadas conforme a los estándares y normativas establecidas por la SISALRIL y el CNSS; adicional a esto se emitió una (1) circular a todas las ARS mediante la cual se les notifica la actualización de la estructura del PDSS, el código SIMON del “Plan de Servicios de Salud PDSS Régimen Contributivo 11.0</w:t>
      </w:r>
      <w:r w:rsidR="0009311E" w:rsidRPr="005C133F">
        <w:rPr>
          <w:lang w:val="es-DO"/>
        </w:rPr>
        <w:t>”.</w:t>
      </w:r>
      <w:r w:rsidR="002138EC" w:rsidRPr="005C133F">
        <w:rPr>
          <w:lang w:val="es-DO"/>
        </w:rPr>
        <w:t xml:space="preserve"> </w:t>
      </w:r>
    </w:p>
    <w:p w14:paraId="7EF8DC5A" w14:textId="77777777" w:rsidR="00C331FF" w:rsidRPr="005C133F" w:rsidRDefault="00C331FF" w:rsidP="005C133F">
      <w:pPr>
        <w:spacing w:after="0" w:line="360" w:lineRule="auto"/>
        <w:jc w:val="both"/>
        <w:rPr>
          <w:noProof/>
          <w:lang w:val="es-ES"/>
        </w:rPr>
      </w:pPr>
    </w:p>
    <w:p w14:paraId="0B232B8C" w14:textId="77777777" w:rsidR="002138EC" w:rsidRDefault="002138EC" w:rsidP="005C133F">
      <w:pPr>
        <w:tabs>
          <w:tab w:val="left" w:pos="1800"/>
        </w:tabs>
        <w:spacing w:before="1" w:after="0" w:line="360" w:lineRule="auto"/>
        <w:ind w:right="1081"/>
        <w:jc w:val="both"/>
        <w:rPr>
          <w:b/>
          <w:bCs/>
          <w:lang w:val="es-DO"/>
        </w:rPr>
      </w:pPr>
      <w:r w:rsidRPr="005C133F">
        <w:rPr>
          <w:b/>
          <w:bCs/>
          <w:lang w:val="es-DO"/>
        </w:rPr>
        <w:t xml:space="preserve">Evaluación y registro en el “Catálogo General de Coberturas el SIMON” </w:t>
      </w:r>
    </w:p>
    <w:p w14:paraId="638767A9" w14:textId="77777777" w:rsidR="00D11386" w:rsidRPr="005C133F" w:rsidRDefault="00D11386" w:rsidP="005C133F">
      <w:pPr>
        <w:tabs>
          <w:tab w:val="left" w:pos="1800"/>
        </w:tabs>
        <w:spacing w:before="1" w:after="0" w:line="360" w:lineRule="auto"/>
        <w:ind w:right="1081"/>
        <w:jc w:val="both"/>
        <w:rPr>
          <w:b/>
          <w:bCs/>
          <w:lang w:val="es-DO"/>
        </w:rPr>
      </w:pPr>
    </w:p>
    <w:p w14:paraId="3EE8235E" w14:textId="21E611FC" w:rsidR="007679F9" w:rsidRPr="005C133F" w:rsidRDefault="002138EC" w:rsidP="005C133F">
      <w:pPr>
        <w:spacing w:after="0" w:line="360" w:lineRule="auto"/>
        <w:jc w:val="both"/>
        <w:rPr>
          <w:noProof/>
          <w:lang w:val="es-ES"/>
        </w:rPr>
      </w:pPr>
      <w:r w:rsidRPr="005C133F">
        <w:rPr>
          <w:noProof/>
          <w:lang w:val="es-ES"/>
        </w:rPr>
        <w:t xml:space="preserve">En </w:t>
      </w:r>
      <w:r w:rsidR="00041A53" w:rsidRPr="005C133F">
        <w:rPr>
          <w:noProof/>
          <w:lang w:val="es-ES"/>
        </w:rPr>
        <w:t>el marco de</w:t>
      </w:r>
      <w:r w:rsidRPr="005C133F">
        <w:rPr>
          <w:noProof/>
          <w:lang w:val="es-ES"/>
        </w:rPr>
        <w:t xml:space="preserve"> los Servicios Complementarios de los Planes Alternativos de Salud, se</w:t>
      </w:r>
      <w:r w:rsidR="00041A53" w:rsidRPr="005C133F">
        <w:rPr>
          <w:noProof/>
          <w:lang w:val="es-ES"/>
        </w:rPr>
        <w:t xml:space="preserve"> realizó la</w:t>
      </w:r>
      <w:r w:rsidRPr="005C133F">
        <w:rPr>
          <w:noProof/>
          <w:lang w:val="es-ES"/>
        </w:rPr>
        <w:t xml:space="preserve"> </w:t>
      </w:r>
      <w:r w:rsidR="00041A53" w:rsidRPr="005C133F">
        <w:rPr>
          <w:noProof/>
          <w:lang w:val="es-ES"/>
        </w:rPr>
        <w:t>evaluacion de cuarenta y nueve (</w:t>
      </w:r>
      <w:r w:rsidRPr="005C133F">
        <w:rPr>
          <w:noProof/>
          <w:lang w:val="es-ES"/>
        </w:rPr>
        <w:t>49</w:t>
      </w:r>
      <w:r w:rsidR="00041A53" w:rsidRPr="005C133F">
        <w:rPr>
          <w:noProof/>
          <w:lang w:val="es-ES"/>
        </w:rPr>
        <w:t>)</w:t>
      </w:r>
      <w:r w:rsidRPr="005C133F">
        <w:rPr>
          <w:noProof/>
          <w:lang w:val="es-ES"/>
        </w:rPr>
        <w:t xml:space="preserve"> descripciones de coberturas, de las cuales </w:t>
      </w:r>
      <w:r w:rsidR="00E37301" w:rsidRPr="005C133F">
        <w:rPr>
          <w:noProof/>
          <w:lang w:val="es-ES"/>
        </w:rPr>
        <w:t>veintinueve (</w:t>
      </w:r>
      <w:r w:rsidRPr="005C133F">
        <w:rPr>
          <w:noProof/>
          <w:lang w:val="es-ES"/>
        </w:rPr>
        <w:t>29</w:t>
      </w:r>
      <w:r w:rsidR="00E37301" w:rsidRPr="005C133F">
        <w:rPr>
          <w:noProof/>
          <w:lang w:val="es-ES"/>
        </w:rPr>
        <w:t>)</w:t>
      </w:r>
      <w:r w:rsidRPr="005C133F">
        <w:rPr>
          <w:noProof/>
          <w:lang w:val="es-ES"/>
        </w:rPr>
        <w:t xml:space="preserve"> fueron codificadas y registradas en el “Catálogo General de Cobertura del SIMON”</w:t>
      </w:r>
      <w:r w:rsidR="008A6161" w:rsidRPr="005C133F">
        <w:rPr>
          <w:noProof/>
          <w:lang w:val="es-ES"/>
        </w:rPr>
        <w:t xml:space="preserve">.  </w:t>
      </w:r>
    </w:p>
    <w:p w14:paraId="500DDE62" w14:textId="124CC0F3" w:rsidR="007335A0" w:rsidRPr="005C133F" w:rsidRDefault="008A6161" w:rsidP="005C133F">
      <w:pPr>
        <w:spacing w:after="0" w:line="360" w:lineRule="auto"/>
        <w:jc w:val="both"/>
        <w:rPr>
          <w:noProof/>
          <w:lang w:val="es-ES"/>
        </w:rPr>
      </w:pPr>
      <w:r w:rsidRPr="005C133F">
        <w:rPr>
          <w:noProof/>
          <w:lang w:val="es-ES"/>
        </w:rPr>
        <w:t xml:space="preserve">A estas </w:t>
      </w:r>
      <w:r w:rsidR="007679F9" w:rsidRPr="005C133F">
        <w:rPr>
          <w:noProof/>
          <w:lang w:val="es-ES"/>
        </w:rPr>
        <w:t xml:space="preserve">cobertura se le asignaron </w:t>
      </w:r>
      <w:r w:rsidR="002138EC" w:rsidRPr="005C133F">
        <w:rPr>
          <w:noProof/>
          <w:lang w:val="es-ES"/>
        </w:rPr>
        <w:t xml:space="preserve"> los códigos SIMON correspondientes para que las ARS puedan reportar las prestaciones demandadas por los afiliados, a través del Esquema 35</w:t>
      </w:r>
      <w:r w:rsidR="00882BC8" w:rsidRPr="005C133F">
        <w:rPr>
          <w:noProof/>
          <w:lang w:val="es-ES"/>
        </w:rPr>
        <w:t>, fortaleciendo así la trazabilidad, estandarización y control de la información del sistema</w:t>
      </w:r>
      <w:r w:rsidR="007335A0" w:rsidRPr="005C133F">
        <w:rPr>
          <w:noProof/>
          <w:lang w:val="es-ES"/>
        </w:rPr>
        <w:t xml:space="preserve">. </w:t>
      </w:r>
    </w:p>
    <w:p w14:paraId="2C026D00" w14:textId="77777777" w:rsidR="007335A0" w:rsidRPr="005C133F" w:rsidRDefault="007335A0" w:rsidP="005C133F">
      <w:pPr>
        <w:spacing w:after="0" w:line="360" w:lineRule="auto"/>
        <w:jc w:val="both"/>
        <w:rPr>
          <w:noProof/>
          <w:lang w:val="es-ES"/>
        </w:rPr>
      </w:pPr>
    </w:p>
    <w:p w14:paraId="70675DC5" w14:textId="77777777" w:rsidR="007335A0" w:rsidRPr="005C133F" w:rsidRDefault="007335A0" w:rsidP="005C133F">
      <w:pPr>
        <w:spacing w:after="0" w:line="360" w:lineRule="auto"/>
        <w:rPr>
          <w:rFonts w:eastAsia="Calibri"/>
          <w:b/>
          <w:bCs/>
          <w:noProof/>
          <w:lang w:val="es-DO"/>
        </w:rPr>
      </w:pPr>
      <w:r w:rsidRPr="005C133F">
        <w:rPr>
          <w:rFonts w:eastAsia="Calibri"/>
          <w:b/>
          <w:bCs/>
          <w:noProof/>
          <w:lang w:val="es-DO"/>
        </w:rPr>
        <w:t>Gestión de Planes Alternativos de Salud sometidos por las ARS.</w:t>
      </w:r>
    </w:p>
    <w:p w14:paraId="488535D2" w14:textId="77777777" w:rsidR="007335A0" w:rsidRPr="005C133F" w:rsidRDefault="007335A0" w:rsidP="005C133F">
      <w:pPr>
        <w:spacing w:after="0" w:line="360" w:lineRule="auto"/>
        <w:ind w:left="720"/>
        <w:rPr>
          <w:rFonts w:eastAsia="Calibri"/>
          <w:b/>
          <w:bCs/>
          <w:noProof/>
          <w:lang w:val="es-DO"/>
        </w:rPr>
      </w:pPr>
    </w:p>
    <w:p w14:paraId="4EDCAA25" w14:textId="12069698" w:rsidR="007335A0" w:rsidRPr="005C133F" w:rsidRDefault="007335A0" w:rsidP="005C133F">
      <w:pPr>
        <w:spacing w:after="0" w:line="360" w:lineRule="auto"/>
        <w:jc w:val="both"/>
        <w:rPr>
          <w:lang w:val="es-DO"/>
        </w:rPr>
      </w:pPr>
      <w:r w:rsidRPr="005C133F">
        <w:rPr>
          <w:lang w:val="es-DO"/>
        </w:rPr>
        <w:t>Durante el período enero-octubre de 2025, se recibieron</w:t>
      </w:r>
      <w:r w:rsidR="00044DC7" w:rsidRPr="005C133F">
        <w:rPr>
          <w:lang w:val="es-DO"/>
        </w:rPr>
        <w:t xml:space="preserve"> cuatrocientos tres</w:t>
      </w:r>
      <w:r w:rsidRPr="005C133F">
        <w:rPr>
          <w:lang w:val="es-DO"/>
        </w:rPr>
        <w:t xml:space="preserve"> </w:t>
      </w:r>
      <w:r w:rsidR="00044DC7" w:rsidRPr="005C133F">
        <w:rPr>
          <w:lang w:val="es-DO"/>
        </w:rPr>
        <w:t>(</w:t>
      </w:r>
      <w:r w:rsidRPr="005C133F">
        <w:rPr>
          <w:lang w:val="es-DO"/>
        </w:rPr>
        <w:t>403</w:t>
      </w:r>
      <w:r w:rsidR="00044DC7" w:rsidRPr="005C133F">
        <w:rPr>
          <w:lang w:val="es-DO"/>
        </w:rPr>
        <w:t>)</w:t>
      </w:r>
      <w:r w:rsidRPr="005C133F">
        <w:rPr>
          <w:lang w:val="es-DO"/>
        </w:rPr>
        <w:t xml:space="preserve"> Planes Alternativos de Salud y su </w:t>
      </w:r>
      <w:r w:rsidRPr="005C133F">
        <w:rPr>
          <w:lang w:val="es-DO"/>
        </w:rPr>
        <w:lastRenderedPageBreak/>
        <w:t>documentación, de los cuales</w:t>
      </w:r>
      <w:r w:rsidR="00F35A6A" w:rsidRPr="005C133F">
        <w:rPr>
          <w:lang w:val="es-DO"/>
        </w:rPr>
        <w:t xml:space="preserve"> ciento veintiocho</w:t>
      </w:r>
      <w:r w:rsidRPr="005C133F">
        <w:rPr>
          <w:lang w:val="es-DO"/>
        </w:rPr>
        <w:t xml:space="preserve"> </w:t>
      </w:r>
      <w:r w:rsidR="00F35A6A" w:rsidRPr="005C133F">
        <w:rPr>
          <w:lang w:val="es-DO"/>
        </w:rPr>
        <w:t>(</w:t>
      </w:r>
      <w:r w:rsidRPr="005C133F">
        <w:rPr>
          <w:lang w:val="es-DO"/>
        </w:rPr>
        <w:t>128</w:t>
      </w:r>
      <w:r w:rsidR="00F35A6A" w:rsidRPr="005C133F">
        <w:rPr>
          <w:lang w:val="es-DO"/>
        </w:rPr>
        <w:t>)</w:t>
      </w:r>
      <w:r w:rsidRPr="005C133F">
        <w:rPr>
          <w:lang w:val="es-DO"/>
        </w:rPr>
        <w:t xml:space="preserve"> corresponden a Planes Complementarios, </w:t>
      </w:r>
      <w:r w:rsidR="00777466" w:rsidRPr="005C133F">
        <w:rPr>
          <w:lang w:val="es-DO"/>
        </w:rPr>
        <w:t>doscientos sesenta y nueve (</w:t>
      </w:r>
      <w:r w:rsidRPr="005C133F">
        <w:rPr>
          <w:lang w:val="es-DO"/>
        </w:rPr>
        <w:t>269</w:t>
      </w:r>
      <w:r w:rsidR="00777466" w:rsidRPr="005C133F">
        <w:rPr>
          <w:lang w:val="es-DO"/>
        </w:rPr>
        <w:t>)</w:t>
      </w:r>
      <w:r w:rsidRPr="005C133F">
        <w:rPr>
          <w:lang w:val="es-DO"/>
        </w:rPr>
        <w:t xml:space="preserve"> son Planes Voluntarios y</w:t>
      </w:r>
      <w:r w:rsidR="00777466" w:rsidRPr="005C133F">
        <w:rPr>
          <w:lang w:val="es-DO"/>
        </w:rPr>
        <w:t xml:space="preserve"> </w:t>
      </w:r>
      <w:r w:rsidR="00BB54F5" w:rsidRPr="005C133F">
        <w:rPr>
          <w:lang w:val="es-DO"/>
        </w:rPr>
        <w:t>seis (</w:t>
      </w:r>
      <w:r w:rsidRPr="005C133F">
        <w:rPr>
          <w:lang w:val="es-DO"/>
        </w:rPr>
        <w:t>6</w:t>
      </w:r>
      <w:r w:rsidR="009D2DCD" w:rsidRPr="005C133F">
        <w:rPr>
          <w:lang w:val="es-DO"/>
        </w:rPr>
        <w:t>)</w:t>
      </w:r>
      <w:r w:rsidRPr="005C133F">
        <w:rPr>
          <w:lang w:val="es-DO"/>
        </w:rPr>
        <w:t xml:space="preserve"> son Planes Especiales de Medicina Prepagada. En el cuadro a continuación, se presenta la distribución por tipo de plan, según ARS que realiza el sometimiento:</w:t>
      </w:r>
    </w:p>
    <w:p w14:paraId="53F6EB0C" w14:textId="77777777" w:rsidR="007335A0" w:rsidRPr="005C133F" w:rsidRDefault="007335A0" w:rsidP="005C133F">
      <w:pPr>
        <w:spacing w:after="0" w:line="360" w:lineRule="auto"/>
        <w:jc w:val="both"/>
        <w:rPr>
          <w:lang w:val="es-DO"/>
        </w:rPr>
      </w:pPr>
    </w:p>
    <w:p w14:paraId="0305FACC" w14:textId="155F39AF" w:rsidR="007A3E4B" w:rsidRPr="005C133F" w:rsidRDefault="007A3E4B" w:rsidP="00E05B71">
      <w:pPr>
        <w:pStyle w:val="Descripcin"/>
        <w:keepNext/>
        <w:spacing w:after="0"/>
        <w:jc w:val="center"/>
        <w:rPr>
          <w:b/>
          <w:bCs/>
          <w:i w:val="0"/>
          <w:iCs w:val="0"/>
          <w:color w:val="767171"/>
          <w:sz w:val="24"/>
          <w:szCs w:val="24"/>
          <w:lang w:val="es-DO"/>
        </w:rPr>
      </w:pPr>
      <w:bookmarkStart w:id="31" w:name="_Toc218784143"/>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11</w:t>
      </w:r>
      <w:r w:rsidRPr="005C133F">
        <w:rPr>
          <w:b/>
          <w:bCs/>
          <w:i w:val="0"/>
          <w:iCs w:val="0"/>
          <w:color w:val="767171"/>
          <w:sz w:val="24"/>
          <w:szCs w:val="24"/>
          <w:lang w:val="es-DO"/>
        </w:rPr>
        <w:fldChar w:fldCharType="end"/>
      </w:r>
      <w:r w:rsidRPr="005C133F">
        <w:rPr>
          <w:b/>
          <w:bCs/>
          <w:i w:val="0"/>
          <w:iCs w:val="0"/>
          <w:color w:val="767171"/>
          <w:sz w:val="24"/>
          <w:szCs w:val="24"/>
          <w:lang w:val="es-DO"/>
        </w:rPr>
        <w:t>. Listado de Planes Alternativos de Salud sometidos a la SISALRIL, según ARS</w:t>
      </w:r>
      <w:bookmarkEnd w:id="31"/>
    </w:p>
    <w:tbl>
      <w:tblPr>
        <w:tblW w:w="855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990"/>
        <w:gridCol w:w="1727"/>
        <w:gridCol w:w="1761"/>
        <w:gridCol w:w="2075"/>
        <w:gridCol w:w="999"/>
      </w:tblGrid>
      <w:tr w:rsidR="005C133F" w:rsidRPr="00D11386" w14:paraId="470AA49F" w14:textId="77777777" w:rsidTr="00E05B71">
        <w:trPr>
          <w:trHeight w:val="507"/>
          <w:tblHeader/>
          <w:jc w:val="center"/>
        </w:trPr>
        <w:tc>
          <w:tcPr>
            <w:tcW w:w="1990" w:type="dxa"/>
            <w:shd w:val="clear" w:color="auto" w:fill="011C50"/>
            <w:noWrap/>
            <w:vAlign w:val="center"/>
            <w:hideMark/>
          </w:tcPr>
          <w:p w14:paraId="584832A7"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 xml:space="preserve">ARS / Tipo Plan </w:t>
            </w:r>
          </w:p>
        </w:tc>
        <w:tc>
          <w:tcPr>
            <w:tcW w:w="1727" w:type="dxa"/>
            <w:shd w:val="clear" w:color="auto" w:fill="011C50"/>
            <w:noWrap/>
            <w:vAlign w:val="center"/>
            <w:hideMark/>
          </w:tcPr>
          <w:p w14:paraId="64CC1359" w14:textId="77777777" w:rsidR="007335A0" w:rsidRPr="00D11386" w:rsidRDefault="007335A0" w:rsidP="00D11386">
            <w:pPr>
              <w:spacing w:after="0" w:line="240" w:lineRule="auto"/>
              <w:jc w:val="center"/>
              <w:rPr>
                <w:b/>
                <w:bCs/>
                <w:color w:val="FFFFFF" w:themeColor="background1"/>
                <w:lang w:val="es-DO" w:eastAsia="es-DO"/>
              </w:rPr>
            </w:pPr>
            <w:proofErr w:type="spellStart"/>
            <w:r w:rsidRPr="00D11386">
              <w:rPr>
                <w:b/>
                <w:bCs/>
                <w:color w:val="FFFFFF" w:themeColor="background1"/>
                <w:lang w:val="es-DO" w:eastAsia="es-DO"/>
              </w:rPr>
              <w:t>Complemen-tarios</w:t>
            </w:r>
            <w:proofErr w:type="spellEnd"/>
          </w:p>
        </w:tc>
        <w:tc>
          <w:tcPr>
            <w:tcW w:w="1761" w:type="dxa"/>
            <w:shd w:val="clear" w:color="auto" w:fill="011C50"/>
            <w:noWrap/>
            <w:vAlign w:val="center"/>
            <w:hideMark/>
          </w:tcPr>
          <w:p w14:paraId="040F36A5"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Voluntarios</w:t>
            </w:r>
          </w:p>
        </w:tc>
        <w:tc>
          <w:tcPr>
            <w:tcW w:w="2075" w:type="dxa"/>
            <w:shd w:val="clear" w:color="auto" w:fill="011C50"/>
            <w:vAlign w:val="center"/>
            <w:hideMark/>
          </w:tcPr>
          <w:p w14:paraId="56B00E57"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Especiales de Medicina Prepagada</w:t>
            </w:r>
          </w:p>
        </w:tc>
        <w:tc>
          <w:tcPr>
            <w:tcW w:w="999" w:type="dxa"/>
            <w:shd w:val="clear" w:color="auto" w:fill="011C50"/>
            <w:noWrap/>
            <w:vAlign w:val="center"/>
            <w:hideMark/>
          </w:tcPr>
          <w:p w14:paraId="3B22F480"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Total</w:t>
            </w:r>
          </w:p>
        </w:tc>
      </w:tr>
      <w:tr w:rsidR="004921FF" w:rsidRPr="00D11386" w14:paraId="2656DD3D" w14:textId="77777777" w:rsidTr="00E05B71">
        <w:trPr>
          <w:trHeight w:val="308"/>
          <w:jc w:val="center"/>
        </w:trPr>
        <w:tc>
          <w:tcPr>
            <w:tcW w:w="1990" w:type="dxa"/>
            <w:noWrap/>
            <w:vAlign w:val="center"/>
            <w:hideMark/>
          </w:tcPr>
          <w:p w14:paraId="7E5A4498" w14:textId="77777777" w:rsidR="007335A0" w:rsidRPr="00D11386" w:rsidRDefault="007335A0" w:rsidP="00D11386">
            <w:pPr>
              <w:spacing w:after="0" w:line="240" w:lineRule="auto"/>
              <w:rPr>
                <w:lang w:val="es-DO" w:eastAsia="es-DO"/>
              </w:rPr>
            </w:pPr>
            <w:r w:rsidRPr="00D11386">
              <w:rPr>
                <w:lang w:val="es-DO" w:eastAsia="es-DO"/>
              </w:rPr>
              <w:t>ARS META SALUD</w:t>
            </w:r>
          </w:p>
        </w:tc>
        <w:tc>
          <w:tcPr>
            <w:tcW w:w="1727" w:type="dxa"/>
            <w:noWrap/>
            <w:vAlign w:val="center"/>
            <w:hideMark/>
          </w:tcPr>
          <w:p w14:paraId="68067D71" w14:textId="77777777" w:rsidR="007335A0" w:rsidRPr="00D11386" w:rsidRDefault="007335A0" w:rsidP="00D11386">
            <w:pPr>
              <w:spacing w:after="0" w:line="240" w:lineRule="auto"/>
              <w:jc w:val="center"/>
              <w:rPr>
                <w:lang w:val="es-DO" w:eastAsia="es-DO"/>
              </w:rPr>
            </w:pPr>
            <w:r w:rsidRPr="00D11386">
              <w:rPr>
                <w:lang w:val="es-DO" w:eastAsia="es-DO"/>
              </w:rPr>
              <w:t>28</w:t>
            </w:r>
          </w:p>
        </w:tc>
        <w:tc>
          <w:tcPr>
            <w:tcW w:w="1761" w:type="dxa"/>
            <w:noWrap/>
            <w:vAlign w:val="center"/>
            <w:hideMark/>
          </w:tcPr>
          <w:p w14:paraId="5C074C90" w14:textId="77777777" w:rsidR="007335A0" w:rsidRPr="00D11386" w:rsidRDefault="007335A0" w:rsidP="00D11386">
            <w:pPr>
              <w:spacing w:after="0" w:line="240" w:lineRule="auto"/>
              <w:jc w:val="center"/>
              <w:rPr>
                <w:lang w:val="es-DO" w:eastAsia="es-DO"/>
              </w:rPr>
            </w:pPr>
            <w:r w:rsidRPr="00D11386">
              <w:rPr>
                <w:lang w:val="es-DO" w:eastAsia="es-DO"/>
              </w:rPr>
              <w:t>183</w:t>
            </w:r>
          </w:p>
        </w:tc>
        <w:tc>
          <w:tcPr>
            <w:tcW w:w="2075" w:type="dxa"/>
            <w:noWrap/>
            <w:vAlign w:val="center"/>
            <w:hideMark/>
          </w:tcPr>
          <w:p w14:paraId="1F111B76"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6E574DF7" w14:textId="77777777" w:rsidR="007335A0" w:rsidRPr="00D11386" w:rsidRDefault="007335A0" w:rsidP="00D11386">
            <w:pPr>
              <w:spacing w:after="0" w:line="240" w:lineRule="auto"/>
              <w:jc w:val="center"/>
              <w:rPr>
                <w:lang w:val="es-DO" w:eastAsia="es-DO"/>
              </w:rPr>
            </w:pPr>
            <w:r w:rsidRPr="00D11386">
              <w:rPr>
                <w:lang w:val="es-DO" w:eastAsia="es-DO"/>
              </w:rPr>
              <w:t>211</w:t>
            </w:r>
          </w:p>
        </w:tc>
      </w:tr>
      <w:tr w:rsidR="004921FF" w:rsidRPr="00D11386" w14:paraId="1B4E0ABC" w14:textId="77777777" w:rsidTr="00E05B71">
        <w:trPr>
          <w:trHeight w:val="276"/>
          <w:jc w:val="center"/>
        </w:trPr>
        <w:tc>
          <w:tcPr>
            <w:tcW w:w="1990" w:type="dxa"/>
            <w:noWrap/>
            <w:vAlign w:val="center"/>
            <w:hideMark/>
          </w:tcPr>
          <w:p w14:paraId="6D724533" w14:textId="77777777" w:rsidR="007335A0" w:rsidRPr="00D11386" w:rsidRDefault="007335A0" w:rsidP="00D11386">
            <w:pPr>
              <w:spacing w:after="0" w:line="240" w:lineRule="auto"/>
              <w:rPr>
                <w:lang w:val="es-DO" w:eastAsia="es-DO"/>
              </w:rPr>
            </w:pPr>
            <w:r w:rsidRPr="00D11386">
              <w:rPr>
                <w:lang w:val="es-DO" w:eastAsia="es-DO"/>
              </w:rPr>
              <w:t>ARS ABEL GONZALEZ</w:t>
            </w:r>
          </w:p>
        </w:tc>
        <w:tc>
          <w:tcPr>
            <w:tcW w:w="1727" w:type="dxa"/>
            <w:noWrap/>
            <w:vAlign w:val="center"/>
            <w:hideMark/>
          </w:tcPr>
          <w:p w14:paraId="53D59FC6" w14:textId="77777777" w:rsidR="007335A0" w:rsidRPr="00D11386" w:rsidRDefault="007335A0" w:rsidP="00D11386">
            <w:pPr>
              <w:spacing w:after="0" w:line="240" w:lineRule="auto"/>
              <w:jc w:val="center"/>
              <w:rPr>
                <w:lang w:val="es-DO" w:eastAsia="es-DO"/>
              </w:rPr>
            </w:pPr>
            <w:r w:rsidRPr="00D11386">
              <w:rPr>
                <w:lang w:val="es-DO" w:eastAsia="es-DO"/>
              </w:rPr>
              <w:t>4</w:t>
            </w:r>
          </w:p>
        </w:tc>
        <w:tc>
          <w:tcPr>
            <w:tcW w:w="1761" w:type="dxa"/>
            <w:noWrap/>
            <w:vAlign w:val="center"/>
            <w:hideMark/>
          </w:tcPr>
          <w:p w14:paraId="455F5EA6" w14:textId="77777777" w:rsidR="007335A0" w:rsidRPr="00D11386" w:rsidRDefault="007335A0" w:rsidP="00D11386">
            <w:pPr>
              <w:spacing w:after="0" w:line="240" w:lineRule="auto"/>
              <w:jc w:val="center"/>
              <w:rPr>
                <w:lang w:val="es-DO" w:eastAsia="es-DO"/>
              </w:rPr>
            </w:pPr>
            <w:r w:rsidRPr="00D11386">
              <w:rPr>
                <w:lang w:val="es-DO" w:eastAsia="es-DO"/>
              </w:rPr>
              <w:t>12</w:t>
            </w:r>
          </w:p>
        </w:tc>
        <w:tc>
          <w:tcPr>
            <w:tcW w:w="2075" w:type="dxa"/>
            <w:noWrap/>
            <w:vAlign w:val="center"/>
            <w:hideMark/>
          </w:tcPr>
          <w:p w14:paraId="76BED979"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12A9E8A0" w14:textId="77777777" w:rsidR="007335A0" w:rsidRPr="00D11386" w:rsidRDefault="007335A0" w:rsidP="00D11386">
            <w:pPr>
              <w:spacing w:after="0" w:line="240" w:lineRule="auto"/>
              <w:jc w:val="center"/>
              <w:rPr>
                <w:lang w:val="es-DO" w:eastAsia="es-DO"/>
              </w:rPr>
            </w:pPr>
            <w:r w:rsidRPr="00D11386">
              <w:rPr>
                <w:lang w:val="es-DO" w:eastAsia="es-DO"/>
              </w:rPr>
              <w:t>16</w:t>
            </w:r>
          </w:p>
        </w:tc>
      </w:tr>
      <w:tr w:rsidR="004921FF" w:rsidRPr="00D11386" w14:paraId="13DACFD8" w14:textId="77777777" w:rsidTr="00E05B71">
        <w:trPr>
          <w:trHeight w:val="276"/>
          <w:jc w:val="center"/>
        </w:trPr>
        <w:tc>
          <w:tcPr>
            <w:tcW w:w="1990" w:type="dxa"/>
            <w:noWrap/>
            <w:vAlign w:val="center"/>
            <w:hideMark/>
          </w:tcPr>
          <w:p w14:paraId="1BFE8226" w14:textId="77777777" w:rsidR="007335A0" w:rsidRPr="00D11386" w:rsidRDefault="007335A0" w:rsidP="00D11386">
            <w:pPr>
              <w:spacing w:after="0" w:line="240" w:lineRule="auto"/>
              <w:rPr>
                <w:lang w:val="es-DO" w:eastAsia="es-DO"/>
              </w:rPr>
            </w:pPr>
            <w:r w:rsidRPr="00D11386">
              <w:rPr>
                <w:lang w:val="es-DO" w:eastAsia="es-DO"/>
              </w:rPr>
              <w:t>ARS CMD</w:t>
            </w:r>
          </w:p>
        </w:tc>
        <w:tc>
          <w:tcPr>
            <w:tcW w:w="1727" w:type="dxa"/>
            <w:noWrap/>
            <w:vAlign w:val="center"/>
            <w:hideMark/>
          </w:tcPr>
          <w:p w14:paraId="0DD3B9F5" w14:textId="77777777" w:rsidR="007335A0" w:rsidRPr="00D11386" w:rsidRDefault="007335A0" w:rsidP="00D11386">
            <w:pPr>
              <w:spacing w:after="0" w:line="240" w:lineRule="auto"/>
              <w:jc w:val="center"/>
              <w:rPr>
                <w:lang w:val="es-DO" w:eastAsia="es-DO"/>
              </w:rPr>
            </w:pPr>
            <w:r w:rsidRPr="00D11386">
              <w:rPr>
                <w:lang w:val="es-DO" w:eastAsia="es-DO"/>
              </w:rPr>
              <w:t>1</w:t>
            </w:r>
          </w:p>
        </w:tc>
        <w:tc>
          <w:tcPr>
            <w:tcW w:w="1761" w:type="dxa"/>
            <w:noWrap/>
            <w:vAlign w:val="center"/>
            <w:hideMark/>
          </w:tcPr>
          <w:p w14:paraId="0E91B0CB"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2075" w:type="dxa"/>
            <w:noWrap/>
            <w:vAlign w:val="center"/>
            <w:hideMark/>
          </w:tcPr>
          <w:p w14:paraId="0638057C"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2E372031" w14:textId="77777777" w:rsidR="007335A0" w:rsidRPr="00D11386" w:rsidRDefault="007335A0" w:rsidP="00D11386">
            <w:pPr>
              <w:spacing w:after="0" w:line="240" w:lineRule="auto"/>
              <w:jc w:val="center"/>
              <w:rPr>
                <w:lang w:val="es-DO" w:eastAsia="es-DO"/>
              </w:rPr>
            </w:pPr>
            <w:r w:rsidRPr="00D11386">
              <w:rPr>
                <w:lang w:val="es-DO" w:eastAsia="es-DO"/>
              </w:rPr>
              <w:t>1</w:t>
            </w:r>
          </w:p>
        </w:tc>
      </w:tr>
      <w:tr w:rsidR="004921FF" w:rsidRPr="00D11386" w14:paraId="76C8BD8D" w14:textId="77777777" w:rsidTr="00E05B71">
        <w:trPr>
          <w:trHeight w:val="276"/>
          <w:jc w:val="center"/>
        </w:trPr>
        <w:tc>
          <w:tcPr>
            <w:tcW w:w="1990" w:type="dxa"/>
            <w:noWrap/>
            <w:vAlign w:val="center"/>
            <w:hideMark/>
          </w:tcPr>
          <w:p w14:paraId="4C64555A" w14:textId="77777777" w:rsidR="007335A0" w:rsidRPr="00D11386" w:rsidRDefault="007335A0" w:rsidP="00D11386">
            <w:pPr>
              <w:spacing w:after="0" w:line="240" w:lineRule="auto"/>
              <w:rPr>
                <w:lang w:val="es-DO" w:eastAsia="es-DO"/>
              </w:rPr>
            </w:pPr>
            <w:r w:rsidRPr="00D11386">
              <w:rPr>
                <w:lang w:val="es-DO" w:eastAsia="es-DO"/>
              </w:rPr>
              <w:t>ARS META SALUD</w:t>
            </w:r>
          </w:p>
        </w:tc>
        <w:tc>
          <w:tcPr>
            <w:tcW w:w="1727" w:type="dxa"/>
            <w:noWrap/>
            <w:vAlign w:val="center"/>
            <w:hideMark/>
          </w:tcPr>
          <w:p w14:paraId="402B4D44" w14:textId="77777777" w:rsidR="007335A0" w:rsidRPr="00D11386" w:rsidRDefault="007335A0" w:rsidP="00D11386">
            <w:pPr>
              <w:spacing w:after="0" w:line="240" w:lineRule="auto"/>
              <w:jc w:val="center"/>
              <w:rPr>
                <w:lang w:val="es-DO" w:eastAsia="es-DO"/>
              </w:rPr>
            </w:pPr>
            <w:r w:rsidRPr="00D11386">
              <w:rPr>
                <w:lang w:val="es-DO" w:eastAsia="es-DO"/>
              </w:rPr>
              <w:t>3</w:t>
            </w:r>
          </w:p>
        </w:tc>
        <w:tc>
          <w:tcPr>
            <w:tcW w:w="1761" w:type="dxa"/>
            <w:noWrap/>
            <w:vAlign w:val="center"/>
            <w:hideMark/>
          </w:tcPr>
          <w:p w14:paraId="583FEEF0"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2075" w:type="dxa"/>
            <w:noWrap/>
            <w:vAlign w:val="center"/>
            <w:hideMark/>
          </w:tcPr>
          <w:p w14:paraId="27BE40BC"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48C63414" w14:textId="77777777" w:rsidR="007335A0" w:rsidRPr="00D11386" w:rsidRDefault="007335A0" w:rsidP="00D11386">
            <w:pPr>
              <w:spacing w:after="0" w:line="240" w:lineRule="auto"/>
              <w:jc w:val="center"/>
              <w:rPr>
                <w:lang w:val="es-DO" w:eastAsia="es-DO"/>
              </w:rPr>
            </w:pPr>
            <w:r w:rsidRPr="00D11386">
              <w:rPr>
                <w:lang w:val="es-DO" w:eastAsia="es-DO"/>
              </w:rPr>
              <w:t>3</w:t>
            </w:r>
          </w:p>
        </w:tc>
      </w:tr>
      <w:tr w:rsidR="004921FF" w:rsidRPr="00D11386" w14:paraId="06502CED" w14:textId="77777777" w:rsidTr="00E05B71">
        <w:trPr>
          <w:trHeight w:val="276"/>
          <w:jc w:val="center"/>
        </w:trPr>
        <w:tc>
          <w:tcPr>
            <w:tcW w:w="1990" w:type="dxa"/>
            <w:noWrap/>
            <w:vAlign w:val="center"/>
            <w:hideMark/>
          </w:tcPr>
          <w:p w14:paraId="0E1CC5B5" w14:textId="77777777" w:rsidR="007335A0" w:rsidRPr="00D11386" w:rsidRDefault="007335A0" w:rsidP="00D11386">
            <w:pPr>
              <w:spacing w:after="0" w:line="240" w:lineRule="auto"/>
              <w:rPr>
                <w:lang w:val="es-DO" w:eastAsia="es-DO"/>
              </w:rPr>
            </w:pPr>
            <w:r w:rsidRPr="00D11386">
              <w:rPr>
                <w:lang w:val="es-DO" w:eastAsia="es-DO"/>
              </w:rPr>
              <w:t>ARS RENACER</w:t>
            </w:r>
          </w:p>
        </w:tc>
        <w:tc>
          <w:tcPr>
            <w:tcW w:w="1727" w:type="dxa"/>
            <w:noWrap/>
            <w:vAlign w:val="center"/>
            <w:hideMark/>
          </w:tcPr>
          <w:p w14:paraId="00D9716C" w14:textId="77777777" w:rsidR="007335A0" w:rsidRPr="00D11386" w:rsidRDefault="007335A0" w:rsidP="00D11386">
            <w:pPr>
              <w:spacing w:after="0" w:line="240" w:lineRule="auto"/>
              <w:jc w:val="center"/>
              <w:rPr>
                <w:lang w:val="es-DO" w:eastAsia="es-DO"/>
              </w:rPr>
            </w:pPr>
            <w:r w:rsidRPr="00D11386">
              <w:rPr>
                <w:lang w:val="es-DO" w:eastAsia="es-DO"/>
              </w:rPr>
              <w:t>80</w:t>
            </w:r>
          </w:p>
        </w:tc>
        <w:tc>
          <w:tcPr>
            <w:tcW w:w="1761" w:type="dxa"/>
            <w:noWrap/>
            <w:vAlign w:val="center"/>
            <w:hideMark/>
          </w:tcPr>
          <w:p w14:paraId="30E0E658" w14:textId="77777777" w:rsidR="007335A0" w:rsidRPr="00D11386" w:rsidRDefault="007335A0" w:rsidP="00D11386">
            <w:pPr>
              <w:spacing w:after="0" w:line="240" w:lineRule="auto"/>
              <w:jc w:val="center"/>
              <w:rPr>
                <w:lang w:val="es-DO" w:eastAsia="es-DO"/>
              </w:rPr>
            </w:pPr>
            <w:r w:rsidRPr="00D11386">
              <w:rPr>
                <w:lang w:val="es-DO" w:eastAsia="es-DO"/>
              </w:rPr>
              <w:t>62</w:t>
            </w:r>
          </w:p>
        </w:tc>
        <w:tc>
          <w:tcPr>
            <w:tcW w:w="2075" w:type="dxa"/>
            <w:noWrap/>
            <w:vAlign w:val="center"/>
            <w:hideMark/>
          </w:tcPr>
          <w:p w14:paraId="3EF19AF5"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55D277F1" w14:textId="77777777" w:rsidR="007335A0" w:rsidRPr="00D11386" w:rsidRDefault="007335A0" w:rsidP="00D11386">
            <w:pPr>
              <w:spacing w:after="0" w:line="240" w:lineRule="auto"/>
              <w:jc w:val="center"/>
              <w:rPr>
                <w:lang w:val="es-DO" w:eastAsia="es-DO"/>
              </w:rPr>
            </w:pPr>
            <w:r w:rsidRPr="00D11386">
              <w:rPr>
                <w:lang w:val="es-DO" w:eastAsia="es-DO"/>
              </w:rPr>
              <w:t>142</w:t>
            </w:r>
          </w:p>
        </w:tc>
      </w:tr>
      <w:tr w:rsidR="004921FF" w:rsidRPr="00D11386" w14:paraId="37A268BD" w14:textId="77777777" w:rsidTr="00E05B71">
        <w:trPr>
          <w:trHeight w:val="276"/>
          <w:jc w:val="center"/>
        </w:trPr>
        <w:tc>
          <w:tcPr>
            <w:tcW w:w="1990" w:type="dxa"/>
            <w:noWrap/>
            <w:vAlign w:val="center"/>
            <w:hideMark/>
          </w:tcPr>
          <w:p w14:paraId="4CD82171" w14:textId="77777777" w:rsidR="007335A0" w:rsidRPr="00D11386" w:rsidRDefault="007335A0" w:rsidP="00D11386">
            <w:pPr>
              <w:spacing w:after="0" w:line="240" w:lineRule="auto"/>
              <w:rPr>
                <w:lang w:val="es-DO" w:eastAsia="es-DO"/>
              </w:rPr>
            </w:pPr>
            <w:r w:rsidRPr="00D11386">
              <w:rPr>
                <w:lang w:val="es-DO" w:eastAsia="es-DO"/>
              </w:rPr>
              <w:t>ARS RESERVAS</w:t>
            </w:r>
          </w:p>
        </w:tc>
        <w:tc>
          <w:tcPr>
            <w:tcW w:w="1727" w:type="dxa"/>
            <w:noWrap/>
            <w:vAlign w:val="center"/>
            <w:hideMark/>
          </w:tcPr>
          <w:p w14:paraId="1A87BF60" w14:textId="77777777" w:rsidR="007335A0" w:rsidRPr="00D11386" w:rsidRDefault="007335A0" w:rsidP="00D11386">
            <w:pPr>
              <w:spacing w:after="0" w:line="240" w:lineRule="auto"/>
              <w:jc w:val="center"/>
              <w:rPr>
                <w:lang w:val="es-DO" w:eastAsia="es-DO"/>
              </w:rPr>
            </w:pPr>
            <w:r w:rsidRPr="00D11386">
              <w:rPr>
                <w:lang w:val="es-DO" w:eastAsia="es-DO"/>
              </w:rPr>
              <w:t>3</w:t>
            </w:r>
          </w:p>
        </w:tc>
        <w:tc>
          <w:tcPr>
            <w:tcW w:w="1761" w:type="dxa"/>
            <w:noWrap/>
            <w:vAlign w:val="center"/>
            <w:hideMark/>
          </w:tcPr>
          <w:p w14:paraId="64C578C0"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2075" w:type="dxa"/>
            <w:noWrap/>
            <w:vAlign w:val="center"/>
            <w:hideMark/>
          </w:tcPr>
          <w:p w14:paraId="06B64468"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196AF76A" w14:textId="77777777" w:rsidR="007335A0" w:rsidRPr="00D11386" w:rsidRDefault="007335A0" w:rsidP="00D11386">
            <w:pPr>
              <w:spacing w:after="0" w:line="240" w:lineRule="auto"/>
              <w:jc w:val="center"/>
              <w:rPr>
                <w:lang w:val="es-DO" w:eastAsia="es-DO"/>
              </w:rPr>
            </w:pPr>
            <w:r w:rsidRPr="00D11386">
              <w:rPr>
                <w:lang w:val="es-DO" w:eastAsia="es-DO"/>
              </w:rPr>
              <w:t>3</w:t>
            </w:r>
          </w:p>
        </w:tc>
      </w:tr>
      <w:tr w:rsidR="004921FF" w:rsidRPr="00D11386" w14:paraId="4EB04239" w14:textId="77777777" w:rsidTr="00E05B71">
        <w:trPr>
          <w:trHeight w:val="276"/>
          <w:jc w:val="center"/>
        </w:trPr>
        <w:tc>
          <w:tcPr>
            <w:tcW w:w="1990" w:type="dxa"/>
            <w:noWrap/>
            <w:vAlign w:val="center"/>
            <w:hideMark/>
          </w:tcPr>
          <w:p w14:paraId="6C98DC38" w14:textId="77777777" w:rsidR="007335A0" w:rsidRPr="00D11386" w:rsidRDefault="007335A0" w:rsidP="00D11386">
            <w:pPr>
              <w:spacing w:after="0" w:line="240" w:lineRule="auto"/>
              <w:rPr>
                <w:lang w:val="es-DO" w:eastAsia="es-DO"/>
              </w:rPr>
            </w:pPr>
            <w:r w:rsidRPr="00D11386">
              <w:rPr>
                <w:lang w:val="es-DO" w:eastAsia="es-DO"/>
              </w:rPr>
              <w:t>ARS SEMMA</w:t>
            </w:r>
          </w:p>
        </w:tc>
        <w:tc>
          <w:tcPr>
            <w:tcW w:w="1727" w:type="dxa"/>
            <w:noWrap/>
            <w:vAlign w:val="center"/>
            <w:hideMark/>
          </w:tcPr>
          <w:p w14:paraId="3F454E13" w14:textId="77777777" w:rsidR="007335A0" w:rsidRPr="00D11386" w:rsidRDefault="007335A0" w:rsidP="00D11386">
            <w:pPr>
              <w:spacing w:after="0" w:line="240" w:lineRule="auto"/>
              <w:jc w:val="center"/>
              <w:rPr>
                <w:lang w:val="es-DO" w:eastAsia="es-DO"/>
              </w:rPr>
            </w:pPr>
            <w:r w:rsidRPr="00D11386">
              <w:rPr>
                <w:lang w:val="es-DO" w:eastAsia="es-DO"/>
              </w:rPr>
              <w:t>2</w:t>
            </w:r>
          </w:p>
        </w:tc>
        <w:tc>
          <w:tcPr>
            <w:tcW w:w="1761" w:type="dxa"/>
            <w:noWrap/>
            <w:vAlign w:val="center"/>
            <w:hideMark/>
          </w:tcPr>
          <w:p w14:paraId="60D100F2" w14:textId="77777777" w:rsidR="007335A0" w:rsidRPr="00D11386" w:rsidRDefault="007335A0" w:rsidP="00D11386">
            <w:pPr>
              <w:spacing w:after="0" w:line="240" w:lineRule="auto"/>
              <w:jc w:val="center"/>
              <w:rPr>
                <w:lang w:val="es-DO" w:eastAsia="es-DO"/>
              </w:rPr>
            </w:pPr>
            <w:r w:rsidRPr="00D11386">
              <w:rPr>
                <w:lang w:val="es-DO" w:eastAsia="es-DO"/>
              </w:rPr>
              <w:t>5</w:t>
            </w:r>
          </w:p>
        </w:tc>
        <w:tc>
          <w:tcPr>
            <w:tcW w:w="2075" w:type="dxa"/>
            <w:noWrap/>
            <w:vAlign w:val="center"/>
            <w:hideMark/>
          </w:tcPr>
          <w:p w14:paraId="4D1E4025"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1C8FAB6D" w14:textId="77777777" w:rsidR="007335A0" w:rsidRPr="00D11386" w:rsidRDefault="007335A0" w:rsidP="00D11386">
            <w:pPr>
              <w:spacing w:after="0" w:line="240" w:lineRule="auto"/>
              <w:jc w:val="center"/>
              <w:rPr>
                <w:lang w:val="es-DO" w:eastAsia="es-DO"/>
              </w:rPr>
            </w:pPr>
            <w:r w:rsidRPr="00D11386">
              <w:rPr>
                <w:lang w:val="es-DO" w:eastAsia="es-DO"/>
              </w:rPr>
              <w:t>7</w:t>
            </w:r>
          </w:p>
        </w:tc>
      </w:tr>
      <w:tr w:rsidR="004921FF" w:rsidRPr="00D11386" w14:paraId="3CBF5802" w14:textId="77777777" w:rsidTr="00E05B71">
        <w:trPr>
          <w:trHeight w:val="276"/>
          <w:jc w:val="center"/>
        </w:trPr>
        <w:tc>
          <w:tcPr>
            <w:tcW w:w="1990" w:type="dxa"/>
            <w:noWrap/>
            <w:vAlign w:val="center"/>
            <w:hideMark/>
          </w:tcPr>
          <w:p w14:paraId="5AE96570" w14:textId="77777777" w:rsidR="007335A0" w:rsidRPr="00D11386" w:rsidRDefault="007335A0" w:rsidP="00D11386">
            <w:pPr>
              <w:spacing w:after="0" w:line="240" w:lineRule="auto"/>
              <w:rPr>
                <w:lang w:val="es-DO" w:eastAsia="es-DO"/>
              </w:rPr>
            </w:pPr>
            <w:r w:rsidRPr="00D11386">
              <w:rPr>
                <w:lang w:val="es-DO" w:eastAsia="es-DO"/>
              </w:rPr>
              <w:t xml:space="preserve">ARS SENASA </w:t>
            </w:r>
          </w:p>
        </w:tc>
        <w:tc>
          <w:tcPr>
            <w:tcW w:w="1727" w:type="dxa"/>
            <w:noWrap/>
            <w:vAlign w:val="center"/>
            <w:hideMark/>
          </w:tcPr>
          <w:p w14:paraId="46E566A2" w14:textId="77777777" w:rsidR="007335A0" w:rsidRPr="00D11386" w:rsidRDefault="007335A0" w:rsidP="00D11386">
            <w:pPr>
              <w:spacing w:after="0" w:line="240" w:lineRule="auto"/>
              <w:jc w:val="center"/>
              <w:rPr>
                <w:lang w:val="es-DO" w:eastAsia="es-DO"/>
              </w:rPr>
            </w:pPr>
            <w:r w:rsidRPr="00D11386">
              <w:rPr>
                <w:lang w:val="es-DO" w:eastAsia="es-DO"/>
              </w:rPr>
              <w:t>7</w:t>
            </w:r>
          </w:p>
        </w:tc>
        <w:tc>
          <w:tcPr>
            <w:tcW w:w="1761" w:type="dxa"/>
            <w:noWrap/>
            <w:vAlign w:val="center"/>
            <w:hideMark/>
          </w:tcPr>
          <w:p w14:paraId="699F32BC" w14:textId="77777777" w:rsidR="007335A0" w:rsidRPr="00D11386" w:rsidRDefault="007335A0" w:rsidP="00D11386">
            <w:pPr>
              <w:spacing w:after="0" w:line="240" w:lineRule="auto"/>
              <w:jc w:val="center"/>
              <w:rPr>
                <w:lang w:val="es-DO" w:eastAsia="es-DO"/>
              </w:rPr>
            </w:pPr>
            <w:r w:rsidRPr="00D11386">
              <w:rPr>
                <w:lang w:val="es-DO" w:eastAsia="es-DO"/>
              </w:rPr>
              <w:t>1</w:t>
            </w:r>
          </w:p>
        </w:tc>
        <w:tc>
          <w:tcPr>
            <w:tcW w:w="2075" w:type="dxa"/>
            <w:noWrap/>
            <w:vAlign w:val="center"/>
            <w:hideMark/>
          </w:tcPr>
          <w:p w14:paraId="1B6A46FE"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999" w:type="dxa"/>
            <w:noWrap/>
            <w:vAlign w:val="center"/>
            <w:hideMark/>
          </w:tcPr>
          <w:p w14:paraId="573238F1" w14:textId="77777777" w:rsidR="007335A0" w:rsidRPr="00D11386" w:rsidRDefault="007335A0" w:rsidP="00D11386">
            <w:pPr>
              <w:spacing w:after="0" w:line="240" w:lineRule="auto"/>
              <w:jc w:val="center"/>
              <w:rPr>
                <w:lang w:val="es-DO" w:eastAsia="es-DO"/>
              </w:rPr>
            </w:pPr>
            <w:r w:rsidRPr="00D11386">
              <w:rPr>
                <w:lang w:val="es-DO" w:eastAsia="es-DO"/>
              </w:rPr>
              <w:t>8</w:t>
            </w:r>
          </w:p>
        </w:tc>
      </w:tr>
      <w:tr w:rsidR="004921FF" w:rsidRPr="00D11386" w14:paraId="328FC4AA" w14:textId="77777777" w:rsidTr="00E05B71">
        <w:trPr>
          <w:trHeight w:val="276"/>
          <w:jc w:val="center"/>
        </w:trPr>
        <w:tc>
          <w:tcPr>
            <w:tcW w:w="1990" w:type="dxa"/>
            <w:noWrap/>
            <w:vAlign w:val="center"/>
            <w:hideMark/>
          </w:tcPr>
          <w:p w14:paraId="13A01221" w14:textId="77777777" w:rsidR="007335A0" w:rsidRPr="00D11386" w:rsidRDefault="007335A0" w:rsidP="00D11386">
            <w:pPr>
              <w:spacing w:after="0" w:line="240" w:lineRule="auto"/>
              <w:rPr>
                <w:lang w:val="es-DO" w:eastAsia="es-DO"/>
              </w:rPr>
            </w:pPr>
            <w:r w:rsidRPr="00D11386">
              <w:rPr>
                <w:lang w:val="es-DO" w:eastAsia="es-DO"/>
              </w:rPr>
              <w:t>MAPFRE SALUD ARS</w:t>
            </w:r>
          </w:p>
        </w:tc>
        <w:tc>
          <w:tcPr>
            <w:tcW w:w="1727" w:type="dxa"/>
            <w:noWrap/>
            <w:vAlign w:val="center"/>
            <w:hideMark/>
          </w:tcPr>
          <w:p w14:paraId="7EE447D0" w14:textId="77777777" w:rsidR="007335A0" w:rsidRPr="00D11386" w:rsidRDefault="007335A0" w:rsidP="00D11386">
            <w:pPr>
              <w:spacing w:after="0" w:line="240" w:lineRule="auto"/>
              <w:jc w:val="center"/>
              <w:rPr>
                <w:lang w:val="es-DO" w:eastAsia="es-DO"/>
              </w:rPr>
            </w:pPr>
            <w:r w:rsidRPr="00D11386">
              <w:rPr>
                <w:lang w:val="es-DO" w:eastAsia="es-DO"/>
              </w:rPr>
              <w:t>-</w:t>
            </w:r>
          </w:p>
        </w:tc>
        <w:tc>
          <w:tcPr>
            <w:tcW w:w="1761" w:type="dxa"/>
            <w:noWrap/>
            <w:vAlign w:val="center"/>
            <w:hideMark/>
          </w:tcPr>
          <w:p w14:paraId="16A3EFE0" w14:textId="77777777" w:rsidR="007335A0" w:rsidRPr="00D11386" w:rsidRDefault="007335A0" w:rsidP="00D11386">
            <w:pPr>
              <w:spacing w:after="0" w:line="240" w:lineRule="auto"/>
              <w:jc w:val="center"/>
              <w:rPr>
                <w:lang w:val="es-DO" w:eastAsia="es-DO"/>
              </w:rPr>
            </w:pPr>
            <w:r w:rsidRPr="00D11386">
              <w:rPr>
                <w:lang w:val="es-DO" w:eastAsia="es-DO"/>
              </w:rPr>
              <w:t>6</w:t>
            </w:r>
          </w:p>
        </w:tc>
        <w:tc>
          <w:tcPr>
            <w:tcW w:w="2075" w:type="dxa"/>
            <w:noWrap/>
            <w:vAlign w:val="center"/>
            <w:hideMark/>
          </w:tcPr>
          <w:p w14:paraId="2A361AD9" w14:textId="77777777" w:rsidR="007335A0" w:rsidRPr="00D11386" w:rsidRDefault="007335A0" w:rsidP="00D11386">
            <w:pPr>
              <w:spacing w:after="0" w:line="240" w:lineRule="auto"/>
              <w:jc w:val="center"/>
              <w:rPr>
                <w:lang w:val="es-DO" w:eastAsia="es-DO"/>
              </w:rPr>
            </w:pPr>
            <w:r w:rsidRPr="00D11386">
              <w:rPr>
                <w:lang w:val="es-DO" w:eastAsia="es-DO"/>
              </w:rPr>
              <w:t>6</w:t>
            </w:r>
          </w:p>
        </w:tc>
        <w:tc>
          <w:tcPr>
            <w:tcW w:w="999" w:type="dxa"/>
            <w:noWrap/>
            <w:vAlign w:val="center"/>
            <w:hideMark/>
          </w:tcPr>
          <w:p w14:paraId="78B0D2B1" w14:textId="77777777" w:rsidR="007335A0" w:rsidRPr="00D11386" w:rsidRDefault="007335A0" w:rsidP="00D11386">
            <w:pPr>
              <w:spacing w:after="0" w:line="240" w:lineRule="auto"/>
              <w:jc w:val="center"/>
              <w:rPr>
                <w:lang w:val="es-DO" w:eastAsia="es-DO"/>
              </w:rPr>
            </w:pPr>
            <w:r w:rsidRPr="00D11386">
              <w:rPr>
                <w:lang w:val="es-DO" w:eastAsia="es-DO"/>
              </w:rPr>
              <w:t>12</w:t>
            </w:r>
          </w:p>
        </w:tc>
      </w:tr>
      <w:tr w:rsidR="00D11386" w:rsidRPr="00D11386" w14:paraId="65E99F16" w14:textId="77777777" w:rsidTr="00E05B71">
        <w:trPr>
          <w:trHeight w:val="276"/>
          <w:jc w:val="center"/>
        </w:trPr>
        <w:tc>
          <w:tcPr>
            <w:tcW w:w="1990" w:type="dxa"/>
            <w:shd w:val="clear" w:color="auto" w:fill="011C50"/>
            <w:noWrap/>
            <w:vAlign w:val="center"/>
            <w:hideMark/>
          </w:tcPr>
          <w:p w14:paraId="50788B0B"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 xml:space="preserve">Total general </w:t>
            </w:r>
          </w:p>
        </w:tc>
        <w:tc>
          <w:tcPr>
            <w:tcW w:w="1727" w:type="dxa"/>
            <w:shd w:val="clear" w:color="auto" w:fill="011C50"/>
            <w:noWrap/>
            <w:vAlign w:val="center"/>
            <w:hideMark/>
          </w:tcPr>
          <w:p w14:paraId="3B7B044E"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128</w:t>
            </w:r>
          </w:p>
        </w:tc>
        <w:tc>
          <w:tcPr>
            <w:tcW w:w="1761" w:type="dxa"/>
            <w:shd w:val="clear" w:color="auto" w:fill="011C50"/>
            <w:noWrap/>
            <w:vAlign w:val="center"/>
            <w:hideMark/>
          </w:tcPr>
          <w:p w14:paraId="7960FFF8"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269</w:t>
            </w:r>
          </w:p>
        </w:tc>
        <w:tc>
          <w:tcPr>
            <w:tcW w:w="2075" w:type="dxa"/>
            <w:shd w:val="clear" w:color="auto" w:fill="011C50"/>
            <w:noWrap/>
            <w:vAlign w:val="center"/>
            <w:hideMark/>
          </w:tcPr>
          <w:p w14:paraId="1948D2EB"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6</w:t>
            </w:r>
          </w:p>
        </w:tc>
        <w:tc>
          <w:tcPr>
            <w:tcW w:w="999" w:type="dxa"/>
            <w:shd w:val="clear" w:color="auto" w:fill="011C50"/>
            <w:noWrap/>
            <w:vAlign w:val="center"/>
            <w:hideMark/>
          </w:tcPr>
          <w:p w14:paraId="19D044BC" w14:textId="77777777" w:rsidR="007335A0" w:rsidRPr="00D11386" w:rsidRDefault="007335A0" w:rsidP="00D11386">
            <w:pPr>
              <w:spacing w:after="0" w:line="240" w:lineRule="auto"/>
              <w:jc w:val="center"/>
              <w:rPr>
                <w:b/>
                <w:bCs/>
                <w:color w:val="FFFFFF" w:themeColor="background1"/>
                <w:lang w:val="es-DO" w:eastAsia="es-DO"/>
              </w:rPr>
            </w:pPr>
            <w:r w:rsidRPr="00D11386">
              <w:rPr>
                <w:b/>
                <w:bCs/>
                <w:color w:val="FFFFFF" w:themeColor="background1"/>
                <w:lang w:val="es-DO" w:eastAsia="es-DO"/>
              </w:rPr>
              <w:t>403</w:t>
            </w:r>
          </w:p>
        </w:tc>
      </w:tr>
    </w:tbl>
    <w:p w14:paraId="4E88F113" w14:textId="32490347" w:rsidR="007335A0" w:rsidRPr="005C133F" w:rsidRDefault="00CF077F" w:rsidP="005C133F">
      <w:pPr>
        <w:spacing w:after="0" w:line="360" w:lineRule="auto"/>
        <w:rPr>
          <w:rFonts w:eastAsia="Calibri"/>
          <w:sz w:val="18"/>
          <w:szCs w:val="18"/>
          <w:lang w:val="es-DO"/>
        </w:rPr>
      </w:pPr>
      <w:r w:rsidRPr="005C133F">
        <w:rPr>
          <w:rFonts w:eastAsia="Calibri"/>
          <w:noProof/>
          <w:sz w:val="18"/>
          <w:szCs w:val="18"/>
          <w:lang w:val="es-DO"/>
        </w:rPr>
        <w:t xml:space="preserve">Fuente: Dirección de Gestión Acturial del SFS y el SRL de la SISALRIL </w:t>
      </w:r>
    </w:p>
    <w:p w14:paraId="43188CBF" w14:textId="77777777" w:rsidR="00CF077F" w:rsidRPr="005C133F" w:rsidRDefault="00CF077F" w:rsidP="005C133F">
      <w:pPr>
        <w:spacing w:after="0" w:line="360" w:lineRule="auto"/>
        <w:rPr>
          <w:rFonts w:eastAsia="Calibri"/>
          <w:noProof/>
          <w:lang w:val="es-DO"/>
        </w:rPr>
      </w:pPr>
    </w:p>
    <w:p w14:paraId="769536D2" w14:textId="27246B8D" w:rsidR="007335A0" w:rsidRPr="005C133F" w:rsidRDefault="007335A0" w:rsidP="005C133F">
      <w:pPr>
        <w:pStyle w:val="Textoindependiente"/>
        <w:spacing w:before="12" w:line="360" w:lineRule="auto"/>
        <w:jc w:val="both"/>
        <w:rPr>
          <w:rFonts w:eastAsiaTheme="minorHAnsi"/>
          <w:b w:val="0"/>
          <w:bCs w:val="0"/>
          <w:i w:val="0"/>
          <w:iCs w:val="0"/>
          <w:noProof/>
          <w:color w:val="767171"/>
          <w:spacing w:val="20"/>
          <w:sz w:val="24"/>
          <w:szCs w:val="24"/>
          <w:lang w:val="es-DO"/>
        </w:rPr>
      </w:pPr>
      <w:r w:rsidRPr="005C133F">
        <w:rPr>
          <w:rFonts w:eastAsiaTheme="minorHAnsi"/>
          <w:b w:val="0"/>
          <w:bCs w:val="0"/>
          <w:i w:val="0"/>
          <w:iCs w:val="0"/>
          <w:noProof/>
          <w:color w:val="767171"/>
          <w:spacing w:val="20"/>
          <w:sz w:val="24"/>
          <w:szCs w:val="24"/>
          <w:lang w:val="es-DO"/>
        </w:rPr>
        <w:t xml:space="preserve">De los </w:t>
      </w:r>
      <w:r w:rsidR="00997EE8" w:rsidRPr="005C133F">
        <w:rPr>
          <w:rFonts w:eastAsiaTheme="minorHAnsi"/>
          <w:b w:val="0"/>
          <w:bCs w:val="0"/>
          <w:i w:val="0"/>
          <w:iCs w:val="0"/>
          <w:noProof/>
          <w:color w:val="767171"/>
          <w:spacing w:val="20"/>
          <w:sz w:val="24"/>
          <w:szCs w:val="24"/>
          <w:lang w:val="es-DO"/>
        </w:rPr>
        <w:t>cuatrocientos tres (</w:t>
      </w:r>
      <w:r w:rsidRPr="005C133F">
        <w:rPr>
          <w:rFonts w:eastAsiaTheme="minorHAnsi"/>
          <w:b w:val="0"/>
          <w:bCs w:val="0"/>
          <w:i w:val="0"/>
          <w:iCs w:val="0"/>
          <w:noProof/>
          <w:color w:val="767171"/>
          <w:spacing w:val="20"/>
          <w:sz w:val="24"/>
          <w:szCs w:val="24"/>
          <w:lang w:val="es-DO"/>
        </w:rPr>
        <w:t>403</w:t>
      </w:r>
      <w:r w:rsidR="00997EE8" w:rsidRPr="005C133F">
        <w:rPr>
          <w:rFonts w:eastAsiaTheme="minorHAnsi"/>
          <w:b w:val="0"/>
          <w:bCs w:val="0"/>
          <w:i w:val="0"/>
          <w:iCs w:val="0"/>
          <w:noProof/>
          <w:color w:val="767171"/>
          <w:spacing w:val="20"/>
          <w:sz w:val="24"/>
          <w:szCs w:val="24"/>
          <w:lang w:val="es-DO"/>
        </w:rPr>
        <w:t>)</w:t>
      </w:r>
      <w:r w:rsidRPr="005C133F">
        <w:rPr>
          <w:rFonts w:eastAsiaTheme="minorHAnsi"/>
          <w:b w:val="0"/>
          <w:bCs w:val="0"/>
          <w:i w:val="0"/>
          <w:iCs w:val="0"/>
          <w:noProof/>
          <w:color w:val="767171"/>
          <w:spacing w:val="20"/>
          <w:sz w:val="24"/>
          <w:szCs w:val="24"/>
          <w:lang w:val="es-DO"/>
        </w:rPr>
        <w:t xml:space="preserve"> Planes Alternativos de Salud sometidos a la SISALRIL, entraron a evaluación un total de </w:t>
      </w:r>
      <w:r w:rsidR="00997EE8" w:rsidRPr="005C133F">
        <w:rPr>
          <w:rFonts w:eastAsiaTheme="minorHAnsi"/>
          <w:b w:val="0"/>
          <w:bCs w:val="0"/>
          <w:i w:val="0"/>
          <w:iCs w:val="0"/>
          <w:noProof/>
          <w:color w:val="767171"/>
          <w:spacing w:val="20"/>
          <w:sz w:val="24"/>
          <w:szCs w:val="24"/>
          <w:lang w:val="es-DO"/>
        </w:rPr>
        <w:t>trescientos treinta y uno (</w:t>
      </w:r>
      <w:r w:rsidRPr="005C133F">
        <w:rPr>
          <w:rFonts w:eastAsiaTheme="minorHAnsi"/>
          <w:b w:val="0"/>
          <w:bCs w:val="0"/>
          <w:i w:val="0"/>
          <w:iCs w:val="0"/>
          <w:noProof/>
          <w:color w:val="767171"/>
          <w:spacing w:val="20"/>
          <w:sz w:val="24"/>
          <w:szCs w:val="24"/>
          <w:lang w:val="es-DO"/>
        </w:rPr>
        <w:t>331</w:t>
      </w:r>
      <w:r w:rsidR="00997EE8" w:rsidRPr="005C133F">
        <w:rPr>
          <w:rFonts w:eastAsiaTheme="minorHAnsi"/>
          <w:b w:val="0"/>
          <w:bCs w:val="0"/>
          <w:i w:val="0"/>
          <w:iCs w:val="0"/>
          <w:noProof/>
          <w:color w:val="767171"/>
          <w:spacing w:val="20"/>
          <w:sz w:val="24"/>
          <w:szCs w:val="24"/>
          <w:lang w:val="es-DO"/>
        </w:rPr>
        <w:t>)</w:t>
      </w:r>
      <w:r w:rsidRPr="005C133F">
        <w:rPr>
          <w:rFonts w:eastAsiaTheme="minorHAnsi"/>
          <w:b w:val="0"/>
          <w:bCs w:val="0"/>
          <w:i w:val="0"/>
          <w:iCs w:val="0"/>
          <w:noProof/>
          <w:color w:val="767171"/>
          <w:spacing w:val="20"/>
          <w:sz w:val="24"/>
          <w:szCs w:val="24"/>
          <w:lang w:val="es-DO"/>
        </w:rPr>
        <w:t xml:space="preserve"> Planes Alternativos de Salud y su documentación (Completa), los setenta y dos (72) planes restantes presentaron documentación incompleta. Como resultado de la evaluación de los 331 planes, fueron aprobados </w:t>
      </w:r>
      <w:r w:rsidR="00997EE8" w:rsidRPr="005C133F">
        <w:rPr>
          <w:rFonts w:eastAsiaTheme="minorHAnsi"/>
          <w:b w:val="0"/>
          <w:bCs w:val="0"/>
          <w:i w:val="0"/>
          <w:iCs w:val="0"/>
          <w:noProof/>
          <w:color w:val="767171"/>
          <w:spacing w:val="20"/>
          <w:sz w:val="24"/>
          <w:szCs w:val="24"/>
          <w:lang w:val="es-DO"/>
        </w:rPr>
        <w:t>doscientos cuarenta (</w:t>
      </w:r>
      <w:r w:rsidRPr="005C133F">
        <w:rPr>
          <w:rFonts w:eastAsiaTheme="minorHAnsi"/>
          <w:b w:val="0"/>
          <w:bCs w:val="0"/>
          <w:i w:val="0"/>
          <w:iCs w:val="0"/>
          <w:noProof/>
          <w:color w:val="767171"/>
          <w:spacing w:val="20"/>
          <w:sz w:val="24"/>
          <w:szCs w:val="24"/>
          <w:lang w:val="es-DO"/>
        </w:rPr>
        <w:t>240</w:t>
      </w:r>
      <w:r w:rsidR="00997EE8" w:rsidRPr="005C133F">
        <w:rPr>
          <w:rFonts w:eastAsiaTheme="minorHAnsi"/>
          <w:b w:val="0"/>
          <w:bCs w:val="0"/>
          <w:i w:val="0"/>
          <w:iCs w:val="0"/>
          <w:noProof/>
          <w:color w:val="767171"/>
          <w:spacing w:val="20"/>
          <w:sz w:val="24"/>
          <w:szCs w:val="24"/>
          <w:lang w:val="es-DO"/>
        </w:rPr>
        <w:t>)</w:t>
      </w:r>
      <w:r w:rsidRPr="005C133F">
        <w:rPr>
          <w:rFonts w:eastAsiaTheme="minorHAnsi"/>
          <w:b w:val="0"/>
          <w:bCs w:val="0"/>
          <w:i w:val="0"/>
          <w:iCs w:val="0"/>
          <w:noProof/>
          <w:color w:val="767171"/>
          <w:spacing w:val="20"/>
          <w:sz w:val="24"/>
          <w:szCs w:val="24"/>
          <w:lang w:val="es-DO"/>
        </w:rPr>
        <w:t xml:space="preserve"> planes por esta Superintendencia (72.51% de los planes </w:t>
      </w:r>
      <w:r w:rsidRPr="005C133F">
        <w:rPr>
          <w:rFonts w:eastAsiaTheme="minorHAnsi"/>
          <w:b w:val="0"/>
          <w:bCs w:val="0"/>
          <w:i w:val="0"/>
          <w:iCs w:val="0"/>
          <w:noProof/>
          <w:color w:val="767171"/>
          <w:spacing w:val="20"/>
          <w:sz w:val="24"/>
          <w:szCs w:val="24"/>
          <w:lang w:val="es-DO"/>
        </w:rPr>
        <w:lastRenderedPageBreak/>
        <w:t xml:space="preserve">sometidos), mientras que </w:t>
      </w:r>
      <w:r w:rsidR="00997EE8" w:rsidRPr="005C133F">
        <w:rPr>
          <w:rFonts w:eastAsiaTheme="minorHAnsi"/>
          <w:b w:val="0"/>
          <w:bCs w:val="0"/>
          <w:i w:val="0"/>
          <w:iCs w:val="0"/>
          <w:noProof/>
          <w:color w:val="767171"/>
          <w:spacing w:val="20"/>
          <w:sz w:val="24"/>
          <w:szCs w:val="24"/>
          <w:lang w:val="es-DO"/>
        </w:rPr>
        <w:t>ochenta y nueve (</w:t>
      </w:r>
      <w:r w:rsidRPr="005C133F">
        <w:rPr>
          <w:rFonts w:eastAsiaTheme="minorHAnsi"/>
          <w:b w:val="0"/>
          <w:bCs w:val="0"/>
          <w:i w:val="0"/>
          <w:iCs w:val="0"/>
          <w:noProof/>
          <w:color w:val="767171"/>
          <w:spacing w:val="20"/>
          <w:sz w:val="24"/>
          <w:szCs w:val="24"/>
          <w:lang w:val="es-DO"/>
        </w:rPr>
        <w:t>89</w:t>
      </w:r>
      <w:r w:rsidR="00997EE8" w:rsidRPr="005C133F">
        <w:rPr>
          <w:rFonts w:eastAsiaTheme="minorHAnsi"/>
          <w:b w:val="0"/>
          <w:bCs w:val="0"/>
          <w:i w:val="0"/>
          <w:iCs w:val="0"/>
          <w:noProof/>
          <w:color w:val="767171"/>
          <w:spacing w:val="20"/>
          <w:sz w:val="24"/>
          <w:szCs w:val="24"/>
          <w:lang w:val="es-DO"/>
        </w:rPr>
        <w:t>)</w:t>
      </w:r>
      <w:r w:rsidRPr="005C133F">
        <w:rPr>
          <w:rFonts w:eastAsiaTheme="minorHAnsi"/>
          <w:b w:val="0"/>
          <w:bCs w:val="0"/>
          <w:i w:val="0"/>
          <w:iCs w:val="0"/>
          <w:noProof/>
          <w:color w:val="767171"/>
          <w:spacing w:val="20"/>
          <w:sz w:val="24"/>
          <w:szCs w:val="24"/>
          <w:lang w:val="es-DO"/>
        </w:rPr>
        <w:t xml:space="preserve"> planes han sido devueltos con observaciones (26.89 %) y </w:t>
      </w:r>
      <w:r w:rsidR="00997EE8" w:rsidRPr="005C133F">
        <w:rPr>
          <w:rFonts w:eastAsiaTheme="minorHAnsi"/>
          <w:b w:val="0"/>
          <w:bCs w:val="0"/>
          <w:i w:val="0"/>
          <w:iCs w:val="0"/>
          <w:noProof/>
          <w:color w:val="767171"/>
          <w:spacing w:val="20"/>
          <w:sz w:val="24"/>
          <w:szCs w:val="24"/>
          <w:lang w:val="es-DO"/>
        </w:rPr>
        <w:t>dos (</w:t>
      </w:r>
      <w:r w:rsidRPr="005C133F">
        <w:rPr>
          <w:rFonts w:eastAsiaTheme="minorHAnsi"/>
          <w:b w:val="0"/>
          <w:bCs w:val="0"/>
          <w:i w:val="0"/>
          <w:iCs w:val="0"/>
          <w:noProof/>
          <w:color w:val="767171"/>
          <w:spacing w:val="20"/>
          <w:sz w:val="24"/>
          <w:szCs w:val="24"/>
          <w:lang w:val="es-DO"/>
        </w:rPr>
        <w:t>2</w:t>
      </w:r>
      <w:r w:rsidR="00997EE8" w:rsidRPr="005C133F">
        <w:rPr>
          <w:rFonts w:eastAsiaTheme="minorHAnsi"/>
          <w:b w:val="0"/>
          <w:bCs w:val="0"/>
          <w:i w:val="0"/>
          <w:iCs w:val="0"/>
          <w:noProof/>
          <w:color w:val="767171"/>
          <w:spacing w:val="20"/>
          <w:sz w:val="24"/>
          <w:szCs w:val="24"/>
          <w:lang w:val="es-DO"/>
        </w:rPr>
        <w:t>)</w:t>
      </w:r>
      <w:r w:rsidRPr="005C133F">
        <w:rPr>
          <w:rFonts w:eastAsiaTheme="minorHAnsi"/>
          <w:b w:val="0"/>
          <w:bCs w:val="0"/>
          <w:i w:val="0"/>
          <w:iCs w:val="0"/>
          <w:noProof/>
          <w:color w:val="767171"/>
          <w:spacing w:val="20"/>
          <w:sz w:val="24"/>
          <w:szCs w:val="24"/>
          <w:lang w:val="es-DO"/>
        </w:rPr>
        <w:t xml:space="preserve"> planes se encuentran en proceso de evaluación (0.62%).</w:t>
      </w:r>
    </w:p>
    <w:p w14:paraId="4E71F647" w14:textId="77777777" w:rsidR="00CF647E" w:rsidRDefault="00CF647E" w:rsidP="005C133F">
      <w:pPr>
        <w:tabs>
          <w:tab w:val="left" w:pos="1440"/>
        </w:tabs>
        <w:spacing w:before="122" w:after="0" w:line="360" w:lineRule="auto"/>
        <w:ind w:right="1078"/>
        <w:jc w:val="both"/>
        <w:rPr>
          <w:b/>
          <w:bCs/>
          <w:lang w:val="es-DO"/>
        </w:rPr>
      </w:pPr>
    </w:p>
    <w:p w14:paraId="7290230C" w14:textId="1FF9D520" w:rsidR="007335A0" w:rsidRDefault="007335A0" w:rsidP="005C133F">
      <w:pPr>
        <w:tabs>
          <w:tab w:val="left" w:pos="1440"/>
        </w:tabs>
        <w:spacing w:before="122" w:after="0" w:line="360" w:lineRule="auto"/>
        <w:ind w:right="1078"/>
        <w:jc w:val="both"/>
        <w:rPr>
          <w:b/>
          <w:bCs/>
          <w:lang w:val="es-DO"/>
        </w:rPr>
      </w:pPr>
      <w:r w:rsidRPr="005C133F">
        <w:rPr>
          <w:b/>
          <w:bCs/>
          <w:lang w:val="es-DO"/>
        </w:rPr>
        <w:t>Desarrollo del Sistema de Información y Gestión de los Planes (SIGEP)</w:t>
      </w:r>
    </w:p>
    <w:p w14:paraId="4125B6DA" w14:textId="77777777" w:rsidR="00D11386" w:rsidRPr="005C133F" w:rsidRDefault="00D11386" w:rsidP="005C133F">
      <w:pPr>
        <w:tabs>
          <w:tab w:val="left" w:pos="1440"/>
        </w:tabs>
        <w:spacing w:before="122" w:after="0" w:line="360" w:lineRule="auto"/>
        <w:ind w:right="1078"/>
        <w:jc w:val="both"/>
        <w:rPr>
          <w:b/>
          <w:bCs/>
          <w:lang w:val="es-DO"/>
        </w:rPr>
      </w:pPr>
    </w:p>
    <w:p w14:paraId="7B762782" w14:textId="2592D9EF" w:rsidR="00486739" w:rsidRPr="005C133F" w:rsidRDefault="007335A0" w:rsidP="005C133F">
      <w:pPr>
        <w:spacing w:after="0" w:line="360" w:lineRule="auto"/>
        <w:jc w:val="both"/>
        <w:rPr>
          <w:noProof/>
          <w:lang w:val="es-DO"/>
        </w:rPr>
      </w:pPr>
      <w:r w:rsidRPr="005C133F">
        <w:rPr>
          <w:noProof/>
          <w:lang w:val="es-DO"/>
        </w:rPr>
        <w:t xml:space="preserve">Se concluyó la segunda fase de prueba del Sistema de Información y Gestión de los Planes (SIGEP). En esta etapa se convocó a las ARS </w:t>
      </w:r>
      <w:r w:rsidR="0093388F" w:rsidRPr="005C133F">
        <w:rPr>
          <w:noProof/>
          <w:lang w:val="es-DO"/>
        </w:rPr>
        <w:t xml:space="preserve">previamente </w:t>
      </w:r>
      <w:r w:rsidRPr="005C133F">
        <w:rPr>
          <w:noProof/>
          <w:lang w:val="es-DO"/>
        </w:rPr>
        <w:t>seleccionadas</w:t>
      </w:r>
      <w:r w:rsidR="006A1E9D" w:rsidRPr="005C133F">
        <w:rPr>
          <w:noProof/>
          <w:lang w:val="es-DO"/>
        </w:rPr>
        <w:t>,</w:t>
      </w:r>
      <w:r w:rsidRPr="005C133F">
        <w:rPr>
          <w:noProof/>
          <w:lang w:val="es-DO"/>
        </w:rPr>
        <w:t xml:space="preserve"> con el objetivo de </w:t>
      </w:r>
      <w:r w:rsidR="006A1E9D" w:rsidRPr="005C133F">
        <w:rPr>
          <w:noProof/>
          <w:lang w:val="es-DO"/>
        </w:rPr>
        <w:t xml:space="preserve">ejecutar </w:t>
      </w:r>
      <w:r w:rsidRPr="005C133F">
        <w:rPr>
          <w:noProof/>
          <w:lang w:val="es-DO"/>
        </w:rPr>
        <w:t>el ciclo completo de sometimiento de planes dentro de la plataforma</w:t>
      </w:r>
      <w:r w:rsidR="00486739" w:rsidRPr="005C133F">
        <w:rPr>
          <w:noProof/>
          <w:lang w:val="es-DO"/>
        </w:rPr>
        <w:t>.</w:t>
      </w:r>
    </w:p>
    <w:p w14:paraId="187A2358" w14:textId="43091872" w:rsidR="007335A0" w:rsidRPr="005C133F" w:rsidRDefault="00486739" w:rsidP="005C133F">
      <w:pPr>
        <w:spacing w:after="0" w:line="360" w:lineRule="auto"/>
        <w:jc w:val="both"/>
        <w:rPr>
          <w:noProof/>
          <w:lang w:val="es-DO"/>
        </w:rPr>
      </w:pPr>
      <w:r w:rsidRPr="005C133F">
        <w:rPr>
          <w:noProof/>
          <w:lang w:val="es-DO"/>
        </w:rPr>
        <w:t>Esta fase permitio</w:t>
      </w:r>
      <w:r w:rsidR="00B04512" w:rsidRPr="005C133F">
        <w:rPr>
          <w:noProof/>
          <w:lang w:val="es-DO"/>
        </w:rPr>
        <w:t>a las ARS</w:t>
      </w:r>
      <w:r w:rsidR="007335A0" w:rsidRPr="005C133F">
        <w:rPr>
          <w:noProof/>
          <w:lang w:val="es-DO"/>
        </w:rPr>
        <w:t xml:space="preserve"> conocer en detalle cada una de sus funcionalidades y validar los procedimientos establecidos</w:t>
      </w:r>
      <w:r w:rsidR="0039175A" w:rsidRPr="005C133F">
        <w:rPr>
          <w:noProof/>
          <w:lang w:val="es-DO"/>
        </w:rPr>
        <w:t xml:space="preserve">, al tiempo que </w:t>
      </w:r>
      <w:r w:rsidR="007335A0" w:rsidRPr="005C133F">
        <w:rPr>
          <w:noProof/>
          <w:lang w:val="es-DO"/>
        </w:rPr>
        <w:t xml:space="preserve"> permitió observar de primera mano cómo se comportaba el sistema en condiciones reales de uso </w:t>
      </w:r>
      <w:r w:rsidR="00BD2770" w:rsidRPr="005C133F">
        <w:rPr>
          <w:noProof/>
          <w:lang w:val="es-DO"/>
        </w:rPr>
        <w:t>asi como</w:t>
      </w:r>
      <w:r w:rsidR="007335A0" w:rsidRPr="005C133F">
        <w:rPr>
          <w:noProof/>
          <w:lang w:val="es-DO"/>
        </w:rPr>
        <w:t>, recopilar comentarios y sugerencias basados en su experiencia directa.</w:t>
      </w:r>
    </w:p>
    <w:p w14:paraId="67A96F88" w14:textId="53289146" w:rsidR="00D11386" w:rsidRDefault="00E05977" w:rsidP="005C133F">
      <w:pPr>
        <w:spacing w:after="0" w:line="360" w:lineRule="auto"/>
        <w:jc w:val="both"/>
        <w:rPr>
          <w:noProof/>
          <w:lang w:val="es-DO"/>
        </w:rPr>
      </w:pPr>
      <w:r w:rsidRPr="005C133F">
        <w:rPr>
          <w:noProof/>
          <w:lang w:val="es-DO"/>
        </w:rPr>
        <w:t>Con la incorporación de estas mejoras, el sistema quedó en condiciones óptimas para avanzar a la fase de implementación y puesta en producción. En este sentido, se prevé la realización de una convocatoria general a todas las ARS, a fin de presentar formalmente la herramienta, explicar su alcance y orientar sobre los procedimientos para el registro de los planes y su documentación.</w:t>
      </w:r>
      <w:r w:rsidR="0001689D" w:rsidRPr="005C133F">
        <w:rPr>
          <w:noProof/>
          <w:lang w:val="es-DO"/>
        </w:rPr>
        <w:t>La puesta en producción del SIGEP permitirá que el sometimiento y la gestión de los Planes de Salud se realicen de manera exclusiva a través de esta plataforma, constituyendo un avance significativo en los procesos de transformación digital, innovación, estandarización y fortalecimiento de la gestión institucional.</w:t>
      </w:r>
    </w:p>
    <w:p w14:paraId="317B51D6" w14:textId="77777777" w:rsidR="00D11386" w:rsidRPr="005C133F" w:rsidRDefault="00D11386" w:rsidP="005C133F">
      <w:pPr>
        <w:spacing w:after="0" w:line="360" w:lineRule="auto"/>
        <w:jc w:val="both"/>
        <w:rPr>
          <w:noProof/>
          <w:lang w:val="es-DO"/>
        </w:rPr>
      </w:pPr>
    </w:p>
    <w:p w14:paraId="720FFBF0" w14:textId="79E162DF" w:rsidR="00CC2F82" w:rsidRPr="005C133F" w:rsidRDefault="007C22ED" w:rsidP="005C133F">
      <w:pPr>
        <w:spacing w:after="0" w:line="360" w:lineRule="auto"/>
        <w:jc w:val="both"/>
        <w:rPr>
          <w:b/>
          <w:bCs/>
          <w:noProof/>
          <w:lang w:val="es-DO"/>
        </w:rPr>
      </w:pPr>
      <w:r w:rsidRPr="005C133F">
        <w:rPr>
          <w:b/>
          <w:bCs/>
          <w:noProof/>
          <w:lang w:val="es-DO"/>
        </w:rPr>
        <w:lastRenderedPageBreak/>
        <w:t>Evaluación de Tenolog</w:t>
      </w:r>
      <w:r w:rsidR="003B6ACA" w:rsidRPr="005C133F">
        <w:rPr>
          <w:b/>
          <w:bCs/>
          <w:noProof/>
          <w:lang w:val="es-DO"/>
        </w:rPr>
        <w:t xml:space="preserve">ías Sanitarias </w:t>
      </w:r>
    </w:p>
    <w:p w14:paraId="794CD403" w14:textId="77777777" w:rsidR="00945A8F" w:rsidRPr="005C133F" w:rsidRDefault="00945A8F" w:rsidP="005C133F">
      <w:pPr>
        <w:spacing w:after="0" w:line="360" w:lineRule="auto"/>
        <w:jc w:val="both"/>
        <w:rPr>
          <w:b/>
          <w:bCs/>
          <w:noProof/>
          <w:lang w:val="es-DO"/>
        </w:rPr>
      </w:pPr>
    </w:p>
    <w:p w14:paraId="278FD811" w14:textId="598B4D7D" w:rsidR="00070FA2" w:rsidRPr="005C133F" w:rsidRDefault="00CC2F82">
      <w:pPr>
        <w:pStyle w:val="Prrafodelista"/>
        <w:numPr>
          <w:ilvl w:val="0"/>
          <w:numId w:val="151"/>
        </w:numPr>
        <w:spacing w:after="0" w:line="360" w:lineRule="auto"/>
        <w:jc w:val="both"/>
        <w:rPr>
          <w:b/>
          <w:bCs/>
          <w:noProof/>
          <w:lang w:val="es-DO"/>
        </w:rPr>
      </w:pPr>
      <w:r w:rsidRPr="005C133F">
        <w:rPr>
          <w:rFonts w:eastAsia="Calibri"/>
          <w:b/>
          <w:bCs/>
          <w:lang w:val="es-ES"/>
        </w:rPr>
        <w:t>Fichas de Priorización de Tecnologías Sanitarias</w:t>
      </w:r>
    </w:p>
    <w:p w14:paraId="63710C8A" w14:textId="67948442" w:rsidR="00070FA2" w:rsidRPr="005C133F" w:rsidRDefault="00070FA2" w:rsidP="005C133F">
      <w:pPr>
        <w:spacing w:after="0" w:line="360" w:lineRule="auto"/>
        <w:ind w:left="360"/>
        <w:jc w:val="both"/>
        <w:rPr>
          <w:rFonts w:eastAsia="Calibri"/>
          <w:lang w:val="es-ES"/>
        </w:rPr>
      </w:pPr>
      <w:r w:rsidRPr="005C133F">
        <w:rPr>
          <w:rFonts w:eastAsia="Calibri"/>
          <w:lang w:val="es-ES"/>
        </w:rPr>
        <w:t>A</w:t>
      </w:r>
      <w:r w:rsidR="00284BEB" w:rsidRPr="005C133F">
        <w:rPr>
          <w:rFonts w:eastAsia="Calibri"/>
          <w:lang w:val="es-ES"/>
        </w:rPr>
        <w:t>l mes de</w:t>
      </w:r>
      <w:r w:rsidRPr="005C133F">
        <w:rPr>
          <w:rFonts w:eastAsia="Calibri"/>
          <w:lang w:val="es-ES"/>
        </w:rPr>
        <w:t xml:space="preserve"> </w:t>
      </w:r>
      <w:r w:rsidR="00A435E4">
        <w:rPr>
          <w:rFonts w:eastAsia="Calibri"/>
          <w:lang w:val="es-ES"/>
        </w:rPr>
        <w:t>diciembre</w:t>
      </w:r>
      <w:r w:rsidRPr="005C133F">
        <w:rPr>
          <w:rFonts w:eastAsia="Calibri"/>
          <w:lang w:val="es-ES"/>
        </w:rPr>
        <w:t xml:space="preserve"> de 2025, </w:t>
      </w:r>
      <w:r w:rsidR="00673DC3" w:rsidRPr="005C133F">
        <w:rPr>
          <w:rFonts w:eastAsia="Calibri"/>
          <w:lang w:val="es-ES"/>
        </w:rPr>
        <w:t>se construyeron</w:t>
      </w:r>
      <w:r w:rsidRPr="005C133F">
        <w:rPr>
          <w:rFonts w:eastAsia="Calibri"/>
          <w:lang w:val="es-ES"/>
        </w:rPr>
        <w:t xml:space="preserve"> 106 fichas</w:t>
      </w:r>
      <w:r w:rsidR="00BD420C" w:rsidRPr="005C133F">
        <w:rPr>
          <w:rFonts w:eastAsia="Calibri"/>
          <w:lang w:val="es-ES"/>
        </w:rPr>
        <w:t xml:space="preserve"> de priorización de tecnologías sanitarias</w:t>
      </w:r>
      <w:r w:rsidRPr="005C133F">
        <w:rPr>
          <w:rFonts w:eastAsia="Calibri"/>
          <w:lang w:val="es-ES"/>
        </w:rPr>
        <w:t xml:space="preserve">, a partir de 121 solicitudes recibidas durante el año, </w:t>
      </w:r>
      <w:r w:rsidR="00FB46ED" w:rsidRPr="005C133F">
        <w:rPr>
          <w:rFonts w:eastAsia="Calibri"/>
          <w:lang w:val="es-ES"/>
        </w:rPr>
        <w:t>acumulando</w:t>
      </w:r>
      <w:r w:rsidRPr="005C133F">
        <w:rPr>
          <w:rFonts w:eastAsia="Calibri"/>
          <w:lang w:val="es-ES"/>
        </w:rPr>
        <w:t xml:space="preserve"> 238 solicitudes recibidas desde enero 2023, fecha de inicio de este proyecto. Durante este periodo se realizaron dos convocatorias </w:t>
      </w:r>
      <w:r w:rsidR="00FB46ED" w:rsidRPr="005C133F">
        <w:rPr>
          <w:rFonts w:eastAsia="Calibri"/>
          <w:lang w:val="es-ES"/>
        </w:rPr>
        <w:t xml:space="preserve">con </w:t>
      </w:r>
      <w:r w:rsidRPr="005C133F">
        <w:rPr>
          <w:rFonts w:eastAsia="Calibri"/>
          <w:lang w:val="es-ES"/>
        </w:rPr>
        <w:t xml:space="preserve">la siguiente distribución: </w:t>
      </w:r>
    </w:p>
    <w:p w14:paraId="02FAFD4D" w14:textId="1DE3B363" w:rsidR="00070FA2" w:rsidRPr="005C133F" w:rsidRDefault="00070FA2">
      <w:pPr>
        <w:pStyle w:val="Prrafodelista"/>
        <w:numPr>
          <w:ilvl w:val="0"/>
          <w:numId w:val="150"/>
        </w:numPr>
        <w:spacing w:after="0" w:line="360" w:lineRule="auto"/>
        <w:contextualSpacing w:val="0"/>
        <w:jc w:val="both"/>
        <w:rPr>
          <w:rFonts w:eastAsia="Calibri"/>
          <w:lang w:val="es-ES"/>
        </w:rPr>
      </w:pPr>
      <w:r w:rsidRPr="005C133F">
        <w:rPr>
          <w:rFonts w:eastAsia="Calibri"/>
          <w:b/>
          <w:bCs/>
          <w:lang w:val="es-ES"/>
        </w:rPr>
        <w:t>Primera convocatoria:</w:t>
      </w:r>
      <w:r w:rsidRPr="005C133F">
        <w:rPr>
          <w:rFonts w:eastAsia="Calibri"/>
          <w:lang w:val="es-ES"/>
        </w:rPr>
        <w:t xml:space="preserve"> se recibieron </w:t>
      </w:r>
      <w:r w:rsidR="00FB46ED" w:rsidRPr="005C133F">
        <w:rPr>
          <w:rFonts w:eastAsia="Calibri"/>
          <w:lang w:val="es-ES"/>
        </w:rPr>
        <w:t xml:space="preserve">49 solicitudes de las cuales se elaboraron </w:t>
      </w:r>
      <w:r w:rsidRPr="005C133F">
        <w:rPr>
          <w:rFonts w:eastAsia="Calibri"/>
          <w:lang w:val="es-ES"/>
        </w:rPr>
        <w:t>e 44 fichas de priorización</w:t>
      </w:r>
      <w:r w:rsidR="00524AA0" w:rsidRPr="005C133F">
        <w:rPr>
          <w:rFonts w:eastAsia="Calibri"/>
          <w:lang w:val="es-ES"/>
        </w:rPr>
        <w:t>. Estas correspondieron a</w:t>
      </w:r>
      <w:r w:rsidRPr="005C133F">
        <w:rPr>
          <w:rFonts w:eastAsia="Calibri"/>
          <w:lang w:val="es-ES"/>
        </w:rPr>
        <w:t xml:space="preserve"> 15 correspondieron a patologías oncológicas, 13 a enfermedades autoinmunes, 5 a enfermedades virales, 2 sobre enfermedades inflamatorias de la piel y 9 de otras patologías. </w:t>
      </w:r>
    </w:p>
    <w:p w14:paraId="2C8CB359" w14:textId="7A310872" w:rsidR="00E80798" w:rsidRPr="005C133F" w:rsidRDefault="00070FA2">
      <w:pPr>
        <w:pStyle w:val="Prrafodelista"/>
        <w:numPr>
          <w:ilvl w:val="0"/>
          <w:numId w:val="150"/>
        </w:numPr>
        <w:spacing w:after="0" w:line="360" w:lineRule="auto"/>
        <w:contextualSpacing w:val="0"/>
        <w:jc w:val="both"/>
        <w:rPr>
          <w:rFonts w:eastAsia="Calibri"/>
          <w:lang w:val="es-ES"/>
        </w:rPr>
      </w:pPr>
      <w:r w:rsidRPr="005C133F">
        <w:rPr>
          <w:rFonts w:eastAsia="Calibri"/>
          <w:b/>
          <w:bCs/>
          <w:lang w:val="es-ES"/>
        </w:rPr>
        <w:t>Segunda convocatoria:</w:t>
      </w:r>
      <w:r w:rsidRPr="005C133F">
        <w:rPr>
          <w:rFonts w:eastAsia="Calibri"/>
          <w:lang w:val="es-ES"/>
        </w:rPr>
        <w:t xml:space="preserve"> </w:t>
      </w:r>
      <w:r w:rsidR="00FF2A61" w:rsidRPr="005C133F">
        <w:rPr>
          <w:rFonts w:eastAsia="Calibri"/>
          <w:lang w:val="es-ES"/>
        </w:rPr>
        <w:t>se recibieron</w:t>
      </w:r>
      <w:r w:rsidR="00C965F0" w:rsidRPr="005C133F">
        <w:rPr>
          <w:rFonts w:eastAsia="Calibri"/>
          <w:lang w:val="es-ES"/>
        </w:rPr>
        <w:t xml:space="preserve"> </w:t>
      </w:r>
      <w:r w:rsidRPr="005C133F">
        <w:rPr>
          <w:rFonts w:eastAsia="Calibri"/>
          <w:lang w:val="es-ES"/>
        </w:rPr>
        <w:t>72 solicitudes, de las cuales</w:t>
      </w:r>
      <w:r w:rsidR="00C965F0" w:rsidRPr="005C133F">
        <w:rPr>
          <w:rFonts w:eastAsia="Calibri"/>
          <w:lang w:val="es-ES"/>
        </w:rPr>
        <w:t xml:space="preserve"> se elaboraron 62 fichas de priorización</w:t>
      </w:r>
      <w:r w:rsidR="008B2DFC" w:rsidRPr="005C133F">
        <w:rPr>
          <w:rFonts w:eastAsia="Calibri"/>
          <w:lang w:val="es-ES"/>
        </w:rPr>
        <w:t>.  Estas incluyeron</w:t>
      </w:r>
      <w:r w:rsidRPr="005C133F">
        <w:rPr>
          <w:rFonts w:eastAsia="Calibri"/>
          <w:lang w:val="es-ES"/>
        </w:rPr>
        <w:t xml:space="preserve"> 29 patologías oncológicas, 5 </w:t>
      </w:r>
      <w:r w:rsidR="004931E3" w:rsidRPr="005C133F">
        <w:rPr>
          <w:rFonts w:eastAsia="Calibri"/>
          <w:lang w:val="es-ES"/>
        </w:rPr>
        <w:t xml:space="preserve">relacionadas a </w:t>
      </w:r>
      <w:r w:rsidRPr="005C133F">
        <w:rPr>
          <w:rFonts w:eastAsia="Calibri"/>
          <w:lang w:val="es-ES"/>
        </w:rPr>
        <w:t xml:space="preserve">diabetes, 5 </w:t>
      </w:r>
      <w:r w:rsidR="004931E3" w:rsidRPr="005C133F">
        <w:rPr>
          <w:rFonts w:eastAsia="Calibri"/>
          <w:lang w:val="es-ES"/>
        </w:rPr>
        <w:t xml:space="preserve">a </w:t>
      </w:r>
      <w:r w:rsidRPr="005C133F">
        <w:rPr>
          <w:rFonts w:eastAsia="Calibri"/>
          <w:lang w:val="es-ES"/>
        </w:rPr>
        <w:t xml:space="preserve">enfermedades autoinmunes, 4 a enfermedades protáticas, 4 a enfermedades cardiacas y 15 a otras enfermedades. </w:t>
      </w:r>
    </w:p>
    <w:p w14:paraId="73DF2F6C" w14:textId="0501F0D7" w:rsidR="00070FA2" w:rsidRPr="005C133F" w:rsidRDefault="00D8059F" w:rsidP="00CF647E">
      <w:pPr>
        <w:spacing w:after="0" w:line="360" w:lineRule="auto"/>
        <w:ind w:left="360"/>
        <w:jc w:val="both"/>
        <w:rPr>
          <w:rFonts w:eastAsia="Calibri"/>
          <w:lang w:val="es-ES"/>
        </w:rPr>
      </w:pPr>
      <w:r w:rsidRPr="005C133F">
        <w:rPr>
          <w:rFonts w:eastAsia="Calibri"/>
          <w:lang w:val="es-ES"/>
        </w:rPr>
        <w:t>La elaboración de estas fichas ha permitido ordenar, priorizar y sustentar técnicamente las decisiones relativas a la evaluación de nuevas tecnologías sanitarias, fortaleciendo la toma de decisiones basadas en evidencia, la eficiencia del gasto en salud y la mejora progresiva de las coberturas del sistema.</w:t>
      </w:r>
    </w:p>
    <w:p w14:paraId="7C0CF7E9" w14:textId="43F5EC18" w:rsidR="007A3E4B" w:rsidRPr="005C133F" w:rsidRDefault="007A3E4B" w:rsidP="00E05B71">
      <w:pPr>
        <w:pStyle w:val="Descripcin"/>
        <w:keepNext/>
        <w:spacing w:after="0"/>
        <w:jc w:val="center"/>
        <w:rPr>
          <w:rFonts w:eastAsia="Calibri"/>
          <w:b/>
          <w:bCs/>
          <w:i w:val="0"/>
          <w:iCs w:val="0"/>
          <w:color w:val="767171"/>
          <w:sz w:val="24"/>
          <w:szCs w:val="24"/>
          <w:lang w:val="es-ES"/>
        </w:rPr>
      </w:pPr>
      <w:bookmarkStart w:id="32" w:name="_Toc218784144"/>
      <w:r w:rsidRPr="005C133F">
        <w:rPr>
          <w:rFonts w:eastAsia="Calibri"/>
          <w:b/>
          <w:bCs/>
          <w:i w:val="0"/>
          <w:iCs w:val="0"/>
          <w:color w:val="767171"/>
          <w:sz w:val="24"/>
          <w:szCs w:val="24"/>
          <w:lang w:val="es-ES"/>
        </w:rPr>
        <w:lastRenderedPageBreak/>
        <w:t xml:space="preserve">Tabla </w:t>
      </w:r>
      <w:r w:rsidRPr="005C133F">
        <w:rPr>
          <w:rFonts w:eastAsia="Calibri"/>
          <w:b/>
          <w:bCs/>
          <w:i w:val="0"/>
          <w:iCs w:val="0"/>
          <w:color w:val="767171"/>
          <w:sz w:val="24"/>
          <w:szCs w:val="24"/>
          <w:lang w:val="es-ES"/>
        </w:rPr>
        <w:fldChar w:fldCharType="begin"/>
      </w:r>
      <w:r w:rsidRPr="005C133F">
        <w:rPr>
          <w:rFonts w:eastAsia="Calibri"/>
          <w:b/>
          <w:bCs/>
          <w:i w:val="0"/>
          <w:iCs w:val="0"/>
          <w:color w:val="767171"/>
          <w:sz w:val="24"/>
          <w:szCs w:val="24"/>
          <w:lang w:val="es-ES"/>
        </w:rPr>
        <w:instrText xml:space="preserve"> SEQ Tabla \* ARABIC </w:instrText>
      </w:r>
      <w:r w:rsidRPr="005C133F">
        <w:rPr>
          <w:rFonts w:eastAsia="Calibri"/>
          <w:b/>
          <w:bCs/>
          <w:i w:val="0"/>
          <w:iCs w:val="0"/>
          <w:color w:val="767171"/>
          <w:sz w:val="24"/>
          <w:szCs w:val="24"/>
          <w:lang w:val="es-ES"/>
        </w:rPr>
        <w:fldChar w:fldCharType="separate"/>
      </w:r>
      <w:r w:rsidR="00814341">
        <w:rPr>
          <w:rFonts w:eastAsia="Calibri"/>
          <w:b/>
          <w:bCs/>
          <w:i w:val="0"/>
          <w:iCs w:val="0"/>
          <w:noProof/>
          <w:color w:val="767171"/>
          <w:sz w:val="24"/>
          <w:szCs w:val="24"/>
          <w:lang w:val="es-ES"/>
        </w:rPr>
        <w:t>12</w:t>
      </w:r>
      <w:r w:rsidRPr="005C133F">
        <w:rPr>
          <w:rFonts w:eastAsia="Calibri"/>
          <w:b/>
          <w:bCs/>
          <w:i w:val="0"/>
          <w:iCs w:val="0"/>
          <w:color w:val="767171"/>
          <w:sz w:val="24"/>
          <w:szCs w:val="24"/>
          <w:lang w:val="es-ES"/>
        </w:rPr>
        <w:fldChar w:fldCharType="end"/>
      </w:r>
      <w:r w:rsidRPr="005C133F">
        <w:rPr>
          <w:rFonts w:eastAsia="Calibri"/>
          <w:b/>
          <w:bCs/>
          <w:i w:val="0"/>
          <w:iCs w:val="0"/>
          <w:color w:val="767171"/>
          <w:sz w:val="24"/>
          <w:szCs w:val="24"/>
          <w:lang w:val="es-ES"/>
        </w:rPr>
        <w:t>. Fichas construidas en la primera convocatoria de EVTESA 2025</w:t>
      </w:r>
      <w:bookmarkEnd w:id="32"/>
    </w:p>
    <w:tbl>
      <w:tblPr>
        <w:tblW w:w="807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567"/>
        <w:gridCol w:w="3969"/>
        <w:gridCol w:w="3539"/>
      </w:tblGrid>
      <w:tr w:rsidR="004E4EBE" w:rsidRPr="004E4EBE" w14:paraId="101AE7E9" w14:textId="77777777" w:rsidTr="00E05B71">
        <w:trPr>
          <w:trHeight w:val="346"/>
          <w:tblHeader/>
          <w:jc w:val="center"/>
        </w:trPr>
        <w:tc>
          <w:tcPr>
            <w:tcW w:w="567" w:type="dxa"/>
            <w:shd w:val="clear" w:color="auto" w:fill="011C50"/>
            <w:vAlign w:val="center"/>
          </w:tcPr>
          <w:p w14:paraId="542B3300" w14:textId="77777777" w:rsidR="00070FA2" w:rsidRPr="004E4EBE" w:rsidRDefault="00070FA2" w:rsidP="00D11386">
            <w:pPr>
              <w:spacing w:after="0" w:line="240" w:lineRule="auto"/>
              <w:jc w:val="center"/>
              <w:rPr>
                <w:rFonts w:eastAsia="Times New Roman"/>
                <w:b/>
                <w:bCs/>
                <w:color w:val="FFFFFF" w:themeColor="background1"/>
                <w:lang w:val="es-DO" w:eastAsia="es-DO"/>
              </w:rPr>
            </w:pPr>
            <w:r w:rsidRPr="004E4EBE">
              <w:rPr>
                <w:rFonts w:eastAsia="Times New Roman"/>
                <w:b/>
                <w:bCs/>
                <w:color w:val="FFFFFF" w:themeColor="background1"/>
                <w:lang w:val="es-DO" w:eastAsia="es-DO"/>
              </w:rPr>
              <w:t>No.</w:t>
            </w:r>
          </w:p>
        </w:tc>
        <w:tc>
          <w:tcPr>
            <w:tcW w:w="3969" w:type="dxa"/>
            <w:shd w:val="clear" w:color="auto" w:fill="011C50"/>
            <w:noWrap/>
            <w:vAlign w:val="center"/>
            <w:hideMark/>
          </w:tcPr>
          <w:p w14:paraId="18506F14" w14:textId="77777777" w:rsidR="00070FA2" w:rsidRPr="004E4EBE" w:rsidRDefault="00070FA2" w:rsidP="00D11386">
            <w:pPr>
              <w:spacing w:after="0" w:line="240" w:lineRule="auto"/>
              <w:jc w:val="center"/>
              <w:rPr>
                <w:rFonts w:eastAsia="Times New Roman"/>
                <w:b/>
                <w:bCs/>
                <w:color w:val="FFFFFF" w:themeColor="background1"/>
                <w:lang w:val="es-DO" w:eastAsia="es-DO"/>
              </w:rPr>
            </w:pPr>
            <w:r w:rsidRPr="004E4EBE">
              <w:rPr>
                <w:rFonts w:eastAsia="Times New Roman"/>
                <w:b/>
                <w:bCs/>
                <w:color w:val="FFFFFF" w:themeColor="background1"/>
                <w:lang w:val="es-DO" w:eastAsia="es-DO"/>
              </w:rPr>
              <w:t xml:space="preserve">Tecnologías </w:t>
            </w:r>
          </w:p>
        </w:tc>
        <w:tc>
          <w:tcPr>
            <w:tcW w:w="3539" w:type="dxa"/>
            <w:shd w:val="clear" w:color="auto" w:fill="011C50"/>
            <w:vAlign w:val="center"/>
          </w:tcPr>
          <w:p w14:paraId="60C21134" w14:textId="77777777" w:rsidR="00070FA2" w:rsidRPr="004E4EBE" w:rsidRDefault="00070FA2" w:rsidP="00D11386">
            <w:pPr>
              <w:spacing w:after="0" w:line="240" w:lineRule="auto"/>
              <w:jc w:val="center"/>
              <w:rPr>
                <w:rFonts w:eastAsia="Times New Roman"/>
                <w:b/>
                <w:bCs/>
                <w:color w:val="FFFFFF" w:themeColor="background1"/>
                <w:lang w:val="es-DO" w:eastAsia="es-DO"/>
              </w:rPr>
            </w:pPr>
            <w:r w:rsidRPr="004E4EBE">
              <w:rPr>
                <w:rFonts w:eastAsia="Times New Roman"/>
                <w:b/>
                <w:bCs/>
                <w:color w:val="FFFFFF" w:themeColor="background1"/>
                <w:lang w:val="es-DO" w:eastAsia="es-DO"/>
              </w:rPr>
              <w:t>Patología</w:t>
            </w:r>
          </w:p>
        </w:tc>
      </w:tr>
      <w:tr w:rsidR="004921FF" w:rsidRPr="005C133F" w14:paraId="5777AA75" w14:textId="77777777" w:rsidTr="00E05B71">
        <w:trPr>
          <w:trHeight w:val="302"/>
          <w:jc w:val="center"/>
        </w:trPr>
        <w:tc>
          <w:tcPr>
            <w:tcW w:w="567" w:type="dxa"/>
            <w:vAlign w:val="center"/>
          </w:tcPr>
          <w:p w14:paraId="733F9E52" w14:textId="77777777" w:rsidR="00070FA2" w:rsidRPr="005C133F" w:rsidRDefault="00070FA2" w:rsidP="00D11386">
            <w:pPr>
              <w:spacing w:after="0" w:line="240" w:lineRule="auto"/>
              <w:jc w:val="center"/>
              <w:rPr>
                <w:rFonts w:eastAsia="Calibri"/>
                <w:lang w:val="es-DO"/>
              </w:rPr>
            </w:pPr>
            <w:r w:rsidRPr="005C133F">
              <w:rPr>
                <w:rFonts w:eastAsia="Calibri"/>
                <w:lang w:val="es-DO"/>
              </w:rPr>
              <w:t>1</w:t>
            </w:r>
          </w:p>
        </w:tc>
        <w:tc>
          <w:tcPr>
            <w:tcW w:w="3969" w:type="dxa"/>
            <w:noWrap/>
            <w:vAlign w:val="bottom"/>
            <w:hideMark/>
          </w:tcPr>
          <w:p w14:paraId="6AA9B755" w14:textId="77777777" w:rsidR="00070FA2" w:rsidRPr="005C133F" w:rsidRDefault="00070FA2" w:rsidP="00D11386">
            <w:pPr>
              <w:spacing w:after="0" w:line="240" w:lineRule="auto"/>
              <w:rPr>
                <w:rFonts w:eastAsia="Times New Roman"/>
                <w:lang w:val="es-DO" w:eastAsia="es-DO"/>
              </w:rPr>
            </w:pPr>
            <w:hyperlink r:id="rId20" w:history="1">
              <w:r w:rsidRPr="005C133F">
                <w:rPr>
                  <w:rFonts w:eastAsia="Calibri"/>
                  <w:lang w:val="es-DO"/>
                </w:rPr>
                <w:t>PALMITATO DE PALIPERIDONA</w:t>
              </w:r>
            </w:hyperlink>
          </w:p>
        </w:tc>
        <w:tc>
          <w:tcPr>
            <w:tcW w:w="3539" w:type="dxa"/>
            <w:vAlign w:val="center"/>
          </w:tcPr>
          <w:p w14:paraId="0BEB285A"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Esquizofrenia</w:t>
            </w:r>
          </w:p>
        </w:tc>
      </w:tr>
      <w:tr w:rsidR="004921FF" w:rsidRPr="005C133F" w14:paraId="32B16A18" w14:textId="77777777" w:rsidTr="00E05B71">
        <w:trPr>
          <w:trHeight w:val="302"/>
          <w:jc w:val="center"/>
        </w:trPr>
        <w:tc>
          <w:tcPr>
            <w:tcW w:w="567" w:type="dxa"/>
            <w:vAlign w:val="center"/>
          </w:tcPr>
          <w:p w14:paraId="24D33953" w14:textId="77777777" w:rsidR="00070FA2" w:rsidRPr="005C133F" w:rsidRDefault="00070FA2" w:rsidP="00D11386">
            <w:pPr>
              <w:spacing w:after="0" w:line="240" w:lineRule="auto"/>
              <w:jc w:val="center"/>
              <w:rPr>
                <w:rFonts w:eastAsia="Calibri"/>
                <w:lang w:val="es-DO"/>
              </w:rPr>
            </w:pPr>
            <w:r w:rsidRPr="005C133F">
              <w:rPr>
                <w:rFonts w:eastAsia="Calibri"/>
                <w:lang w:val="es-DO"/>
              </w:rPr>
              <w:t>2</w:t>
            </w:r>
          </w:p>
        </w:tc>
        <w:tc>
          <w:tcPr>
            <w:tcW w:w="3969" w:type="dxa"/>
            <w:noWrap/>
            <w:vAlign w:val="bottom"/>
            <w:hideMark/>
          </w:tcPr>
          <w:p w14:paraId="564AF16E" w14:textId="77777777" w:rsidR="00070FA2" w:rsidRPr="005C133F" w:rsidRDefault="00070FA2" w:rsidP="00D11386">
            <w:pPr>
              <w:spacing w:after="0" w:line="240" w:lineRule="auto"/>
              <w:rPr>
                <w:rFonts w:eastAsia="Times New Roman"/>
                <w:lang w:val="es-DO" w:eastAsia="es-DO"/>
              </w:rPr>
            </w:pPr>
            <w:hyperlink r:id="rId21" w:history="1">
              <w:r w:rsidRPr="005C133F">
                <w:rPr>
                  <w:rFonts w:eastAsia="Calibri"/>
                  <w:lang w:val="es-DO"/>
                </w:rPr>
                <w:t>INTERFERON BETA 1 B</w:t>
              </w:r>
            </w:hyperlink>
          </w:p>
        </w:tc>
        <w:tc>
          <w:tcPr>
            <w:tcW w:w="3539" w:type="dxa"/>
            <w:vAlign w:val="center"/>
          </w:tcPr>
          <w:p w14:paraId="141CDF5B"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Esclerosis Múltiple</w:t>
            </w:r>
          </w:p>
        </w:tc>
      </w:tr>
      <w:tr w:rsidR="004921FF" w:rsidRPr="005C133F" w14:paraId="649E7317" w14:textId="77777777" w:rsidTr="00E05B71">
        <w:trPr>
          <w:trHeight w:val="302"/>
          <w:jc w:val="center"/>
        </w:trPr>
        <w:tc>
          <w:tcPr>
            <w:tcW w:w="567" w:type="dxa"/>
            <w:vAlign w:val="center"/>
          </w:tcPr>
          <w:p w14:paraId="5B3FF1DC" w14:textId="77777777" w:rsidR="00070FA2" w:rsidRPr="005C133F" w:rsidRDefault="00070FA2" w:rsidP="00D11386">
            <w:pPr>
              <w:spacing w:after="0" w:line="240" w:lineRule="auto"/>
              <w:jc w:val="center"/>
              <w:rPr>
                <w:rFonts w:eastAsia="Calibri"/>
                <w:lang w:val="es-DO"/>
              </w:rPr>
            </w:pPr>
            <w:r w:rsidRPr="005C133F">
              <w:rPr>
                <w:rFonts w:eastAsia="Calibri"/>
                <w:lang w:val="es-DO"/>
              </w:rPr>
              <w:t>3</w:t>
            </w:r>
          </w:p>
        </w:tc>
        <w:tc>
          <w:tcPr>
            <w:tcW w:w="3969" w:type="dxa"/>
            <w:noWrap/>
            <w:vAlign w:val="bottom"/>
            <w:hideMark/>
          </w:tcPr>
          <w:p w14:paraId="3F2E6847" w14:textId="77777777" w:rsidR="00070FA2" w:rsidRPr="005C133F" w:rsidRDefault="00070FA2" w:rsidP="00D11386">
            <w:pPr>
              <w:spacing w:after="0" w:line="240" w:lineRule="auto"/>
              <w:rPr>
                <w:rFonts w:eastAsia="Times New Roman"/>
                <w:lang w:val="es-DO" w:eastAsia="es-DO"/>
              </w:rPr>
            </w:pPr>
            <w:hyperlink r:id="rId22" w:history="1">
              <w:r w:rsidRPr="005C133F">
                <w:rPr>
                  <w:rFonts w:eastAsia="Calibri"/>
                  <w:lang w:val="es-DO"/>
                </w:rPr>
                <w:t xml:space="preserve">PIRFENIDONA </w:t>
              </w:r>
            </w:hyperlink>
          </w:p>
        </w:tc>
        <w:tc>
          <w:tcPr>
            <w:tcW w:w="3539" w:type="dxa"/>
            <w:vAlign w:val="center"/>
          </w:tcPr>
          <w:p w14:paraId="72634016"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Fibrosis Pulmonar Idiopática</w:t>
            </w:r>
          </w:p>
        </w:tc>
      </w:tr>
      <w:tr w:rsidR="004921FF" w:rsidRPr="005C133F" w14:paraId="32F30CE8" w14:textId="77777777" w:rsidTr="00E05B71">
        <w:trPr>
          <w:trHeight w:val="302"/>
          <w:jc w:val="center"/>
        </w:trPr>
        <w:tc>
          <w:tcPr>
            <w:tcW w:w="567" w:type="dxa"/>
            <w:vAlign w:val="center"/>
          </w:tcPr>
          <w:p w14:paraId="2DB23729" w14:textId="77777777" w:rsidR="00070FA2" w:rsidRPr="005C133F" w:rsidRDefault="00070FA2" w:rsidP="00D11386">
            <w:pPr>
              <w:spacing w:after="0" w:line="240" w:lineRule="auto"/>
              <w:jc w:val="center"/>
              <w:rPr>
                <w:rFonts w:eastAsia="Calibri"/>
                <w:lang w:val="es-DO"/>
              </w:rPr>
            </w:pPr>
            <w:r w:rsidRPr="005C133F">
              <w:rPr>
                <w:rFonts w:eastAsia="Calibri"/>
                <w:lang w:val="es-DO"/>
              </w:rPr>
              <w:t>4</w:t>
            </w:r>
          </w:p>
        </w:tc>
        <w:tc>
          <w:tcPr>
            <w:tcW w:w="3969" w:type="dxa"/>
            <w:noWrap/>
            <w:vAlign w:val="bottom"/>
            <w:hideMark/>
          </w:tcPr>
          <w:p w14:paraId="28FAF8C3" w14:textId="77777777" w:rsidR="00070FA2" w:rsidRPr="005C133F" w:rsidRDefault="00070FA2" w:rsidP="00D11386">
            <w:pPr>
              <w:spacing w:after="0" w:line="240" w:lineRule="auto"/>
              <w:rPr>
                <w:rFonts w:eastAsia="Times New Roman"/>
                <w:lang w:val="es-DO" w:eastAsia="es-DO"/>
              </w:rPr>
            </w:pPr>
            <w:hyperlink r:id="rId23" w:history="1">
              <w:r w:rsidRPr="005C133F">
                <w:rPr>
                  <w:rFonts w:eastAsia="Calibri"/>
                  <w:lang w:val="es-DO"/>
                </w:rPr>
                <w:t>TERIFLUNOMIDA</w:t>
              </w:r>
            </w:hyperlink>
          </w:p>
        </w:tc>
        <w:tc>
          <w:tcPr>
            <w:tcW w:w="3539" w:type="dxa"/>
            <w:vAlign w:val="center"/>
          </w:tcPr>
          <w:p w14:paraId="3F2614A6"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Esclerosis Múltiple</w:t>
            </w:r>
          </w:p>
        </w:tc>
      </w:tr>
      <w:tr w:rsidR="004921FF" w:rsidRPr="00CD02F5" w14:paraId="65DC69AC" w14:textId="77777777" w:rsidTr="00E05B71">
        <w:trPr>
          <w:trHeight w:val="302"/>
          <w:jc w:val="center"/>
        </w:trPr>
        <w:tc>
          <w:tcPr>
            <w:tcW w:w="567" w:type="dxa"/>
            <w:vAlign w:val="center"/>
          </w:tcPr>
          <w:p w14:paraId="3142E9A3" w14:textId="77777777" w:rsidR="00070FA2" w:rsidRPr="005C133F" w:rsidRDefault="00070FA2" w:rsidP="00D11386">
            <w:pPr>
              <w:spacing w:after="0" w:line="240" w:lineRule="auto"/>
              <w:jc w:val="center"/>
              <w:rPr>
                <w:rFonts w:eastAsia="Calibri"/>
                <w:lang w:val="es-DO"/>
              </w:rPr>
            </w:pPr>
            <w:r w:rsidRPr="005C133F">
              <w:rPr>
                <w:rFonts w:eastAsia="Calibri"/>
                <w:lang w:val="es-DO"/>
              </w:rPr>
              <w:t>5</w:t>
            </w:r>
          </w:p>
        </w:tc>
        <w:tc>
          <w:tcPr>
            <w:tcW w:w="3969" w:type="dxa"/>
            <w:noWrap/>
            <w:vAlign w:val="bottom"/>
            <w:hideMark/>
          </w:tcPr>
          <w:p w14:paraId="6F09E562"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OLAPARIB</w:t>
            </w:r>
          </w:p>
        </w:tc>
        <w:tc>
          <w:tcPr>
            <w:tcW w:w="3539" w:type="dxa"/>
            <w:vAlign w:val="center"/>
          </w:tcPr>
          <w:p w14:paraId="69B1D244"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prostático resistente a la castración metastásico</w:t>
            </w:r>
          </w:p>
        </w:tc>
      </w:tr>
      <w:tr w:rsidR="004921FF" w:rsidRPr="00CD02F5" w14:paraId="1B467F3D" w14:textId="77777777" w:rsidTr="00E05B71">
        <w:trPr>
          <w:trHeight w:val="302"/>
          <w:jc w:val="center"/>
        </w:trPr>
        <w:tc>
          <w:tcPr>
            <w:tcW w:w="567" w:type="dxa"/>
            <w:vAlign w:val="center"/>
          </w:tcPr>
          <w:p w14:paraId="53CEC5B2" w14:textId="77777777" w:rsidR="00070FA2" w:rsidRPr="005C133F" w:rsidRDefault="00070FA2" w:rsidP="00D11386">
            <w:pPr>
              <w:spacing w:after="0" w:line="240" w:lineRule="auto"/>
              <w:jc w:val="center"/>
              <w:rPr>
                <w:rFonts w:eastAsia="Calibri"/>
                <w:lang w:val="es-DO"/>
              </w:rPr>
            </w:pPr>
            <w:r w:rsidRPr="005C133F">
              <w:rPr>
                <w:rFonts w:eastAsia="Calibri"/>
                <w:lang w:val="es-DO"/>
              </w:rPr>
              <w:t>6</w:t>
            </w:r>
          </w:p>
        </w:tc>
        <w:tc>
          <w:tcPr>
            <w:tcW w:w="3969" w:type="dxa"/>
            <w:noWrap/>
            <w:vAlign w:val="bottom"/>
            <w:hideMark/>
          </w:tcPr>
          <w:p w14:paraId="3E83322E"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NIVOLUMAB COMBINADO CON QUIMIOTERAPIA QUE CONTIENE FLUOROPIRIMIDINA Y PLATINO.</w:t>
            </w:r>
          </w:p>
        </w:tc>
        <w:tc>
          <w:tcPr>
            <w:tcW w:w="3539" w:type="dxa"/>
            <w:vAlign w:val="center"/>
          </w:tcPr>
          <w:p w14:paraId="4A28D37F"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gástrico, cáncer de la unión gastroesofágica y adenocarcinoma esofágico avanzado o metastásico</w:t>
            </w:r>
          </w:p>
        </w:tc>
      </w:tr>
      <w:tr w:rsidR="004921FF" w:rsidRPr="005C133F" w14:paraId="749C3AB3" w14:textId="77777777" w:rsidTr="00E05B71">
        <w:trPr>
          <w:trHeight w:val="302"/>
          <w:jc w:val="center"/>
        </w:trPr>
        <w:tc>
          <w:tcPr>
            <w:tcW w:w="567" w:type="dxa"/>
            <w:vAlign w:val="center"/>
          </w:tcPr>
          <w:p w14:paraId="7A8C014D" w14:textId="77777777" w:rsidR="00070FA2" w:rsidRPr="005C133F" w:rsidRDefault="00070FA2" w:rsidP="00D11386">
            <w:pPr>
              <w:spacing w:after="0" w:line="240" w:lineRule="auto"/>
              <w:jc w:val="center"/>
              <w:rPr>
                <w:rFonts w:eastAsia="Calibri"/>
                <w:lang w:val="es-DO"/>
              </w:rPr>
            </w:pPr>
            <w:r w:rsidRPr="005C133F">
              <w:rPr>
                <w:rFonts w:eastAsia="Calibri"/>
                <w:lang w:val="es-DO"/>
              </w:rPr>
              <w:t>7</w:t>
            </w:r>
          </w:p>
        </w:tc>
        <w:tc>
          <w:tcPr>
            <w:tcW w:w="3969" w:type="dxa"/>
            <w:noWrap/>
            <w:vAlign w:val="bottom"/>
            <w:hideMark/>
          </w:tcPr>
          <w:p w14:paraId="681AE560" w14:textId="77777777" w:rsidR="00070FA2" w:rsidRPr="005C133F" w:rsidRDefault="00070FA2" w:rsidP="00D11386">
            <w:pPr>
              <w:spacing w:after="0" w:line="240" w:lineRule="auto"/>
              <w:rPr>
                <w:rFonts w:eastAsia="Times New Roman"/>
                <w:lang w:val="es-DO" w:eastAsia="es-DO"/>
              </w:rPr>
            </w:pPr>
            <w:hyperlink r:id="rId24" w:history="1">
              <w:r w:rsidRPr="005C133F">
                <w:rPr>
                  <w:rFonts w:eastAsia="Calibri"/>
                  <w:lang w:val="es-DO"/>
                </w:rPr>
                <w:t xml:space="preserve">ELTROMBOPAG </w:t>
              </w:r>
            </w:hyperlink>
          </w:p>
        </w:tc>
        <w:tc>
          <w:tcPr>
            <w:tcW w:w="3539" w:type="dxa"/>
            <w:vAlign w:val="center"/>
          </w:tcPr>
          <w:p w14:paraId="6ADE7E32"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 xml:space="preserve">Anemia </w:t>
            </w:r>
            <w:proofErr w:type="spellStart"/>
            <w:r w:rsidRPr="005C133F">
              <w:rPr>
                <w:rFonts w:eastAsia="Calibri"/>
                <w:lang w:val="es-DO"/>
              </w:rPr>
              <w:t>aplástica</w:t>
            </w:r>
            <w:proofErr w:type="spellEnd"/>
          </w:p>
        </w:tc>
      </w:tr>
      <w:tr w:rsidR="004921FF" w:rsidRPr="005C133F" w14:paraId="5BFC7522" w14:textId="77777777" w:rsidTr="00E05B71">
        <w:trPr>
          <w:trHeight w:val="302"/>
          <w:jc w:val="center"/>
        </w:trPr>
        <w:tc>
          <w:tcPr>
            <w:tcW w:w="567" w:type="dxa"/>
            <w:vAlign w:val="center"/>
          </w:tcPr>
          <w:p w14:paraId="2884CCA8" w14:textId="77777777" w:rsidR="00070FA2" w:rsidRPr="005C133F" w:rsidRDefault="00070FA2" w:rsidP="00D11386">
            <w:pPr>
              <w:spacing w:after="0" w:line="240" w:lineRule="auto"/>
              <w:jc w:val="center"/>
              <w:rPr>
                <w:rFonts w:eastAsia="Calibri"/>
                <w:lang w:val="es-DO"/>
              </w:rPr>
            </w:pPr>
            <w:r w:rsidRPr="005C133F">
              <w:rPr>
                <w:rFonts w:eastAsia="Calibri"/>
                <w:lang w:val="es-DO"/>
              </w:rPr>
              <w:t>8</w:t>
            </w:r>
          </w:p>
        </w:tc>
        <w:tc>
          <w:tcPr>
            <w:tcW w:w="3969" w:type="dxa"/>
            <w:noWrap/>
            <w:vAlign w:val="bottom"/>
            <w:hideMark/>
          </w:tcPr>
          <w:p w14:paraId="09AC049A" w14:textId="77777777" w:rsidR="00070FA2" w:rsidRPr="005C133F" w:rsidRDefault="00070FA2" w:rsidP="00D11386">
            <w:pPr>
              <w:spacing w:after="0" w:line="240" w:lineRule="auto"/>
              <w:rPr>
                <w:rFonts w:eastAsia="Times New Roman"/>
                <w:lang w:val="es-DO" w:eastAsia="es-DO"/>
              </w:rPr>
            </w:pPr>
            <w:hyperlink r:id="rId25" w:history="1">
              <w:r w:rsidRPr="005C133F">
                <w:rPr>
                  <w:rFonts w:eastAsia="Calibri"/>
                  <w:lang w:val="es-DO"/>
                </w:rPr>
                <w:t xml:space="preserve">REGORAFENIB </w:t>
              </w:r>
            </w:hyperlink>
          </w:p>
        </w:tc>
        <w:tc>
          <w:tcPr>
            <w:tcW w:w="3539" w:type="dxa"/>
            <w:vAlign w:val="center"/>
          </w:tcPr>
          <w:p w14:paraId="27394AEF"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Hepatocarcinoma</w:t>
            </w:r>
          </w:p>
        </w:tc>
      </w:tr>
      <w:tr w:rsidR="004921FF" w:rsidRPr="00CD02F5" w14:paraId="0F16417F" w14:textId="77777777" w:rsidTr="00E05B71">
        <w:trPr>
          <w:trHeight w:val="302"/>
          <w:jc w:val="center"/>
        </w:trPr>
        <w:tc>
          <w:tcPr>
            <w:tcW w:w="567" w:type="dxa"/>
            <w:vAlign w:val="center"/>
          </w:tcPr>
          <w:p w14:paraId="7F269009" w14:textId="77777777" w:rsidR="00070FA2" w:rsidRPr="005C133F" w:rsidRDefault="00070FA2" w:rsidP="00D11386">
            <w:pPr>
              <w:spacing w:after="0" w:line="240" w:lineRule="auto"/>
              <w:jc w:val="center"/>
              <w:rPr>
                <w:rFonts w:eastAsia="Calibri"/>
                <w:lang w:val="es-DO"/>
              </w:rPr>
            </w:pPr>
            <w:r w:rsidRPr="005C133F">
              <w:rPr>
                <w:rFonts w:eastAsia="Calibri"/>
                <w:lang w:val="es-DO"/>
              </w:rPr>
              <w:t>9</w:t>
            </w:r>
          </w:p>
        </w:tc>
        <w:tc>
          <w:tcPr>
            <w:tcW w:w="3969" w:type="dxa"/>
            <w:noWrap/>
            <w:vAlign w:val="bottom"/>
            <w:hideMark/>
          </w:tcPr>
          <w:p w14:paraId="05709EB0"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NIVOLUMAB COMBINADO CON IPILIMUMAB</w:t>
            </w:r>
          </w:p>
        </w:tc>
        <w:tc>
          <w:tcPr>
            <w:tcW w:w="3539" w:type="dxa"/>
            <w:vAlign w:val="center"/>
          </w:tcPr>
          <w:p w14:paraId="4C846B54"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de pulmón de células no pequeñas (NSCLC) metastásico o recurrente</w:t>
            </w:r>
          </w:p>
        </w:tc>
      </w:tr>
      <w:tr w:rsidR="004921FF" w:rsidRPr="005C133F" w14:paraId="421D11CD" w14:textId="77777777" w:rsidTr="00E05B71">
        <w:trPr>
          <w:trHeight w:val="302"/>
          <w:jc w:val="center"/>
        </w:trPr>
        <w:tc>
          <w:tcPr>
            <w:tcW w:w="567" w:type="dxa"/>
            <w:vAlign w:val="center"/>
          </w:tcPr>
          <w:p w14:paraId="63DB5FA7" w14:textId="77777777" w:rsidR="00070FA2" w:rsidRPr="005C133F" w:rsidRDefault="00070FA2" w:rsidP="00D11386">
            <w:pPr>
              <w:spacing w:after="0" w:line="240" w:lineRule="auto"/>
              <w:jc w:val="center"/>
              <w:rPr>
                <w:rFonts w:eastAsia="Calibri"/>
                <w:lang w:val="es-DO"/>
              </w:rPr>
            </w:pPr>
            <w:r w:rsidRPr="005C133F">
              <w:rPr>
                <w:rFonts w:eastAsia="Calibri"/>
                <w:lang w:val="es-DO"/>
              </w:rPr>
              <w:t>10</w:t>
            </w:r>
          </w:p>
        </w:tc>
        <w:tc>
          <w:tcPr>
            <w:tcW w:w="3969" w:type="dxa"/>
            <w:noWrap/>
            <w:vAlign w:val="bottom"/>
            <w:hideMark/>
          </w:tcPr>
          <w:p w14:paraId="71F1848C" w14:textId="77777777" w:rsidR="00070FA2" w:rsidRPr="005C133F" w:rsidRDefault="00070FA2" w:rsidP="00D11386">
            <w:pPr>
              <w:spacing w:after="0" w:line="240" w:lineRule="auto"/>
              <w:rPr>
                <w:rFonts w:eastAsia="Times New Roman"/>
                <w:lang w:val="es-DO" w:eastAsia="es-DO"/>
              </w:rPr>
            </w:pPr>
            <w:hyperlink r:id="rId26" w:history="1">
              <w:r w:rsidRPr="005C133F">
                <w:rPr>
                  <w:rFonts w:eastAsia="Calibri"/>
                  <w:lang w:val="es-DO"/>
                </w:rPr>
                <w:t xml:space="preserve">SORAFENIB </w:t>
              </w:r>
            </w:hyperlink>
          </w:p>
        </w:tc>
        <w:tc>
          <w:tcPr>
            <w:tcW w:w="3539" w:type="dxa"/>
            <w:vAlign w:val="center"/>
          </w:tcPr>
          <w:p w14:paraId="5976EADD"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de tiroides</w:t>
            </w:r>
          </w:p>
        </w:tc>
      </w:tr>
      <w:tr w:rsidR="004921FF" w:rsidRPr="005C133F" w14:paraId="452C1B4C" w14:textId="77777777" w:rsidTr="00E05B71">
        <w:trPr>
          <w:trHeight w:val="302"/>
          <w:jc w:val="center"/>
        </w:trPr>
        <w:tc>
          <w:tcPr>
            <w:tcW w:w="567" w:type="dxa"/>
            <w:vAlign w:val="center"/>
          </w:tcPr>
          <w:p w14:paraId="7040C66D" w14:textId="77777777" w:rsidR="00070FA2" w:rsidRPr="005C133F" w:rsidRDefault="00070FA2" w:rsidP="00D11386">
            <w:pPr>
              <w:spacing w:after="0" w:line="240" w:lineRule="auto"/>
              <w:jc w:val="center"/>
              <w:rPr>
                <w:rFonts w:eastAsia="Calibri"/>
                <w:lang w:val="es-DO"/>
              </w:rPr>
            </w:pPr>
            <w:r w:rsidRPr="005C133F">
              <w:rPr>
                <w:rFonts w:eastAsia="Calibri"/>
                <w:lang w:val="es-DO"/>
              </w:rPr>
              <w:t>11</w:t>
            </w:r>
          </w:p>
        </w:tc>
        <w:tc>
          <w:tcPr>
            <w:tcW w:w="3969" w:type="dxa"/>
            <w:noWrap/>
            <w:vAlign w:val="bottom"/>
            <w:hideMark/>
          </w:tcPr>
          <w:p w14:paraId="00094574"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OLAPARIB</w:t>
            </w:r>
          </w:p>
        </w:tc>
        <w:tc>
          <w:tcPr>
            <w:tcW w:w="3539" w:type="dxa"/>
            <w:vAlign w:val="center"/>
          </w:tcPr>
          <w:p w14:paraId="7EBA1E5F"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 xml:space="preserve">cáncer de mama temprano </w:t>
            </w:r>
          </w:p>
        </w:tc>
      </w:tr>
      <w:tr w:rsidR="004921FF" w:rsidRPr="005C133F" w14:paraId="045AA2E2" w14:textId="77777777" w:rsidTr="00E05B71">
        <w:trPr>
          <w:trHeight w:val="302"/>
          <w:jc w:val="center"/>
        </w:trPr>
        <w:tc>
          <w:tcPr>
            <w:tcW w:w="567" w:type="dxa"/>
            <w:vAlign w:val="center"/>
          </w:tcPr>
          <w:p w14:paraId="482012BE" w14:textId="77777777" w:rsidR="00070FA2" w:rsidRPr="005C133F" w:rsidRDefault="00070FA2" w:rsidP="00D11386">
            <w:pPr>
              <w:spacing w:after="0" w:line="240" w:lineRule="auto"/>
              <w:jc w:val="center"/>
              <w:rPr>
                <w:rFonts w:eastAsia="Calibri"/>
                <w:lang w:val="es-DO"/>
              </w:rPr>
            </w:pPr>
            <w:r w:rsidRPr="005C133F">
              <w:rPr>
                <w:rFonts w:eastAsia="Calibri"/>
                <w:lang w:val="es-DO"/>
              </w:rPr>
              <w:t>12</w:t>
            </w:r>
          </w:p>
        </w:tc>
        <w:tc>
          <w:tcPr>
            <w:tcW w:w="3969" w:type="dxa"/>
            <w:noWrap/>
            <w:vAlign w:val="bottom"/>
            <w:hideMark/>
          </w:tcPr>
          <w:p w14:paraId="117BDE97"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 xml:space="preserve">ATEZOLIZUMAB </w:t>
            </w:r>
          </w:p>
        </w:tc>
        <w:tc>
          <w:tcPr>
            <w:tcW w:w="3539" w:type="dxa"/>
            <w:vAlign w:val="center"/>
          </w:tcPr>
          <w:p w14:paraId="5816F8FB"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Hepatocarcinoma</w:t>
            </w:r>
          </w:p>
        </w:tc>
      </w:tr>
      <w:tr w:rsidR="004921FF" w:rsidRPr="005C133F" w14:paraId="6E0D6D61" w14:textId="77777777" w:rsidTr="00E05B71">
        <w:trPr>
          <w:trHeight w:val="302"/>
          <w:jc w:val="center"/>
        </w:trPr>
        <w:tc>
          <w:tcPr>
            <w:tcW w:w="567" w:type="dxa"/>
            <w:vAlign w:val="center"/>
          </w:tcPr>
          <w:p w14:paraId="24276895" w14:textId="77777777" w:rsidR="00070FA2" w:rsidRPr="005C133F" w:rsidRDefault="00070FA2" w:rsidP="00D11386">
            <w:pPr>
              <w:spacing w:after="0" w:line="240" w:lineRule="auto"/>
              <w:jc w:val="center"/>
              <w:rPr>
                <w:rFonts w:eastAsia="Calibri"/>
                <w:lang w:val="es-DO"/>
              </w:rPr>
            </w:pPr>
            <w:r w:rsidRPr="005C133F">
              <w:rPr>
                <w:rFonts w:eastAsia="Calibri"/>
                <w:lang w:val="es-DO"/>
              </w:rPr>
              <w:t>13</w:t>
            </w:r>
          </w:p>
        </w:tc>
        <w:tc>
          <w:tcPr>
            <w:tcW w:w="3969" w:type="dxa"/>
            <w:noWrap/>
            <w:vAlign w:val="bottom"/>
            <w:hideMark/>
          </w:tcPr>
          <w:p w14:paraId="16E3E39D" w14:textId="77777777" w:rsidR="00070FA2" w:rsidRPr="005C133F" w:rsidRDefault="00070FA2" w:rsidP="00D11386">
            <w:pPr>
              <w:spacing w:after="0" w:line="240" w:lineRule="auto"/>
              <w:rPr>
                <w:rFonts w:eastAsia="Times New Roman"/>
                <w:lang w:val="es-DO" w:eastAsia="es-DO"/>
              </w:rPr>
            </w:pPr>
            <w:hyperlink r:id="rId27" w:history="1">
              <w:r w:rsidRPr="005C133F">
                <w:rPr>
                  <w:rFonts w:eastAsia="Calibri"/>
                  <w:lang w:val="es-DO"/>
                </w:rPr>
                <w:t>RILUZOLE</w:t>
              </w:r>
            </w:hyperlink>
          </w:p>
        </w:tc>
        <w:tc>
          <w:tcPr>
            <w:tcW w:w="3539" w:type="dxa"/>
            <w:vAlign w:val="center"/>
          </w:tcPr>
          <w:p w14:paraId="3F9FBC73"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Esclerosis Lateral Amiotrófica</w:t>
            </w:r>
          </w:p>
        </w:tc>
      </w:tr>
      <w:tr w:rsidR="004921FF" w:rsidRPr="00CD02F5" w14:paraId="2D321184" w14:textId="77777777" w:rsidTr="00E05B71">
        <w:trPr>
          <w:trHeight w:val="302"/>
          <w:jc w:val="center"/>
        </w:trPr>
        <w:tc>
          <w:tcPr>
            <w:tcW w:w="567" w:type="dxa"/>
            <w:vAlign w:val="center"/>
          </w:tcPr>
          <w:p w14:paraId="142A07C5" w14:textId="77777777" w:rsidR="00070FA2" w:rsidRPr="005C133F" w:rsidRDefault="00070FA2" w:rsidP="00D11386">
            <w:pPr>
              <w:spacing w:after="0" w:line="240" w:lineRule="auto"/>
              <w:jc w:val="center"/>
              <w:rPr>
                <w:rFonts w:eastAsia="Calibri"/>
                <w:lang w:val="es-DO"/>
              </w:rPr>
            </w:pPr>
            <w:r w:rsidRPr="005C133F">
              <w:rPr>
                <w:rFonts w:eastAsia="Calibri"/>
                <w:lang w:val="es-DO"/>
              </w:rPr>
              <w:t>14</w:t>
            </w:r>
          </w:p>
        </w:tc>
        <w:tc>
          <w:tcPr>
            <w:tcW w:w="3969" w:type="dxa"/>
            <w:noWrap/>
            <w:vAlign w:val="bottom"/>
            <w:hideMark/>
          </w:tcPr>
          <w:p w14:paraId="2B78C8D7" w14:textId="77777777" w:rsidR="00070FA2" w:rsidRPr="005C133F" w:rsidRDefault="00070FA2" w:rsidP="00D11386">
            <w:pPr>
              <w:spacing w:after="0" w:line="240" w:lineRule="auto"/>
              <w:rPr>
                <w:rFonts w:eastAsia="Times New Roman"/>
                <w:lang w:val="es-DO" w:eastAsia="es-DO"/>
              </w:rPr>
            </w:pPr>
            <w:hyperlink r:id="rId28" w:history="1">
              <w:r w:rsidRPr="005C133F">
                <w:rPr>
                  <w:rFonts w:eastAsia="Calibri"/>
                  <w:lang w:val="es-DO"/>
                </w:rPr>
                <w:t xml:space="preserve">SOFOSBUVIR/ LEDIPASVIR </w:t>
              </w:r>
            </w:hyperlink>
          </w:p>
        </w:tc>
        <w:tc>
          <w:tcPr>
            <w:tcW w:w="3539" w:type="dxa"/>
            <w:vAlign w:val="center"/>
          </w:tcPr>
          <w:p w14:paraId="53BDA364"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Pacientes con VIH infectados con Hepatitis C Crónica</w:t>
            </w:r>
          </w:p>
        </w:tc>
      </w:tr>
      <w:tr w:rsidR="004921FF" w:rsidRPr="00CD02F5" w14:paraId="6CD10726" w14:textId="77777777" w:rsidTr="00E05B71">
        <w:trPr>
          <w:trHeight w:val="302"/>
          <w:jc w:val="center"/>
        </w:trPr>
        <w:tc>
          <w:tcPr>
            <w:tcW w:w="567" w:type="dxa"/>
            <w:vAlign w:val="center"/>
          </w:tcPr>
          <w:p w14:paraId="74D6B4CA" w14:textId="77777777" w:rsidR="00070FA2" w:rsidRPr="005C133F" w:rsidRDefault="00070FA2" w:rsidP="00D11386">
            <w:pPr>
              <w:spacing w:after="0" w:line="240" w:lineRule="auto"/>
              <w:jc w:val="center"/>
              <w:rPr>
                <w:rFonts w:eastAsia="Calibri"/>
                <w:lang w:val="es-DO"/>
              </w:rPr>
            </w:pPr>
            <w:r w:rsidRPr="005C133F">
              <w:rPr>
                <w:rFonts w:eastAsia="Calibri"/>
                <w:lang w:val="es-DO"/>
              </w:rPr>
              <w:t>15</w:t>
            </w:r>
          </w:p>
        </w:tc>
        <w:tc>
          <w:tcPr>
            <w:tcW w:w="3969" w:type="dxa"/>
            <w:noWrap/>
            <w:vAlign w:val="bottom"/>
            <w:hideMark/>
          </w:tcPr>
          <w:p w14:paraId="6BE2A04B" w14:textId="77777777" w:rsidR="00070FA2" w:rsidRPr="005C133F" w:rsidRDefault="00070FA2" w:rsidP="00D11386">
            <w:pPr>
              <w:spacing w:after="0" w:line="240" w:lineRule="auto"/>
              <w:rPr>
                <w:rFonts w:eastAsia="Times New Roman"/>
                <w:lang w:val="es-DO" w:eastAsia="es-DO"/>
              </w:rPr>
            </w:pPr>
            <w:hyperlink r:id="rId29" w:history="1">
              <w:r w:rsidRPr="005C133F">
                <w:rPr>
                  <w:rFonts w:eastAsia="Calibri"/>
                  <w:lang w:val="es-DO"/>
                </w:rPr>
                <w:t>SOFOSBUVIR/ VELPATASVIR</w:t>
              </w:r>
            </w:hyperlink>
          </w:p>
        </w:tc>
        <w:tc>
          <w:tcPr>
            <w:tcW w:w="3539" w:type="dxa"/>
            <w:vAlign w:val="center"/>
          </w:tcPr>
          <w:p w14:paraId="702C4146"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pacientes con VIH infectados con Hepatitis C Crónica</w:t>
            </w:r>
          </w:p>
        </w:tc>
      </w:tr>
      <w:tr w:rsidR="004921FF" w:rsidRPr="005C133F" w14:paraId="243A391D" w14:textId="77777777" w:rsidTr="00E05B71">
        <w:trPr>
          <w:trHeight w:val="302"/>
          <w:jc w:val="center"/>
        </w:trPr>
        <w:tc>
          <w:tcPr>
            <w:tcW w:w="567" w:type="dxa"/>
            <w:vAlign w:val="center"/>
          </w:tcPr>
          <w:p w14:paraId="2A0C2C3A" w14:textId="77777777" w:rsidR="00070FA2" w:rsidRPr="005C133F" w:rsidRDefault="00070FA2" w:rsidP="00D11386">
            <w:pPr>
              <w:spacing w:after="0" w:line="240" w:lineRule="auto"/>
              <w:jc w:val="center"/>
              <w:rPr>
                <w:rFonts w:eastAsia="Calibri"/>
                <w:lang w:val="es-DO"/>
              </w:rPr>
            </w:pPr>
            <w:r w:rsidRPr="005C133F">
              <w:rPr>
                <w:rFonts w:eastAsia="Calibri"/>
                <w:lang w:val="es-DO"/>
              </w:rPr>
              <w:t>16</w:t>
            </w:r>
          </w:p>
        </w:tc>
        <w:tc>
          <w:tcPr>
            <w:tcW w:w="3969" w:type="dxa"/>
            <w:noWrap/>
            <w:vAlign w:val="bottom"/>
            <w:hideMark/>
          </w:tcPr>
          <w:p w14:paraId="30096472"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 xml:space="preserve">REGORAFENIB </w:t>
            </w:r>
          </w:p>
        </w:tc>
        <w:tc>
          <w:tcPr>
            <w:tcW w:w="3539" w:type="dxa"/>
            <w:vAlign w:val="center"/>
          </w:tcPr>
          <w:p w14:paraId="735F25CE"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de intestinos</w:t>
            </w:r>
          </w:p>
        </w:tc>
      </w:tr>
      <w:tr w:rsidR="004921FF" w:rsidRPr="005C133F" w14:paraId="376E8E3A" w14:textId="77777777" w:rsidTr="00E05B71">
        <w:trPr>
          <w:trHeight w:val="302"/>
          <w:jc w:val="center"/>
        </w:trPr>
        <w:tc>
          <w:tcPr>
            <w:tcW w:w="567" w:type="dxa"/>
            <w:vAlign w:val="center"/>
          </w:tcPr>
          <w:p w14:paraId="68ADC8F3" w14:textId="77777777" w:rsidR="00070FA2" w:rsidRPr="005C133F" w:rsidRDefault="00070FA2" w:rsidP="00D11386">
            <w:pPr>
              <w:spacing w:after="0" w:line="240" w:lineRule="auto"/>
              <w:jc w:val="center"/>
              <w:rPr>
                <w:rFonts w:eastAsia="Calibri"/>
                <w:lang w:val="es-DO"/>
              </w:rPr>
            </w:pPr>
            <w:r w:rsidRPr="005C133F">
              <w:rPr>
                <w:rFonts w:eastAsia="Calibri"/>
                <w:lang w:val="es-DO"/>
              </w:rPr>
              <w:t>17</w:t>
            </w:r>
          </w:p>
        </w:tc>
        <w:tc>
          <w:tcPr>
            <w:tcW w:w="3969" w:type="dxa"/>
            <w:noWrap/>
            <w:vAlign w:val="bottom"/>
            <w:hideMark/>
          </w:tcPr>
          <w:p w14:paraId="6E03140D" w14:textId="77777777" w:rsidR="00070FA2" w:rsidRPr="005C133F" w:rsidRDefault="00070FA2" w:rsidP="00D11386">
            <w:pPr>
              <w:spacing w:after="0" w:line="240" w:lineRule="auto"/>
              <w:rPr>
                <w:rFonts w:eastAsia="Times New Roman"/>
                <w:lang w:val="es-DO" w:eastAsia="es-DO"/>
              </w:rPr>
            </w:pPr>
            <w:hyperlink r:id="rId30" w:history="1">
              <w:r w:rsidRPr="005C133F">
                <w:rPr>
                  <w:rFonts w:eastAsia="Calibri"/>
                  <w:lang w:val="es-DO"/>
                </w:rPr>
                <w:t>SECUKINUMAB</w:t>
              </w:r>
            </w:hyperlink>
          </w:p>
        </w:tc>
        <w:tc>
          <w:tcPr>
            <w:tcW w:w="3539" w:type="dxa"/>
            <w:vAlign w:val="center"/>
          </w:tcPr>
          <w:p w14:paraId="072527A5"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Psoriasis en placas</w:t>
            </w:r>
          </w:p>
        </w:tc>
      </w:tr>
      <w:tr w:rsidR="004921FF" w:rsidRPr="005C133F" w14:paraId="265F60DF" w14:textId="77777777" w:rsidTr="00E05B71">
        <w:trPr>
          <w:trHeight w:val="302"/>
          <w:jc w:val="center"/>
        </w:trPr>
        <w:tc>
          <w:tcPr>
            <w:tcW w:w="567" w:type="dxa"/>
            <w:vAlign w:val="center"/>
          </w:tcPr>
          <w:p w14:paraId="27532422" w14:textId="77777777" w:rsidR="00070FA2" w:rsidRPr="005C133F" w:rsidRDefault="00070FA2" w:rsidP="00D11386">
            <w:pPr>
              <w:spacing w:after="0" w:line="240" w:lineRule="auto"/>
              <w:jc w:val="center"/>
              <w:rPr>
                <w:rFonts w:eastAsia="Calibri"/>
                <w:lang w:val="es-DO"/>
              </w:rPr>
            </w:pPr>
            <w:r w:rsidRPr="005C133F">
              <w:rPr>
                <w:rFonts w:eastAsia="Calibri"/>
                <w:lang w:val="es-DO"/>
              </w:rPr>
              <w:t>18</w:t>
            </w:r>
          </w:p>
        </w:tc>
        <w:tc>
          <w:tcPr>
            <w:tcW w:w="3969" w:type="dxa"/>
            <w:noWrap/>
            <w:vAlign w:val="bottom"/>
            <w:hideMark/>
          </w:tcPr>
          <w:p w14:paraId="3B9DF6C2" w14:textId="77777777" w:rsidR="00070FA2" w:rsidRPr="005C133F" w:rsidRDefault="00070FA2" w:rsidP="00D11386">
            <w:pPr>
              <w:spacing w:after="0" w:line="240" w:lineRule="auto"/>
              <w:rPr>
                <w:rFonts w:eastAsia="Times New Roman"/>
                <w:lang w:val="es-DO" w:eastAsia="es-DO"/>
              </w:rPr>
            </w:pPr>
            <w:hyperlink r:id="rId31" w:history="1">
              <w:r w:rsidRPr="005C133F">
                <w:rPr>
                  <w:rFonts w:eastAsia="Calibri"/>
                  <w:lang w:val="es-DO"/>
                </w:rPr>
                <w:t>SECUKINUMAB</w:t>
              </w:r>
            </w:hyperlink>
          </w:p>
        </w:tc>
        <w:tc>
          <w:tcPr>
            <w:tcW w:w="3539" w:type="dxa"/>
            <w:vAlign w:val="center"/>
          </w:tcPr>
          <w:p w14:paraId="3610321D"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Espondilitis Anquilosante</w:t>
            </w:r>
          </w:p>
        </w:tc>
      </w:tr>
      <w:tr w:rsidR="004921FF" w:rsidRPr="005C133F" w14:paraId="1C0BD338" w14:textId="77777777" w:rsidTr="00E05B71">
        <w:trPr>
          <w:trHeight w:val="302"/>
          <w:jc w:val="center"/>
        </w:trPr>
        <w:tc>
          <w:tcPr>
            <w:tcW w:w="567" w:type="dxa"/>
            <w:vAlign w:val="center"/>
          </w:tcPr>
          <w:p w14:paraId="341418CA" w14:textId="77777777" w:rsidR="00070FA2" w:rsidRPr="005C133F" w:rsidRDefault="00070FA2" w:rsidP="00D11386">
            <w:pPr>
              <w:spacing w:after="0" w:line="240" w:lineRule="auto"/>
              <w:jc w:val="center"/>
              <w:rPr>
                <w:rFonts w:eastAsia="Calibri"/>
                <w:lang w:val="es-DO"/>
              </w:rPr>
            </w:pPr>
            <w:r w:rsidRPr="005C133F">
              <w:rPr>
                <w:rFonts w:eastAsia="Calibri"/>
                <w:lang w:val="es-DO"/>
              </w:rPr>
              <w:t>19</w:t>
            </w:r>
          </w:p>
        </w:tc>
        <w:tc>
          <w:tcPr>
            <w:tcW w:w="3969" w:type="dxa"/>
            <w:noWrap/>
            <w:vAlign w:val="bottom"/>
            <w:hideMark/>
          </w:tcPr>
          <w:p w14:paraId="0207C5B1"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NIVOLUMAB COMBINADO CON IPILIMUMAB</w:t>
            </w:r>
          </w:p>
        </w:tc>
        <w:tc>
          <w:tcPr>
            <w:tcW w:w="3539" w:type="dxa"/>
            <w:vAlign w:val="center"/>
          </w:tcPr>
          <w:p w14:paraId="7F37D5A3"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carcinoma de células renales (RCC) avanzado con riesgo intermedio o alto. (Primera línea terapéutica).</w:t>
            </w:r>
          </w:p>
        </w:tc>
      </w:tr>
      <w:tr w:rsidR="004921FF" w:rsidRPr="00CD02F5" w14:paraId="6D9EE6EA" w14:textId="77777777" w:rsidTr="00E05B71">
        <w:trPr>
          <w:trHeight w:val="302"/>
          <w:jc w:val="center"/>
        </w:trPr>
        <w:tc>
          <w:tcPr>
            <w:tcW w:w="567" w:type="dxa"/>
            <w:vAlign w:val="center"/>
          </w:tcPr>
          <w:p w14:paraId="0CB2BF46" w14:textId="77777777" w:rsidR="00070FA2" w:rsidRPr="005C133F" w:rsidRDefault="00070FA2" w:rsidP="00D11386">
            <w:pPr>
              <w:spacing w:after="0" w:line="240" w:lineRule="auto"/>
              <w:jc w:val="center"/>
              <w:rPr>
                <w:rFonts w:eastAsia="Calibri"/>
                <w:lang w:val="es-DO"/>
              </w:rPr>
            </w:pPr>
            <w:r w:rsidRPr="005C133F">
              <w:rPr>
                <w:rFonts w:eastAsia="Calibri"/>
                <w:lang w:val="es-DO"/>
              </w:rPr>
              <w:t>20</w:t>
            </w:r>
          </w:p>
        </w:tc>
        <w:tc>
          <w:tcPr>
            <w:tcW w:w="3969" w:type="dxa"/>
            <w:noWrap/>
            <w:vAlign w:val="bottom"/>
            <w:hideMark/>
          </w:tcPr>
          <w:p w14:paraId="40608F2F" w14:textId="77777777" w:rsidR="00070FA2" w:rsidRPr="005C133F" w:rsidRDefault="00070FA2" w:rsidP="00D11386">
            <w:pPr>
              <w:spacing w:after="0" w:line="240" w:lineRule="auto"/>
              <w:rPr>
                <w:rFonts w:eastAsia="Calibri"/>
                <w:lang w:val="es-DO"/>
              </w:rPr>
            </w:pPr>
            <w:r w:rsidRPr="005C133F">
              <w:rPr>
                <w:rFonts w:eastAsia="Calibri"/>
                <w:lang w:val="es-DO"/>
              </w:rPr>
              <w:t>NIVOLUMAB COMBINADO CON IPILIMUMAB</w:t>
            </w:r>
          </w:p>
        </w:tc>
        <w:tc>
          <w:tcPr>
            <w:tcW w:w="3539" w:type="dxa"/>
            <w:vAlign w:val="center"/>
          </w:tcPr>
          <w:p w14:paraId="5361E51A"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Melanoma irresecable o metastásico con o sin mutación BRAF.</w:t>
            </w:r>
          </w:p>
        </w:tc>
      </w:tr>
      <w:tr w:rsidR="004921FF" w:rsidRPr="005C133F" w14:paraId="49211A10" w14:textId="77777777" w:rsidTr="00E05B71">
        <w:trPr>
          <w:trHeight w:val="302"/>
          <w:jc w:val="center"/>
        </w:trPr>
        <w:tc>
          <w:tcPr>
            <w:tcW w:w="567" w:type="dxa"/>
            <w:vAlign w:val="center"/>
          </w:tcPr>
          <w:p w14:paraId="040DA25C" w14:textId="77777777" w:rsidR="00070FA2" w:rsidRPr="005C133F" w:rsidRDefault="00070FA2" w:rsidP="00D11386">
            <w:pPr>
              <w:spacing w:after="0" w:line="240" w:lineRule="auto"/>
              <w:jc w:val="center"/>
              <w:rPr>
                <w:rFonts w:eastAsia="Calibri"/>
                <w:lang w:val="es-DO"/>
              </w:rPr>
            </w:pPr>
            <w:r w:rsidRPr="005C133F">
              <w:rPr>
                <w:rFonts w:eastAsia="Calibri"/>
                <w:lang w:val="es-DO"/>
              </w:rPr>
              <w:lastRenderedPageBreak/>
              <w:t>21</w:t>
            </w:r>
          </w:p>
        </w:tc>
        <w:tc>
          <w:tcPr>
            <w:tcW w:w="3969" w:type="dxa"/>
            <w:noWrap/>
            <w:vAlign w:val="bottom"/>
            <w:hideMark/>
          </w:tcPr>
          <w:p w14:paraId="1A1A66EF" w14:textId="77777777" w:rsidR="00070FA2" w:rsidRPr="005C133F" w:rsidRDefault="00070FA2" w:rsidP="00D11386">
            <w:pPr>
              <w:spacing w:after="0" w:line="240" w:lineRule="auto"/>
              <w:rPr>
                <w:rFonts w:eastAsia="Calibri"/>
                <w:lang w:val="es-DO"/>
              </w:rPr>
            </w:pPr>
            <w:hyperlink r:id="rId32" w:history="1">
              <w:r w:rsidRPr="005C133F">
                <w:rPr>
                  <w:rFonts w:eastAsia="Calibri"/>
                  <w:lang w:val="es-DO"/>
                </w:rPr>
                <w:t>RIOCIGUAT</w:t>
              </w:r>
            </w:hyperlink>
          </w:p>
        </w:tc>
        <w:tc>
          <w:tcPr>
            <w:tcW w:w="3539" w:type="dxa"/>
            <w:vAlign w:val="center"/>
          </w:tcPr>
          <w:p w14:paraId="01EBAB8E"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Hipertensión Arterial Pulmonar</w:t>
            </w:r>
          </w:p>
        </w:tc>
      </w:tr>
      <w:tr w:rsidR="004921FF" w:rsidRPr="005C133F" w14:paraId="2E480245" w14:textId="77777777" w:rsidTr="00E05B71">
        <w:trPr>
          <w:trHeight w:val="302"/>
          <w:jc w:val="center"/>
        </w:trPr>
        <w:tc>
          <w:tcPr>
            <w:tcW w:w="567" w:type="dxa"/>
            <w:vAlign w:val="center"/>
          </w:tcPr>
          <w:p w14:paraId="15F1A97D" w14:textId="77777777" w:rsidR="00070FA2" w:rsidRPr="005C133F" w:rsidRDefault="00070FA2" w:rsidP="00D11386">
            <w:pPr>
              <w:spacing w:after="0" w:line="240" w:lineRule="auto"/>
              <w:jc w:val="center"/>
              <w:rPr>
                <w:rFonts w:eastAsia="Calibri"/>
                <w:lang w:val="es-DO"/>
              </w:rPr>
            </w:pPr>
            <w:r w:rsidRPr="005C133F">
              <w:rPr>
                <w:rFonts w:eastAsia="Calibri"/>
                <w:lang w:val="es-DO"/>
              </w:rPr>
              <w:t>22</w:t>
            </w:r>
          </w:p>
        </w:tc>
        <w:tc>
          <w:tcPr>
            <w:tcW w:w="3969" w:type="dxa"/>
            <w:noWrap/>
            <w:vAlign w:val="bottom"/>
            <w:hideMark/>
          </w:tcPr>
          <w:p w14:paraId="72FFEA70" w14:textId="77777777" w:rsidR="00070FA2" w:rsidRPr="005C133F" w:rsidRDefault="00070FA2" w:rsidP="00D11386">
            <w:pPr>
              <w:spacing w:after="0" w:line="240" w:lineRule="auto"/>
              <w:rPr>
                <w:rFonts w:eastAsia="Calibri"/>
                <w:lang w:val="es-DO"/>
              </w:rPr>
            </w:pPr>
            <w:hyperlink r:id="rId33" w:history="1">
              <w:r w:rsidRPr="005C133F">
                <w:rPr>
                  <w:rFonts w:eastAsia="Calibri"/>
                  <w:lang w:val="es-DO"/>
                </w:rPr>
                <w:t xml:space="preserve">ELTROMBOPAG </w:t>
              </w:r>
            </w:hyperlink>
          </w:p>
        </w:tc>
        <w:tc>
          <w:tcPr>
            <w:tcW w:w="3539" w:type="dxa"/>
            <w:vAlign w:val="center"/>
          </w:tcPr>
          <w:p w14:paraId="5ED1B635"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Púrpura trombocitopénica inmune</w:t>
            </w:r>
          </w:p>
        </w:tc>
      </w:tr>
      <w:tr w:rsidR="004921FF" w:rsidRPr="005C133F" w14:paraId="79ECEF45" w14:textId="77777777" w:rsidTr="00E05B71">
        <w:trPr>
          <w:trHeight w:val="302"/>
          <w:jc w:val="center"/>
        </w:trPr>
        <w:tc>
          <w:tcPr>
            <w:tcW w:w="567" w:type="dxa"/>
            <w:vAlign w:val="center"/>
          </w:tcPr>
          <w:p w14:paraId="1B8BE3F1" w14:textId="77777777" w:rsidR="00070FA2" w:rsidRPr="005C133F" w:rsidRDefault="00070FA2" w:rsidP="00D11386">
            <w:pPr>
              <w:spacing w:after="0" w:line="240" w:lineRule="auto"/>
              <w:jc w:val="center"/>
              <w:rPr>
                <w:rFonts w:eastAsia="Calibri"/>
                <w:lang w:val="es-DO"/>
              </w:rPr>
            </w:pPr>
            <w:r w:rsidRPr="005C133F">
              <w:rPr>
                <w:rFonts w:eastAsia="Calibri"/>
                <w:lang w:val="es-DO"/>
              </w:rPr>
              <w:t>23</w:t>
            </w:r>
          </w:p>
        </w:tc>
        <w:tc>
          <w:tcPr>
            <w:tcW w:w="3969" w:type="dxa"/>
            <w:noWrap/>
            <w:vAlign w:val="bottom"/>
            <w:hideMark/>
          </w:tcPr>
          <w:p w14:paraId="60B443FB" w14:textId="77777777" w:rsidR="00070FA2" w:rsidRPr="005C133F" w:rsidRDefault="00070FA2" w:rsidP="00D11386">
            <w:pPr>
              <w:spacing w:after="0" w:line="240" w:lineRule="auto"/>
              <w:rPr>
                <w:rFonts w:eastAsia="Calibri"/>
                <w:lang w:val="es-DO"/>
              </w:rPr>
            </w:pPr>
            <w:hyperlink r:id="rId34" w:history="1">
              <w:r w:rsidRPr="005C133F">
                <w:rPr>
                  <w:rFonts w:eastAsia="Calibri"/>
                  <w:lang w:val="es-DO"/>
                </w:rPr>
                <w:t>SECUKINUMAB</w:t>
              </w:r>
            </w:hyperlink>
          </w:p>
        </w:tc>
        <w:tc>
          <w:tcPr>
            <w:tcW w:w="3539" w:type="dxa"/>
            <w:vAlign w:val="center"/>
          </w:tcPr>
          <w:p w14:paraId="7EA0CD32" w14:textId="77777777" w:rsidR="00070FA2" w:rsidRPr="005C133F" w:rsidRDefault="00070FA2" w:rsidP="00D11386">
            <w:pPr>
              <w:spacing w:after="0" w:line="240" w:lineRule="auto"/>
              <w:rPr>
                <w:rFonts w:eastAsia="Times New Roman"/>
                <w:lang w:val="es-DO" w:eastAsia="es-DO"/>
              </w:rPr>
            </w:pPr>
            <w:proofErr w:type="spellStart"/>
            <w:r w:rsidRPr="005C133F">
              <w:rPr>
                <w:rFonts w:eastAsia="Calibri"/>
                <w:lang w:val="es-DO"/>
              </w:rPr>
              <w:t>Atritis</w:t>
            </w:r>
            <w:proofErr w:type="spellEnd"/>
            <w:r w:rsidRPr="005C133F">
              <w:rPr>
                <w:rFonts w:eastAsia="Calibri"/>
                <w:lang w:val="es-DO"/>
              </w:rPr>
              <w:t xml:space="preserve"> </w:t>
            </w:r>
            <w:proofErr w:type="spellStart"/>
            <w:r w:rsidRPr="005C133F">
              <w:rPr>
                <w:rFonts w:eastAsia="Calibri"/>
                <w:lang w:val="es-DO"/>
              </w:rPr>
              <w:t>sorática</w:t>
            </w:r>
            <w:proofErr w:type="spellEnd"/>
            <w:r w:rsidRPr="005C133F">
              <w:rPr>
                <w:rFonts w:eastAsia="Calibri"/>
                <w:lang w:val="es-DO"/>
              </w:rPr>
              <w:t xml:space="preserve"> activa</w:t>
            </w:r>
          </w:p>
        </w:tc>
      </w:tr>
      <w:tr w:rsidR="004921FF" w:rsidRPr="005C133F" w14:paraId="12C8F2AF" w14:textId="77777777" w:rsidTr="00E05B71">
        <w:trPr>
          <w:trHeight w:val="302"/>
          <w:jc w:val="center"/>
        </w:trPr>
        <w:tc>
          <w:tcPr>
            <w:tcW w:w="567" w:type="dxa"/>
            <w:vAlign w:val="center"/>
          </w:tcPr>
          <w:p w14:paraId="11A430DE" w14:textId="77777777" w:rsidR="00070FA2" w:rsidRPr="005C133F" w:rsidRDefault="00070FA2" w:rsidP="00D11386">
            <w:pPr>
              <w:spacing w:after="0" w:line="240" w:lineRule="auto"/>
              <w:jc w:val="center"/>
              <w:rPr>
                <w:rFonts w:eastAsia="Calibri"/>
                <w:lang w:val="es-DO"/>
              </w:rPr>
            </w:pPr>
            <w:r w:rsidRPr="005C133F">
              <w:rPr>
                <w:rFonts w:eastAsia="Calibri"/>
                <w:lang w:val="es-DO"/>
              </w:rPr>
              <w:t>24</w:t>
            </w:r>
          </w:p>
        </w:tc>
        <w:tc>
          <w:tcPr>
            <w:tcW w:w="3969" w:type="dxa"/>
            <w:noWrap/>
            <w:vAlign w:val="bottom"/>
            <w:hideMark/>
          </w:tcPr>
          <w:p w14:paraId="62F35F6E" w14:textId="77777777" w:rsidR="00070FA2" w:rsidRPr="005C133F" w:rsidRDefault="00070FA2" w:rsidP="00D11386">
            <w:pPr>
              <w:spacing w:after="0" w:line="240" w:lineRule="auto"/>
              <w:rPr>
                <w:rFonts w:eastAsia="Calibri"/>
                <w:lang w:val="es-DO"/>
              </w:rPr>
            </w:pPr>
            <w:hyperlink r:id="rId35" w:history="1">
              <w:r w:rsidRPr="005C133F">
                <w:rPr>
                  <w:rFonts w:eastAsia="Calibri"/>
                  <w:lang w:val="es-DO"/>
                </w:rPr>
                <w:t>SECUKINUMAB</w:t>
              </w:r>
            </w:hyperlink>
          </w:p>
        </w:tc>
        <w:tc>
          <w:tcPr>
            <w:tcW w:w="3539" w:type="dxa"/>
            <w:vAlign w:val="center"/>
          </w:tcPr>
          <w:p w14:paraId="2DA0F44D"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Espondilitis anquilosante activa</w:t>
            </w:r>
          </w:p>
        </w:tc>
      </w:tr>
      <w:tr w:rsidR="004921FF" w:rsidRPr="005C133F" w14:paraId="6D6B219A" w14:textId="77777777" w:rsidTr="00E05B71">
        <w:trPr>
          <w:trHeight w:val="302"/>
          <w:jc w:val="center"/>
        </w:trPr>
        <w:tc>
          <w:tcPr>
            <w:tcW w:w="567" w:type="dxa"/>
            <w:vAlign w:val="center"/>
          </w:tcPr>
          <w:p w14:paraId="4212ECB4" w14:textId="77777777" w:rsidR="00070FA2" w:rsidRPr="005C133F" w:rsidRDefault="00070FA2" w:rsidP="00D11386">
            <w:pPr>
              <w:spacing w:after="0" w:line="240" w:lineRule="auto"/>
              <w:jc w:val="center"/>
              <w:rPr>
                <w:rFonts w:eastAsia="Calibri"/>
                <w:lang w:val="es-DO"/>
              </w:rPr>
            </w:pPr>
            <w:r w:rsidRPr="005C133F">
              <w:rPr>
                <w:rFonts w:eastAsia="Calibri"/>
                <w:lang w:val="es-DO"/>
              </w:rPr>
              <w:t>25</w:t>
            </w:r>
          </w:p>
        </w:tc>
        <w:tc>
          <w:tcPr>
            <w:tcW w:w="3969" w:type="dxa"/>
            <w:noWrap/>
            <w:vAlign w:val="bottom"/>
            <w:hideMark/>
          </w:tcPr>
          <w:p w14:paraId="6B0F9A04" w14:textId="77777777" w:rsidR="00070FA2" w:rsidRPr="005C133F" w:rsidRDefault="00070FA2" w:rsidP="00D11386">
            <w:pPr>
              <w:spacing w:after="0" w:line="240" w:lineRule="auto"/>
              <w:rPr>
                <w:rFonts w:eastAsia="Calibri"/>
                <w:lang w:val="es-DO"/>
              </w:rPr>
            </w:pPr>
            <w:hyperlink r:id="rId36" w:history="1">
              <w:r w:rsidRPr="005C133F">
                <w:rPr>
                  <w:rFonts w:eastAsia="Calibri"/>
                  <w:lang w:val="es-DO"/>
                </w:rPr>
                <w:t xml:space="preserve">SOFOSBUVIR/ LEDIPASVIR </w:t>
              </w:r>
            </w:hyperlink>
          </w:p>
        </w:tc>
        <w:tc>
          <w:tcPr>
            <w:tcW w:w="3539" w:type="dxa"/>
            <w:vAlign w:val="center"/>
          </w:tcPr>
          <w:p w14:paraId="5094897B"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Hepatitis C Crónica</w:t>
            </w:r>
          </w:p>
        </w:tc>
      </w:tr>
      <w:tr w:rsidR="004921FF" w:rsidRPr="005C133F" w14:paraId="57D98DEB" w14:textId="77777777" w:rsidTr="00E05B71">
        <w:trPr>
          <w:trHeight w:val="302"/>
          <w:jc w:val="center"/>
        </w:trPr>
        <w:tc>
          <w:tcPr>
            <w:tcW w:w="567" w:type="dxa"/>
            <w:vAlign w:val="center"/>
          </w:tcPr>
          <w:p w14:paraId="41F4FCB1" w14:textId="77777777" w:rsidR="00070FA2" w:rsidRPr="005C133F" w:rsidRDefault="00070FA2" w:rsidP="00D11386">
            <w:pPr>
              <w:spacing w:after="0" w:line="240" w:lineRule="auto"/>
              <w:jc w:val="center"/>
              <w:rPr>
                <w:rFonts w:eastAsia="Calibri"/>
                <w:lang w:val="es-DO"/>
              </w:rPr>
            </w:pPr>
            <w:r w:rsidRPr="005C133F">
              <w:rPr>
                <w:rFonts w:eastAsia="Calibri"/>
                <w:lang w:val="es-DO"/>
              </w:rPr>
              <w:t>26</w:t>
            </w:r>
          </w:p>
        </w:tc>
        <w:tc>
          <w:tcPr>
            <w:tcW w:w="3969" w:type="dxa"/>
            <w:noWrap/>
            <w:vAlign w:val="bottom"/>
            <w:hideMark/>
          </w:tcPr>
          <w:p w14:paraId="6E8EF3EE" w14:textId="77777777" w:rsidR="00070FA2" w:rsidRPr="005C133F" w:rsidRDefault="00070FA2" w:rsidP="00D11386">
            <w:pPr>
              <w:spacing w:after="0" w:line="240" w:lineRule="auto"/>
              <w:rPr>
                <w:rFonts w:eastAsia="Calibri"/>
                <w:lang w:val="es-DO"/>
              </w:rPr>
            </w:pPr>
            <w:hyperlink r:id="rId37" w:history="1">
              <w:r w:rsidRPr="005C133F">
                <w:rPr>
                  <w:rFonts w:eastAsia="Calibri"/>
                  <w:lang w:val="es-DO"/>
                </w:rPr>
                <w:t>TOFACITINIB</w:t>
              </w:r>
            </w:hyperlink>
          </w:p>
        </w:tc>
        <w:tc>
          <w:tcPr>
            <w:tcW w:w="3539" w:type="dxa"/>
            <w:vAlign w:val="center"/>
          </w:tcPr>
          <w:p w14:paraId="7D30E54C"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Espondilitis Anquilosante</w:t>
            </w:r>
          </w:p>
        </w:tc>
      </w:tr>
      <w:tr w:rsidR="004921FF" w:rsidRPr="00CD02F5" w14:paraId="075566C5" w14:textId="77777777" w:rsidTr="00E05B71">
        <w:trPr>
          <w:trHeight w:val="302"/>
          <w:jc w:val="center"/>
        </w:trPr>
        <w:tc>
          <w:tcPr>
            <w:tcW w:w="567" w:type="dxa"/>
            <w:vAlign w:val="center"/>
          </w:tcPr>
          <w:p w14:paraId="50264D35" w14:textId="77777777" w:rsidR="00070FA2" w:rsidRPr="005C133F" w:rsidRDefault="00070FA2" w:rsidP="00D11386">
            <w:pPr>
              <w:spacing w:after="0" w:line="240" w:lineRule="auto"/>
              <w:jc w:val="center"/>
              <w:rPr>
                <w:rFonts w:eastAsia="Calibri"/>
                <w:lang w:val="es-DO"/>
              </w:rPr>
            </w:pPr>
            <w:r w:rsidRPr="005C133F">
              <w:rPr>
                <w:rFonts w:eastAsia="Calibri"/>
                <w:lang w:val="es-DO"/>
              </w:rPr>
              <w:t>27</w:t>
            </w:r>
          </w:p>
        </w:tc>
        <w:tc>
          <w:tcPr>
            <w:tcW w:w="3969" w:type="dxa"/>
            <w:noWrap/>
            <w:vAlign w:val="bottom"/>
            <w:hideMark/>
          </w:tcPr>
          <w:p w14:paraId="686CC61D" w14:textId="77777777" w:rsidR="00070FA2" w:rsidRPr="005C133F" w:rsidRDefault="00070FA2" w:rsidP="00D11386">
            <w:pPr>
              <w:spacing w:after="0" w:line="240" w:lineRule="auto"/>
              <w:rPr>
                <w:rFonts w:eastAsia="Calibri"/>
                <w:lang w:val="es-DO"/>
              </w:rPr>
            </w:pPr>
            <w:r w:rsidRPr="005C133F">
              <w:rPr>
                <w:rFonts w:eastAsia="Calibri"/>
                <w:lang w:val="es-DO"/>
              </w:rPr>
              <w:t xml:space="preserve">REGORAFENIB </w:t>
            </w:r>
          </w:p>
        </w:tc>
        <w:tc>
          <w:tcPr>
            <w:tcW w:w="3539" w:type="dxa"/>
            <w:vAlign w:val="center"/>
          </w:tcPr>
          <w:p w14:paraId="2FF93AE6"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Cáncer de esófago y estómago</w:t>
            </w:r>
          </w:p>
        </w:tc>
      </w:tr>
      <w:tr w:rsidR="004921FF" w:rsidRPr="005C133F" w14:paraId="3973B280" w14:textId="77777777" w:rsidTr="00E05B71">
        <w:trPr>
          <w:trHeight w:val="302"/>
          <w:jc w:val="center"/>
        </w:trPr>
        <w:tc>
          <w:tcPr>
            <w:tcW w:w="567" w:type="dxa"/>
            <w:vAlign w:val="center"/>
          </w:tcPr>
          <w:p w14:paraId="7254458A" w14:textId="77777777" w:rsidR="00070FA2" w:rsidRPr="005C133F" w:rsidRDefault="00070FA2" w:rsidP="00D11386">
            <w:pPr>
              <w:spacing w:after="0" w:line="240" w:lineRule="auto"/>
              <w:jc w:val="center"/>
              <w:rPr>
                <w:rFonts w:eastAsia="Calibri"/>
                <w:lang w:val="es-DO"/>
              </w:rPr>
            </w:pPr>
            <w:r w:rsidRPr="005C133F">
              <w:rPr>
                <w:rFonts w:eastAsia="Calibri"/>
                <w:lang w:val="es-DO"/>
              </w:rPr>
              <w:t>28</w:t>
            </w:r>
          </w:p>
        </w:tc>
        <w:tc>
          <w:tcPr>
            <w:tcW w:w="3969" w:type="dxa"/>
            <w:noWrap/>
            <w:vAlign w:val="bottom"/>
            <w:hideMark/>
          </w:tcPr>
          <w:p w14:paraId="25FCC542" w14:textId="77777777" w:rsidR="00070FA2" w:rsidRPr="005C133F" w:rsidRDefault="00070FA2" w:rsidP="00D11386">
            <w:pPr>
              <w:spacing w:after="0" w:line="240" w:lineRule="auto"/>
              <w:rPr>
                <w:rFonts w:eastAsia="Calibri"/>
                <w:lang w:val="es-DO"/>
              </w:rPr>
            </w:pPr>
            <w:hyperlink r:id="rId38" w:history="1">
              <w:r w:rsidRPr="005C133F">
                <w:rPr>
                  <w:rFonts w:eastAsia="Calibri"/>
                  <w:lang w:val="es-DO"/>
                </w:rPr>
                <w:t xml:space="preserve">ETANERCEPT </w:t>
              </w:r>
            </w:hyperlink>
          </w:p>
        </w:tc>
        <w:tc>
          <w:tcPr>
            <w:tcW w:w="3539" w:type="dxa"/>
            <w:vAlign w:val="center"/>
          </w:tcPr>
          <w:p w14:paraId="6D282DD8" w14:textId="77777777" w:rsidR="00070FA2" w:rsidRPr="005C133F" w:rsidRDefault="00070FA2" w:rsidP="00D11386">
            <w:pPr>
              <w:spacing w:after="0" w:line="240" w:lineRule="auto"/>
              <w:rPr>
                <w:rFonts w:eastAsia="Times New Roman"/>
                <w:lang w:val="es-DO" w:eastAsia="es-DO"/>
              </w:rPr>
            </w:pPr>
            <w:proofErr w:type="spellStart"/>
            <w:r w:rsidRPr="005C133F">
              <w:rPr>
                <w:rFonts w:eastAsia="Calibri"/>
                <w:lang w:val="es-DO"/>
              </w:rPr>
              <w:t>Spondylitis</w:t>
            </w:r>
            <w:proofErr w:type="spellEnd"/>
            <w:r w:rsidRPr="005C133F">
              <w:rPr>
                <w:rFonts w:eastAsia="Calibri"/>
                <w:lang w:val="es-DO"/>
              </w:rPr>
              <w:t xml:space="preserve"> </w:t>
            </w:r>
            <w:proofErr w:type="spellStart"/>
            <w:r w:rsidRPr="005C133F">
              <w:rPr>
                <w:rFonts w:eastAsia="Calibri"/>
                <w:lang w:val="es-DO"/>
              </w:rPr>
              <w:t>ankylosing</w:t>
            </w:r>
            <w:proofErr w:type="spellEnd"/>
          </w:p>
        </w:tc>
      </w:tr>
      <w:tr w:rsidR="004921FF" w:rsidRPr="005C133F" w14:paraId="3F720A11" w14:textId="77777777" w:rsidTr="00E05B71">
        <w:trPr>
          <w:trHeight w:val="302"/>
          <w:jc w:val="center"/>
        </w:trPr>
        <w:tc>
          <w:tcPr>
            <w:tcW w:w="567" w:type="dxa"/>
            <w:vAlign w:val="center"/>
          </w:tcPr>
          <w:p w14:paraId="2693BC3B" w14:textId="77777777" w:rsidR="00070FA2" w:rsidRPr="005C133F" w:rsidRDefault="00070FA2" w:rsidP="00D11386">
            <w:pPr>
              <w:spacing w:after="0" w:line="240" w:lineRule="auto"/>
              <w:jc w:val="center"/>
              <w:rPr>
                <w:rFonts w:eastAsia="Calibri"/>
                <w:lang w:val="es-DO"/>
              </w:rPr>
            </w:pPr>
            <w:r w:rsidRPr="005C133F">
              <w:rPr>
                <w:rFonts w:eastAsia="Calibri"/>
                <w:lang w:val="es-DO"/>
              </w:rPr>
              <w:t>29</w:t>
            </w:r>
          </w:p>
        </w:tc>
        <w:tc>
          <w:tcPr>
            <w:tcW w:w="3969" w:type="dxa"/>
            <w:noWrap/>
            <w:vAlign w:val="bottom"/>
            <w:hideMark/>
          </w:tcPr>
          <w:p w14:paraId="0CA8F436" w14:textId="77777777" w:rsidR="00070FA2" w:rsidRPr="005C133F" w:rsidRDefault="00070FA2" w:rsidP="00D11386">
            <w:pPr>
              <w:spacing w:after="0" w:line="240" w:lineRule="auto"/>
              <w:rPr>
                <w:rFonts w:eastAsia="Calibri"/>
                <w:lang w:val="es-DO"/>
              </w:rPr>
            </w:pPr>
            <w:hyperlink r:id="rId39" w:history="1">
              <w:r w:rsidRPr="005C133F">
                <w:rPr>
                  <w:rFonts w:eastAsia="Calibri"/>
                  <w:lang w:val="es-DO"/>
                </w:rPr>
                <w:t xml:space="preserve">SORAFENIB </w:t>
              </w:r>
            </w:hyperlink>
          </w:p>
        </w:tc>
        <w:tc>
          <w:tcPr>
            <w:tcW w:w="3539" w:type="dxa"/>
            <w:vAlign w:val="center"/>
          </w:tcPr>
          <w:p w14:paraId="48AD67C0"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Hepatocarcinoma</w:t>
            </w:r>
          </w:p>
        </w:tc>
      </w:tr>
      <w:tr w:rsidR="004921FF" w:rsidRPr="005C133F" w14:paraId="66ABD164" w14:textId="77777777" w:rsidTr="00E05B71">
        <w:trPr>
          <w:trHeight w:val="302"/>
          <w:jc w:val="center"/>
        </w:trPr>
        <w:tc>
          <w:tcPr>
            <w:tcW w:w="567" w:type="dxa"/>
            <w:vAlign w:val="center"/>
          </w:tcPr>
          <w:p w14:paraId="14F8F56F" w14:textId="77777777" w:rsidR="00070FA2" w:rsidRPr="005C133F" w:rsidRDefault="00070FA2" w:rsidP="00D11386">
            <w:pPr>
              <w:spacing w:after="0" w:line="240" w:lineRule="auto"/>
              <w:jc w:val="center"/>
              <w:rPr>
                <w:rFonts w:eastAsia="Calibri"/>
                <w:lang w:val="es-DO"/>
              </w:rPr>
            </w:pPr>
            <w:r w:rsidRPr="005C133F">
              <w:rPr>
                <w:rFonts w:eastAsia="Calibri"/>
                <w:lang w:val="es-DO"/>
              </w:rPr>
              <w:t>30</w:t>
            </w:r>
          </w:p>
        </w:tc>
        <w:tc>
          <w:tcPr>
            <w:tcW w:w="3969" w:type="dxa"/>
            <w:noWrap/>
            <w:vAlign w:val="bottom"/>
            <w:hideMark/>
          </w:tcPr>
          <w:p w14:paraId="2DEC7333" w14:textId="77777777" w:rsidR="00070FA2" w:rsidRPr="005C133F" w:rsidRDefault="00070FA2" w:rsidP="00D11386">
            <w:pPr>
              <w:spacing w:after="0" w:line="240" w:lineRule="auto"/>
              <w:rPr>
                <w:rFonts w:eastAsia="Calibri"/>
                <w:lang w:val="es-DO"/>
              </w:rPr>
            </w:pPr>
            <w:hyperlink r:id="rId40" w:history="1">
              <w:r w:rsidRPr="005C133F">
                <w:rPr>
                  <w:rFonts w:eastAsia="Calibri"/>
                  <w:lang w:val="es-DO"/>
                </w:rPr>
                <w:t>SOFOSBUVIR/ VELPATASVIR</w:t>
              </w:r>
            </w:hyperlink>
          </w:p>
        </w:tc>
        <w:tc>
          <w:tcPr>
            <w:tcW w:w="3539" w:type="dxa"/>
            <w:vAlign w:val="center"/>
          </w:tcPr>
          <w:p w14:paraId="630C3721"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Hepatitis C Crónica</w:t>
            </w:r>
          </w:p>
        </w:tc>
      </w:tr>
      <w:tr w:rsidR="004921FF" w:rsidRPr="005C133F" w14:paraId="5AA78CE1" w14:textId="77777777" w:rsidTr="00E05B71">
        <w:trPr>
          <w:trHeight w:val="302"/>
          <w:jc w:val="center"/>
        </w:trPr>
        <w:tc>
          <w:tcPr>
            <w:tcW w:w="567" w:type="dxa"/>
            <w:vAlign w:val="center"/>
          </w:tcPr>
          <w:p w14:paraId="688CD273" w14:textId="77777777" w:rsidR="00070FA2" w:rsidRPr="005C133F" w:rsidRDefault="00070FA2" w:rsidP="00D11386">
            <w:pPr>
              <w:spacing w:after="0" w:line="240" w:lineRule="auto"/>
              <w:jc w:val="center"/>
              <w:rPr>
                <w:rFonts w:eastAsia="Calibri"/>
                <w:lang w:val="es-DO"/>
              </w:rPr>
            </w:pPr>
            <w:r w:rsidRPr="005C133F">
              <w:rPr>
                <w:rFonts w:eastAsia="Calibri"/>
                <w:lang w:val="es-DO"/>
              </w:rPr>
              <w:t>31</w:t>
            </w:r>
          </w:p>
        </w:tc>
        <w:tc>
          <w:tcPr>
            <w:tcW w:w="3969" w:type="dxa"/>
            <w:noWrap/>
            <w:vAlign w:val="bottom"/>
            <w:hideMark/>
          </w:tcPr>
          <w:p w14:paraId="7D727FE8" w14:textId="77777777" w:rsidR="00070FA2" w:rsidRPr="005C133F" w:rsidRDefault="00070FA2" w:rsidP="00D11386">
            <w:pPr>
              <w:spacing w:after="0" w:line="240" w:lineRule="auto"/>
              <w:rPr>
                <w:rFonts w:eastAsia="Calibri"/>
                <w:lang w:val="es-DO"/>
              </w:rPr>
            </w:pPr>
            <w:hyperlink r:id="rId41" w:history="1">
              <w:r w:rsidRPr="005C133F">
                <w:rPr>
                  <w:rFonts w:eastAsia="Calibri"/>
                  <w:lang w:val="es-DO"/>
                </w:rPr>
                <w:t>TERIPARATIDA</w:t>
              </w:r>
            </w:hyperlink>
          </w:p>
        </w:tc>
        <w:tc>
          <w:tcPr>
            <w:tcW w:w="3539" w:type="dxa"/>
            <w:vAlign w:val="center"/>
          </w:tcPr>
          <w:p w14:paraId="2CA1EA55" w14:textId="77777777" w:rsidR="00070FA2" w:rsidRPr="005C133F" w:rsidRDefault="00070FA2" w:rsidP="00D11386">
            <w:pPr>
              <w:spacing w:after="0" w:line="240" w:lineRule="auto"/>
              <w:rPr>
                <w:rFonts w:eastAsia="Times New Roman"/>
                <w:lang w:val="es-DO" w:eastAsia="es-DO"/>
              </w:rPr>
            </w:pPr>
            <w:r w:rsidRPr="005C133F">
              <w:rPr>
                <w:rFonts w:eastAsia="Calibri"/>
                <w:lang w:val="es-DO"/>
              </w:rPr>
              <w:t>Osteoporosis</w:t>
            </w:r>
          </w:p>
        </w:tc>
      </w:tr>
      <w:tr w:rsidR="004921FF" w:rsidRPr="005C133F" w14:paraId="2D55189E" w14:textId="77777777" w:rsidTr="00E05B71">
        <w:trPr>
          <w:trHeight w:val="302"/>
          <w:jc w:val="center"/>
        </w:trPr>
        <w:tc>
          <w:tcPr>
            <w:tcW w:w="567" w:type="dxa"/>
            <w:vAlign w:val="center"/>
          </w:tcPr>
          <w:p w14:paraId="68D470F2" w14:textId="77777777" w:rsidR="00070FA2" w:rsidRPr="005C133F" w:rsidRDefault="00070FA2" w:rsidP="00D11386">
            <w:pPr>
              <w:spacing w:after="0" w:line="240" w:lineRule="auto"/>
              <w:jc w:val="center"/>
              <w:rPr>
                <w:rFonts w:eastAsia="Calibri"/>
                <w:lang w:val="es-DO"/>
              </w:rPr>
            </w:pPr>
            <w:r w:rsidRPr="005C133F">
              <w:rPr>
                <w:rFonts w:eastAsia="Calibri"/>
                <w:lang w:val="es-DO"/>
              </w:rPr>
              <w:t>32</w:t>
            </w:r>
          </w:p>
        </w:tc>
        <w:tc>
          <w:tcPr>
            <w:tcW w:w="3969" w:type="dxa"/>
            <w:noWrap/>
            <w:vAlign w:val="bottom"/>
          </w:tcPr>
          <w:p w14:paraId="38FDF29E" w14:textId="77777777" w:rsidR="00070FA2" w:rsidRPr="005C133F" w:rsidRDefault="00070FA2" w:rsidP="00D11386">
            <w:pPr>
              <w:spacing w:after="0" w:line="240" w:lineRule="auto"/>
              <w:rPr>
                <w:rFonts w:eastAsia="Calibri"/>
                <w:lang w:val="es-DO"/>
              </w:rPr>
            </w:pPr>
            <w:hyperlink r:id="rId42" w:history="1">
              <w:r w:rsidRPr="005C133F">
                <w:rPr>
                  <w:rFonts w:eastAsia="Calibri"/>
                  <w:lang w:val="es-DO"/>
                </w:rPr>
                <w:t>TOFACITINIB</w:t>
              </w:r>
            </w:hyperlink>
          </w:p>
        </w:tc>
        <w:tc>
          <w:tcPr>
            <w:tcW w:w="3539" w:type="dxa"/>
            <w:vAlign w:val="center"/>
          </w:tcPr>
          <w:p w14:paraId="01517729" w14:textId="77777777" w:rsidR="00070FA2" w:rsidRPr="005C133F" w:rsidRDefault="00070FA2" w:rsidP="00D11386">
            <w:pPr>
              <w:spacing w:after="0" w:line="240" w:lineRule="auto"/>
              <w:rPr>
                <w:rFonts w:eastAsia="Calibri"/>
                <w:lang w:val="es-DO"/>
              </w:rPr>
            </w:pPr>
            <w:r w:rsidRPr="005C133F">
              <w:rPr>
                <w:rFonts w:eastAsia="Calibri"/>
                <w:lang w:val="es-DO"/>
              </w:rPr>
              <w:t>Colitis Ulcerativa</w:t>
            </w:r>
          </w:p>
        </w:tc>
      </w:tr>
      <w:tr w:rsidR="004921FF" w:rsidRPr="005C133F" w14:paraId="5027BA4D" w14:textId="77777777" w:rsidTr="00E05B71">
        <w:trPr>
          <w:trHeight w:val="302"/>
          <w:jc w:val="center"/>
        </w:trPr>
        <w:tc>
          <w:tcPr>
            <w:tcW w:w="567" w:type="dxa"/>
            <w:vAlign w:val="center"/>
          </w:tcPr>
          <w:p w14:paraId="349E2C22" w14:textId="77777777" w:rsidR="00070FA2" w:rsidRPr="005C133F" w:rsidRDefault="00070FA2" w:rsidP="00D11386">
            <w:pPr>
              <w:spacing w:after="0" w:line="240" w:lineRule="auto"/>
              <w:jc w:val="center"/>
              <w:rPr>
                <w:rFonts w:eastAsia="Calibri"/>
                <w:lang w:val="es-DO"/>
              </w:rPr>
            </w:pPr>
            <w:r w:rsidRPr="005C133F">
              <w:rPr>
                <w:rFonts w:eastAsia="Calibri"/>
                <w:lang w:val="es-DO"/>
              </w:rPr>
              <w:t>33</w:t>
            </w:r>
          </w:p>
        </w:tc>
        <w:tc>
          <w:tcPr>
            <w:tcW w:w="3969" w:type="dxa"/>
            <w:noWrap/>
            <w:vAlign w:val="bottom"/>
          </w:tcPr>
          <w:p w14:paraId="330FE550" w14:textId="77777777" w:rsidR="00070FA2" w:rsidRPr="005C133F" w:rsidRDefault="00070FA2" w:rsidP="00D11386">
            <w:pPr>
              <w:spacing w:after="0" w:line="240" w:lineRule="auto"/>
              <w:rPr>
                <w:rFonts w:eastAsia="Calibri"/>
                <w:lang w:val="es-DO"/>
              </w:rPr>
            </w:pPr>
            <w:hyperlink r:id="rId43" w:history="1">
              <w:r w:rsidRPr="005C133F">
                <w:rPr>
                  <w:rFonts w:eastAsia="Calibri"/>
                  <w:lang w:val="es-DO"/>
                </w:rPr>
                <w:t>TOFACITINIB</w:t>
              </w:r>
            </w:hyperlink>
          </w:p>
        </w:tc>
        <w:tc>
          <w:tcPr>
            <w:tcW w:w="3539" w:type="dxa"/>
            <w:vAlign w:val="center"/>
          </w:tcPr>
          <w:p w14:paraId="03DCFECD" w14:textId="77777777" w:rsidR="00070FA2" w:rsidRPr="005C133F" w:rsidRDefault="00070FA2" w:rsidP="00D11386">
            <w:pPr>
              <w:spacing w:after="0" w:line="240" w:lineRule="auto"/>
              <w:rPr>
                <w:rFonts w:eastAsia="Calibri"/>
                <w:lang w:val="es-DO"/>
              </w:rPr>
            </w:pPr>
            <w:r w:rsidRPr="005C133F">
              <w:rPr>
                <w:rFonts w:eastAsia="Calibri"/>
                <w:lang w:val="es-DO"/>
              </w:rPr>
              <w:t>Artritis reumatoide</w:t>
            </w:r>
          </w:p>
        </w:tc>
      </w:tr>
      <w:tr w:rsidR="004921FF" w:rsidRPr="005C133F" w14:paraId="351FF3C9" w14:textId="77777777" w:rsidTr="00E05B71">
        <w:trPr>
          <w:trHeight w:val="302"/>
          <w:jc w:val="center"/>
        </w:trPr>
        <w:tc>
          <w:tcPr>
            <w:tcW w:w="567" w:type="dxa"/>
            <w:vAlign w:val="center"/>
          </w:tcPr>
          <w:p w14:paraId="1F230A88" w14:textId="77777777" w:rsidR="00070FA2" w:rsidRPr="005C133F" w:rsidRDefault="00070FA2" w:rsidP="00D11386">
            <w:pPr>
              <w:spacing w:after="0" w:line="240" w:lineRule="auto"/>
              <w:jc w:val="center"/>
              <w:rPr>
                <w:rFonts w:eastAsia="Calibri"/>
                <w:lang w:val="es-DO"/>
              </w:rPr>
            </w:pPr>
            <w:r w:rsidRPr="005C133F">
              <w:rPr>
                <w:rFonts w:eastAsia="Calibri"/>
                <w:lang w:val="es-DO"/>
              </w:rPr>
              <w:t>34</w:t>
            </w:r>
          </w:p>
        </w:tc>
        <w:tc>
          <w:tcPr>
            <w:tcW w:w="3969" w:type="dxa"/>
            <w:noWrap/>
            <w:vAlign w:val="bottom"/>
          </w:tcPr>
          <w:p w14:paraId="1E57CA71" w14:textId="77777777" w:rsidR="00070FA2" w:rsidRPr="005C133F" w:rsidRDefault="00070FA2" w:rsidP="00D11386">
            <w:pPr>
              <w:spacing w:after="0" w:line="240" w:lineRule="auto"/>
              <w:rPr>
                <w:rFonts w:eastAsia="Calibri"/>
                <w:lang w:val="es-DO"/>
              </w:rPr>
            </w:pPr>
            <w:r w:rsidRPr="005C133F">
              <w:rPr>
                <w:rFonts w:eastAsia="Calibri"/>
                <w:lang w:val="es-DO"/>
              </w:rPr>
              <w:t>OMALIZUMAB</w:t>
            </w:r>
          </w:p>
        </w:tc>
        <w:tc>
          <w:tcPr>
            <w:tcW w:w="3539" w:type="dxa"/>
            <w:vAlign w:val="center"/>
          </w:tcPr>
          <w:p w14:paraId="28FE0C05" w14:textId="77777777" w:rsidR="00070FA2" w:rsidRPr="005C133F" w:rsidRDefault="00070FA2" w:rsidP="00D11386">
            <w:pPr>
              <w:spacing w:after="0" w:line="240" w:lineRule="auto"/>
              <w:rPr>
                <w:rFonts w:eastAsia="Calibri"/>
                <w:lang w:val="es-DO"/>
              </w:rPr>
            </w:pPr>
            <w:r w:rsidRPr="005C133F">
              <w:rPr>
                <w:rFonts w:eastAsia="Calibri"/>
                <w:lang w:val="es-DO"/>
              </w:rPr>
              <w:t>Asma</w:t>
            </w:r>
          </w:p>
        </w:tc>
      </w:tr>
      <w:tr w:rsidR="004921FF" w:rsidRPr="005C133F" w14:paraId="7E8D6CB3" w14:textId="77777777" w:rsidTr="00E05B71">
        <w:trPr>
          <w:trHeight w:val="302"/>
          <w:jc w:val="center"/>
        </w:trPr>
        <w:tc>
          <w:tcPr>
            <w:tcW w:w="567" w:type="dxa"/>
            <w:vAlign w:val="center"/>
          </w:tcPr>
          <w:p w14:paraId="25D822F0" w14:textId="77777777" w:rsidR="00070FA2" w:rsidRPr="005C133F" w:rsidRDefault="00070FA2" w:rsidP="00D11386">
            <w:pPr>
              <w:spacing w:after="0" w:line="240" w:lineRule="auto"/>
              <w:jc w:val="center"/>
              <w:rPr>
                <w:rFonts w:eastAsia="Calibri"/>
                <w:lang w:val="es-DO"/>
              </w:rPr>
            </w:pPr>
            <w:r w:rsidRPr="005C133F">
              <w:rPr>
                <w:rFonts w:eastAsia="Calibri"/>
                <w:lang w:val="es-DO"/>
              </w:rPr>
              <w:t>35</w:t>
            </w:r>
          </w:p>
        </w:tc>
        <w:tc>
          <w:tcPr>
            <w:tcW w:w="3969" w:type="dxa"/>
            <w:noWrap/>
            <w:vAlign w:val="bottom"/>
          </w:tcPr>
          <w:p w14:paraId="6FC11E83" w14:textId="77777777" w:rsidR="00070FA2" w:rsidRPr="005C133F" w:rsidRDefault="00070FA2" w:rsidP="00D11386">
            <w:pPr>
              <w:spacing w:after="0" w:line="240" w:lineRule="auto"/>
              <w:rPr>
                <w:rFonts w:eastAsia="Calibri"/>
                <w:lang w:val="es-DO"/>
              </w:rPr>
            </w:pPr>
            <w:hyperlink r:id="rId44" w:history="1">
              <w:r w:rsidRPr="005C133F">
                <w:rPr>
                  <w:rFonts w:eastAsia="Calibri"/>
                  <w:lang w:val="es-DO"/>
                </w:rPr>
                <w:t>TOFACITINIB</w:t>
              </w:r>
            </w:hyperlink>
          </w:p>
        </w:tc>
        <w:tc>
          <w:tcPr>
            <w:tcW w:w="3539" w:type="dxa"/>
            <w:vAlign w:val="center"/>
          </w:tcPr>
          <w:p w14:paraId="5EBC72D0" w14:textId="77777777" w:rsidR="00070FA2" w:rsidRPr="005C133F" w:rsidRDefault="00070FA2" w:rsidP="00D11386">
            <w:pPr>
              <w:spacing w:after="0" w:line="240" w:lineRule="auto"/>
              <w:rPr>
                <w:rFonts w:eastAsia="Calibri"/>
                <w:lang w:val="es-DO"/>
              </w:rPr>
            </w:pPr>
            <w:r w:rsidRPr="005C133F">
              <w:rPr>
                <w:rFonts w:eastAsia="Calibri"/>
                <w:lang w:val="es-DO"/>
              </w:rPr>
              <w:t xml:space="preserve">Artritis </w:t>
            </w:r>
            <w:proofErr w:type="spellStart"/>
            <w:r w:rsidRPr="005C133F">
              <w:rPr>
                <w:rFonts w:eastAsia="Calibri"/>
                <w:lang w:val="es-DO"/>
              </w:rPr>
              <w:t>psoriática</w:t>
            </w:r>
            <w:proofErr w:type="spellEnd"/>
          </w:p>
        </w:tc>
      </w:tr>
      <w:tr w:rsidR="004921FF" w:rsidRPr="005C133F" w14:paraId="0FED3D4A" w14:textId="77777777" w:rsidTr="00E05B71">
        <w:trPr>
          <w:trHeight w:val="302"/>
          <w:jc w:val="center"/>
        </w:trPr>
        <w:tc>
          <w:tcPr>
            <w:tcW w:w="567" w:type="dxa"/>
            <w:vAlign w:val="center"/>
          </w:tcPr>
          <w:p w14:paraId="129018C0" w14:textId="77777777" w:rsidR="00070FA2" w:rsidRPr="005C133F" w:rsidRDefault="00070FA2" w:rsidP="00D11386">
            <w:pPr>
              <w:spacing w:after="0" w:line="240" w:lineRule="auto"/>
              <w:jc w:val="center"/>
              <w:rPr>
                <w:rFonts w:eastAsia="Calibri"/>
                <w:lang w:val="es-DO"/>
              </w:rPr>
            </w:pPr>
            <w:r w:rsidRPr="005C133F">
              <w:rPr>
                <w:rFonts w:eastAsia="Calibri"/>
                <w:lang w:val="es-DO"/>
              </w:rPr>
              <w:t>36</w:t>
            </w:r>
          </w:p>
        </w:tc>
        <w:tc>
          <w:tcPr>
            <w:tcW w:w="3969" w:type="dxa"/>
            <w:noWrap/>
            <w:vAlign w:val="bottom"/>
          </w:tcPr>
          <w:p w14:paraId="3D122BD5" w14:textId="77777777" w:rsidR="00070FA2" w:rsidRPr="005C133F" w:rsidRDefault="00070FA2" w:rsidP="00D11386">
            <w:pPr>
              <w:spacing w:after="0" w:line="240" w:lineRule="auto"/>
              <w:rPr>
                <w:rFonts w:eastAsia="Calibri"/>
                <w:lang w:val="es-DO"/>
              </w:rPr>
            </w:pPr>
            <w:r w:rsidRPr="005C133F">
              <w:rPr>
                <w:rFonts w:eastAsia="Calibri"/>
                <w:lang w:val="es-DO"/>
              </w:rPr>
              <w:t>OMALIZUMAB</w:t>
            </w:r>
          </w:p>
        </w:tc>
        <w:tc>
          <w:tcPr>
            <w:tcW w:w="3539" w:type="dxa"/>
            <w:vAlign w:val="center"/>
          </w:tcPr>
          <w:p w14:paraId="7D28590D" w14:textId="77777777" w:rsidR="00070FA2" w:rsidRPr="005C133F" w:rsidRDefault="00070FA2" w:rsidP="00D11386">
            <w:pPr>
              <w:spacing w:after="0" w:line="240" w:lineRule="auto"/>
              <w:rPr>
                <w:rFonts w:eastAsia="Calibri"/>
                <w:lang w:val="es-DO"/>
              </w:rPr>
            </w:pPr>
            <w:r w:rsidRPr="005C133F">
              <w:rPr>
                <w:rFonts w:eastAsia="Calibri"/>
                <w:lang w:val="es-DO"/>
              </w:rPr>
              <w:t>Urticaria crónica</w:t>
            </w:r>
          </w:p>
        </w:tc>
      </w:tr>
      <w:tr w:rsidR="004921FF" w:rsidRPr="005C133F" w14:paraId="1B313BFE" w14:textId="77777777" w:rsidTr="00E05B71">
        <w:trPr>
          <w:trHeight w:val="302"/>
          <w:jc w:val="center"/>
        </w:trPr>
        <w:tc>
          <w:tcPr>
            <w:tcW w:w="567" w:type="dxa"/>
            <w:vAlign w:val="center"/>
          </w:tcPr>
          <w:p w14:paraId="1B54F336" w14:textId="77777777" w:rsidR="00070FA2" w:rsidRPr="005C133F" w:rsidRDefault="00070FA2" w:rsidP="00D11386">
            <w:pPr>
              <w:spacing w:after="0" w:line="240" w:lineRule="auto"/>
              <w:jc w:val="center"/>
              <w:rPr>
                <w:rFonts w:eastAsia="Calibri"/>
                <w:lang w:val="es-DO"/>
              </w:rPr>
            </w:pPr>
            <w:r w:rsidRPr="005C133F">
              <w:rPr>
                <w:rFonts w:eastAsia="Calibri"/>
                <w:lang w:val="es-DO"/>
              </w:rPr>
              <w:t>37</w:t>
            </w:r>
          </w:p>
        </w:tc>
        <w:tc>
          <w:tcPr>
            <w:tcW w:w="3969" w:type="dxa"/>
            <w:noWrap/>
            <w:vAlign w:val="bottom"/>
          </w:tcPr>
          <w:p w14:paraId="2503225B" w14:textId="77777777" w:rsidR="00070FA2" w:rsidRPr="005C133F" w:rsidRDefault="00070FA2" w:rsidP="00D11386">
            <w:pPr>
              <w:spacing w:after="0" w:line="240" w:lineRule="auto"/>
              <w:rPr>
                <w:rFonts w:eastAsia="Calibri"/>
                <w:lang w:val="es-DO"/>
              </w:rPr>
            </w:pPr>
            <w:hyperlink r:id="rId45" w:history="1">
              <w:r w:rsidRPr="005C133F">
                <w:rPr>
                  <w:rFonts w:eastAsia="Calibri"/>
                  <w:lang w:val="es-DO"/>
                </w:rPr>
                <w:t>OMALIZUMAB</w:t>
              </w:r>
            </w:hyperlink>
          </w:p>
        </w:tc>
        <w:tc>
          <w:tcPr>
            <w:tcW w:w="3539" w:type="dxa"/>
            <w:vAlign w:val="center"/>
          </w:tcPr>
          <w:p w14:paraId="0449B855" w14:textId="77777777" w:rsidR="00070FA2" w:rsidRPr="005C133F" w:rsidRDefault="00070FA2" w:rsidP="00D11386">
            <w:pPr>
              <w:spacing w:after="0" w:line="240" w:lineRule="auto"/>
              <w:rPr>
                <w:rFonts w:eastAsia="Calibri"/>
                <w:lang w:val="es-DO"/>
              </w:rPr>
            </w:pPr>
            <w:r w:rsidRPr="005C133F">
              <w:rPr>
                <w:rFonts w:eastAsia="Calibri"/>
                <w:lang w:val="es-DO"/>
              </w:rPr>
              <w:t>Pólipos nasales</w:t>
            </w:r>
          </w:p>
        </w:tc>
      </w:tr>
      <w:tr w:rsidR="004921FF" w:rsidRPr="005C133F" w14:paraId="22E22E1C" w14:textId="77777777" w:rsidTr="00E05B71">
        <w:trPr>
          <w:trHeight w:val="302"/>
          <w:jc w:val="center"/>
        </w:trPr>
        <w:tc>
          <w:tcPr>
            <w:tcW w:w="567" w:type="dxa"/>
            <w:vAlign w:val="center"/>
          </w:tcPr>
          <w:p w14:paraId="4AD75212" w14:textId="77777777" w:rsidR="00070FA2" w:rsidRPr="005C133F" w:rsidRDefault="00070FA2" w:rsidP="00D11386">
            <w:pPr>
              <w:spacing w:after="0" w:line="240" w:lineRule="auto"/>
              <w:jc w:val="center"/>
              <w:rPr>
                <w:rFonts w:eastAsia="Calibri"/>
                <w:lang w:val="es-DO"/>
              </w:rPr>
            </w:pPr>
            <w:r w:rsidRPr="005C133F">
              <w:rPr>
                <w:rFonts w:eastAsia="Calibri"/>
                <w:lang w:val="es-DO"/>
              </w:rPr>
              <w:t>38</w:t>
            </w:r>
          </w:p>
        </w:tc>
        <w:tc>
          <w:tcPr>
            <w:tcW w:w="3969" w:type="dxa"/>
            <w:noWrap/>
            <w:vAlign w:val="bottom"/>
          </w:tcPr>
          <w:p w14:paraId="41744B5D" w14:textId="77777777" w:rsidR="00070FA2" w:rsidRPr="005C133F" w:rsidRDefault="00070FA2" w:rsidP="00D11386">
            <w:pPr>
              <w:spacing w:after="0" w:line="240" w:lineRule="auto"/>
              <w:rPr>
                <w:rFonts w:eastAsia="Calibri"/>
                <w:lang w:val="es-DO"/>
              </w:rPr>
            </w:pPr>
            <w:hyperlink r:id="rId46" w:history="1">
              <w:r w:rsidRPr="005C133F">
                <w:rPr>
                  <w:rFonts w:eastAsia="Calibri"/>
                  <w:lang w:val="es-DO"/>
                </w:rPr>
                <w:t>OCTREOTIDA</w:t>
              </w:r>
            </w:hyperlink>
          </w:p>
        </w:tc>
        <w:tc>
          <w:tcPr>
            <w:tcW w:w="3539" w:type="dxa"/>
            <w:vAlign w:val="center"/>
          </w:tcPr>
          <w:p w14:paraId="257C0BEC" w14:textId="77777777" w:rsidR="00070FA2" w:rsidRPr="005C133F" w:rsidRDefault="00070FA2" w:rsidP="00D11386">
            <w:pPr>
              <w:spacing w:after="0" w:line="240" w:lineRule="auto"/>
              <w:rPr>
                <w:rFonts w:eastAsia="Calibri"/>
                <w:lang w:val="es-DO"/>
              </w:rPr>
            </w:pPr>
            <w:r w:rsidRPr="005C133F">
              <w:rPr>
                <w:rFonts w:eastAsia="Calibri"/>
                <w:lang w:val="es-DO"/>
              </w:rPr>
              <w:t>Acromegalia</w:t>
            </w:r>
          </w:p>
        </w:tc>
      </w:tr>
      <w:tr w:rsidR="004921FF" w:rsidRPr="005C133F" w14:paraId="15D8F104" w14:textId="77777777" w:rsidTr="00E05B71">
        <w:trPr>
          <w:trHeight w:val="302"/>
          <w:jc w:val="center"/>
        </w:trPr>
        <w:tc>
          <w:tcPr>
            <w:tcW w:w="567" w:type="dxa"/>
            <w:vAlign w:val="center"/>
          </w:tcPr>
          <w:p w14:paraId="5A0FA5B0" w14:textId="77777777" w:rsidR="00070FA2" w:rsidRPr="005C133F" w:rsidRDefault="00070FA2" w:rsidP="00D11386">
            <w:pPr>
              <w:spacing w:after="0" w:line="240" w:lineRule="auto"/>
              <w:jc w:val="center"/>
              <w:rPr>
                <w:rFonts w:eastAsia="Calibri"/>
                <w:lang w:val="es-DO"/>
              </w:rPr>
            </w:pPr>
            <w:r w:rsidRPr="005C133F">
              <w:rPr>
                <w:rFonts w:eastAsia="Calibri"/>
                <w:lang w:val="es-DO"/>
              </w:rPr>
              <w:t>39</w:t>
            </w:r>
          </w:p>
        </w:tc>
        <w:tc>
          <w:tcPr>
            <w:tcW w:w="3969" w:type="dxa"/>
            <w:noWrap/>
            <w:vAlign w:val="bottom"/>
          </w:tcPr>
          <w:p w14:paraId="25542FA6" w14:textId="77777777" w:rsidR="00070FA2" w:rsidRPr="005C133F" w:rsidRDefault="00070FA2" w:rsidP="00D11386">
            <w:pPr>
              <w:spacing w:after="0" w:line="240" w:lineRule="auto"/>
              <w:rPr>
                <w:rFonts w:eastAsia="Calibri"/>
                <w:lang w:val="es-DO"/>
              </w:rPr>
            </w:pPr>
            <w:hyperlink r:id="rId47" w:history="1">
              <w:r w:rsidRPr="005C133F">
                <w:rPr>
                  <w:rFonts w:eastAsia="Calibri"/>
                  <w:lang w:val="es-DO"/>
                </w:rPr>
                <w:t>REMDESIVIR</w:t>
              </w:r>
            </w:hyperlink>
          </w:p>
        </w:tc>
        <w:tc>
          <w:tcPr>
            <w:tcW w:w="3539" w:type="dxa"/>
            <w:vAlign w:val="center"/>
          </w:tcPr>
          <w:p w14:paraId="29B4BD8F" w14:textId="77777777" w:rsidR="00070FA2" w:rsidRPr="005C133F" w:rsidRDefault="00070FA2" w:rsidP="00D11386">
            <w:pPr>
              <w:spacing w:after="0" w:line="240" w:lineRule="auto"/>
              <w:rPr>
                <w:rFonts w:eastAsia="Calibri"/>
                <w:lang w:val="es-DO"/>
              </w:rPr>
            </w:pPr>
            <w:r w:rsidRPr="005C133F">
              <w:rPr>
                <w:rFonts w:eastAsia="Calibri"/>
                <w:lang w:val="es-DO"/>
              </w:rPr>
              <w:t>COVID-19</w:t>
            </w:r>
          </w:p>
        </w:tc>
      </w:tr>
      <w:tr w:rsidR="004921FF" w:rsidRPr="005C133F" w14:paraId="4174AFB8" w14:textId="77777777" w:rsidTr="00E05B71">
        <w:trPr>
          <w:trHeight w:val="302"/>
          <w:jc w:val="center"/>
        </w:trPr>
        <w:tc>
          <w:tcPr>
            <w:tcW w:w="567" w:type="dxa"/>
            <w:vAlign w:val="center"/>
          </w:tcPr>
          <w:p w14:paraId="3EA2E6AB" w14:textId="77777777" w:rsidR="00070FA2" w:rsidRPr="005C133F" w:rsidRDefault="00070FA2" w:rsidP="00D11386">
            <w:pPr>
              <w:spacing w:after="0" w:line="240" w:lineRule="auto"/>
              <w:jc w:val="center"/>
              <w:rPr>
                <w:rFonts w:eastAsia="Calibri"/>
                <w:lang w:val="es-DO"/>
              </w:rPr>
            </w:pPr>
            <w:r w:rsidRPr="005C133F">
              <w:rPr>
                <w:rFonts w:eastAsia="Calibri"/>
                <w:lang w:val="es-DO"/>
              </w:rPr>
              <w:t>40</w:t>
            </w:r>
          </w:p>
        </w:tc>
        <w:tc>
          <w:tcPr>
            <w:tcW w:w="3969" w:type="dxa"/>
            <w:noWrap/>
            <w:vAlign w:val="bottom"/>
          </w:tcPr>
          <w:p w14:paraId="0A77FB27" w14:textId="77777777" w:rsidR="00070FA2" w:rsidRPr="005C133F" w:rsidRDefault="00070FA2" w:rsidP="00D11386">
            <w:pPr>
              <w:spacing w:after="0" w:line="240" w:lineRule="auto"/>
              <w:rPr>
                <w:rFonts w:eastAsia="Calibri"/>
                <w:lang w:val="es-DO"/>
              </w:rPr>
            </w:pPr>
            <w:hyperlink r:id="rId48" w:history="1">
              <w:r w:rsidRPr="005C133F">
                <w:rPr>
                  <w:rFonts w:eastAsia="Calibri"/>
                  <w:lang w:val="es-DO"/>
                </w:rPr>
                <w:t>GUSELKUMAB</w:t>
              </w:r>
            </w:hyperlink>
          </w:p>
        </w:tc>
        <w:tc>
          <w:tcPr>
            <w:tcW w:w="3539" w:type="dxa"/>
            <w:vAlign w:val="center"/>
          </w:tcPr>
          <w:p w14:paraId="37EAB028" w14:textId="77777777" w:rsidR="00070FA2" w:rsidRPr="005C133F" w:rsidRDefault="00070FA2" w:rsidP="00D11386">
            <w:pPr>
              <w:spacing w:after="0" w:line="240" w:lineRule="auto"/>
              <w:rPr>
                <w:rFonts w:eastAsia="Calibri"/>
                <w:lang w:val="es-DO"/>
              </w:rPr>
            </w:pPr>
            <w:r w:rsidRPr="005C133F">
              <w:rPr>
                <w:rFonts w:eastAsia="Calibri"/>
                <w:lang w:val="es-DO"/>
              </w:rPr>
              <w:t>Artritis psoriásica</w:t>
            </w:r>
          </w:p>
        </w:tc>
      </w:tr>
      <w:tr w:rsidR="004921FF" w:rsidRPr="005C133F" w14:paraId="2BF554DC" w14:textId="77777777" w:rsidTr="00E05B71">
        <w:trPr>
          <w:trHeight w:val="302"/>
          <w:jc w:val="center"/>
        </w:trPr>
        <w:tc>
          <w:tcPr>
            <w:tcW w:w="567" w:type="dxa"/>
            <w:vAlign w:val="center"/>
          </w:tcPr>
          <w:p w14:paraId="348600BC" w14:textId="77777777" w:rsidR="00070FA2" w:rsidRPr="005C133F" w:rsidRDefault="00070FA2" w:rsidP="00D11386">
            <w:pPr>
              <w:spacing w:after="0" w:line="240" w:lineRule="auto"/>
              <w:jc w:val="center"/>
              <w:rPr>
                <w:rFonts w:eastAsia="Calibri"/>
                <w:lang w:val="es-DO"/>
              </w:rPr>
            </w:pPr>
            <w:r w:rsidRPr="005C133F">
              <w:rPr>
                <w:rFonts w:eastAsia="Calibri"/>
                <w:lang w:val="es-DO"/>
              </w:rPr>
              <w:t>41</w:t>
            </w:r>
          </w:p>
        </w:tc>
        <w:tc>
          <w:tcPr>
            <w:tcW w:w="3969" w:type="dxa"/>
            <w:noWrap/>
            <w:vAlign w:val="bottom"/>
          </w:tcPr>
          <w:p w14:paraId="13D6EC70" w14:textId="77777777" w:rsidR="00070FA2" w:rsidRPr="005C133F" w:rsidRDefault="00070FA2" w:rsidP="00D11386">
            <w:pPr>
              <w:spacing w:after="0" w:line="240" w:lineRule="auto"/>
              <w:rPr>
                <w:rFonts w:eastAsia="Calibri"/>
                <w:lang w:val="es-DO"/>
              </w:rPr>
            </w:pPr>
            <w:hyperlink r:id="rId49" w:history="1">
              <w:r w:rsidRPr="005C133F">
                <w:rPr>
                  <w:rFonts w:eastAsia="Calibri"/>
                  <w:lang w:val="es-DO"/>
                </w:rPr>
                <w:t>SECUKINUMAB</w:t>
              </w:r>
            </w:hyperlink>
          </w:p>
        </w:tc>
        <w:tc>
          <w:tcPr>
            <w:tcW w:w="3539" w:type="dxa"/>
            <w:vAlign w:val="center"/>
          </w:tcPr>
          <w:p w14:paraId="37394ABF" w14:textId="77777777" w:rsidR="00070FA2" w:rsidRPr="005C133F" w:rsidRDefault="00070FA2" w:rsidP="00D11386">
            <w:pPr>
              <w:spacing w:after="0" w:line="240" w:lineRule="auto"/>
              <w:rPr>
                <w:rFonts w:eastAsia="Calibri"/>
                <w:lang w:val="es-DO"/>
              </w:rPr>
            </w:pPr>
            <w:proofErr w:type="spellStart"/>
            <w:r w:rsidRPr="005C133F">
              <w:rPr>
                <w:rFonts w:eastAsia="Calibri"/>
                <w:lang w:val="es-DO"/>
              </w:rPr>
              <w:t>Atritis</w:t>
            </w:r>
            <w:proofErr w:type="spellEnd"/>
            <w:r w:rsidRPr="005C133F">
              <w:rPr>
                <w:rFonts w:eastAsia="Calibri"/>
                <w:lang w:val="es-DO"/>
              </w:rPr>
              <w:t xml:space="preserve"> </w:t>
            </w:r>
            <w:proofErr w:type="spellStart"/>
            <w:r w:rsidRPr="005C133F">
              <w:rPr>
                <w:rFonts w:eastAsia="Calibri"/>
                <w:lang w:val="es-DO"/>
              </w:rPr>
              <w:t>psoriática</w:t>
            </w:r>
            <w:proofErr w:type="spellEnd"/>
          </w:p>
        </w:tc>
      </w:tr>
      <w:tr w:rsidR="004921FF" w:rsidRPr="005C133F" w14:paraId="7C309CAE" w14:textId="77777777" w:rsidTr="00E05B71">
        <w:trPr>
          <w:trHeight w:val="302"/>
          <w:jc w:val="center"/>
        </w:trPr>
        <w:tc>
          <w:tcPr>
            <w:tcW w:w="567" w:type="dxa"/>
            <w:vAlign w:val="center"/>
          </w:tcPr>
          <w:p w14:paraId="7DC53CBB" w14:textId="77777777" w:rsidR="00070FA2" w:rsidRPr="005C133F" w:rsidRDefault="00070FA2" w:rsidP="00D11386">
            <w:pPr>
              <w:spacing w:after="0" w:line="240" w:lineRule="auto"/>
              <w:jc w:val="center"/>
              <w:rPr>
                <w:rFonts w:eastAsia="Calibri"/>
                <w:lang w:val="es-DO"/>
              </w:rPr>
            </w:pPr>
            <w:r w:rsidRPr="005C133F">
              <w:rPr>
                <w:rFonts w:eastAsia="Calibri"/>
                <w:lang w:val="es-DO"/>
              </w:rPr>
              <w:t>42</w:t>
            </w:r>
          </w:p>
        </w:tc>
        <w:tc>
          <w:tcPr>
            <w:tcW w:w="3969" w:type="dxa"/>
            <w:noWrap/>
            <w:vAlign w:val="bottom"/>
          </w:tcPr>
          <w:p w14:paraId="12B7D6B6" w14:textId="77777777" w:rsidR="00070FA2" w:rsidRPr="005C133F" w:rsidRDefault="00070FA2" w:rsidP="00D11386">
            <w:pPr>
              <w:spacing w:after="0" w:line="240" w:lineRule="auto"/>
              <w:rPr>
                <w:rFonts w:eastAsia="Calibri"/>
                <w:lang w:val="es-DO"/>
              </w:rPr>
            </w:pPr>
            <w:r w:rsidRPr="005C133F">
              <w:rPr>
                <w:rFonts w:eastAsia="Calibri"/>
                <w:lang w:val="es-DO"/>
              </w:rPr>
              <w:t xml:space="preserve">ATEZOLIZUMAB </w:t>
            </w:r>
          </w:p>
        </w:tc>
        <w:tc>
          <w:tcPr>
            <w:tcW w:w="3539" w:type="dxa"/>
            <w:vAlign w:val="center"/>
          </w:tcPr>
          <w:p w14:paraId="31B4B280" w14:textId="77777777" w:rsidR="00070FA2" w:rsidRPr="005C133F" w:rsidRDefault="00070FA2" w:rsidP="00D11386">
            <w:pPr>
              <w:spacing w:after="0" w:line="240" w:lineRule="auto"/>
              <w:rPr>
                <w:rFonts w:eastAsia="Calibri"/>
                <w:lang w:val="es-DO"/>
              </w:rPr>
            </w:pPr>
            <w:r w:rsidRPr="005C133F">
              <w:rPr>
                <w:rFonts w:eastAsia="Calibri"/>
                <w:lang w:val="es-DO"/>
              </w:rPr>
              <w:t>Sarcoma</w:t>
            </w:r>
          </w:p>
        </w:tc>
      </w:tr>
      <w:tr w:rsidR="004921FF" w:rsidRPr="005C133F" w14:paraId="2CED10D9" w14:textId="77777777" w:rsidTr="00E05B71">
        <w:trPr>
          <w:trHeight w:val="302"/>
          <w:jc w:val="center"/>
        </w:trPr>
        <w:tc>
          <w:tcPr>
            <w:tcW w:w="567" w:type="dxa"/>
            <w:vAlign w:val="center"/>
          </w:tcPr>
          <w:p w14:paraId="6FF7CAA6" w14:textId="77777777" w:rsidR="00070FA2" w:rsidRPr="005C133F" w:rsidRDefault="00070FA2" w:rsidP="00D11386">
            <w:pPr>
              <w:spacing w:after="0" w:line="240" w:lineRule="auto"/>
              <w:jc w:val="center"/>
              <w:rPr>
                <w:rFonts w:eastAsia="Calibri"/>
                <w:lang w:val="es-DO"/>
              </w:rPr>
            </w:pPr>
            <w:r w:rsidRPr="005C133F">
              <w:rPr>
                <w:rFonts w:eastAsia="Calibri"/>
                <w:lang w:val="es-DO"/>
              </w:rPr>
              <w:t>43</w:t>
            </w:r>
          </w:p>
        </w:tc>
        <w:tc>
          <w:tcPr>
            <w:tcW w:w="3969" w:type="dxa"/>
            <w:noWrap/>
            <w:vAlign w:val="bottom"/>
          </w:tcPr>
          <w:p w14:paraId="102643DC" w14:textId="77777777" w:rsidR="00070FA2" w:rsidRPr="005C133F" w:rsidRDefault="00070FA2" w:rsidP="00D11386">
            <w:pPr>
              <w:spacing w:after="0" w:line="240" w:lineRule="auto"/>
              <w:rPr>
                <w:rFonts w:eastAsia="Calibri"/>
                <w:lang w:val="es-DO"/>
              </w:rPr>
            </w:pPr>
            <w:hyperlink r:id="rId50" w:history="1">
              <w:r w:rsidRPr="005C133F">
                <w:rPr>
                  <w:rFonts w:eastAsia="Calibri"/>
                  <w:lang w:val="es-DO"/>
                </w:rPr>
                <w:t>ATEZOLIZUMAB</w:t>
              </w:r>
            </w:hyperlink>
          </w:p>
        </w:tc>
        <w:tc>
          <w:tcPr>
            <w:tcW w:w="3539" w:type="dxa"/>
            <w:vAlign w:val="center"/>
          </w:tcPr>
          <w:p w14:paraId="270604A6" w14:textId="77777777" w:rsidR="00070FA2" w:rsidRPr="005C133F" w:rsidRDefault="00070FA2" w:rsidP="00D11386">
            <w:pPr>
              <w:spacing w:after="0" w:line="240" w:lineRule="auto"/>
              <w:rPr>
                <w:rFonts w:eastAsia="Calibri"/>
                <w:lang w:val="es-DO"/>
              </w:rPr>
            </w:pPr>
            <w:r w:rsidRPr="005C133F">
              <w:rPr>
                <w:rFonts w:eastAsia="Calibri"/>
                <w:lang w:val="es-DO"/>
              </w:rPr>
              <w:t>Melanoma</w:t>
            </w:r>
          </w:p>
        </w:tc>
      </w:tr>
      <w:tr w:rsidR="004921FF" w:rsidRPr="005C133F" w14:paraId="6AFEECB3" w14:textId="77777777" w:rsidTr="00E05B71">
        <w:trPr>
          <w:trHeight w:val="302"/>
          <w:jc w:val="center"/>
        </w:trPr>
        <w:tc>
          <w:tcPr>
            <w:tcW w:w="567" w:type="dxa"/>
            <w:vAlign w:val="center"/>
          </w:tcPr>
          <w:p w14:paraId="1DAC25AF" w14:textId="77777777" w:rsidR="00070FA2" w:rsidRPr="005C133F" w:rsidRDefault="00070FA2" w:rsidP="00D11386">
            <w:pPr>
              <w:spacing w:after="0" w:line="240" w:lineRule="auto"/>
              <w:jc w:val="center"/>
              <w:rPr>
                <w:rFonts w:eastAsia="Calibri"/>
                <w:lang w:val="es-DO"/>
              </w:rPr>
            </w:pPr>
            <w:hyperlink r:id="rId51" w:history="1">
              <w:r w:rsidRPr="005C133F">
                <w:rPr>
                  <w:rFonts w:eastAsia="Calibri"/>
                  <w:u w:val="single"/>
                  <w:lang w:val="es-DO"/>
                </w:rPr>
                <w:t xml:space="preserve"> </w:t>
              </w:r>
            </w:hyperlink>
            <w:r w:rsidRPr="005C133F">
              <w:rPr>
                <w:rFonts w:eastAsia="Calibri"/>
                <w:lang w:val="es-DO"/>
              </w:rPr>
              <w:t>44</w:t>
            </w:r>
          </w:p>
        </w:tc>
        <w:tc>
          <w:tcPr>
            <w:tcW w:w="3969" w:type="dxa"/>
            <w:noWrap/>
            <w:vAlign w:val="bottom"/>
          </w:tcPr>
          <w:p w14:paraId="702E5DAC" w14:textId="77777777" w:rsidR="00070FA2" w:rsidRPr="005C133F" w:rsidRDefault="00070FA2" w:rsidP="00D11386">
            <w:pPr>
              <w:spacing w:after="0" w:line="240" w:lineRule="auto"/>
              <w:rPr>
                <w:rFonts w:eastAsia="Calibri"/>
                <w:lang w:val="es-DO"/>
              </w:rPr>
            </w:pPr>
            <w:hyperlink r:id="rId52" w:history="1">
              <w:r w:rsidRPr="005C133F">
                <w:rPr>
                  <w:rFonts w:eastAsia="Calibri"/>
                  <w:lang w:val="es-DO"/>
                </w:rPr>
                <w:t xml:space="preserve">SORAFENIB </w:t>
              </w:r>
            </w:hyperlink>
          </w:p>
        </w:tc>
        <w:tc>
          <w:tcPr>
            <w:tcW w:w="3539" w:type="dxa"/>
            <w:vAlign w:val="center"/>
          </w:tcPr>
          <w:p w14:paraId="3DCC8B0B" w14:textId="77777777" w:rsidR="00070FA2" w:rsidRPr="005C133F" w:rsidRDefault="00070FA2" w:rsidP="00D11386">
            <w:pPr>
              <w:spacing w:after="0" w:line="240" w:lineRule="auto"/>
              <w:rPr>
                <w:rFonts w:eastAsia="Calibri"/>
                <w:lang w:val="es-DO"/>
              </w:rPr>
            </w:pPr>
            <w:r w:rsidRPr="005C133F">
              <w:rPr>
                <w:rFonts w:eastAsia="Calibri"/>
                <w:lang w:val="es-DO"/>
              </w:rPr>
              <w:t>Cáncer de riñón</w:t>
            </w:r>
          </w:p>
        </w:tc>
      </w:tr>
    </w:tbl>
    <w:p w14:paraId="0BD84A96" w14:textId="3586E229" w:rsidR="00A31BC9" w:rsidRPr="00D75EEC" w:rsidRDefault="00A31BC9" w:rsidP="00D75EEC">
      <w:pPr>
        <w:pStyle w:val="Prrafodelista"/>
        <w:spacing w:after="0" w:line="360" w:lineRule="auto"/>
        <w:contextualSpacing w:val="0"/>
        <w:jc w:val="both"/>
        <w:rPr>
          <w:rFonts w:eastAsia="Calibri"/>
          <w:sz w:val="18"/>
          <w:szCs w:val="18"/>
          <w:lang w:val="es-ES"/>
        </w:rPr>
      </w:pPr>
      <w:r w:rsidRPr="004E4EBE">
        <w:rPr>
          <w:rFonts w:eastAsia="Calibri"/>
          <w:sz w:val="18"/>
          <w:szCs w:val="18"/>
          <w:lang w:val="es-ES"/>
        </w:rPr>
        <w:t>Fuente: Dirección de Estudios Económicos y Estadísticos</w:t>
      </w:r>
      <w:r w:rsidR="00130493" w:rsidRPr="004E4EBE">
        <w:rPr>
          <w:rFonts w:eastAsia="Calibri"/>
          <w:sz w:val="18"/>
          <w:szCs w:val="18"/>
          <w:lang w:val="es-ES"/>
        </w:rPr>
        <w:t>,</w:t>
      </w:r>
      <w:r w:rsidRPr="004E4EBE">
        <w:rPr>
          <w:rFonts w:eastAsia="Calibri"/>
          <w:sz w:val="18"/>
          <w:szCs w:val="18"/>
          <w:lang w:val="es-ES"/>
        </w:rPr>
        <w:t xml:space="preserve"> SISALRIL</w:t>
      </w:r>
    </w:p>
    <w:p w14:paraId="2B48875C" w14:textId="77F18C74" w:rsidR="00070FA2" w:rsidRPr="005C133F" w:rsidRDefault="00070FA2" w:rsidP="00E05B71">
      <w:pPr>
        <w:pStyle w:val="Prrafodelista"/>
        <w:spacing w:after="0" w:line="360" w:lineRule="auto"/>
        <w:contextualSpacing w:val="0"/>
        <w:rPr>
          <w:rFonts w:eastAsia="Calibri"/>
          <w:b/>
          <w:bCs/>
          <w:lang w:val="es-ES"/>
        </w:rPr>
      </w:pPr>
    </w:p>
    <w:p w14:paraId="77C27264" w14:textId="3BD2C07F" w:rsidR="007A3E4B" w:rsidRPr="005C133F" w:rsidRDefault="007A3E4B" w:rsidP="00E05B71">
      <w:pPr>
        <w:pStyle w:val="Descripcin"/>
        <w:keepNext/>
        <w:spacing w:after="0"/>
        <w:jc w:val="center"/>
        <w:rPr>
          <w:rFonts w:eastAsia="Calibri"/>
          <w:b/>
          <w:bCs/>
          <w:i w:val="0"/>
          <w:iCs w:val="0"/>
          <w:color w:val="767171"/>
          <w:sz w:val="24"/>
          <w:szCs w:val="24"/>
          <w:lang w:val="es-ES"/>
        </w:rPr>
      </w:pPr>
      <w:bookmarkStart w:id="33" w:name="_Toc218784145"/>
      <w:r w:rsidRPr="005C133F">
        <w:rPr>
          <w:rFonts w:eastAsia="Calibri"/>
          <w:b/>
          <w:bCs/>
          <w:i w:val="0"/>
          <w:iCs w:val="0"/>
          <w:color w:val="767171"/>
          <w:sz w:val="24"/>
          <w:szCs w:val="24"/>
          <w:lang w:val="es-ES"/>
        </w:rPr>
        <w:t xml:space="preserve">Tabla </w:t>
      </w:r>
      <w:r w:rsidRPr="005C133F">
        <w:rPr>
          <w:rFonts w:eastAsia="Calibri"/>
          <w:b/>
          <w:bCs/>
          <w:i w:val="0"/>
          <w:iCs w:val="0"/>
          <w:color w:val="767171"/>
          <w:sz w:val="24"/>
          <w:szCs w:val="24"/>
          <w:lang w:val="es-ES"/>
        </w:rPr>
        <w:fldChar w:fldCharType="begin"/>
      </w:r>
      <w:r w:rsidRPr="005C133F">
        <w:rPr>
          <w:rFonts w:eastAsia="Calibri"/>
          <w:b/>
          <w:bCs/>
          <w:i w:val="0"/>
          <w:iCs w:val="0"/>
          <w:color w:val="767171"/>
          <w:sz w:val="24"/>
          <w:szCs w:val="24"/>
          <w:lang w:val="es-ES"/>
        </w:rPr>
        <w:instrText xml:space="preserve"> SEQ Tabla \* ARABIC </w:instrText>
      </w:r>
      <w:r w:rsidRPr="005C133F">
        <w:rPr>
          <w:rFonts w:eastAsia="Calibri"/>
          <w:b/>
          <w:bCs/>
          <w:i w:val="0"/>
          <w:iCs w:val="0"/>
          <w:color w:val="767171"/>
          <w:sz w:val="24"/>
          <w:szCs w:val="24"/>
          <w:lang w:val="es-ES"/>
        </w:rPr>
        <w:fldChar w:fldCharType="separate"/>
      </w:r>
      <w:r w:rsidR="00814341">
        <w:rPr>
          <w:rFonts w:eastAsia="Calibri"/>
          <w:b/>
          <w:bCs/>
          <w:i w:val="0"/>
          <w:iCs w:val="0"/>
          <w:noProof/>
          <w:color w:val="767171"/>
          <w:sz w:val="24"/>
          <w:szCs w:val="24"/>
          <w:lang w:val="es-ES"/>
        </w:rPr>
        <w:t>13</w:t>
      </w:r>
      <w:r w:rsidRPr="005C133F">
        <w:rPr>
          <w:rFonts w:eastAsia="Calibri"/>
          <w:b/>
          <w:bCs/>
          <w:i w:val="0"/>
          <w:iCs w:val="0"/>
          <w:color w:val="767171"/>
          <w:sz w:val="24"/>
          <w:szCs w:val="24"/>
          <w:lang w:val="es-ES"/>
        </w:rPr>
        <w:fldChar w:fldCharType="end"/>
      </w:r>
      <w:r w:rsidRPr="005C133F">
        <w:rPr>
          <w:rFonts w:eastAsia="Calibri"/>
          <w:b/>
          <w:bCs/>
          <w:i w:val="0"/>
          <w:iCs w:val="0"/>
          <w:color w:val="767171"/>
          <w:sz w:val="24"/>
          <w:szCs w:val="24"/>
          <w:lang w:val="es-ES"/>
        </w:rPr>
        <w:t>. Fichas construidas en la segunda convocatoria de EVTESA 2025</w:t>
      </w:r>
      <w:bookmarkEnd w:id="33"/>
    </w:p>
    <w:tbl>
      <w:tblPr>
        <w:tblW w:w="807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675"/>
        <w:gridCol w:w="3985"/>
        <w:gridCol w:w="3419"/>
      </w:tblGrid>
      <w:tr w:rsidR="004E4EBE" w:rsidRPr="004E4EBE" w14:paraId="615825C4" w14:textId="77777777" w:rsidTr="00E05B71">
        <w:trPr>
          <w:trHeight w:val="291"/>
          <w:tblHeader/>
          <w:jc w:val="center"/>
        </w:trPr>
        <w:tc>
          <w:tcPr>
            <w:tcW w:w="675" w:type="dxa"/>
            <w:shd w:val="clear" w:color="auto" w:fill="011C50"/>
            <w:vAlign w:val="center"/>
          </w:tcPr>
          <w:p w14:paraId="187D94B7" w14:textId="77777777" w:rsidR="00070FA2" w:rsidRPr="004E4EBE" w:rsidRDefault="00070FA2" w:rsidP="00E05B71">
            <w:pPr>
              <w:spacing w:after="0" w:line="240" w:lineRule="auto"/>
              <w:jc w:val="center"/>
              <w:rPr>
                <w:rFonts w:eastAsia="Times New Roman"/>
                <w:b/>
                <w:bCs/>
                <w:color w:val="FFFFFF" w:themeColor="background1"/>
                <w:lang w:val="es-DO" w:eastAsia="es-DO"/>
              </w:rPr>
            </w:pPr>
            <w:r w:rsidRPr="004E4EBE">
              <w:rPr>
                <w:rFonts w:eastAsia="Times New Roman"/>
                <w:b/>
                <w:bCs/>
                <w:color w:val="FFFFFF" w:themeColor="background1"/>
                <w:lang w:val="es-DO" w:eastAsia="es-DO"/>
              </w:rPr>
              <w:t>No.</w:t>
            </w:r>
          </w:p>
        </w:tc>
        <w:tc>
          <w:tcPr>
            <w:tcW w:w="3985" w:type="dxa"/>
            <w:shd w:val="clear" w:color="auto" w:fill="011C50"/>
            <w:vAlign w:val="center"/>
          </w:tcPr>
          <w:p w14:paraId="24BEDE1D" w14:textId="77777777" w:rsidR="00070FA2" w:rsidRPr="004E4EBE" w:rsidRDefault="00070FA2" w:rsidP="00E05B71">
            <w:pPr>
              <w:spacing w:after="0" w:line="240" w:lineRule="auto"/>
              <w:jc w:val="center"/>
              <w:rPr>
                <w:rFonts w:eastAsia="Times New Roman"/>
                <w:b/>
                <w:bCs/>
                <w:color w:val="FFFFFF" w:themeColor="background1"/>
                <w:lang w:val="es-DO"/>
              </w:rPr>
            </w:pPr>
            <w:r w:rsidRPr="004E4EBE">
              <w:rPr>
                <w:rFonts w:eastAsia="Times New Roman"/>
                <w:b/>
                <w:bCs/>
                <w:color w:val="FFFFFF" w:themeColor="background1"/>
                <w:lang w:val="es-DO" w:eastAsia="es-DO"/>
              </w:rPr>
              <w:t>Tecnología</w:t>
            </w:r>
          </w:p>
        </w:tc>
        <w:tc>
          <w:tcPr>
            <w:tcW w:w="3419" w:type="dxa"/>
            <w:shd w:val="clear" w:color="auto" w:fill="011C50"/>
            <w:vAlign w:val="center"/>
          </w:tcPr>
          <w:p w14:paraId="495BC9C3" w14:textId="77777777" w:rsidR="00070FA2" w:rsidRPr="004E4EBE" w:rsidRDefault="00070FA2" w:rsidP="00E05B71">
            <w:pPr>
              <w:spacing w:after="0" w:line="240" w:lineRule="auto"/>
              <w:jc w:val="center"/>
              <w:rPr>
                <w:rFonts w:eastAsia="Times New Roman"/>
                <w:b/>
                <w:bCs/>
                <w:color w:val="FFFFFF" w:themeColor="background1"/>
                <w:lang w:val="es-DO"/>
              </w:rPr>
            </w:pPr>
            <w:r w:rsidRPr="004E4EBE">
              <w:rPr>
                <w:rFonts w:eastAsia="Times New Roman"/>
                <w:b/>
                <w:bCs/>
                <w:color w:val="FFFFFF" w:themeColor="background1"/>
                <w:lang w:val="es-DO" w:eastAsia="es-DO"/>
              </w:rPr>
              <w:t>Patología</w:t>
            </w:r>
          </w:p>
        </w:tc>
      </w:tr>
      <w:tr w:rsidR="004921FF" w:rsidRPr="00CD02F5" w14:paraId="05A4CF21" w14:textId="77777777" w:rsidTr="00E05B71">
        <w:trPr>
          <w:trHeight w:val="291"/>
          <w:jc w:val="center"/>
        </w:trPr>
        <w:tc>
          <w:tcPr>
            <w:tcW w:w="675" w:type="dxa"/>
            <w:vAlign w:val="center"/>
          </w:tcPr>
          <w:p w14:paraId="0DADA793"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w:t>
            </w:r>
          </w:p>
        </w:tc>
        <w:tc>
          <w:tcPr>
            <w:tcW w:w="3985" w:type="dxa"/>
            <w:vAlign w:val="center"/>
            <w:hideMark/>
          </w:tcPr>
          <w:p w14:paraId="5A025DEF" w14:textId="539BEDF9" w:rsidR="00070FA2" w:rsidRPr="005C133F" w:rsidRDefault="00070FA2" w:rsidP="00E05B71">
            <w:pPr>
              <w:spacing w:after="0" w:line="240" w:lineRule="auto"/>
              <w:rPr>
                <w:rFonts w:eastAsia="Times New Roman"/>
                <w:lang w:val="es-DO"/>
              </w:rPr>
            </w:pPr>
            <w:r w:rsidRPr="005C133F">
              <w:rPr>
                <w:rFonts w:eastAsia="Times New Roman"/>
                <w:lang w:val="es-DO"/>
              </w:rPr>
              <w:t>RESONACIA MAGNETICA CARDIACA</w:t>
            </w:r>
          </w:p>
        </w:tc>
        <w:tc>
          <w:tcPr>
            <w:tcW w:w="3419" w:type="dxa"/>
            <w:vAlign w:val="center"/>
            <w:hideMark/>
          </w:tcPr>
          <w:p w14:paraId="27DA881F" w14:textId="77777777" w:rsidR="00070FA2" w:rsidRPr="005C133F" w:rsidRDefault="00070FA2" w:rsidP="00E05B71">
            <w:pPr>
              <w:spacing w:after="0" w:line="240" w:lineRule="auto"/>
              <w:rPr>
                <w:rFonts w:eastAsia="Times New Roman"/>
                <w:lang w:val="es-DO"/>
              </w:rPr>
            </w:pPr>
            <w:r w:rsidRPr="005C133F">
              <w:rPr>
                <w:rFonts w:eastAsia="Times New Roman"/>
                <w:lang w:val="es-DO"/>
              </w:rPr>
              <w:t>Enfermedad cardíaca congénita o adquirida,</w:t>
            </w:r>
          </w:p>
        </w:tc>
      </w:tr>
      <w:tr w:rsidR="004921FF" w:rsidRPr="00CD02F5" w14:paraId="2C233AD9" w14:textId="77777777" w:rsidTr="00E05B71">
        <w:trPr>
          <w:trHeight w:val="291"/>
          <w:jc w:val="center"/>
        </w:trPr>
        <w:tc>
          <w:tcPr>
            <w:tcW w:w="675" w:type="dxa"/>
            <w:vAlign w:val="center"/>
          </w:tcPr>
          <w:p w14:paraId="1EAACB8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w:t>
            </w:r>
          </w:p>
        </w:tc>
        <w:tc>
          <w:tcPr>
            <w:tcW w:w="3985" w:type="dxa"/>
            <w:vAlign w:val="center"/>
            <w:hideMark/>
          </w:tcPr>
          <w:p w14:paraId="194DD547" w14:textId="77777777" w:rsidR="00070FA2" w:rsidRPr="005C133F" w:rsidRDefault="00070FA2" w:rsidP="00E05B71">
            <w:pPr>
              <w:spacing w:after="0" w:line="240" w:lineRule="auto"/>
              <w:rPr>
                <w:rFonts w:eastAsia="Times New Roman"/>
                <w:lang w:val="es-DO"/>
              </w:rPr>
            </w:pPr>
            <w:r w:rsidRPr="005C133F">
              <w:rPr>
                <w:rFonts w:eastAsia="Times New Roman"/>
                <w:lang w:val="es-DO"/>
              </w:rPr>
              <w:t>FINERENONA</w:t>
            </w:r>
          </w:p>
        </w:tc>
        <w:tc>
          <w:tcPr>
            <w:tcW w:w="3419" w:type="dxa"/>
            <w:vAlign w:val="center"/>
            <w:hideMark/>
          </w:tcPr>
          <w:p w14:paraId="59FBCE39" w14:textId="77777777" w:rsidR="00070FA2" w:rsidRPr="005C133F" w:rsidRDefault="00070FA2" w:rsidP="00E05B71">
            <w:pPr>
              <w:spacing w:after="0" w:line="240" w:lineRule="auto"/>
              <w:rPr>
                <w:rFonts w:eastAsia="Times New Roman"/>
                <w:lang w:val="es-DO"/>
              </w:rPr>
            </w:pPr>
            <w:r w:rsidRPr="005C133F">
              <w:rPr>
                <w:rFonts w:eastAsia="Times New Roman"/>
                <w:lang w:val="es-DO"/>
              </w:rPr>
              <w:t>Enfermedad renal crónica asociada a diabetes tipo 2</w:t>
            </w:r>
          </w:p>
        </w:tc>
      </w:tr>
      <w:tr w:rsidR="004921FF" w:rsidRPr="005C133F" w14:paraId="27A8CC79" w14:textId="77777777" w:rsidTr="00E05B71">
        <w:trPr>
          <w:trHeight w:val="291"/>
          <w:jc w:val="center"/>
        </w:trPr>
        <w:tc>
          <w:tcPr>
            <w:tcW w:w="675" w:type="dxa"/>
            <w:vAlign w:val="center"/>
          </w:tcPr>
          <w:p w14:paraId="5E955E03"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lastRenderedPageBreak/>
              <w:t>3</w:t>
            </w:r>
          </w:p>
        </w:tc>
        <w:tc>
          <w:tcPr>
            <w:tcW w:w="3985" w:type="dxa"/>
            <w:vAlign w:val="center"/>
            <w:hideMark/>
          </w:tcPr>
          <w:p w14:paraId="2344885C" w14:textId="77777777" w:rsidR="00070FA2" w:rsidRPr="005C133F" w:rsidRDefault="00070FA2" w:rsidP="00E05B71">
            <w:pPr>
              <w:spacing w:after="0" w:line="240" w:lineRule="auto"/>
              <w:rPr>
                <w:rFonts w:eastAsia="Times New Roman"/>
                <w:lang w:val="es-DO"/>
              </w:rPr>
            </w:pPr>
            <w:r w:rsidRPr="005C133F">
              <w:rPr>
                <w:rFonts w:eastAsia="Times New Roman"/>
                <w:lang w:val="es-DO"/>
              </w:rPr>
              <w:t>FIBROSCAN</w:t>
            </w:r>
          </w:p>
        </w:tc>
        <w:tc>
          <w:tcPr>
            <w:tcW w:w="3419" w:type="dxa"/>
            <w:vAlign w:val="center"/>
            <w:hideMark/>
          </w:tcPr>
          <w:p w14:paraId="17300126" w14:textId="77777777" w:rsidR="00070FA2" w:rsidRPr="005C133F" w:rsidRDefault="00070FA2" w:rsidP="00E05B71">
            <w:pPr>
              <w:spacing w:after="0" w:line="240" w:lineRule="auto"/>
              <w:rPr>
                <w:rFonts w:eastAsia="Times New Roman"/>
                <w:lang w:val="es-DO"/>
              </w:rPr>
            </w:pPr>
            <w:r w:rsidRPr="005C133F">
              <w:rPr>
                <w:rFonts w:eastAsia="Times New Roman"/>
                <w:lang w:val="es-DO"/>
              </w:rPr>
              <w:t>Esteatosis y fibrosis hepáticas</w:t>
            </w:r>
          </w:p>
        </w:tc>
      </w:tr>
      <w:tr w:rsidR="004921FF" w:rsidRPr="00CD02F5" w14:paraId="19B84DAB" w14:textId="77777777" w:rsidTr="00E05B71">
        <w:trPr>
          <w:trHeight w:val="291"/>
          <w:jc w:val="center"/>
        </w:trPr>
        <w:tc>
          <w:tcPr>
            <w:tcW w:w="675" w:type="dxa"/>
            <w:vAlign w:val="center"/>
          </w:tcPr>
          <w:p w14:paraId="11B9043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w:t>
            </w:r>
          </w:p>
        </w:tc>
        <w:tc>
          <w:tcPr>
            <w:tcW w:w="3985" w:type="dxa"/>
            <w:vAlign w:val="center"/>
            <w:hideMark/>
          </w:tcPr>
          <w:p w14:paraId="01E4808A" w14:textId="77777777" w:rsidR="00070FA2" w:rsidRPr="005C133F" w:rsidRDefault="00070FA2" w:rsidP="00E05B71">
            <w:pPr>
              <w:spacing w:after="0" w:line="240" w:lineRule="auto"/>
              <w:rPr>
                <w:rFonts w:eastAsia="Times New Roman"/>
                <w:lang w:val="es-DO"/>
              </w:rPr>
            </w:pPr>
            <w:r w:rsidRPr="005C133F">
              <w:rPr>
                <w:rFonts w:eastAsia="Times New Roman"/>
                <w:lang w:val="es-DO"/>
              </w:rPr>
              <w:t>VACUNA FRENTE VRS</w:t>
            </w:r>
          </w:p>
        </w:tc>
        <w:tc>
          <w:tcPr>
            <w:tcW w:w="3419" w:type="dxa"/>
            <w:vAlign w:val="center"/>
            <w:hideMark/>
          </w:tcPr>
          <w:p w14:paraId="3623E295" w14:textId="77777777" w:rsidR="00070FA2" w:rsidRPr="005C133F" w:rsidRDefault="00070FA2" w:rsidP="00E05B71">
            <w:pPr>
              <w:spacing w:after="0" w:line="240" w:lineRule="auto"/>
              <w:rPr>
                <w:rFonts w:eastAsia="Times New Roman"/>
                <w:lang w:val="es-DO"/>
              </w:rPr>
            </w:pPr>
            <w:r w:rsidRPr="005C133F">
              <w:rPr>
                <w:rFonts w:eastAsia="Times New Roman"/>
                <w:lang w:val="es-DO"/>
              </w:rPr>
              <w:t>Prevención de virus sincitial respiratorio (embarazadas y adultos mayores)</w:t>
            </w:r>
          </w:p>
        </w:tc>
      </w:tr>
      <w:tr w:rsidR="004921FF" w:rsidRPr="00CD02F5" w14:paraId="6BFFF675" w14:textId="77777777" w:rsidTr="00E05B71">
        <w:trPr>
          <w:trHeight w:val="291"/>
          <w:jc w:val="center"/>
        </w:trPr>
        <w:tc>
          <w:tcPr>
            <w:tcW w:w="675" w:type="dxa"/>
            <w:vAlign w:val="center"/>
          </w:tcPr>
          <w:p w14:paraId="4E8853F0"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w:t>
            </w:r>
          </w:p>
        </w:tc>
        <w:tc>
          <w:tcPr>
            <w:tcW w:w="3985" w:type="dxa"/>
            <w:vAlign w:val="center"/>
            <w:hideMark/>
          </w:tcPr>
          <w:p w14:paraId="5F090E94" w14:textId="77777777" w:rsidR="00070FA2" w:rsidRPr="005C133F" w:rsidRDefault="00070FA2" w:rsidP="00E05B71">
            <w:pPr>
              <w:spacing w:after="0" w:line="240" w:lineRule="auto"/>
              <w:rPr>
                <w:rFonts w:eastAsia="Times New Roman"/>
                <w:lang w:val="es-DO"/>
              </w:rPr>
            </w:pPr>
            <w:r w:rsidRPr="005C133F">
              <w:rPr>
                <w:rFonts w:eastAsia="Times New Roman"/>
                <w:lang w:val="es-DO"/>
              </w:rPr>
              <w:t>PEMBROLIZUMAB</w:t>
            </w:r>
          </w:p>
        </w:tc>
        <w:tc>
          <w:tcPr>
            <w:tcW w:w="3419" w:type="dxa"/>
            <w:vAlign w:val="center"/>
            <w:hideMark/>
          </w:tcPr>
          <w:p w14:paraId="79812F49"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mama triple negativo localmente avanzado o metastásico</w:t>
            </w:r>
          </w:p>
        </w:tc>
      </w:tr>
      <w:tr w:rsidR="004921FF" w:rsidRPr="00CD02F5" w14:paraId="5920E9B7" w14:textId="77777777" w:rsidTr="00E05B71">
        <w:trPr>
          <w:trHeight w:val="291"/>
          <w:jc w:val="center"/>
        </w:trPr>
        <w:tc>
          <w:tcPr>
            <w:tcW w:w="675" w:type="dxa"/>
            <w:vAlign w:val="center"/>
          </w:tcPr>
          <w:p w14:paraId="559ED8EB"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6</w:t>
            </w:r>
          </w:p>
        </w:tc>
        <w:tc>
          <w:tcPr>
            <w:tcW w:w="3985" w:type="dxa"/>
            <w:vAlign w:val="center"/>
            <w:hideMark/>
          </w:tcPr>
          <w:p w14:paraId="49F4974C" w14:textId="77777777" w:rsidR="00070FA2" w:rsidRPr="005C133F" w:rsidRDefault="00070FA2" w:rsidP="00E05B71">
            <w:pPr>
              <w:spacing w:after="0" w:line="240" w:lineRule="auto"/>
              <w:rPr>
                <w:rFonts w:eastAsia="Times New Roman"/>
                <w:lang w:val="es-DO"/>
              </w:rPr>
            </w:pPr>
            <w:r w:rsidRPr="005C133F">
              <w:rPr>
                <w:rFonts w:eastAsia="Times New Roman"/>
                <w:lang w:val="es-DO"/>
              </w:rPr>
              <w:t>ALECTINIB</w:t>
            </w:r>
          </w:p>
        </w:tc>
        <w:tc>
          <w:tcPr>
            <w:tcW w:w="3419" w:type="dxa"/>
            <w:vAlign w:val="center"/>
            <w:hideMark/>
          </w:tcPr>
          <w:p w14:paraId="475D15FA" w14:textId="77777777" w:rsidR="00070FA2" w:rsidRPr="005C133F" w:rsidRDefault="00070FA2" w:rsidP="00E05B71">
            <w:pPr>
              <w:spacing w:after="0" w:line="240" w:lineRule="auto"/>
              <w:rPr>
                <w:rFonts w:eastAsia="Times New Roman"/>
                <w:lang w:val="es-DO"/>
              </w:rPr>
            </w:pPr>
            <w:r w:rsidRPr="005C133F">
              <w:rPr>
                <w:rFonts w:eastAsia="Times New Roman"/>
                <w:lang w:val="es-DO"/>
              </w:rPr>
              <w:t xml:space="preserve">Cáncer de pulmón </w:t>
            </w:r>
            <w:proofErr w:type="spellStart"/>
            <w:r w:rsidRPr="005C133F">
              <w:rPr>
                <w:rFonts w:eastAsia="Times New Roman"/>
                <w:lang w:val="es-DO"/>
              </w:rPr>
              <w:t>alk</w:t>
            </w:r>
            <w:proofErr w:type="spellEnd"/>
            <w:r w:rsidRPr="005C133F">
              <w:rPr>
                <w:rFonts w:eastAsia="Times New Roman"/>
                <w:lang w:val="es-DO"/>
              </w:rPr>
              <w:t>+ metastásico o avanzado</w:t>
            </w:r>
          </w:p>
        </w:tc>
      </w:tr>
      <w:tr w:rsidR="004921FF" w:rsidRPr="005C133F" w14:paraId="487B6B8F" w14:textId="77777777" w:rsidTr="00E05B71">
        <w:trPr>
          <w:trHeight w:val="291"/>
          <w:jc w:val="center"/>
        </w:trPr>
        <w:tc>
          <w:tcPr>
            <w:tcW w:w="675" w:type="dxa"/>
            <w:vAlign w:val="center"/>
          </w:tcPr>
          <w:p w14:paraId="5EB2FFC6"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7</w:t>
            </w:r>
          </w:p>
        </w:tc>
        <w:tc>
          <w:tcPr>
            <w:tcW w:w="3985" w:type="dxa"/>
            <w:vAlign w:val="center"/>
            <w:hideMark/>
          </w:tcPr>
          <w:p w14:paraId="140B3728" w14:textId="77777777" w:rsidR="00070FA2" w:rsidRPr="005C133F" w:rsidRDefault="00070FA2" w:rsidP="00E05B71">
            <w:pPr>
              <w:spacing w:after="0" w:line="240" w:lineRule="auto"/>
              <w:rPr>
                <w:rFonts w:eastAsia="Times New Roman"/>
                <w:lang w:val="es-DO"/>
              </w:rPr>
            </w:pPr>
            <w:r w:rsidRPr="005C133F">
              <w:rPr>
                <w:rFonts w:eastAsia="Times New Roman"/>
                <w:lang w:val="es-DO"/>
              </w:rPr>
              <w:t>SEMAGLUTIDE</w:t>
            </w:r>
          </w:p>
        </w:tc>
        <w:tc>
          <w:tcPr>
            <w:tcW w:w="3419" w:type="dxa"/>
            <w:vAlign w:val="center"/>
            <w:hideMark/>
          </w:tcPr>
          <w:p w14:paraId="0D4FC669" w14:textId="77777777" w:rsidR="00070FA2" w:rsidRPr="005C133F" w:rsidRDefault="00070FA2" w:rsidP="00E05B71">
            <w:pPr>
              <w:spacing w:after="0" w:line="240" w:lineRule="auto"/>
              <w:rPr>
                <w:rFonts w:eastAsia="Times New Roman"/>
                <w:lang w:val="es-DO"/>
              </w:rPr>
            </w:pPr>
            <w:r w:rsidRPr="005C133F">
              <w:rPr>
                <w:rFonts w:eastAsia="Times New Roman"/>
                <w:lang w:val="es-DO"/>
              </w:rPr>
              <w:t>Diabetes mellitus tipo 2</w:t>
            </w:r>
          </w:p>
        </w:tc>
      </w:tr>
      <w:tr w:rsidR="004921FF" w:rsidRPr="00CD02F5" w14:paraId="2BF33124" w14:textId="77777777" w:rsidTr="00E05B71">
        <w:trPr>
          <w:trHeight w:val="537"/>
          <w:jc w:val="center"/>
        </w:trPr>
        <w:tc>
          <w:tcPr>
            <w:tcW w:w="675" w:type="dxa"/>
            <w:vAlign w:val="center"/>
          </w:tcPr>
          <w:p w14:paraId="41DA166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8</w:t>
            </w:r>
          </w:p>
        </w:tc>
        <w:tc>
          <w:tcPr>
            <w:tcW w:w="3985" w:type="dxa"/>
            <w:vAlign w:val="center"/>
            <w:hideMark/>
          </w:tcPr>
          <w:p w14:paraId="66996160" w14:textId="77777777" w:rsidR="00070FA2" w:rsidRPr="005C133F" w:rsidRDefault="00070FA2" w:rsidP="00E05B71">
            <w:pPr>
              <w:spacing w:after="0" w:line="240" w:lineRule="auto"/>
              <w:rPr>
                <w:rFonts w:eastAsia="Times New Roman"/>
                <w:lang w:val="es-DO"/>
              </w:rPr>
            </w:pPr>
            <w:r w:rsidRPr="005C133F">
              <w:rPr>
                <w:rFonts w:eastAsia="Times New Roman"/>
                <w:lang w:val="es-DO"/>
              </w:rPr>
              <w:t>SOTORASIB</w:t>
            </w:r>
          </w:p>
        </w:tc>
        <w:tc>
          <w:tcPr>
            <w:tcW w:w="3419" w:type="dxa"/>
            <w:vAlign w:val="center"/>
            <w:hideMark/>
          </w:tcPr>
          <w:p w14:paraId="25398D6C"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pulmón de células no pequeñas metastásico (mutación kras g12c)</w:t>
            </w:r>
          </w:p>
        </w:tc>
      </w:tr>
      <w:tr w:rsidR="004921FF" w:rsidRPr="00CD02F5" w14:paraId="1B64C3D2" w14:textId="77777777" w:rsidTr="00E05B71">
        <w:trPr>
          <w:trHeight w:val="291"/>
          <w:jc w:val="center"/>
        </w:trPr>
        <w:tc>
          <w:tcPr>
            <w:tcW w:w="675" w:type="dxa"/>
            <w:vAlign w:val="center"/>
          </w:tcPr>
          <w:p w14:paraId="2BB101C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9</w:t>
            </w:r>
          </w:p>
        </w:tc>
        <w:tc>
          <w:tcPr>
            <w:tcW w:w="3985" w:type="dxa"/>
            <w:vAlign w:val="center"/>
            <w:hideMark/>
          </w:tcPr>
          <w:p w14:paraId="409EF981" w14:textId="77777777" w:rsidR="00070FA2" w:rsidRPr="005C133F" w:rsidRDefault="00070FA2" w:rsidP="00E05B71">
            <w:pPr>
              <w:spacing w:after="0" w:line="240" w:lineRule="auto"/>
              <w:rPr>
                <w:rFonts w:eastAsia="Times New Roman"/>
                <w:lang w:val="es-DO"/>
              </w:rPr>
            </w:pPr>
            <w:r w:rsidRPr="005C133F">
              <w:rPr>
                <w:rFonts w:eastAsia="Times New Roman"/>
                <w:lang w:val="es-DO"/>
              </w:rPr>
              <w:t>DURVALUMAB</w:t>
            </w:r>
          </w:p>
        </w:tc>
        <w:tc>
          <w:tcPr>
            <w:tcW w:w="3419" w:type="dxa"/>
            <w:vAlign w:val="center"/>
            <w:hideMark/>
          </w:tcPr>
          <w:p w14:paraId="2DD69026" w14:textId="77777777" w:rsidR="00070FA2" w:rsidRPr="005C133F" w:rsidRDefault="00070FA2" w:rsidP="00E05B71">
            <w:pPr>
              <w:spacing w:after="0" w:line="240" w:lineRule="auto"/>
              <w:rPr>
                <w:rFonts w:eastAsia="Times New Roman"/>
                <w:lang w:val="es-DO"/>
              </w:rPr>
            </w:pPr>
            <w:r w:rsidRPr="005C133F">
              <w:rPr>
                <w:rFonts w:eastAsia="Times New Roman"/>
                <w:lang w:val="es-DO"/>
              </w:rPr>
              <w:t xml:space="preserve">Cáncer de pulmón de células no pequeñas irresecable estadio </w:t>
            </w:r>
            <w:proofErr w:type="spellStart"/>
            <w:r w:rsidRPr="005C133F">
              <w:rPr>
                <w:rFonts w:eastAsia="Times New Roman"/>
                <w:lang w:val="es-DO"/>
              </w:rPr>
              <w:t>iii</w:t>
            </w:r>
            <w:proofErr w:type="spellEnd"/>
          </w:p>
        </w:tc>
      </w:tr>
      <w:tr w:rsidR="004921FF" w:rsidRPr="005C133F" w14:paraId="155F7C38" w14:textId="77777777" w:rsidTr="00E05B71">
        <w:trPr>
          <w:trHeight w:val="291"/>
          <w:jc w:val="center"/>
        </w:trPr>
        <w:tc>
          <w:tcPr>
            <w:tcW w:w="675" w:type="dxa"/>
            <w:vAlign w:val="center"/>
          </w:tcPr>
          <w:p w14:paraId="03B903B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10</w:t>
            </w:r>
          </w:p>
        </w:tc>
        <w:tc>
          <w:tcPr>
            <w:tcW w:w="3985" w:type="dxa"/>
            <w:vAlign w:val="center"/>
            <w:hideMark/>
          </w:tcPr>
          <w:p w14:paraId="6BD14931" w14:textId="77777777" w:rsidR="00070FA2" w:rsidRPr="005C133F" w:rsidRDefault="00070FA2" w:rsidP="00E05B71">
            <w:pPr>
              <w:spacing w:after="0" w:line="240" w:lineRule="auto"/>
              <w:rPr>
                <w:rFonts w:eastAsia="Times New Roman"/>
                <w:lang w:val="es-DO"/>
              </w:rPr>
            </w:pPr>
            <w:r w:rsidRPr="005C133F">
              <w:rPr>
                <w:rFonts w:eastAsia="Times New Roman"/>
                <w:lang w:val="es-DO"/>
              </w:rPr>
              <w:t>INNOVATIO ND2</w:t>
            </w:r>
          </w:p>
        </w:tc>
        <w:tc>
          <w:tcPr>
            <w:tcW w:w="3419" w:type="dxa"/>
            <w:vAlign w:val="center"/>
            <w:hideMark/>
          </w:tcPr>
          <w:p w14:paraId="56F1CD58" w14:textId="20053D4E" w:rsidR="00070FA2" w:rsidRPr="005C133F" w:rsidRDefault="00070FA2" w:rsidP="00E05B71">
            <w:pPr>
              <w:spacing w:after="0" w:line="240" w:lineRule="auto"/>
              <w:rPr>
                <w:rFonts w:eastAsia="Times New Roman"/>
                <w:lang w:val="es-DO"/>
              </w:rPr>
            </w:pPr>
            <w:r w:rsidRPr="005C133F">
              <w:rPr>
                <w:rFonts w:eastAsia="Times New Roman"/>
                <w:lang w:val="es-DO"/>
              </w:rPr>
              <w:t>Diabetes mellitus tipo 2</w:t>
            </w:r>
          </w:p>
        </w:tc>
      </w:tr>
      <w:tr w:rsidR="004921FF" w:rsidRPr="005C133F" w14:paraId="63055A38" w14:textId="77777777" w:rsidTr="00E05B71">
        <w:trPr>
          <w:trHeight w:val="291"/>
          <w:jc w:val="center"/>
        </w:trPr>
        <w:tc>
          <w:tcPr>
            <w:tcW w:w="675" w:type="dxa"/>
            <w:vAlign w:val="center"/>
          </w:tcPr>
          <w:p w14:paraId="0B2D1C4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11</w:t>
            </w:r>
          </w:p>
        </w:tc>
        <w:tc>
          <w:tcPr>
            <w:tcW w:w="3985" w:type="dxa"/>
            <w:vAlign w:val="center"/>
            <w:hideMark/>
          </w:tcPr>
          <w:p w14:paraId="5CA1AE05" w14:textId="77777777" w:rsidR="00070FA2" w:rsidRPr="005C133F" w:rsidRDefault="00070FA2" w:rsidP="00E05B71">
            <w:pPr>
              <w:spacing w:after="0" w:line="240" w:lineRule="auto"/>
              <w:rPr>
                <w:rFonts w:eastAsia="Times New Roman"/>
                <w:lang w:val="es-DO"/>
              </w:rPr>
            </w:pPr>
            <w:r w:rsidRPr="005C133F">
              <w:rPr>
                <w:rFonts w:eastAsia="Times New Roman"/>
                <w:lang w:val="es-DO"/>
              </w:rPr>
              <w:t>FARAPULSE</w:t>
            </w:r>
          </w:p>
        </w:tc>
        <w:tc>
          <w:tcPr>
            <w:tcW w:w="3419" w:type="dxa"/>
            <w:vAlign w:val="center"/>
            <w:hideMark/>
          </w:tcPr>
          <w:p w14:paraId="419DEFCD" w14:textId="77777777" w:rsidR="00070FA2" w:rsidRPr="005C133F" w:rsidRDefault="00070FA2" w:rsidP="00E05B71">
            <w:pPr>
              <w:spacing w:after="0" w:line="240" w:lineRule="auto"/>
              <w:rPr>
                <w:rFonts w:eastAsia="Times New Roman"/>
                <w:lang w:val="es-DO"/>
              </w:rPr>
            </w:pPr>
            <w:r w:rsidRPr="005C133F">
              <w:rPr>
                <w:rFonts w:eastAsia="Times New Roman"/>
                <w:lang w:val="es-DO"/>
              </w:rPr>
              <w:t>Fibrilación auricular</w:t>
            </w:r>
          </w:p>
        </w:tc>
      </w:tr>
      <w:tr w:rsidR="004921FF" w:rsidRPr="00CD02F5" w14:paraId="2082B267" w14:textId="77777777" w:rsidTr="00E05B71">
        <w:trPr>
          <w:trHeight w:val="291"/>
          <w:jc w:val="center"/>
        </w:trPr>
        <w:tc>
          <w:tcPr>
            <w:tcW w:w="675" w:type="dxa"/>
            <w:vAlign w:val="center"/>
          </w:tcPr>
          <w:p w14:paraId="5F6312D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12</w:t>
            </w:r>
          </w:p>
        </w:tc>
        <w:tc>
          <w:tcPr>
            <w:tcW w:w="3985" w:type="dxa"/>
            <w:vAlign w:val="center"/>
            <w:hideMark/>
          </w:tcPr>
          <w:p w14:paraId="76D7F0DD" w14:textId="77777777" w:rsidR="00070FA2" w:rsidRPr="005C133F" w:rsidRDefault="00070FA2" w:rsidP="00E05B71">
            <w:pPr>
              <w:spacing w:after="0" w:line="240" w:lineRule="auto"/>
              <w:rPr>
                <w:rFonts w:eastAsia="Times New Roman"/>
                <w:lang w:val="es-DO"/>
              </w:rPr>
            </w:pPr>
            <w:r w:rsidRPr="005C133F">
              <w:rPr>
                <w:rFonts w:eastAsia="Times New Roman"/>
                <w:lang w:val="es-DO"/>
              </w:rPr>
              <w:t>DAROLUTAMIDA</w:t>
            </w:r>
          </w:p>
        </w:tc>
        <w:tc>
          <w:tcPr>
            <w:tcW w:w="3419" w:type="dxa"/>
            <w:vAlign w:val="center"/>
            <w:hideMark/>
          </w:tcPr>
          <w:p w14:paraId="55405827"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próstata metastásico o no metastásico resistente a castración</w:t>
            </w:r>
          </w:p>
        </w:tc>
      </w:tr>
      <w:tr w:rsidR="004921FF" w:rsidRPr="005C133F" w14:paraId="150621A9" w14:textId="77777777" w:rsidTr="00E05B71">
        <w:trPr>
          <w:trHeight w:val="291"/>
          <w:jc w:val="center"/>
        </w:trPr>
        <w:tc>
          <w:tcPr>
            <w:tcW w:w="675" w:type="dxa"/>
            <w:vAlign w:val="center"/>
          </w:tcPr>
          <w:p w14:paraId="5102D1EA"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13</w:t>
            </w:r>
          </w:p>
        </w:tc>
        <w:tc>
          <w:tcPr>
            <w:tcW w:w="3985" w:type="dxa"/>
            <w:vAlign w:val="center"/>
            <w:hideMark/>
          </w:tcPr>
          <w:p w14:paraId="743BD632" w14:textId="77777777" w:rsidR="00070FA2" w:rsidRPr="005C133F" w:rsidRDefault="00070FA2" w:rsidP="00E05B71">
            <w:pPr>
              <w:spacing w:after="0" w:line="240" w:lineRule="auto"/>
              <w:rPr>
                <w:rFonts w:eastAsia="Times New Roman"/>
                <w:lang w:val="es-DO"/>
              </w:rPr>
            </w:pPr>
            <w:r w:rsidRPr="005C133F">
              <w:rPr>
                <w:rFonts w:eastAsia="Times New Roman"/>
                <w:lang w:val="es-DO"/>
              </w:rPr>
              <w:t>VENETOCLAX</w:t>
            </w:r>
          </w:p>
        </w:tc>
        <w:tc>
          <w:tcPr>
            <w:tcW w:w="3419" w:type="dxa"/>
            <w:vAlign w:val="center"/>
            <w:hideMark/>
          </w:tcPr>
          <w:p w14:paraId="3695345A" w14:textId="77777777" w:rsidR="00070FA2" w:rsidRPr="005C133F" w:rsidRDefault="00070FA2" w:rsidP="00E05B71">
            <w:pPr>
              <w:spacing w:after="0" w:line="240" w:lineRule="auto"/>
              <w:rPr>
                <w:rFonts w:eastAsia="Times New Roman"/>
                <w:lang w:val="es-DO"/>
              </w:rPr>
            </w:pPr>
            <w:r w:rsidRPr="005C133F">
              <w:rPr>
                <w:rFonts w:eastAsia="Times New Roman"/>
                <w:lang w:val="es-DO"/>
              </w:rPr>
              <w:t>Leucemia mieloide aguda</w:t>
            </w:r>
          </w:p>
        </w:tc>
      </w:tr>
      <w:tr w:rsidR="004921FF" w:rsidRPr="00CD02F5" w14:paraId="20FFE90B" w14:textId="77777777" w:rsidTr="00E05B71">
        <w:trPr>
          <w:trHeight w:val="291"/>
          <w:jc w:val="center"/>
        </w:trPr>
        <w:tc>
          <w:tcPr>
            <w:tcW w:w="675" w:type="dxa"/>
            <w:vAlign w:val="center"/>
          </w:tcPr>
          <w:p w14:paraId="2746166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14</w:t>
            </w:r>
          </w:p>
        </w:tc>
        <w:tc>
          <w:tcPr>
            <w:tcW w:w="3985" w:type="dxa"/>
            <w:vAlign w:val="center"/>
            <w:hideMark/>
          </w:tcPr>
          <w:p w14:paraId="46D553BD" w14:textId="77777777" w:rsidR="00070FA2" w:rsidRPr="005C133F" w:rsidRDefault="00070FA2" w:rsidP="00E05B71">
            <w:pPr>
              <w:spacing w:after="0" w:line="240" w:lineRule="auto"/>
              <w:rPr>
                <w:rFonts w:eastAsia="Times New Roman"/>
                <w:lang w:val="es-DO"/>
              </w:rPr>
            </w:pPr>
            <w:r w:rsidRPr="005C133F">
              <w:rPr>
                <w:rFonts w:eastAsia="Times New Roman"/>
                <w:lang w:val="es-DO"/>
              </w:rPr>
              <w:t>TRASTUZUMAB DERUXTECAN</w:t>
            </w:r>
          </w:p>
        </w:tc>
        <w:tc>
          <w:tcPr>
            <w:tcW w:w="3419" w:type="dxa"/>
            <w:vAlign w:val="center"/>
            <w:hideMark/>
          </w:tcPr>
          <w:p w14:paraId="00FA64F6"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mama her2-positivo metastásico o no resecable</w:t>
            </w:r>
          </w:p>
        </w:tc>
      </w:tr>
      <w:tr w:rsidR="004921FF" w:rsidRPr="00CD02F5" w14:paraId="5FB8A5E2" w14:textId="77777777" w:rsidTr="00E05B71">
        <w:trPr>
          <w:trHeight w:val="291"/>
          <w:jc w:val="center"/>
        </w:trPr>
        <w:tc>
          <w:tcPr>
            <w:tcW w:w="675" w:type="dxa"/>
            <w:vAlign w:val="center"/>
          </w:tcPr>
          <w:p w14:paraId="149BFCE7"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15</w:t>
            </w:r>
          </w:p>
        </w:tc>
        <w:tc>
          <w:tcPr>
            <w:tcW w:w="3985" w:type="dxa"/>
            <w:vAlign w:val="center"/>
            <w:hideMark/>
          </w:tcPr>
          <w:p w14:paraId="3F41E7D9" w14:textId="77777777" w:rsidR="00070FA2" w:rsidRPr="005C133F" w:rsidRDefault="00070FA2" w:rsidP="00E05B71">
            <w:pPr>
              <w:spacing w:after="0" w:line="240" w:lineRule="auto"/>
              <w:rPr>
                <w:rFonts w:eastAsia="Times New Roman"/>
                <w:lang w:val="es-DO"/>
              </w:rPr>
            </w:pPr>
            <w:r w:rsidRPr="005C133F">
              <w:rPr>
                <w:rFonts w:eastAsia="Times New Roman"/>
                <w:lang w:val="es-DO"/>
              </w:rPr>
              <w:t>ENCORAFENIB + CETUXIMAB</w:t>
            </w:r>
          </w:p>
        </w:tc>
        <w:tc>
          <w:tcPr>
            <w:tcW w:w="3419" w:type="dxa"/>
            <w:vAlign w:val="center"/>
            <w:hideMark/>
          </w:tcPr>
          <w:p w14:paraId="5E683B52" w14:textId="77777777" w:rsidR="00070FA2" w:rsidRPr="005C133F" w:rsidRDefault="00070FA2" w:rsidP="00E05B71">
            <w:pPr>
              <w:spacing w:after="0" w:line="240" w:lineRule="auto"/>
              <w:rPr>
                <w:rFonts w:eastAsia="Times New Roman"/>
                <w:lang w:val="es-DO"/>
              </w:rPr>
            </w:pPr>
            <w:r w:rsidRPr="005C133F">
              <w:rPr>
                <w:rFonts w:eastAsia="Times New Roman"/>
                <w:lang w:val="es-DO"/>
              </w:rPr>
              <w:t xml:space="preserve">Cáncer colorrectal metastásico con mutación </w:t>
            </w:r>
            <w:proofErr w:type="spellStart"/>
            <w:r w:rsidRPr="005C133F">
              <w:rPr>
                <w:rFonts w:eastAsia="Times New Roman"/>
                <w:lang w:val="es-DO"/>
              </w:rPr>
              <w:t>braf</w:t>
            </w:r>
            <w:proofErr w:type="spellEnd"/>
            <w:r w:rsidRPr="005C133F">
              <w:rPr>
                <w:rFonts w:eastAsia="Times New Roman"/>
                <w:lang w:val="es-DO"/>
              </w:rPr>
              <w:t xml:space="preserve"> v600e</w:t>
            </w:r>
          </w:p>
        </w:tc>
      </w:tr>
      <w:tr w:rsidR="004921FF" w:rsidRPr="005C133F" w14:paraId="6D1B00F9" w14:textId="77777777" w:rsidTr="00E05B71">
        <w:trPr>
          <w:trHeight w:val="291"/>
          <w:jc w:val="center"/>
        </w:trPr>
        <w:tc>
          <w:tcPr>
            <w:tcW w:w="675" w:type="dxa"/>
            <w:vAlign w:val="center"/>
          </w:tcPr>
          <w:p w14:paraId="49C0BAEC"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16</w:t>
            </w:r>
          </w:p>
        </w:tc>
        <w:tc>
          <w:tcPr>
            <w:tcW w:w="3985" w:type="dxa"/>
            <w:vAlign w:val="center"/>
            <w:hideMark/>
          </w:tcPr>
          <w:p w14:paraId="01CFD830" w14:textId="77777777" w:rsidR="00070FA2" w:rsidRPr="005C133F" w:rsidRDefault="00070FA2" w:rsidP="00E05B71">
            <w:pPr>
              <w:spacing w:after="0" w:line="240" w:lineRule="auto"/>
              <w:rPr>
                <w:rFonts w:eastAsia="Times New Roman"/>
                <w:lang w:val="es-DO"/>
              </w:rPr>
            </w:pPr>
            <w:r w:rsidRPr="005C133F">
              <w:rPr>
                <w:rFonts w:eastAsia="Times New Roman"/>
                <w:lang w:val="es-DO"/>
              </w:rPr>
              <w:t>AFLIBERCEPT</w:t>
            </w:r>
          </w:p>
        </w:tc>
        <w:tc>
          <w:tcPr>
            <w:tcW w:w="3419" w:type="dxa"/>
            <w:vAlign w:val="center"/>
            <w:hideMark/>
          </w:tcPr>
          <w:p w14:paraId="1DA564DC" w14:textId="77777777" w:rsidR="00070FA2" w:rsidRPr="005C133F" w:rsidRDefault="00070FA2" w:rsidP="00E05B71">
            <w:pPr>
              <w:spacing w:after="0" w:line="240" w:lineRule="auto"/>
              <w:rPr>
                <w:rFonts w:eastAsia="Times New Roman"/>
                <w:lang w:val="es-DO"/>
              </w:rPr>
            </w:pPr>
            <w:r w:rsidRPr="005C133F">
              <w:rPr>
                <w:rFonts w:eastAsia="Times New Roman"/>
                <w:lang w:val="es-DO"/>
              </w:rPr>
              <w:t>Edema macular diabético</w:t>
            </w:r>
          </w:p>
        </w:tc>
      </w:tr>
      <w:tr w:rsidR="004921FF" w:rsidRPr="005C133F" w14:paraId="1C2387C1" w14:textId="77777777" w:rsidTr="00E05B71">
        <w:trPr>
          <w:trHeight w:val="291"/>
          <w:jc w:val="center"/>
        </w:trPr>
        <w:tc>
          <w:tcPr>
            <w:tcW w:w="675" w:type="dxa"/>
            <w:vAlign w:val="center"/>
          </w:tcPr>
          <w:p w14:paraId="40013204"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17</w:t>
            </w:r>
          </w:p>
        </w:tc>
        <w:tc>
          <w:tcPr>
            <w:tcW w:w="3985" w:type="dxa"/>
            <w:vAlign w:val="center"/>
            <w:hideMark/>
          </w:tcPr>
          <w:p w14:paraId="08E88A1D" w14:textId="77777777" w:rsidR="00070FA2" w:rsidRPr="005C133F" w:rsidRDefault="00070FA2" w:rsidP="00E05B71">
            <w:pPr>
              <w:spacing w:after="0" w:line="240" w:lineRule="auto"/>
              <w:rPr>
                <w:rFonts w:eastAsia="Times New Roman"/>
                <w:lang w:val="es-DO"/>
              </w:rPr>
            </w:pPr>
            <w:r w:rsidRPr="005C133F">
              <w:rPr>
                <w:rFonts w:eastAsia="Times New Roman"/>
                <w:lang w:val="es-DO"/>
              </w:rPr>
              <w:t>DURVALUMAB Y TREMELIMUMAB</w:t>
            </w:r>
          </w:p>
        </w:tc>
        <w:tc>
          <w:tcPr>
            <w:tcW w:w="3419" w:type="dxa"/>
            <w:vAlign w:val="center"/>
            <w:hideMark/>
          </w:tcPr>
          <w:p w14:paraId="5C073906"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carcinoma hepatocelular irresecable</w:t>
            </w:r>
          </w:p>
        </w:tc>
      </w:tr>
      <w:tr w:rsidR="004921FF" w:rsidRPr="00CD02F5" w14:paraId="718E2D07" w14:textId="77777777" w:rsidTr="00E05B71">
        <w:trPr>
          <w:trHeight w:val="291"/>
          <w:jc w:val="center"/>
        </w:trPr>
        <w:tc>
          <w:tcPr>
            <w:tcW w:w="675" w:type="dxa"/>
            <w:vAlign w:val="center"/>
          </w:tcPr>
          <w:p w14:paraId="1A1BB229"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18</w:t>
            </w:r>
          </w:p>
        </w:tc>
        <w:tc>
          <w:tcPr>
            <w:tcW w:w="3985" w:type="dxa"/>
            <w:vAlign w:val="center"/>
            <w:hideMark/>
          </w:tcPr>
          <w:p w14:paraId="338E8777" w14:textId="77777777" w:rsidR="00070FA2" w:rsidRPr="005C133F" w:rsidRDefault="00070FA2" w:rsidP="00E05B71">
            <w:pPr>
              <w:spacing w:after="0" w:line="240" w:lineRule="auto"/>
              <w:rPr>
                <w:rFonts w:eastAsia="Times New Roman"/>
                <w:lang w:val="es-DO"/>
              </w:rPr>
            </w:pPr>
            <w:r w:rsidRPr="005C133F">
              <w:rPr>
                <w:rFonts w:eastAsia="Times New Roman"/>
                <w:lang w:val="es-DO"/>
              </w:rPr>
              <w:t>ACURATE NEO2/PRIME</w:t>
            </w:r>
          </w:p>
        </w:tc>
        <w:tc>
          <w:tcPr>
            <w:tcW w:w="3419" w:type="dxa"/>
            <w:vAlign w:val="center"/>
            <w:hideMark/>
          </w:tcPr>
          <w:p w14:paraId="7DEFBF63" w14:textId="77777777" w:rsidR="00070FA2" w:rsidRPr="005C133F" w:rsidRDefault="00070FA2" w:rsidP="00E05B71">
            <w:pPr>
              <w:spacing w:after="0" w:line="240" w:lineRule="auto"/>
              <w:rPr>
                <w:rFonts w:eastAsia="Times New Roman"/>
                <w:lang w:val="es-DO"/>
              </w:rPr>
            </w:pPr>
            <w:r w:rsidRPr="005C133F">
              <w:rPr>
                <w:rFonts w:eastAsia="Times New Roman"/>
                <w:lang w:val="es-DO"/>
              </w:rPr>
              <w:t>estenosis aórtica severa y sintomática</w:t>
            </w:r>
          </w:p>
        </w:tc>
      </w:tr>
      <w:tr w:rsidR="004921FF" w:rsidRPr="005C133F" w14:paraId="111E97FE" w14:textId="77777777" w:rsidTr="00E05B71">
        <w:trPr>
          <w:trHeight w:val="291"/>
          <w:jc w:val="center"/>
        </w:trPr>
        <w:tc>
          <w:tcPr>
            <w:tcW w:w="675" w:type="dxa"/>
            <w:vAlign w:val="center"/>
          </w:tcPr>
          <w:p w14:paraId="76624D5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19</w:t>
            </w:r>
          </w:p>
        </w:tc>
        <w:tc>
          <w:tcPr>
            <w:tcW w:w="3985" w:type="dxa"/>
            <w:vAlign w:val="center"/>
            <w:hideMark/>
          </w:tcPr>
          <w:p w14:paraId="343D0C4B"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250D7A6E" w14:textId="77777777" w:rsidR="00070FA2" w:rsidRPr="005C133F" w:rsidRDefault="00070FA2" w:rsidP="00E05B71">
            <w:pPr>
              <w:spacing w:after="0" w:line="240" w:lineRule="auto"/>
              <w:rPr>
                <w:rFonts w:eastAsia="Times New Roman"/>
                <w:lang w:val="es-DO"/>
              </w:rPr>
            </w:pPr>
            <w:r w:rsidRPr="005C133F">
              <w:rPr>
                <w:rFonts w:eastAsia="Times New Roman"/>
                <w:lang w:val="es-DO"/>
              </w:rPr>
              <w:t>Enfermedad de Crohn</w:t>
            </w:r>
          </w:p>
        </w:tc>
      </w:tr>
      <w:tr w:rsidR="004921FF" w:rsidRPr="005C133F" w14:paraId="116D4535" w14:textId="77777777" w:rsidTr="00E05B71">
        <w:trPr>
          <w:trHeight w:val="291"/>
          <w:jc w:val="center"/>
        </w:trPr>
        <w:tc>
          <w:tcPr>
            <w:tcW w:w="675" w:type="dxa"/>
            <w:vAlign w:val="center"/>
          </w:tcPr>
          <w:p w14:paraId="5DB9B06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20</w:t>
            </w:r>
          </w:p>
        </w:tc>
        <w:tc>
          <w:tcPr>
            <w:tcW w:w="3985" w:type="dxa"/>
            <w:vAlign w:val="center"/>
            <w:hideMark/>
          </w:tcPr>
          <w:p w14:paraId="37B25EE7" w14:textId="77777777" w:rsidR="00070FA2" w:rsidRPr="005C133F" w:rsidRDefault="00070FA2" w:rsidP="00E05B71">
            <w:pPr>
              <w:spacing w:after="0" w:line="240" w:lineRule="auto"/>
              <w:rPr>
                <w:rFonts w:eastAsia="Times New Roman"/>
                <w:lang w:val="es-DO"/>
              </w:rPr>
            </w:pPr>
            <w:r w:rsidRPr="005C133F">
              <w:rPr>
                <w:rFonts w:eastAsia="Times New Roman"/>
                <w:lang w:val="es-DO"/>
              </w:rPr>
              <w:t>REZUM</w:t>
            </w:r>
          </w:p>
        </w:tc>
        <w:tc>
          <w:tcPr>
            <w:tcW w:w="3419" w:type="dxa"/>
            <w:vAlign w:val="center"/>
            <w:hideMark/>
          </w:tcPr>
          <w:p w14:paraId="50EF8FD2" w14:textId="77777777" w:rsidR="00070FA2" w:rsidRPr="005C133F" w:rsidRDefault="00070FA2" w:rsidP="00E05B71">
            <w:pPr>
              <w:spacing w:after="0" w:line="240" w:lineRule="auto"/>
              <w:rPr>
                <w:rFonts w:eastAsia="Times New Roman"/>
                <w:lang w:val="es-DO"/>
              </w:rPr>
            </w:pPr>
            <w:r w:rsidRPr="005C133F">
              <w:rPr>
                <w:rFonts w:eastAsia="Times New Roman"/>
                <w:lang w:val="es-DO"/>
              </w:rPr>
              <w:t>Hiperplasia prostática benigna</w:t>
            </w:r>
          </w:p>
        </w:tc>
      </w:tr>
      <w:tr w:rsidR="004921FF" w:rsidRPr="005C133F" w14:paraId="249ADD03" w14:textId="77777777" w:rsidTr="00E05B71">
        <w:trPr>
          <w:trHeight w:val="291"/>
          <w:jc w:val="center"/>
        </w:trPr>
        <w:tc>
          <w:tcPr>
            <w:tcW w:w="675" w:type="dxa"/>
            <w:vAlign w:val="center"/>
          </w:tcPr>
          <w:p w14:paraId="2804B488"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21</w:t>
            </w:r>
          </w:p>
        </w:tc>
        <w:tc>
          <w:tcPr>
            <w:tcW w:w="3985" w:type="dxa"/>
            <w:vAlign w:val="center"/>
            <w:hideMark/>
          </w:tcPr>
          <w:p w14:paraId="578E9AAC"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14D0AD73" w14:textId="77777777" w:rsidR="00070FA2" w:rsidRPr="005C133F" w:rsidRDefault="00070FA2" w:rsidP="00E05B71">
            <w:pPr>
              <w:spacing w:after="0" w:line="240" w:lineRule="auto"/>
              <w:rPr>
                <w:rFonts w:eastAsia="Times New Roman"/>
                <w:lang w:val="es-DO"/>
              </w:rPr>
            </w:pPr>
            <w:r w:rsidRPr="005C133F">
              <w:rPr>
                <w:rFonts w:eastAsia="Times New Roman"/>
                <w:lang w:val="es-DO"/>
              </w:rPr>
              <w:t>Artritis reumatoide</w:t>
            </w:r>
          </w:p>
        </w:tc>
      </w:tr>
      <w:tr w:rsidR="004921FF" w:rsidRPr="005C133F" w14:paraId="35ECFBFA" w14:textId="77777777" w:rsidTr="00E05B71">
        <w:trPr>
          <w:trHeight w:val="291"/>
          <w:jc w:val="center"/>
        </w:trPr>
        <w:tc>
          <w:tcPr>
            <w:tcW w:w="675" w:type="dxa"/>
            <w:vAlign w:val="center"/>
          </w:tcPr>
          <w:p w14:paraId="641D7376"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lastRenderedPageBreak/>
              <w:t>22</w:t>
            </w:r>
          </w:p>
        </w:tc>
        <w:tc>
          <w:tcPr>
            <w:tcW w:w="3985" w:type="dxa"/>
            <w:vAlign w:val="center"/>
            <w:hideMark/>
          </w:tcPr>
          <w:p w14:paraId="58E3589F" w14:textId="77777777" w:rsidR="00070FA2" w:rsidRPr="005C133F" w:rsidRDefault="00070FA2" w:rsidP="00E05B71">
            <w:pPr>
              <w:spacing w:after="0" w:line="240" w:lineRule="auto"/>
              <w:rPr>
                <w:rFonts w:eastAsia="Times New Roman"/>
                <w:lang w:val="es-DO"/>
              </w:rPr>
            </w:pPr>
            <w:r w:rsidRPr="005C133F">
              <w:rPr>
                <w:rFonts w:eastAsia="Times New Roman"/>
                <w:lang w:val="es-DO"/>
              </w:rPr>
              <w:t>SECUKINUMAB</w:t>
            </w:r>
          </w:p>
        </w:tc>
        <w:tc>
          <w:tcPr>
            <w:tcW w:w="3419" w:type="dxa"/>
            <w:vAlign w:val="center"/>
            <w:hideMark/>
          </w:tcPr>
          <w:p w14:paraId="24CBB50A" w14:textId="040D96A2" w:rsidR="00070FA2" w:rsidRPr="005C133F" w:rsidRDefault="00070FA2" w:rsidP="00E05B71">
            <w:pPr>
              <w:spacing w:after="0" w:line="240" w:lineRule="auto"/>
              <w:rPr>
                <w:rFonts w:eastAsia="Times New Roman"/>
                <w:lang w:val="es-DO"/>
              </w:rPr>
            </w:pPr>
            <w:r w:rsidRPr="005C133F">
              <w:rPr>
                <w:rFonts w:eastAsia="Times New Roman"/>
                <w:lang w:val="es-DO"/>
              </w:rPr>
              <w:t>Psoriasis de plaqueta</w:t>
            </w:r>
          </w:p>
        </w:tc>
      </w:tr>
      <w:tr w:rsidR="004921FF" w:rsidRPr="005C133F" w14:paraId="6677334D" w14:textId="77777777" w:rsidTr="00E05B71">
        <w:trPr>
          <w:trHeight w:val="291"/>
          <w:jc w:val="center"/>
        </w:trPr>
        <w:tc>
          <w:tcPr>
            <w:tcW w:w="675" w:type="dxa"/>
            <w:vAlign w:val="center"/>
          </w:tcPr>
          <w:p w14:paraId="5F8B7A43"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23</w:t>
            </w:r>
          </w:p>
        </w:tc>
        <w:tc>
          <w:tcPr>
            <w:tcW w:w="3985" w:type="dxa"/>
            <w:vAlign w:val="center"/>
            <w:hideMark/>
          </w:tcPr>
          <w:p w14:paraId="04DE5162"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5FE4C570" w14:textId="77777777" w:rsidR="00070FA2" w:rsidRPr="005C133F" w:rsidRDefault="00070FA2" w:rsidP="00E05B71">
            <w:pPr>
              <w:spacing w:after="0" w:line="240" w:lineRule="auto"/>
              <w:rPr>
                <w:rFonts w:eastAsia="Times New Roman"/>
                <w:lang w:val="es-DO"/>
              </w:rPr>
            </w:pPr>
            <w:r w:rsidRPr="005C133F">
              <w:rPr>
                <w:rFonts w:eastAsia="Times New Roman"/>
                <w:lang w:val="es-DO"/>
              </w:rPr>
              <w:t>Espondilitis alquilante</w:t>
            </w:r>
          </w:p>
        </w:tc>
      </w:tr>
      <w:tr w:rsidR="004921FF" w:rsidRPr="005C133F" w14:paraId="05DE2ACF" w14:textId="77777777" w:rsidTr="00E05B71">
        <w:trPr>
          <w:trHeight w:val="291"/>
          <w:jc w:val="center"/>
        </w:trPr>
        <w:tc>
          <w:tcPr>
            <w:tcW w:w="675" w:type="dxa"/>
            <w:vAlign w:val="center"/>
          </w:tcPr>
          <w:p w14:paraId="05F7F41B"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24</w:t>
            </w:r>
          </w:p>
        </w:tc>
        <w:tc>
          <w:tcPr>
            <w:tcW w:w="3985" w:type="dxa"/>
            <w:vAlign w:val="center"/>
            <w:hideMark/>
          </w:tcPr>
          <w:p w14:paraId="145C6F33"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3922C4A1" w14:textId="77777777" w:rsidR="00070FA2" w:rsidRPr="005C133F" w:rsidRDefault="00070FA2" w:rsidP="00E05B71">
            <w:pPr>
              <w:spacing w:after="0" w:line="240" w:lineRule="auto"/>
              <w:rPr>
                <w:rFonts w:eastAsia="Times New Roman"/>
                <w:lang w:val="es-DO"/>
              </w:rPr>
            </w:pPr>
            <w:r w:rsidRPr="005C133F">
              <w:rPr>
                <w:rFonts w:eastAsia="Times New Roman"/>
                <w:lang w:val="es-DO"/>
              </w:rPr>
              <w:t>Espondilitis alquilante no axial</w:t>
            </w:r>
          </w:p>
        </w:tc>
      </w:tr>
      <w:tr w:rsidR="004921FF" w:rsidRPr="005C133F" w14:paraId="6C546301" w14:textId="77777777" w:rsidTr="00E05B71">
        <w:trPr>
          <w:trHeight w:val="291"/>
          <w:jc w:val="center"/>
        </w:trPr>
        <w:tc>
          <w:tcPr>
            <w:tcW w:w="675" w:type="dxa"/>
            <w:vAlign w:val="center"/>
          </w:tcPr>
          <w:p w14:paraId="371D0444"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25</w:t>
            </w:r>
          </w:p>
        </w:tc>
        <w:tc>
          <w:tcPr>
            <w:tcW w:w="3985" w:type="dxa"/>
            <w:vAlign w:val="center"/>
            <w:hideMark/>
          </w:tcPr>
          <w:p w14:paraId="6F397FF7"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0BEF09B7" w14:textId="77777777" w:rsidR="00070FA2" w:rsidRPr="005C133F" w:rsidRDefault="00070FA2" w:rsidP="00E05B71">
            <w:pPr>
              <w:spacing w:after="0" w:line="240" w:lineRule="auto"/>
              <w:rPr>
                <w:rFonts w:eastAsia="Times New Roman"/>
                <w:lang w:val="es-DO"/>
              </w:rPr>
            </w:pPr>
            <w:r w:rsidRPr="005C133F">
              <w:rPr>
                <w:rFonts w:eastAsia="Times New Roman"/>
                <w:lang w:val="es-DO"/>
              </w:rPr>
              <w:t>Artritis psoriásica</w:t>
            </w:r>
          </w:p>
        </w:tc>
      </w:tr>
      <w:tr w:rsidR="004921FF" w:rsidRPr="005C133F" w14:paraId="6AA64DFE" w14:textId="77777777" w:rsidTr="00E05B71">
        <w:trPr>
          <w:trHeight w:val="291"/>
          <w:jc w:val="center"/>
        </w:trPr>
        <w:tc>
          <w:tcPr>
            <w:tcW w:w="675" w:type="dxa"/>
            <w:vAlign w:val="center"/>
          </w:tcPr>
          <w:p w14:paraId="7C672009"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26</w:t>
            </w:r>
          </w:p>
        </w:tc>
        <w:tc>
          <w:tcPr>
            <w:tcW w:w="3985" w:type="dxa"/>
            <w:vAlign w:val="center"/>
            <w:hideMark/>
          </w:tcPr>
          <w:p w14:paraId="1B44F115" w14:textId="77777777" w:rsidR="00070FA2" w:rsidRPr="005C133F" w:rsidRDefault="00070FA2" w:rsidP="00E05B71">
            <w:pPr>
              <w:spacing w:after="0" w:line="240" w:lineRule="auto"/>
              <w:rPr>
                <w:rFonts w:eastAsia="Times New Roman"/>
                <w:lang w:val="es-DO"/>
              </w:rPr>
            </w:pPr>
            <w:r w:rsidRPr="005C133F">
              <w:rPr>
                <w:rFonts w:eastAsia="Times New Roman"/>
                <w:lang w:val="es-DO"/>
              </w:rPr>
              <w:t>VENETOCLAX</w:t>
            </w:r>
          </w:p>
        </w:tc>
        <w:tc>
          <w:tcPr>
            <w:tcW w:w="3419" w:type="dxa"/>
            <w:vAlign w:val="center"/>
            <w:hideMark/>
          </w:tcPr>
          <w:p w14:paraId="3EE17730" w14:textId="77777777" w:rsidR="00070FA2" w:rsidRPr="005C133F" w:rsidRDefault="00070FA2" w:rsidP="00E05B71">
            <w:pPr>
              <w:spacing w:after="0" w:line="240" w:lineRule="auto"/>
              <w:rPr>
                <w:rFonts w:eastAsia="Times New Roman"/>
                <w:lang w:val="es-DO"/>
              </w:rPr>
            </w:pPr>
            <w:r w:rsidRPr="005C133F">
              <w:rPr>
                <w:rFonts w:eastAsia="Times New Roman"/>
                <w:lang w:val="es-DO"/>
              </w:rPr>
              <w:t>Leucemia linfocítica crónica</w:t>
            </w:r>
          </w:p>
        </w:tc>
      </w:tr>
      <w:tr w:rsidR="004921FF" w:rsidRPr="00CD02F5" w14:paraId="5770E6AB" w14:textId="77777777" w:rsidTr="00E05B71">
        <w:trPr>
          <w:trHeight w:val="291"/>
          <w:jc w:val="center"/>
        </w:trPr>
        <w:tc>
          <w:tcPr>
            <w:tcW w:w="675" w:type="dxa"/>
            <w:vAlign w:val="center"/>
          </w:tcPr>
          <w:p w14:paraId="090AF626"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27</w:t>
            </w:r>
          </w:p>
        </w:tc>
        <w:tc>
          <w:tcPr>
            <w:tcW w:w="3985" w:type="dxa"/>
            <w:vAlign w:val="center"/>
            <w:hideMark/>
          </w:tcPr>
          <w:p w14:paraId="0491C05D" w14:textId="77777777" w:rsidR="00070FA2" w:rsidRPr="005C133F" w:rsidRDefault="00070FA2" w:rsidP="00E05B71">
            <w:pPr>
              <w:spacing w:after="0" w:line="240" w:lineRule="auto"/>
              <w:rPr>
                <w:rFonts w:eastAsia="Times New Roman"/>
                <w:lang w:val="es-DO"/>
              </w:rPr>
            </w:pPr>
            <w:r w:rsidRPr="005C133F">
              <w:rPr>
                <w:rFonts w:eastAsia="Times New Roman"/>
                <w:lang w:val="es-DO"/>
              </w:rPr>
              <w:t>NIVOLUMAB +QT</w:t>
            </w:r>
          </w:p>
        </w:tc>
        <w:tc>
          <w:tcPr>
            <w:tcW w:w="3419" w:type="dxa"/>
            <w:vAlign w:val="center"/>
            <w:hideMark/>
          </w:tcPr>
          <w:p w14:paraId="668D57DF"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pulmón no microcítico</w:t>
            </w:r>
          </w:p>
        </w:tc>
      </w:tr>
      <w:tr w:rsidR="004921FF" w:rsidRPr="005C133F" w14:paraId="20F85441" w14:textId="77777777" w:rsidTr="00E05B71">
        <w:trPr>
          <w:trHeight w:val="291"/>
          <w:jc w:val="center"/>
        </w:trPr>
        <w:tc>
          <w:tcPr>
            <w:tcW w:w="675" w:type="dxa"/>
            <w:vAlign w:val="center"/>
          </w:tcPr>
          <w:p w14:paraId="214E141A"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28</w:t>
            </w:r>
          </w:p>
        </w:tc>
        <w:tc>
          <w:tcPr>
            <w:tcW w:w="3985" w:type="dxa"/>
            <w:vAlign w:val="center"/>
            <w:hideMark/>
          </w:tcPr>
          <w:p w14:paraId="4B65E516" w14:textId="77777777" w:rsidR="00070FA2" w:rsidRPr="005C133F" w:rsidRDefault="00070FA2" w:rsidP="00E05B71">
            <w:pPr>
              <w:spacing w:after="0" w:line="240" w:lineRule="auto"/>
              <w:rPr>
                <w:rFonts w:eastAsia="Times New Roman"/>
                <w:lang w:val="es-DO"/>
              </w:rPr>
            </w:pPr>
            <w:r w:rsidRPr="005C133F">
              <w:rPr>
                <w:rFonts w:eastAsia="Times New Roman"/>
                <w:lang w:val="es-DO"/>
              </w:rPr>
              <w:t>NINTEDANIB</w:t>
            </w:r>
          </w:p>
        </w:tc>
        <w:tc>
          <w:tcPr>
            <w:tcW w:w="3419" w:type="dxa"/>
            <w:vAlign w:val="center"/>
            <w:hideMark/>
          </w:tcPr>
          <w:p w14:paraId="1F126D50" w14:textId="77777777" w:rsidR="00070FA2" w:rsidRPr="005C133F" w:rsidRDefault="00070FA2" w:rsidP="00E05B71">
            <w:pPr>
              <w:spacing w:after="0" w:line="240" w:lineRule="auto"/>
              <w:rPr>
                <w:rFonts w:eastAsia="Times New Roman"/>
                <w:lang w:val="es-DO"/>
              </w:rPr>
            </w:pPr>
            <w:r w:rsidRPr="005C133F">
              <w:rPr>
                <w:rFonts w:eastAsia="Times New Roman"/>
                <w:lang w:val="es-DO"/>
              </w:rPr>
              <w:t>Fibrosis pulmonar idiopática</w:t>
            </w:r>
          </w:p>
        </w:tc>
      </w:tr>
      <w:tr w:rsidR="004921FF" w:rsidRPr="00CD02F5" w14:paraId="0AB72C22" w14:textId="77777777" w:rsidTr="00E05B71">
        <w:trPr>
          <w:trHeight w:val="291"/>
          <w:jc w:val="center"/>
        </w:trPr>
        <w:tc>
          <w:tcPr>
            <w:tcW w:w="675" w:type="dxa"/>
            <w:vAlign w:val="center"/>
          </w:tcPr>
          <w:p w14:paraId="71C5124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29</w:t>
            </w:r>
          </w:p>
        </w:tc>
        <w:tc>
          <w:tcPr>
            <w:tcW w:w="3985" w:type="dxa"/>
            <w:vAlign w:val="center"/>
            <w:hideMark/>
          </w:tcPr>
          <w:p w14:paraId="305C5297" w14:textId="77777777" w:rsidR="00070FA2" w:rsidRPr="005C133F" w:rsidRDefault="00070FA2" w:rsidP="00E05B71">
            <w:pPr>
              <w:spacing w:after="0" w:line="240" w:lineRule="auto"/>
              <w:rPr>
                <w:rFonts w:eastAsia="Times New Roman"/>
                <w:lang w:val="es-DO"/>
              </w:rPr>
            </w:pPr>
            <w:r w:rsidRPr="005C133F">
              <w:rPr>
                <w:rFonts w:eastAsia="Times New Roman"/>
                <w:lang w:val="es-DO"/>
              </w:rPr>
              <w:t>LORLATINIB</w:t>
            </w:r>
          </w:p>
        </w:tc>
        <w:tc>
          <w:tcPr>
            <w:tcW w:w="3419" w:type="dxa"/>
            <w:vAlign w:val="center"/>
            <w:hideMark/>
          </w:tcPr>
          <w:p w14:paraId="60D9484A"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 pulmón no microcítico avanzado</w:t>
            </w:r>
          </w:p>
        </w:tc>
      </w:tr>
      <w:tr w:rsidR="004921FF" w:rsidRPr="005C133F" w14:paraId="0B1BD14E" w14:textId="77777777" w:rsidTr="00E05B71">
        <w:trPr>
          <w:trHeight w:val="291"/>
          <w:jc w:val="center"/>
        </w:trPr>
        <w:tc>
          <w:tcPr>
            <w:tcW w:w="675" w:type="dxa"/>
            <w:vAlign w:val="center"/>
          </w:tcPr>
          <w:p w14:paraId="3024C162"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30</w:t>
            </w:r>
          </w:p>
        </w:tc>
        <w:tc>
          <w:tcPr>
            <w:tcW w:w="3985" w:type="dxa"/>
            <w:vAlign w:val="center"/>
            <w:hideMark/>
          </w:tcPr>
          <w:p w14:paraId="0D1BACD0" w14:textId="77777777" w:rsidR="00070FA2" w:rsidRPr="005C133F" w:rsidRDefault="00070FA2" w:rsidP="00E05B71">
            <w:pPr>
              <w:spacing w:after="0" w:line="240" w:lineRule="auto"/>
              <w:rPr>
                <w:rFonts w:eastAsia="Times New Roman"/>
                <w:lang w:val="es-DO"/>
              </w:rPr>
            </w:pPr>
            <w:r w:rsidRPr="005C133F">
              <w:rPr>
                <w:rFonts w:eastAsia="Times New Roman"/>
                <w:lang w:val="es-DO"/>
              </w:rPr>
              <w:t>MEPOLIZUMAB</w:t>
            </w:r>
          </w:p>
        </w:tc>
        <w:tc>
          <w:tcPr>
            <w:tcW w:w="3419" w:type="dxa"/>
            <w:vAlign w:val="center"/>
            <w:hideMark/>
          </w:tcPr>
          <w:p w14:paraId="79C163BA" w14:textId="77777777" w:rsidR="00070FA2" w:rsidRPr="005C133F" w:rsidRDefault="00070FA2" w:rsidP="00E05B71">
            <w:pPr>
              <w:spacing w:after="0" w:line="240" w:lineRule="auto"/>
              <w:rPr>
                <w:rFonts w:eastAsia="Times New Roman"/>
                <w:lang w:val="es-DO"/>
              </w:rPr>
            </w:pPr>
            <w:r w:rsidRPr="005C133F">
              <w:rPr>
                <w:rFonts w:eastAsia="Times New Roman"/>
                <w:lang w:val="es-DO"/>
              </w:rPr>
              <w:t>Asma grave eosinofílicas</w:t>
            </w:r>
          </w:p>
        </w:tc>
      </w:tr>
      <w:tr w:rsidR="004921FF" w:rsidRPr="00CD02F5" w14:paraId="53F386D0" w14:textId="77777777" w:rsidTr="00E05B71">
        <w:trPr>
          <w:trHeight w:val="291"/>
          <w:jc w:val="center"/>
        </w:trPr>
        <w:tc>
          <w:tcPr>
            <w:tcW w:w="675" w:type="dxa"/>
            <w:vAlign w:val="center"/>
          </w:tcPr>
          <w:p w14:paraId="4539653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31</w:t>
            </w:r>
          </w:p>
        </w:tc>
        <w:tc>
          <w:tcPr>
            <w:tcW w:w="3985" w:type="dxa"/>
            <w:vAlign w:val="center"/>
            <w:hideMark/>
          </w:tcPr>
          <w:p w14:paraId="45EBEA0F" w14:textId="77777777" w:rsidR="00070FA2" w:rsidRPr="005C133F" w:rsidRDefault="00070FA2" w:rsidP="00E05B71">
            <w:pPr>
              <w:spacing w:after="0" w:line="240" w:lineRule="auto"/>
              <w:rPr>
                <w:rFonts w:eastAsia="Times New Roman"/>
                <w:lang w:val="es-DO"/>
              </w:rPr>
            </w:pPr>
            <w:r w:rsidRPr="005C133F">
              <w:rPr>
                <w:rFonts w:eastAsia="Times New Roman"/>
                <w:lang w:val="es-DO"/>
              </w:rPr>
              <w:t>AFLIBERCEPT</w:t>
            </w:r>
          </w:p>
        </w:tc>
        <w:tc>
          <w:tcPr>
            <w:tcW w:w="3419" w:type="dxa"/>
            <w:vAlign w:val="center"/>
            <w:hideMark/>
          </w:tcPr>
          <w:p w14:paraId="067F1273" w14:textId="77777777" w:rsidR="00070FA2" w:rsidRPr="005C133F" w:rsidRDefault="00070FA2" w:rsidP="00E05B71">
            <w:pPr>
              <w:spacing w:after="0" w:line="240" w:lineRule="auto"/>
              <w:rPr>
                <w:rFonts w:eastAsia="Times New Roman"/>
                <w:lang w:val="es-DO"/>
              </w:rPr>
            </w:pPr>
            <w:r w:rsidRPr="005C133F">
              <w:rPr>
                <w:rFonts w:eastAsia="Times New Roman"/>
                <w:lang w:val="es-DO"/>
              </w:rPr>
              <w:t>Degeneración macular relacionada con la edad (</w:t>
            </w:r>
            <w:proofErr w:type="spellStart"/>
            <w:r w:rsidRPr="005C133F">
              <w:rPr>
                <w:rFonts w:eastAsia="Times New Roman"/>
                <w:lang w:val="es-DO"/>
              </w:rPr>
              <w:t>dmre</w:t>
            </w:r>
            <w:proofErr w:type="spellEnd"/>
            <w:r w:rsidRPr="005C133F">
              <w:rPr>
                <w:rFonts w:eastAsia="Times New Roman"/>
                <w:lang w:val="es-DO"/>
              </w:rPr>
              <w:t>)</w:t>
            </w:r>
          </w:p>
        </w:tc>
      </w:tr>
      <w:tr w:rsidR="004921FF" w:rsidRPr="005C133F" w14:paraId="303BB98E" w14:textId="77777777" w:rsidTr="00E05B71">
        <w:trPr>
          <w:trHeight w:val="291"/>
          <w:jc w:val="center"/>
        </w:trPr>
        <w:tc>
          <w:tcPr>
            <w:tcW w:w="675" w:type="dxa"/>
            <w:vAlign w:val="center"/>
          </w:tcPr>
          <w:p w14:paraId="4087CCE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32</w:t>
            </w:r>
          </w:p>
        </w:tc>
        <w:tc>
          <w:tcPr>
            <w:tcW w:w="3985" w:type="dxa"/>
            <w:vAlign w:val="center"/>
            <w:hideMark/>
          </w:tcPr>
          <w:p w14:paraId="34CB9C1F" w14:textId="77777777" w:rsidR="00070FA2" w:rsidRPr="005C133F" w:rsidRDefault="00070FA2" w:rsidP="00E05B71">
            <w:pPr>
              <w:spacing w:after="0" w:line="240" w:lineRule="auto"/>
              <w:rPr>
                <w:rFonts w:eastAsia="Times New Roman"/>
                <w:lang w:val="es-DO"/>
              </w:rPr>
            </w:pPr>
            <w:r w:rsidRPr="005C133F">
              <w:rPr>
                <w:rFonts w:eastAsia="Times New Roman"/>
                <w:lang w:val="es-DO"/>
              </w:rPr>
              <w:t>LITHOVUE</w:t>
            </w:r>
          </w:p>
        </w:tc>
        <w:tc>
          <w:tcPr>
            <w:tcW w:w="3419" w:type="dxa"/>
            <w:vAlign w:val="center"/>
            <w:hideMark/>
          </w:tcPr>
          <w:p w14:paraId="02311693" w14:textId="77777777" w:rsidR="00070FA2" w:rsidRPr="005C133F" w:rsidRDefault="00070FA2" w:rsidP="00E05B71">
            <w:pPr>
              <w:spacing w:after="0" w:line="240" w:lineRule="auto"/>
              <w:rPr>
                <w:rFonts w:eastAsia="Times New Roman"/>
                <w:lang w:val="es-DO"/>
              </w:rPr>
            </w:pPr>
            <w:r w:rsidRPr="005C133F">
              <w:rPr>
                <w:rFonts w:eastAsia="Times New Roman"/>
                <w:lang w:val="es-DO"/>
              </w:rPr>
              <w:t>Litiasis renal y ureteral</w:t>
            </w:r>
          </w:p>
        </w:tc>
      </w:tr>
      <w:tr w:rsidR="004921FF" w:rsidRPr="00CD02F5" w14:paraId="27343404" w14:textId="77777777" w:rsidTr="00E05B71">
        <w:trPr>
          <w:trHeight w:val="291"/>
          <w:jc w:val="center"/>
        </w:trPr>
        <w:tc>
          <w:tcPr>
            <w:tcW w:w="675" w:type="dxa"/>
            <w:vAlign w:val="center"/>
          </w:tcPr>
          <w:p w14:paraId="7E4A403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33</w:t>
            </w:r>
          </w:p>
        </w:tc>
        <w:tc>
          <w:tcPr>
            <w:tcW w:w="3985" w:type="dxa"/>
            <w:vAlign w:val="center"/>
            <w:hideMark/>
          </w:tcPr>
          <w:p w14:paraId="018FA28F" w14:textId="77777777" w:rsidR="00070FA2" w:rsidRPr="005C133F" w:rsidRDefault="00070FA2" w:rsidP="00E05B71">
            <w:pPr>
              <w:spacing w:after="0" w:line="240" w:lineRule="auto"/>
              <w:rPr>
                <w:rFonts w:eastAsia="Times New Roman"/>
                <w:lang w:val="es-DO"/>
              </w:rPr>
            </w:pPr>
            <w:r w:rsidRPr="005C133F">
              <w:rPr>
                <w:rFonts w:eastAsia="Times New Roman"/>
                <w:lang w:val="es-DO"/>
              </w:rPr>
              <w:t>DERISOMALTOSA FÉRRICA</w:t>
            </w:r>
          </w:p>
        </w:tc>
        <w:tc>
          <w:tcPr>
            <w:tcW w:w="3419" w:type="dxa"/>
            <w:vAlign w:val="center"/>
            <w:hideMark/>
          </w:tcPr>
          <w:p w14:paraId="7E5BEA30" w14:textId="77777777" w:rsidR="00070FA2" w:rsidRPr="005C133F" w:rsidRDefault="00070FA2" w:rsidP="00E05B71">
            <w:pPr>
              <w:spacing w:after="0" w:line="240" w:lineRule="auto"/>
              <w:rPr>
                <w:rFonts w:eastAsia="Times New Roman"/>
                <w:lang w:val="es-DO"/>
              </w:rPr>
            </w:pPr>
            <w:r w:rsidRPr="005C133F">
              <w:rPr>
                <w:rFonts w:eastAsia="Times New Roman"/>
                <w:lang w:val="es-DO"/>
              </w:rPr>
              <w:t>Anemia/deficiencia de hierro (</w:t>
            </w:r>
            <w:proofErr w:type="spellStart"/>
            <w:r w:rsidRPr="005C133F">
              <w:rPr>
                <w:rFonts w:eastAsia="Times New Roman"/>
                <w:lang w:val="es-DO"/>
              </w:rPr>
              <w:t>adh</w:t>
            </w:r>
            <w:proofErr w:type="spellEnd"/>
            <w:r w:rsidRPr="005C133F">
              <w:rPr>
                <w:rFonts w:eastAsia="Times New Roman"/>
                <w:lang w:val="es-DO"/>
              </w:rPr>
              <w:t>)</w:t>
            </w:r>
          </w:p>
        </w:tc>
      </w:tr>
      <w:tr w:rsidR="004921FF" w:rsidRPr="005C133F" w14:paraId="6645E7A8" w14:textId="77777777" w:rsidTr="00E05B71">
        <w:trPr>
          <w:trHeight w:val="291"/>
          <w:jc w:val="center"/>
        </w:trPr>
        <w:tc>
          <w:tcPr>
            <w:tcW w:w="675" w:type="dxa"/>
            <w:vAlign w:val="center"/>
          </w:tcPr>
          <w:p w14:paraId="18BC5725"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34</w:t>
            </w:r>
          </w:p>
        </w:tc>
        <w:tc>
          <w:tcPr>
            <w:tcW w:w="3985" w:type="dxa"/>
            <w:vAlign w:val="center"/>
            <w:hideMark/>
          </w:tcPr>
          <w:p w14:paraId="0C67EA2E" w14:textId="77777777" w:rsidR="00070FA2" w:rsidRPr="005C133F" w:rsidRDefault="00070FA2" w:rsidP="00E05B71">
            <w:pPr>
              <w:spacing w:after="0" w:line="240" w:lineRule="auto"/>
              <w:rPr>
                <w:rFonts w:eastAsia="Times New Roman"/>
                <w:lang w:val="es-DO"/>
              </w:rPr>
            </w:pPr>
            <w:r w:rsidRPr="005C133F">
              <w:rPr>
                <w:rFonts w:eastAsia="Times New Roman"/>
                <w:lang w:val="es-DO"/>
              </w:rPr>
              <w:t>WATCHMAN</w:t>
            </w:r>
          </w:p>
        </w:tc>
        <w:tc>
          <w:tcPr>
            <w:tcW w:w="3419" w:type="dxa"/>
            <w:vAlign w:val="center"/>
            <w:hideMark/>
          </w:tcPr>
          <w:p w14:paraId="098FA1FC" w14:textId="1858684C" w:rsidR="00070FA2" w:rsidRPr="005C133F" w:rsidRDefault="00070FA2" w:rsidP="00E05B71">
            <w:pPr>
              <w:spacing w:after="0" w:line="240" w:lineRule="auto"/>
              <w:rPr>
                <w:rFonts w:eastAsia="Times New Roman"/>
                <w:lang w:val="es-DO"/>
              </w:rPr>
            </w:pPr>
            <w:r w:rsidRPr="005C133F">
              <w:rPr>
                <w:rFonts w:eastAsia="Times New Roman"/>
                <w:lang w:val="es-DO"/>
              </w:rPr>
              <w:t>Fibrilación auricular</w:t>
            </w:r>
          </w:p>
        </w:tc>
      </w:tr>
      <w:tr w:rsidR="004921FF" w:rsidRPr="00CD02F5" w14:paraId="12B421B7" w14:textId="77777777" w:rsidTr="00E05B71">
        <w:trPr>
          <w:trHeight w:val="291"/>
          <w:jc w:val="center"/>
        </w:trPr>
        <w:tc>
          <w:tcPr>
            <w:tcW w:w="675" w:type="dxa"/>
            <w:vAlign w:val="center"/>
          </w:tcPr>
          <w:p w14:paraId="22D5113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35</w:t>
            </w:r>
          </w:p>
        </w:tc>
        <w:tc>
          <w:tcPr>
            <w:tcW w:w="3985" w:type="dxa"/>
            <w:noWrap/>
            <w:vAlign w:val="center"/>
            <w:hideMark/>
          </w:tcPr>
          <w:p w14:paraId="630153A0" w14:textId="77777777" w:rsidR="00070FA2" w:rsidRPr="005C133F" w:rsidRDefault="00070FA2" w:rsidP="00E05B71">
            <w:pPr>
              <w:spacing w:after="0" w:line="240" w:lineRule="auto"/>
              <w:rPr>
                <w:rFonts w:eastAsia="Times New Roman"/>
                <w:u w:val="single"/>
                <w:lang w:val="es-DO"/>
              </w:rPr>
            </w:pPr>
            <w:r w:rsidRPr="005C133F">
              <w:rPr>
                <w:rFonts w:eastAsia="Times New Roman"/>
                <w:lang w:val="es-DO"/>
              </w:rPr>
              <w:t>OCRELIZUMAB</w:t>
            </w:r>
          </w:p>
        </w:tc>
        <w:tc>
          <w:tcPr>
            <w:tcW w:w="3419" w:type="dxa"/>
            <w:vAlign w:val="center"/>
            <w:hideMark/>
          </w:tcPr>
          <w:p w14:paraId="44F1FE43" w14:textId="77777777" w:rsidR="00070FA2" w:rsidRPr="005C133F" w:rsidRDefault="00070FA2" w:rsidP="00E05B71">
            <w:pPr>
              <w:spacing w:after="0" w:line="240" w:lineRule="auto"/>
              <w:rPr>
                <w:rFonts w:eastAsia="Times New Roman"/>
                <w:lang w:val="es-DO"/>
              </w:rPr>
            </w:pPr>
            <w:r w:rsidRPr="005C133F">
              <w:rPr>
                <w:rFonts w:eastAsia="Times New Roman"/>
                <w:lang w:val="es-DO"/>
              </w:rPr>
              <w:t>Esclerosis múltiple primaria progresiva (</w:t>
            </w:r>
            <w:proofErr w:type="spellStart"/>
            <w:r w:rsidRPr="005C133F">
              <w:rPr>
                <w:rFonts w:eastAsia="Times New Roman"/>
                <w:lang w:val="es-DO"/>
              </w:rPr>
              <w:t>empp</w:t>
            </w:r>
            <w:proofErr w:type="spellEnd"/>
            <w:r w:rsidRPr="005C133F">
              <w:rPr>
                <w:rFonts w:eastAsia="Times New Roman"/>
                <w:lang w:val="es-DO"/>
              </w:rPr>
              <w:t>) temprana</w:t>
            </w:r>
          </w:p>
        </w:tc>
      </w:tr>
      <w:tr w:rsidR="004921FF" w:rsidRPr="00CD02F5" w14:paraId="22242F8F" w14:textId="77777777" w:rsidTr="00E05B71">
        <w:trPr>
          <w:trHeight w:val="806"/>
          <w:jc w:val="center"/>
        </w:trPr>
        <w:tc>
          <w:tcPr>
            <w:tcW w:w="675" w:type="dxa"/>
            <w:vAlign w:val="center"/>
          </w:tcPr>
          <w:p w14:paraId="237E2700"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36</w:t>
            </w:r>
          </w:p>
        </w:tc>
        <w:tc>
          <w:tcPr>
            <w:tcW w:w="3985" w:type="dxa"/>
            <w:noWrap/>
            <w:vAlign w:val="center"/>
            <w:hideMark/>
          </w:tcPr>
          <w:p w14:paraId="39AAE359" w14:textId="77777777" w:rsidR="00070FA2" w:rsidRPr="005C133F" w:rsidRDefault="00070FA2" w:rsidP="00E05B71">
            <w:pPr>
              <w:spacing w:after="0" w:line="240" w:lineRule="auto"/>
              <w:rPr>
                <w:rFonts w:eastAsia="Times New Roman"/>
                <w:lang w:val="es-DO"/>
              </w:rPr>
            </w:pPr>
            <w:r w:rsidRPr="005C133F">
              <w:rPr>
                <w:rFonts w:eastAsia="Times New Roman"/>
                <w:lang w:val="es-DO"/>
              </w:rPr>
              <w:t>BLINATUMOMAB</w:t>
            </w:r>
          </w:p>
        </w:tc>
        <w:tc>
          <w:tcPr>
            <w:tcW w:w="3419" w:type="dxa"/>
            <w:vAlign w:val="center"/>
            <w:hideMark/>
          </w:tcPr>
          <w:p w14:paraId="6BE09795" w14:textId="77777777" w:rsidR="00070FA2" w:rsidRPr="005C133F" w:rsidRDefault="00070FA2" w:rsidP="00E05B71">
            <w:pPr>
              <w:spacing w:after="0" w:line="240" w:lineRule="auto"/>
              <w:rPr>
                <w:rFonts w:eastAsia="Times New Roman"/>
                <w:lang w:val="es-DO"/>
              </w:rPr>
            </w:pPr>
            <w:r w:rsidRPr="005C133F">
              <w:rPr>
                <w:rFonts w:eastAsia="Times New Roman"/>
                <w:lang w:val="es-DO"/>
              </w:rPr>
              <w:t>Leucemia linfoblástica aguda de precursores de células B y CD19 positivo, con enfermedad mínima residual positiva o negativa en la fase de consolidación.</w:t>
            </w:r>
          </w:p>
        </w:tc>
      </w:tr>
      <w:tr w:rsidR="004921FF" w:rsidRPr="00CD02F5" w14:paraId="36854C9B" w14:textId="77777777" w:rsidTr="00E05B71">
        <w:trPr>
          <w:trHeight w:val="537"/>
          <w:jc w:val="center"/>
        </w:trPr>
        <w:tc>
          <w:tcPr>
            <w:tcW w:w="675" w:type="dxa"/>
            <w:vAlign w:val="center"/>
          </w:tcPr>
          <w:p w14:paraId="61414150"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37</w:t>
            </w:r>
          </w:p>
        </w:tc>
        <w:tc>
          <w:tcPr>
            <w:tcW w:w="3985" w:type="dxa"/>
            <w:noWrap/>
            <w:vAlign w:val="center"/>
            <w:hideMark/>
          </w:tcPr>
          <w:p w14:paraId="1F737507" w14:textId="77777777" w:rsidR="00070FA2" w:rsidRPr="005C133F" w:rsidRDefault="00070FA2" w:rsidP="00E05B71">
            <w:pPr>
              <w:spacing w:after="0" w:line="240" w:lineRule="auto"/>
              <w:rPr>
                <w:rFonts w:eastAsia="Times New Roman"/>
                <w:lang w:val="es-DO"/>
              </w:rPr>
            </w:pPr>
            <w:r w:rsidRPr="005C133F">
              <w:rPr>
                <w:rFonts w:eastAsia="Times New Roman"/>
                <w:lang w:val="es-DO"/>
              </w:rPr>
              <w:t>BLINATUMOMAB</w:t>
            </w:r>
          </w:p>
        </w:tc>
        <w:tc>
          <w:tcPr>
            <w:tcW w:w="3419" w:type="dxa"/>
            <w:vAlign w:val="center"/>
            <w:hideMark/>
          </w:tcPr>
          <w:p w14:paraId="2B5D54A7" w14:textId="77777777" w:rsidR="00070FA2" w:rsidRPr="005C133F" w:rsidRDefault="00070FA2" w:rsidP="00E05B71">
            <w:pPr>
              <w:spacing w:after="0" w:line="240" w:lineRule="auto"/>
              <w:rPr>
                <w:rFonts w:eastAsia="Times New Roman"/>
                <w:lang w:val="es-DO"/>
              </w:rPr>
            </w:pPr>
            <w:r w:rsidRPr="005C133F">
              <w:rPr>
                <w:rFonts w:eastAsia="Times New Roman"/>
                <w:lang w:val="es-DO"/>
              </w:rPr>
              <w:t>Pediátricos leucemia linfoblástica aguda de precursores de células B, cromosoma filadelfio positivo y CD19 positivo recidivante o refractaria</w:t>
            </w:r>
          </w:p>
        </w:tc>
      </w:tr>
      <w:tr w:rsidR="004921FF" w:rsidRPr="00CD02F5" w14:paraId="0D7F4C20" w14:textId="77777777" w:rsidTr="00E05B71">
        <w:trPr>
          <w:trHeight w:val="537"/>
          <w:jc w:val="center"/>
        </w:trPr>
        <w:tc>
          <w:tcPr>
            <w:tcW w:w="675" w:type="dxa"/>
            <w:vAlign w:val="center"/>
          </w:tcPr>
          <w:p w14:paraId="32D8AA28"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38</w:t>
            </w:r>
          </w:p>
        </w:tc>
        <w:tc>
          <w:tcPr>
            <w:tcW w:w="3985" w:type="dxa"/>
            <w:noWrap/>
            <w:vAlign w:val="center"/>
          </w:tcPr>
          <w:p w14:paraId="3D047DD3" w14:textId="77777777" w:rsidR="00070FA2" w:rsidRPr="005C133F" w:rsidRDefault="00070FA2" w:rsidP="00E05B71">
            <w:pPr>
              <w:spacing w:after="0" w:line="240" w:lineRule="auto"/>
              <w:rPr>
                <w:rFonts w:eastAsia="Times New Roman"/>
                <w:lang w:val="es-DO"/>
              </w:rPr>
            </w:pPr>
            <w:r w:rsidRPr="005C133F">
              <w:rPr>
                <w:rFonts w:eastAsia="Times New Roman"/>
                <w:lang w:val="es-DO"/>
              </w:rPr>
              <w:t>LEVONORGESTREL</w:t>
            </w:r>
          </w:p>
        </w:tc>
        <w:tc>
          <w:tcPr>
            <w:tcW w:w="3419" w:type="dxa"/>
            <w:vAlign w:val="center"/>
          </w:tcPr>
          <w:p w14:paraId="705BD174" w14:textId="77777777" w:rsidR="00070FA2" w:rsidRPr="005C133F" w:rsidRDefault="00070FA2" w:rsidP="00E05B71">
            <w:pPr>
              <w:spacing w:after="0" w:line="240" w:lineRule="auto"/>
              <w:rPr>
                <w:rFonts w:eastAsia="Times New Roman"/>
                <w:i/>
                <w:iCs/>
                <w:lang w:val="es-DO"/>
              </w:rPr>
            </w:pPr>
            <w:r w:rsidRPr="005C133F">
              <w:rPr>
                <w:rFonts w:eastAsia="Times New Roman"/>
                <w:lang w:val="es-DO"/>
              </w:rPr>
              <w:t>Menorragia idiopática / anticoncepción de emergencia</w:t>
            </w:r>
          </w:p>
        </w:tc>
      </w:tr>
      <w:tr w:rsidR="004921FF" w:rsidRPr="00CD02F5" w14:paraId="182C50AD" w14:textId="77777777" w:rsidTr="00E05B71">
        <w:trPr>
          <w:trHeight w:val="537"/>
          <w:jc w:val="center"/>
        </w:trPr>
        <w:tc>
          <w:tcPr>
            <w:tcW w:w="675" w:type="dxa"/>
            <w:vAlign w:val="center"/>
          </w:tcPr>
          <w:p w14:paraId="67981A33"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lastRenderedPageBreak/>
              <w:t>39</w:t>
            </w:r>
          </w:p>
        </w:tc>
        <w:tc>
          <w:tcPr>
            <w:tcW w:w="3985" w:type="dxa"/>
            <w:noWrap/>
            <w:vAlign w:val="center"/>
          </w:tcPr>
          <w:p w14:paraId="513207AB" w14:textId="77777777" w:rsidR="00070FA2" w:rsidRPr="005C133F" w:rsidRDefault="00070FA2" w:rsidP="00E05B71">
            <w:pPr>
              <w:spacing w:after="0" w:line="240" w:lineRule="auto"/>
              <w:rPr>
                <w:rFonts w:eastAsia="Times New Roman"/>
                <w:i/>
                <w:iCs/>
                <w:lang w:val="es-DO"/>
              </w:rPr>
            </w:pPr>
            <w:r w:rsidRPr="005C133F">
              <w:rPr>
                <w:rFonts w:eastAsia="Times New Roman"/>
                <w:lang w:val="es-DO"/>
              </w:rPr>
              <w:t>LEVONORGESTREL</w:t>
            </w:r>
          </w:p>
        </w:tc>
        <w:tc>
          <w:tcPr>
            <w:tcW w:w="3419" w:type="dxa"/>
            <w:vAlign w:val="center"/>
          </w:tcPr>
          <w:p w14:paraId="075D0F9B" w14:textId="77777777" w:rsidR="00070FA2" w:rsidRPr="005C133F" w:rsidRDefault="00070FA2" w:rsidP="00E05B71">
            <w:pPr>
              <w:spacing w:after="0" w:line="240" w:lineRule="auto"/>
              <w:rPr>
                <w:rFonts w:eastAsia="Times New Roman"/>
                <w:i/>
                <w:iCs/>
                <w:lang w:val="es-DO"/>
              </w:rPr>
            </w:pPr>
            <w:r w:rsidRPr="005C133F">
              <w:rPr>
                <w:rFonts w:eastAsia="Times New Roman"/>
                <w:lang w:val="es-DO"/>
              </w:rPr>
              <w:t>Síndrome de ovario poliquístico / anticoncepción</w:t>
            </w:r>
          </w:p>
        </w:tc>
      </w:tr>
      <w:tr w:rsidR="004921FF" w:rsidRPr="00CD02F5" w14:paraId="7C111133" w14:textId="77777777" w:rsidTr="00E05B71">
        <w:trPr>
          <w:trHeight w:val="291"/>
          <w:jc w:val="center"/>
        </w:trPr>
        <w:tc>
          <w:tcPr>
            <w:tcW w:w="675" w:type="dxa"/>
            <w:vAlign w:val="center"/>
          </w:tcPr>
          <w:p w14:paraId="771FCC7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40</w:t>
            </w:r>
          </w:p>
        </w:tc>
        <w:tc>
          <w:tcPr>
            <w:tcW w:w="3985" w:type="dxa"/>
            <w:noWrap/>
            <w:vAlign w:val="center"/>
            <w:hideMark/>
          </w:tcPr>
          <w:p w14:paraId="19F50133" w14:textId="77777777" w:rsidR="00070FA2" w:rsidRPr="005C133F" w:rsidRDefault="00070FA2" w:rsidP="00E05B71">
            <w:pPr>
              <w:spacing w:after="0" w:line="240" w:lineRule="auto"/>
              <w:rPr>
                <w:rFonts w:eastAsia="Times New Roman"/>
                <w:lang w:val="es-DO"/>
              </w:rPr>
            </w:pPr>
            <w:r w:rsidRPr="005C133F">
              <w:rPr>
                <w:rFonts w:eastAsia="Times New Roman"/>
                <w:lang w:val="es-DO"/>
              </w:rPr>
              <w:t>AVELUMAB</w:t>
            </w:r>
          </w:p>
        </w:tc>
        <w:tc>
          <w:tcPr>
            <w:tcW w:w="3419" w:type="dxa"/>
            <w:vAlign w:val="center"/>
            <w:hideMark/>
          </w:tcPr>
          <w:p w14:paraId="673BCC14"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Carcinoma urotelial localmente avanzado o metastásico irresecable</w:t>
            </w:r>
          </w:p>
        </w:tc>
      </w:tr>
      <w:tr w:rsidR="004921FF" w:rsidRPr="005C133F" w14:paraId="198C2C02" w14:textId="77777777" w:rsidTr="00E05B71">
        <w:trPr>
          <w:trHeight w:val="291"/>
          <w:jc w:val="center"/>
        </w:trPr>
        <w:tc>
          <w:tcPr>
            <w:tcW w:w="675" w:type="dxa"/>
            <w:vAlign w:val="center"/>
          </w:tcPr>
          <w:p w14:paraId="35CDCDFC"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41</w:t>
            </w:r>
          </w:p>
        </w:tc>
        <w:tc>
          <w:tcPr>
            <w:tcW w:w="3985" w:type="dxa"/>
            <w:noWrap/>
            <w:vAlign w:val="center"/>
            <w:hideMark/>
          </w:tcPr>
          <w:p w14:paraId="33640B26" w14:textId="77777777" w:rsidR="00070FA2" w:rsidRPr="005C133F" w:rsidRDefault="00070FA2" w:rsidP="00E05B71">
            <w:pPr>
              <w:spacing w:after="0" w:line="240" w:lineRule="auto"/>
              <w:rPr>
                <w:rFonts w:eastAsia="Times New Roman"/>
                <w:lang w:val="es-DO"/>
              </w:rPr>
            </w:pPr>
            <w:r w:rsidRPr="005C133F">
              <w:rPr>
                <w:rFonts w:eastAsia="Times New Roman"/>
                <w:lang w:val="es-DO"/>
              </w:rPr>
              <w:t>UPADACITINIB</w:t>
            </w:r>
          </w:p>
        </w:tc>
        <w:tc>
          <w:tcPr>
            <w:tcW w:w="3419" w:type="dxa"/>
            <w:vAlign w:val="center"/>
            <w:hideMark/>
          </w:tcPr>
          <w:p w14:paraId="200C790A" w14:textId="77777777" w:rsidR="00070FA2" w:rsidRPr="005C133F" w:rsidRDefault="00070FA2" w:rsidP="00E05B71">
            <w:pPr>
              <w:spacing w:after="0" w:line="240" w:lineRule="auto"/>
              <w:rPr>
                <w:rFonts w:eastAsia="Times New Roman"/>
                <w:lang w:val="es-DO"/>
              </w:rPr>
            </w:pPr>
            <w:r w:rsidRPr="005C133F">
              <w:rPr>
                <w:rFonts w:eastAsia="Times New Roman"/>
                <w:lang w:val="es-DO"/>
              </w:rPr>
              <w:t>Colitis ulcerativa</w:t>
            </w:r>
          </w:p>
        </w:tc>
      </w:tr>
      <w:tr w:rsidR="004921FF" w:rsidRPr="005C133F" w14:paraId="6A1010BE" w14:textId="77777777" w:rsidTr="00E05B71">
        <w:trPr>
          <w:trHeight w:val="291"/>
          <w:jc w:val="center"/>
        </w:trPr>
        <w:tc>
          <w:tcPr>
            <w:tcW w:w="675" w:type="dxa"/>
            <w:vAlign w:val="center"/>
          </w:tcPr>
          <w:p w14:paraId="3181051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42</w:t>
            </w:r>
          </w:p>
        </w:tc>
        <w:tc>
          <w:tcPr>
            <w:tcW w:w="3985" w:type="dxa"/>
            <w:noWrap/>
            <w:vAlign w:val="center"/>
            <w:hideMark/>
          </w:tcPr>
          <w:p w14:paraId="3DAE392C" w14:textId="77777777" w:rsidR="00070FA2" w:rsidRPr="005C133F" w:rsidRDefault="00070FA2" w:rsidP="00E05B71">
            <w:pPr>
              <w:spacing w:after="0" w:line="240" w:lineRule="auto"/>
              <w:rPr>
                <w:rFonts w:eastAsia="Times New Roman"/>
                <w:lang w:val="es-DO"/>
              </w:rPr>
            </w:pPr>
            <w:r w:rsidRPr="005C133F">
              <w:rPr>
                <w:rFonts w:eastAsia="Times New Roman"/>
                <w:lang w:val="es-DO"/>
              </w:rPr>
              <w:t>TERAPIA LÁSER DE ATLA POTENCIA</w:t>
            </w:r>
          </w:p>
        </w:tc>
        <w:tc>
          <w:tcPr>
            <w:tcW w:w="3419" w:type="dxa"/>
            <w:vAlign w:val="center"/>
            <w:hideMark/>
          </w:tcPr>
          <w:p w14:paraId="5FD42EB0" w14:textId="77777777" w:rsidR="00070FA2" w:rsidRPr="005C133F" w:rsidRDefault="00070FA2" w:rsidP="00E05B71">
            <w:pPr>
              <w:spacing w:after="0" w:line="240" w:lineRule="auto"/>
              <w:rPr>
                <w:rFonts w:eastAsia="Times New Roman"/>
                <w:lang w:val="es-DO"/>
              </w:rPr>
            </w:pPr>
            <w:r w:rsidRPr="005C133F">
              <w:rPr>
                <w:rFonts w:eastAsia="Times New Roman"/>
                <w:lang w:val="es-DO"/>
              </w:rPr>
              <w:t>Patologías musculoesqueléticas</w:t>
            </w:r>
          </w:p>
        </w:tc>
      </w:tr>
      <w:tr w:rsidR="004921FF" w:rsidRPr="005C133F" w14:paraId="09A24B86" w14:textId="77777777" w:rsidTr="00E05B71">
        <w:trPr>
          <w:trHeight w:val="291"/>
          <w:jc w:val="center"/>
        </w:trPr>
        <w:tc>
          <w:tcPr>
            <w:tcW w:w="675" w:type="dxa"/>
            <w:vAlign w:val="center"/>
          </w:tcPr>
          <w:p w14:paraId="055F3E11"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43</w:t>
            </w:r>
          </w:p>
        </w:tc>
        <w:tc>
          <w:tcPr>
            <w:tcW w:w="3985" w:type="dxa"/>
            <w:noWrap/>
            <w:vAlign w:val="center"/>
            <w:hideMark/>
          </w:tcPr>
          <w:p w14:paraId="31DCBB03" w14:textId="77777777" w:rsidR="00070FA2" w:rsidRPr="005C133F" w:rsidRDefault="00070FA2" w:rsidP="00E05B71">
            <w:pPr>
              <w:spacing w:after="0" w:line="240" w:lineRule="auto"/>
              <w:rPr>
                <w:rFonts w:eastAsia="Times New Roman"/>
                <w:lang w:val="es-DO"/>
              </w:rPr>
            </w:pPr>
            <w:r w:rsidRPr="005C133F">
              <w:rPr>
                <w:rFonts w:eastAsia="Times New Roman"/>
                <w:lang w:val="es-DO"/>
              </w:rPr>
              <w:t>ENFORTUMAB VEDOTIN</w:t>
            </w:r>
          </w:p>
        </w:tc>
        <w:tc>
          <w:tcPr>
            <w:tcW w:w="3419" w:type="dxa"/>
            <w:vAlign w:val="center"/>
            <w:hideMark/>
          </w:tcPr>
          <w:p w14:paraId="7BFF3BB3"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Carcinoma urotelial localmente avanzado</w:t>
            </w:r>
          </w:p>
        </w:tc>
      </w:tr>
      <w:tr w:rsidR="004921FF" w:rsidRPr="00CD02F5" w14:paraId="6C86BFD2" w14:textId="77777777" w:rsidTr="00E05B71">
        <w:trPr>
          <w:trHeight w:val="291"/>
          <w:jc w:val="center"/>
        </w:trPr>
        <w:tc>
          <w:tcPr>
            <w:tcW w:w="675" w:type="dxa"/>
            <w:vAlign w:val="center"/>
          </w:tcPr>
          <w:p w14:paraId="32381325"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44</w:t>
            </w:r>
          </w:p>
        </w:tc>
        <w:tc>
          <w:tcPr>
            <w:tcW w:w="3985" w:type="dxa"/>
            <w:noWrap/>
            <w:vAlign w:val="center"/>
            <w:hideMark/>
          </w:tcPr>
          <w:p w14:paraId="2C434683" w14:textId="77777777" w:rsidR="00070FA2" w:rsidRPr="005C133F" w:rsidRDefault="00070FA2" w:rsidP="00E05B71">
            <w:pPr>
              <w:spacing w:after="0" w:line="240" w:lineRule="auto"/>
              <w:rPr>
                <w:rFonts w:eastAsia="Times New Roman"/>
                <w:lang w:val="es-DO"/>
              </w:rPr>
            </w:pPr>
            <w:r w:rsidRPr="005C133F">
              <w:rPr>
                <w:rFonts w:eastAsia="Times New Roman"/>
                <w:lang w:val="es-DO"/>
              </w:rPr>
              <w:t>TRABECTEDINA</w:t>
            </w:r>
          </w:p>
        </w:tc>
        <w:tc>
          <w:tcPr>
            <w:tcW w:w="3419" w:type="dxa"/>
            <w:vAlign w:val="center"/>
            <w:hideMark/>
          </w:tcPr>
          <w:p w14:paraId="2BF4E1CA"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Carcoma de tejidos blandos en estado avanzado</w:t>
            </w:r>
          </w:p>
        </w:tc>
      </w:tr>
      <w:tr w:rsidR="004921FF" w:rsidRPr="005C133F" w14:paraId="16D09947" w14:textId="77777777" w:rsidTr="00E05B71">
        <w:trPr>
          <w:trHeight w:val="291"/>
          <w:jc w:val="center"/>
        </w:trPr>
        <w:tc>
          <w:tcPr>
            <w:tcW w:w="675" w:type="dxa"/>
            <w:vAlign w:val="center"/>
          </w:tcPr>
          <w:p w14:paraId="0879D966"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45</w:t>
            </w:r>
          </w:p>
        </w:tc>
        <w:tc>
          <w:tcPr>
            <w:tcW w:w="3985" w:type="dxa"/>
            <w:noWrap/>
            <w:vAlign w:val="center"/>
            <w:hideMark/>
          </w:tcPr>
          <w:p w14:paraId="4595C624" w14:textId="77777777" w:rsidR="00070FA2" w:rsidRPr="005C133F" w:rsidRDefault="00070FA2" w:rsidP="00E05B71">
            <w:pPr>
              <w:spacing w:after="0" w:line="240" w:lineRule="auto"/>
              <w:rPr>
                <w:rFonts w:eastAsia="Times New Roman"/>
                <w:lang w:val="es-DO"/>
              </w:rPr>
            </w:pPr>
            <w:r w:rsidRPr="005C133F">
              <w:rPr>
                <w:rFonts w:eastAsia="Times New Roman"/>
                <w:lang w:val="es-DO"/>
              </w:rPr>
              <w:t>DURVALUMAB</w:t>
            </w:r>
          </w:p>
        </w:tc>
        <w:tc>
          <w:tcPr>
            <w:tcW w:w="3419" w:type="dxa"/>
            <w:vAlign w:val="center"/>
            <w:hideMark/>
          </w:tcPr>
          <w:p w14:paraId="1DDF33BD"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del tracto biliar</w:t>
            </w:r>
          </w:p>
        </w:tc>
      </w:tr>
      <w:tr w:rsidR="004921FF" w:rsidRPr="00CD02F5" w14:paraId="5908E733" w14:textId="77777777" w:rsidTr="00E05B71">
        <w:trPr>
          <w:trHeight w:val="291"/>
          <w:jc w:val="center"/>
        </w:trPr>
        <w:tc>
          <w:tcPr>
            <w:tcW w:w="675" w:type="dxa"/>
            <w:vAlign w:val="center"/>
          </w:tcPr>
          <w:p w14:paraId="5B94F46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46</w:t>
            </w:r>
          </w:p>
        </w:tc>
        <w:tc>
          <w:tcPr>
            <w:tcW w:w="3985" w:type="dxa"/>
            <w:noWrap/>
            <w:vAlign w:val="center"/>
            <w:hideMark/>
          </w:tcPr>
          <w:p w14:paraId="7C7236A3" w14:textId="77777777" w:rsidR="00070FA2" w:rsidRPr="005C133F" w:rsidRDefault="00070FA2" w:rsidP="00E05B71">
            <w:pPr>
              <w:spacing w:after="0" w:line="240" w:lineRule="auto"/>
              <w:rPr>
                <w:rFonts w:eastAsia="Times New Roman"/>
                <w:lang w:val="es-DO"/>
              </w:rPr>
            </w:pPr>
            <w:r w:rsidRPr="005C133F">
              <w:rPr>
                <w:rFonts w:eastAsia="Times New Roman"/>
                <w:lang w:val="es-DO"/>
              </w:rPr>
              <w:t>MEPOLIZUMAB</w:t>
            </w:r>
          </w:p>
        </w:tc>
        <w:tc>
          <w:tcPr>
            <w:tcW w:w="3419" w:type="dxa"/>
            <w:vAlign w:val="center"/>
            <w:hideMark/>
          </w:tcPr>
          <w:p w14:paraId="44A71622" w14:textId="77777777" w:rsidR="00070FA2" w:rsidRPr="005C133F" w:rsidRDefault="00070FA2" w:rsidP="00E05B71">
            <w:pPr>
              <w:spacing w:after="0" w:line="240" w:lineRule="auto"/>
              <w:rPr>
                <w:rFonts w:eastAsia="Times New Roman"/>
                <w:lang w:val="es-DO"/>
              </w:rPr>
            </w:pPr>
            <w:r w:rsidRPr="005C133F">
              <w:rPr>
                <w:rFonts w:eastAsia="Times New Roman"/>
                <w:lang w:val="es-DO"/>
              </w:rPr>
              <w:t>Rinosinusitis crónica con pólipos nasales (</w:t>
            </w:r>
            <w:proofErr w:type="spellStart"/>
            <w:r w:rsidRPr="005C133F">
              <w:rPr>
                <w:rFonts w:eastAsia="Times New Roman"/>
                <w:lang w:val="es-DO"/>
              </w:rPr>
              <w:t>CRSwNP</w:t>
            </w:r>
            <w:proofErr w:type="spellEnd"/>
            <w:r w:rsidRPr="005C133F">
              <w:rPr>
                <w:rFonts w:eastAsia="Times New Roman"/>
                <w:lang w:val="es-DO"/>
              </w:rPr>
              <w:t>) grave</w:t>
            </w:r>
          </w:p>
        </w:tc>
      </w:tr>
      <w:tr w:rsidR="004921FF" w:rsidRPr="00CD02F5" w14:paraId="047F296D" w14:textId="77777777" w:rsidTr="00E05B71">
        <w:trPr>
          <w:trHeight w:val="291"/>
          <w:jc w:val="center"/>
        </w:trPr>
        <w:tc>
          <w:tcPr>
            <w:tcW w:w="675" w:type="dxa"/>
            <w:vAlign w:val="center"/>
          </w:tcPr>
          <w:p w14:paraId="459A68F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47</w:t>
            </w:r>
          </w:p>
        </w:tc>
        <w:tc>
          <w:tcPr>
            <w:tcW w:w="3985" w:type="dxa"/>
            <w:noWrap/>
            <w:vAlign w:val="center"/>
            <w:hideMark/>
          </w:tcPr>
          <w:p w14:paraId="4FBAAD77" w14:textId="12A5DBDE" w:rsidR="00070FA2" w:rsidRPr="005C133F" w:rsidRDefault="00070FA2" w:rsidP="00E05B71">
            <w:pPr>
              <w:spacing w:after="0" w:line="240" w:lineRule="auto"/>
              <w:rPr>
                <w:rFonts w:eastAsia="Times New Roman"/>
                <w:lang w:val="es-DO"/>
              </w:rPr>
            </w:pPr>
            <w:r w:rsidRPr="005C133F">
              <w:rPr>
                <w:rFonts w:eastAsia="Times New Roman"/>
                <w:lang w:val="es-DO"/>
              </w:rPr>
              <w:t>NIVOLUMAB E IPILIMUMAB</w:t>
            </w:r>
          </w:p>
        </w:tc>
        <w:tc>
          <w:tcPr>
            <w:tcW w:w="3419" w:type="dxa"/>
            <w:vAlign w:val="center"/>
            <w:hideMark/>
          </w:tcPr>
          <w:p w14:paraId="479D9C3A"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colorrectal metastásico irresecable MSI-H/</w:t>
            </w:r>
            <w:proofErr w:type="spellStart"/>
            <w:r w:rsidRPr="005C133F">
              <w:rPr>
                <w:rFonts w:eastAsia="Times New Roman"/>
                <w:lang w:val="es-DO"/>
              </w:rPr>
              <w:t>dMMR</w:t>
            </w:r>
            <w:proofErr w:type="spellEnd"/>
          </w:p>
        </w:tc>
      </w:tr>
      <w:tr w:rsidR="004921FF" w:rsidRPr="005C133F" w14:paraId="7BD0737F" w14:textId="77777777" w:rsidTr="00E05B71">
        <w:trPr>
          <w:trHeight w:val="291"/>
          <w:jc w:val="center"/>
        </w:trPr>
        <w:tc>
          <w:tcPr>
            <w:tcW w:w="675" w:type="dxa"/>
            <w:vAlign w:val="center"/>
          </w:tcPr>
          <w:p w14:paraId="1D64F199"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48</w:t>
            </w:r>
          </w:p>
        </w:tc>
        <w:tc>
          <w:tcPr>
            <w:tcW w:w="3985" w:type="dxa"/>
            <w:noWrap/>
            <w:vAlign w:val="center"/>
            <w:hideMark/>
          </w:tcPr>
          <w:p w14:paraId="44953A7F" w14:textId="77777777" w:rsidR="00070FA2" w:rsidRPr="005C133F" w:rsidRDefault="00070FA2" w:rsidP="00E05B71">
            <w:pPr>
              <w:spacing w:after="0" w:line="240" w:lineRule="auto"/>
              <w:rPr>
                <w:rFonts w:eastAsia="Times New Roman"/>
                <w:lang w:val="es-DO"/>
              </w:rPr>
            </w:pPr>
            <w:r w:rsidRPr="005C133F">
              <w:rPr>
                <w:rFonts w:eastAsia="Times New Roman"/>
                <w:lang w:val="es-DO"/>
              </w:rPr>
              <w:t>NIVOLUMAB + IPILIMUMAB</w:t>
            </w:r>
          </w:p>
        </w:tc>
        <w:tc>
          <w:tcPr>
            <w:tcW w:w="3419" w:type="dxa"/>
            <w:vAlign w:val="center"/>
            <w:hideMark/>
          </w:tcPr>
          <w:p w14:paraId="2BF1F1A8"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Carcinoma hepatocelular irresecable,</w:t>
            </w:r>
          </w:p>
        </w:tc>
      </w:tr>
      <w:tr w:rsidR="004921FF" w:rsidRPr="005C133F" w14:paraId="219D2522" w14:textId="77777777" w:rsidTr="00E05B71">
        <w:trPr>
          <w:trHeight w:val="291"/>
          <w:jc w:val="center"/>
        </w:trPr>
        <w:tc>
          <w:tcPr>
            <w:tcW w:w="675" w:type="dxa"/>
            <w:vAlign w:val="center"/>
          </w:tcPr>
          <w:p w14:paraId="06EBDB8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49</w:t>
            </w:r>
          </w:p>
        </w:tc>
        <w:tc>
          <w:tcPr>
            <w:tcW w:w="3985" w:type="dxa"/>
            <w:noWrap/>
            <w:vAlign w:val="center"/>
            <w:hideMark/>
          </w:tcPr>
          <w:p w14:paraId="21529959" w14:textId="77777777" w:rsidR="00070FA2" w:rsidRPr="005C133F" w:rsidRDefault="00070FA2" w:rsidP="00E05B71">
            <w:pPr>
              <w:spacing w:after="0" w:line="240" w:lineRule="auto"/>
              <w:rPr>
                <w:rFonts w:eastAsia="Times New Roman"/>
                <w:lang w:val="es-DO"/>
              </w:rPr>
            </w:pPr>
            <w:r w:rsidRPr="005C133F">
              <w:rPr>
                <w:rFonts w:eastAsia="Times New Roman"/>
                <w:lang w:val="es-DO"/>
              </w:rPr>
              <w:t>NIVOLUMAB/IPILIMUMAB</w:t>
            </w:r>
          </w:p>
        </w:tc>
        <w:tc>
          <w:tcPr>
            <w:tcW w:w="3419" w:type="dxa"/>
            <w:vAlign w:val="center"/>
            <w:hideMark/>
          </w:tcPr>
          <w:p w14:paraId="78D1BF19" w14:textId="77777777" w:rsidR="00070FA2" w:rsidRPr="005C133F" w:rsidRDefault="00070FA2" w:rsidP="00E05B71">
            <w:pPr>
              <w:spacing w:after="0" w:line="240" w:lineRule="auto"/>
              <w:rPr>
                <w:rFonts w:eastAsia="Times New Roman"/>
                <w:lang w:val="es-DO"/>
              </w:rPr>
            </w:pPr>
            <w:r w:rsidRPr="005C133F">
              <w:rPr>
                <w:rFonts w:eastAsia="Times New Roman"/>
                <w:lang w:val="es-DO"/>
              </w:rPr>
              <w:t>Carcinoma urotelial músculo-invasivo</w:t>
            </w:r>
          </w:p>
        </w:tc>
      </w:tr>
      <w:tr w:rsidR="004921FF" w:rsidRPr="00CD02F5" w14:paraId="0F34F386" w14:textId="77777777" w:rsidTr="00E05B71">
        <w:trPr>
          <w:trHeight w:val="537"/>
          <w:jc w:val="center"/>
        </w:trPr>
        <w:tc>
          <w:tcPr>
            <w:tcW w:w="675" w:type="dxa"/>
            <w:vAlign w:val="center"/>
          </w:tcPr>
          <w:p w14:paraId="24A6575B"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50</w:t>
            </w:r>
          </w:p>
        </w:tc>
        <w:tc>
          <w:tcPr>
            <w:tcW w:w="3985" w:type="dxa"/>
            <w:noWrap/>
            <w:vAlign w:val="center"/>
            <w:hideMark/>
          </w:tcPr>
          <w:p w14:paraId="1C71F4E9" w14:textId="77777777" w:rsidR="00070FA2" w:rsidRPr="005C133F" w:rsidRDefault="00070FA2" w:rsidP="00E05B71">
            <w:pPr>
              <w:spacing w:after="0" w:line="240" w:lineRule="auto"/>
              <w:rPr>
                <w:rFonts w:eastAsia="Times New Roman"/>
                <w:lang w:val="es-DO"/>
              </w:rPr>
            </w:pPr>
            <w:r w:rsidRPr="005C133F">
              <w:rPr>
                <w:rFonts w:eastAsia="Times New Roman"/>
                <w:lang w:val="es-DO"/>
              </w:rPr>
              <w:t>SOMATROGÓN</w:t>
            </w:r>
          </w:p>
        </w:tc>
        <w:tc>
          <w:tcPr>
            <w:tcW w:w="3419" w:type="dxa"/>
            <w:vAlign w:val="center"/>
            <w:hideMark/>
          </w:tcPr>
          <w:p w14:paraId="5ACD409F" w14:textId="77777777" w:rsidR="00070FA2" w:rsidRPr="005C133F" w:rsidRDefault="00070FA2" w:rsidP="00E05B71">
            <w:pPr>
              <w:spacing w:after="0" w:line="240" w:lineRule="auto"/>
              <w:rPr>
                <w:rFonts w:eastAsia="Times New Roman"/>
                <w:lang w:val="es-DO"/>
              </w:rPr>
            </w:pPr>
            <w:r w:rsidRPr="005C133F">
              <w:rPr>
                <w:rFonts w:eastAsia="Times New Roman"/>
                <w:lang w:val="es-DO"/>
              </w:rPr>
              <w:t>Trastornos del crecimiento debido a una secreción insuficiente de la hormona de crecimiento</w:t>
            </w:r>
          </w:p>
        </w:tc>
      </w:tr>
      <w:tr w:rsidR="004921FF" w:rsidRPr="00CD02F5" w14:paraId="5205B593" w14:textId="77777777" w:rsidTr="00E05B71">
        <w:trPr>
          <w:trHeight w:val="291"/>
          <w:jc w:val="center"/>
        </w:trPr>
        <w:tc>
          <w:tcPr>
            <w:tcW w:w="675" w:type="dxa"/>
            <w:vAlign w:val="center"/>
          </w:tcPr>
          <w:p w14:paraId="7D6F1466"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51</w:t>
            </w:r>
          </w:p>
        </w:tc>
        <w:tc>
          <w:tcPr>
            <w:tcW w:w="3985" w:type="dxa"/>
            <w:noWrap/>
            <w:vAlign w:val="center"/>
            <w:hideMark/>
          </w:tcPr>
          <w:p w14:paraId="296E7A27" w14:textId="77777777" w:rsidR="00070FA2" w:rsidRPr="005C133F" w:rsidRDefault="00070FA2" w:rsidP="00E05B71">
            <w:pPr>
              <w:spacing w:after="0" w:line="240" w:lineRule="auto"/>
              <w:rPr>
                <w:rFonts w:eastAsia="Times New Roman"/>
                <w:lang w:val="es-DO"/>
              </w:rPr>
            </w:pPr>
            <w:r w:rsidRPr="005C133F">
              <w:rPr>
                <w:rFonts w:eastAsia="Times New Roman"/>
                <w:lang w:val="es-DO"/>
              </w:rPr>
              <w:t>ENCORAFENIB+BINIMETINIB</w:t>
            </w:r>
          </w:p>
        </w:tc>
        <w:tc>
          <w:tcPr>
            <w:tcW w:w="3419" w:type="dxa"/>
            <w:vAlign w:val="center"/>
            <w:hideMark/>
          </w:tcPr>
          <w:p w14:paraId="0E50EFA1" w14:textId="77777777" w:rsidR="00070FA2" w:rsidRPr="005C133F" w:rsidRDefault="00070FA2" w:rsidP="00E05B71">
            <w:pPr>
              <w:spacing w:after="0" w:line="240" w:lineRule="auto"/>
              <w:rPr>
                <w:rFonts w:eastAsia="Times New Roman"/>
                <w:lang w:val="es-DO"/>
              </w:rPr>
            </w:pPr>
            <w:r w:rsidRPr="005C133F">
              <w:rPr>
                <w:rFonts w:eastAsia="Times New Roman"/>
                <w:lang w:val="es-DO"/>
              </w:rPr>
              <w:t>Melanoma no resecable o metastásico con mutación BRAF V600</w:t>
            </w:r>
          </w:p>
        </w:tc>
      </w:tr>
      <w:tr w:rsidR="004921FF" w:rsidRPr="00CD02F5" w14:paraId="6C030C4D" w14:textId="77777777" w:rsidTr="00E05B71">
        <w:trPr>
          <w:trHeight w:val="291"/>
          <w:jc w:val="center"/>
        </w:trPr>
        <w:tc>
          <w:tcPr>
            <w:tcW w:w="675" w:type="dxa"/>
            <w:vAlign w:val="center"/>
          </w:tcPr>
          <w:p w14:paraId="4013AA2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52</w:t>
            </w:r>
          </w:p>
        </w:tc>
        <w:tc>
          <w:tcPr>
            <w:tcW w:w="3985" w:type="dxa"/>
            <w:noWrap/>
            <w:vAlign w:val="center"/>
            <w:hideMark/>
          </w:tcPr>
          <w:p w14:paraId="4D74A87C" w14:textId="77777777" w:rsidR="00070FA2" w:rsidRPr="005C133F" w:rsidRDefault="00070FA2" w:rsidP="00E05B71">
            <w:pPr>
              <w:spacing w:after="0" w:line="240" w:lineRule="auto"/>
              <w:rPr>
                <w:rFonts w:eastAsia="Times New Roman"/>
                <w:lang w:val="es-DO"/>
              </w:rPr>
            </w:pPr>
            <w:r w:rsidRPr="005C133F">
              <w:rPr>
                <w:rFonts w:eastAsia="Times New Roman"/>
                <w:lang w:val="es-DO"/>
              </w:rPr>
              <w:t>RUCAPARIB</w:t>
            </w:r>
          </w:p>
        </w:tc>
        <w:tc>
          <w:tcPr>
            <w:tcW w:w="3419" w:type="dxa"/>
            <w:vAlign w:val="center"/>
            <w:hideMark/>
          </w:tcPr>
          <w:p w14:paraId="0F708DF8"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epitelial de ovario, trompa de Falopio y peritoneal primario</w:t>
            </w:r>
          </w:p>
        </w:tc>
      </w:tr>
      <w:tr w:rsidR="004921FF" w:rsidRPr="00CD02F5" w14:paraId="3A61A23B" w14:textId="77777777" w:rsidTr="00E05B71">
        <w:trPr>
          <w:trHeight w:val="537"/>
          <w:jc w:val="center"/>
        </w:trPr>
        <w:tc>
          <w:tcPr>
            <w:tcW w:w="675" w:type="dxa"/>
            <w:vAlign w:val="center"/>
          </w:tcPr>
          <w:p w14:paraId="4BFBE26E"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53</w:t>
            </w:r>
          </w:p>
        </w:tc>
        <w:tc>
          <w:tcPr>
            <w:tcW w:w="3985" w:type="dxa"/>
            <w:noWrap/>
            <w:vAlign w:val="center"/>
            <w:hideMark/>
          </w:tcPr>
          <w:p w14:paraId="192A6490" w14:textId="77777777" w:rsidR="00070FA2" w:rsidRPr="005C133F" w:rsidRDefault="00070FA2" w:rsidP="00E05B71">
            <w:pPr>
              <w:spacing w:after="0" w:line="240" w:lineRule="auto"/>
              <w:rPr>
                <w:rFonts w:eastAsia="Times New Roman"/>
                <w:lang w:val="es-DO"/>
              </w:rPr>
            </w:pPr>
            <w:r w:rsidRPr="005C133F">
              <w:rPr>
                <w:rFonts w:eastAsia="Times New Roman"/>
                <w:lang w:val="es-DO"/>
              </w:rPr>
              <w:t>BLINATUMOMAB</w:t>
            </w:r>
          </w:p>
        </w:tc>
        <w:tc>
          <w:tcPr>
            <w:tcW w:w="3419" w:type="dxa"/>
            <w:vAlign w:val="center"/>
            <w:hideMark/>
          </w:tcPr>
          <w:p w14:paraId="0A60B08C" w14:textId="7FF08639" w:rsidR="00070FA2" w:rsidRPr="005C133F" w:rsidRDefault="00070FA2" w:rsidP="00E05B71">
            <w:pPr>
              <w:spacing w:after="0" w:line="240" w:lineRule="auto"/>
              <w:rPr>
                <w:rFonts w:eastAsia="Times New Roman"/>
                <w:lang w:val="es-DO"/>
              </w:rPr>
            </w:pPr>
            <w:r w:rsidRPr="005C133F">
              <w:rPr>
                <w:rFonts w:eastAsia="Times New Roman"/>
                <w:lang w:val="es-DO"/>
              </w:rPr>
              <w:t>Adultos leucemia linfoblástica aguda de precursores de células B, cromosoma filadelfio positivo</w:t>
            </w:r>
          </w:p>
        </w:tc>
      </w:tr>
      <w:tr w:rsidR="004921FF" w:rsidRPr="005C133F" w14:paraId="6F26EC18" w14:textId="77777777" w:rsidTr="00E05B71">
        <w:trPr>
          <w:trHeight w:val="291"/>
          <w:jc w:val="center"/>
        </w:trPr>
        <w:tc>
          <w:tcPr>
            <w:tcW w:w="675" w:type="dxa"/>
            <w:vAlign w:val="center"/>
          </w:tcPr>
          <w:p w14:paraId="4E999430"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54</w:t>
            </w:r>
          </w:p>
        </w:tc>
        <w:tc>
          <w:tcPr>
            <w:tcW w:w="3985" w:type="dxa"/>
            <w:noWrap/>
            <w:vAlign w:val="center"/>
            <w:hideMark/>
          </w:tcPr>
          <w:p w14:paraId="74D6DEB5" w14:textId="77777777" w:rsidR="00070FA2" w:rsidRPr="005C133F" w:rsidRDefault="00070FA2" w:rsidP="00E05B71">
            <w:pPr>
              <w:spacing w:after="0" w:line="240" w:lineRule="auto"/>
              <w:rPr>
                <w:rFonts w:eastAsia="Times New Roman"/>
                <w:lang w:val="es-DO"/>
              </w:rPr>
            </w:pPr>
            <w:r w:rsidRPr="005C133F">
              <w:rPr>
                <w:rFonts w:eastAsia="Times New Roman"/>
                <w:lang w:val="es-DO"/>
              </w:rPr>
              <w:t>ATEZOLIZUMAB</w:t>
            </w:r>
          </w:p>
        </w:tc>
        <w:tc>
          <w:tcPr>
            <w:tcW w:w="3419" w:type="dxa"/>
            <w:vAlign w:val="center"/>
            <w:hideMark/>
          </w:tcPr>
          <w:p w14:paraId="722ACDD2" w14:textId="77777777" w:rsidR="00070FA2" w:rsidRPr="005C133F" w:rsidRDefault="00070FA2" w:rsidP="00E05B71">
            <w:pPr>
              <w:spacing w:after="0" w:line="240" w:lineRule="auto"/>
              <w:rPr>
                <w:rFonts w:eastAsia="Times New Roman"/>
                <w:lang w:val="es-DO"/>
              </w:rPr>
            </w:pPr>
            <w:r w:rsidRPr="005C133F">
              <w:rPr>
                <w:rFonts w:eastAsia="Times New Roman"/>
                <w:lang w:val="es-DO"/>
              </w:rPr>
              <w:t>Cáncer urotelial</w:t>
            </w:r>
          </w:p>
        </w:tc>
      </w:tr>
      <w:tr w:rsidR="004921FF" w:rsidRPr="005C133F" w14:paraId="5D5F503D" w14:textId="77777777" w:rsidTr="00E05B71">
        <w:trPr>
          <w:trHeight w:val="291"/>
          <w:jc w:val="center"/>
        </w:trPr>
        <w:tc>
          <w:tcPr>
            <w:tcW w:w="675" w:type="dxa"/>
            <w:vAlign w:val="center"/>
          </w:tcPr>
          <w:p w14:paraId="433C49D5"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lastRenderedPageBreak/>
              <w:t>55</w:t>
            </w:r>
          </w:p>
        </w:tc>
        <w:tc>
          <w:tcPr>
            <w:tcW w:w="3985" w:type="dxa"/>
            <w:noWrap/>
            <w:vAlign w:val="center"/>
            <w:hideMark/>
          </w:tcPr>
          <w:p w14:paraId="7AE9469E" w14:textId="77777777" w:rsidR="00070FA2" w:rsidRPr="005C133F" w:rsidRDefault="00070FA2" w:rsidP="00E05B71">
            <w:pPr>
              <w:spacing w:after="0" w:line="240" w:lineRule="auto"/>
              <w:rPr>
                <w:rFonts w:eastAsia="Times New Roman"/>
                <w:lang w:val="es-DO"/>
              </w:rPr>
            </w:pPr>
            <w:r w:rsidRPr="005C133F">
              <w:rPr>
                <w:rFonts w:eastAsia="Times New Roman"/>
                <w:lang w:val="es-DO"/>
              </w:rPr>
              <w:t>GREEN LIGHT</w:t>
            </w:r>
          </w:p>
        </w:tc>
        <w:tc>
          <w:tcPr>
            <w:tcW w:w="3419" w:type="dxa"/>
            <w:vAlign w:val="center"/>
            <w:hideMark/>
          </w:tcPr>
          <w:p w14:paraId="62471E39" w14:textId="77777777" w:rsidR="00070FA2" w:rsidRPr="005C133F" w:rsidRDefault="00070FA2" w:rsidP="00E05B71">
            <w:pPr>
              <w:spacing w:after="0" w:line="240" w:lineRule="auto"/>
              <w:rPr>
                <w:rFonts w:eastAsia="Times New Roman"/>
                <w:lang w:val="es-DO"/>
              </w:rPr>
            </w:pPr>
            <w:r w:rsidRPr="005C133F">
              <w:rPr>
                <w:rFonts w:eastAsia="Times New Roman"/>
                <w:lang w:val="es-DO"/>
              </w:rPr>
              <w:t>Hiperplasia prostática benigna</w:t>
            </w:r>
          </w:p>
        </w:tc>
      </w:tr>
      <w:tr w:rsidR="004921FF" w:rsidRPr="00CD02F5" w14:paraId="615E6F09" w14:textId="77777777" w:rsidTr="00E05B71">
        <w:trPr>
          <w:trHeight w:val="291"/>
          <w:jc w:val="center"/>
        </w:trPr>
        <w:tc>
          <w:tcPr>
            <w:tcW w:w="675" w:type="dxa"/>
            <w:vAlign w:val="center"/>
          </w:tcPr>
          <w:p w14:paraId="2C9624B4"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56</w:t>
            </w:r>
          </w:p>
        </w:tc>
        <w:tc>
          <w:tcPr>
            <w:tcW w:w="3985" w:type="dxa"/>
            <w:noWrap/>
            <w:vAlign w:val="center"/>
            <w:hideMark/>
          </w:tcPr>
          <w:p w14:paraId="170AE07D" w14:textId="77777777" w:rsidR="00070FA2" w:rsidRPr="005C133F" w:rsidRDefault="00070FA2" w:rsidP="00E05B71">
            <w:pPr>
              <w:spacing w:after="0" w:line="240" w:lineRule="auto"/>
              <w:rPr>
                <w:rFonts w:eastAsia="Times New Roman"/>
                <w:lang w:val="es-DO"/>
              </w:rPr>
            </w:pPr>
            <w:r w:rsidRPr="005C133F">
              <w:rPr>
                <w:rFonts w:eastAsia="Times New Roman"/>
                <w:lang w:val="es-DO"/>
              </w:rPr>
              <w:t>HOLEP</w:t>
            </w:r>
          </w:p>
        </w:tc>
        <w:tc>
          <w:tcPr>
            <w:tcW w:w="3419" w:type="dxa"/>
            <w:vAlign w:val="center"/>
            <w:hideMark/>
          </w:tcPr>
          <w:p w14:paraId="1752DFBF" w14:textId="77777777" w:rsidR="00070FA2" w:rsidRPr="005C133F" w:rsidRDefault="00070FA2" w:rsidP="00E05B71">
            <w:pPr>
              <w:spacing w:after="0" w:line="240" w:lineRule="auto"/>
              <w:rPr>
                <w:rFonts w:eastAsia="Times New Roman"/>
                <w:lang w:val="es-DO"/>
              </w:rPr>
            </w:pPr>
            <w:r w:rsidRPr="005C133F">
              <w:rPr>
                <w:rFonts w:eastAsia="Times New Roman"/>
                <w:lang w:val="es-DO"/>
              </w:rPr>
              <w:t>Hiperplasia benigna prostática y litiasis renal</w:t>
            </w:r>
          </w:p>
        </w:tc>
      </w:tr>
      <w:tr w:rsidR="004921FF" w:rsidRPr="00CD02F5" w14:paraId="2821DEFB" w14:textId="77777777" w:rsidTr="00E05B71">
        <w:trPr>
          <w:trHeight w:val="537"/>
          <w:jc w:val="center"/>
        </w:trPr>
        <w:tc>
          <w:tcPr>
            <w:tcW w:w="675" w:type="dxa"/>
            <w:vAlign w:val="center"/>
          </w:tcPr>
          <w:p w14:paraId="7ED6A580"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57</w:t>
            </w:r>
          </w:p>
        </w:tc>
        <w:tc>
          <w:tcPr>
            <w:tcW w:w="3985" w:type="dxa"/>
            <w:noWrap/>
            <w:vAlign w:val="center"/>
            <w:hideMark/>
          </w:tcPr>
          <w:p w14:paraId="0B981BA9" w14:textId="77777777" w:rsidR="00070FA2" w:rsidRPr="005C133F" w:rsidRDefault="00070FA2" w:rsidP="00E05B71">
            <w:pPr>
              <w:spacing w:after="0" w:line="240" w:lineRule="auto"/>
              <w:rPr>
                <w:rFonts w:eastAsia="Times New Roman"/>
                <w:lang w:val="es-DO"/>
              </w:rPr>
            </w:pPr>
            <w:r w:rsidRPr="005C133F">
              <w:rPr>
                <w:rFonts w:eastAsia="Times New Roman"/>
                <w:lang w:val="es-DO"/>
              </w:rPr>
              <w:t>PEMBROLIZUMAB</w:t>
            </w:r>
          </w:p>
        </w:tc>
        <w:tc>
          <w:tcPr>
            <w:tcW w:w="3419" w:type="dxa"/>
            <w:vAlign w:val="center"/>
            <w:hideMark/>
          </w:tcPr>
          <w:p w14:paraId="6569D51E" w14:textId="77777777" w:rsidR="00070FA2" w:rsidRPr="005C133F" w:rsidRDefault="00070FA2" w:rsidP="00E05B71">
            <w:pPr>
              <w:spacing w:after="0" w:line="240" w:lineRule="auto"/>
              <w:rPr>
                <w:rFonts w:eastAsia="Times New Roman"/>
                <w:lang w:val="es-DO"/>
              </w:rPr>
            </w:pPr>
            <w:r w:rsidRPr="005C133F">
              <w:rPr>
                <w:rFonts w:eastAsia="Times New Roman"/>
                <w:lang w:val="es-DO"/>
              </w:rPr>
              <w:t>Melanoma en estadio IIB, IIC o III y que hayan sido sometidos a resección completa.</w:t>
            </w:r>
          </w:p>
        </w:tc>
      </w:tr>
      <w:tr w:rsidR="004921FF" w:rsidRPr="00CD02F5" w14:paraId="21FA1B64" w14:textId="77777777" w:rsidTr="00E05B71">
        <w:trPr>
          <w:trHeight w:val="291"/>
          <w:jc w:val="center"/>
        </w:trPr>
        <w:tc>
          <w:tcPr>
            <w:tcW w:w="675" w:type="dxa"/>
            <w:vAlign w:val="center"/>
          </w:tcPr>
          <w:p w14:paraId="3673F90F"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58</w:t>
            </w:r>
          </w:p>
        </w:tc>
        <w:tc>
          <w:tcPr>
            <w:tcW w:w="3985" w:type="dxa"/>
            <w:noWrap/>
            <w:vAlign w:val="center"/>
            <w:hideMark/>
          </w:tcPr>
          <w:p w14:paraId="1A267EEE" w14:textId="77777777" w:rsidR="00070FA2" w:rsidRPr="005C133F" w:rsidRDefault="00070FA2" w:rsidP="00E05B71">
            <w:pPr>
              <w:spacing w:after="0" w:line="240" w:lineRule="auto"/>
              <w:rPr>
                <w:rFonts w:eastAsia="Times New Roman"/>
                <w:lang w:val="es-DO"/>
              </w:rPr>
            </w:pPr>
            <w:r w:rsidRPr="005C133F">
              <w:rPr>
                <w:rFonts w:eastAsia="Times New Roman"/>
                <w:lang w:val="es-DO"/>
              </w:rPr>
              <w:t>DOSTARLIMAB</w:t>
            </w:r>
          </w:p>
        </w:tc>
        <w:tc>
          <w:tcPr>
            <w:tcW w:w="3419" w:type="dxa"/>
            <w:vAlign w:val="center"/>
            <w:hideMark/>
          </w:tcPr>
          <w:p w14:paraId="51E03911" w14:textId="77777777" w:rsidR="00070FA2" w:rsidRPr="005C133F" w:rsidRDefault="00070FA2" w:rsidP="00E05B71">
            <w:pPr>
              <w:spacing w:after="0" w:line="240" w:lineRule="auto"/>
              <w:rPr>
                <w:rFonts w:eastAsia="Times New Roman"/>
                <w:lang w:val="es-DO"/>
              </w:rPr>
            </w:pPr>
            <w:r w:rsidRPr="005C133F">
              <w:rPr>
                <w:rFonts w:eastAsia="Times New Roman"/>
                <w:lang w:val="es-DO"/>
              </w:rPr>
              <w:t>Mujeres adultas con cáncer de endometrio primario avanzado o recurrente</w:t>
            </w:r>
          </w:p>
        </w:tc>
      </w:tr>
      <w:tr w:rsidR="004921FF" w:rsidRPr="00CD02F5" w14:paraId="62072DCF" w14:textId="77777777" w:rsidTr="00E05B71">
        <w:trPr>
          <w:trHeight w:val="537"/>
          <w:jc w:val="center"/>
        </w:trPr>
        <w:tc>
          <w:tcPr>
            <w:tcW w:w="675" w:type="dxa"/>
            <w:vAlign w:val="center"/>
          </w:tcPr>
          <w:p w14:paraId="12F9997B"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59</w:t>
            </w:r>
          </w:p>
        </w:tc>
        <w:tc>
          <w:tcPr>
            <w:tcW w:w="3985" w:type="dxa"/>
            <w:noWrap/>
            <w:vAlign w:val="center"/>
            <w:hideMark/>
          </w:tcPr>
          <w:p w14:paraId="0C81C879" w14:textId="77777777" w:rsidR="00070FA2" w:rsidRPr="005C133F" w:rsidRDefault="00070FA2" w:rsidP="00E05B71">
            <w:pPr>
              <w:spacing w:after="0" w:line="240" w:lineRule="auto"/>
              <w:rPr>
                <w:rFonts w:eastAsia="Times New Roman"/>
                <w:lang w:val="es-DO"/>
              </w:rPr>
            </w:pPr>
            <w:r w:rsidRPr="005C133F">
              <w:rPr>
                <w:rFonts w:eastAsia="Times New Roman"/>
                <w:lang w:val="es-DO"/>
              </w:rPr>
              <w:t>NIRAPARIB</w:t>
            </w:r>
          </w:p>
        </w:tc>
        <w:tc>
          <w:tcPr>
            <w:tcW w:w="3419" w:type="dxa"/>
            <w:vAlign w:val="center"/>
            <w:hideMark/>
          </w:tcPr>
          <w:p w14:paraId="69F473B1" w14:textId="77777777" w:rsidR="00070FA2" w:rsidRPr="005C133F" w:rsidRDefault="00070FA2" w:rsidP="00E05B71">
            <w:pPr>
              <w:spacing w:after="0" w:line="240" w:lineRule="auto"/>
              <w:rPr>
                <w:rFonts w:eastAsia="Times New Roman"/>
                <w:lang w:val="es-DO"/>
              </w:rPr>
            </w:pPr>
            <w:r w:rsidRPr="005C133F">
              <w:rPr>
                <w:rFonts w:eastAsia="Times New Roman"/>
                <w:lang w:val="es-DO"/>
              </w:rPr>
              <w:t xml:space="preserve">Pacientes adultas con cáncer de ovario avanzado de alto grado, trompas de Falopio o peritoneal primario HRD+ BRCA </w:t>
            </w:r>
            <w:proofErr w:type="spellStart"/>
            <w:r w:rsidRPr="005C133F">
              <w:rPr>
                <w:rFonts w:eastAsia="Times New Roman"/>
                <w:lang w:val="es-DO"/>
              </w:rPr>
              <w:t>wt</w:t>
            </w:r>
            <w:proofErr w:type="spellEnd"/>
          </w:p>
        </w:tc>
      </w:tr>
      <w:tr w:rsidR="004921FF" w:rsidRPr="00CD02F5" w14:paraId="2D559EEE" w14:textId="77777777" w:rsidTr="00E05B71">
        <w:trPr>
          <w:trHeight w:val="589"/>
          <w:jc w:val="center"/>
        </w:trPr>
        <w:tc>
          <w:tcPr>
            <w:tcW w:w="675" w:type="dxa"/>
            <w:vAlign w:val="center"/>
          </w:tcPr>
          <w:p w14:paraId="4875363D" w14:textId="77777777" w:rsidR="00070FA2" w:rsidRPr="005C133F" w:rsidRDefault="00070FA2" w:rsidP="00E05B71">
            <w:pPr>
              <w:spacing w:after="0" w:line="240" w:lineRule="auto"/>
              <w:jc w:val="center"/>
              <w:rPr>
                <w:rFonts w:eastAsia="Times New Roman"/>
                <w:lang w:val="es-DO"/>
              </w:rPr>
            </w:pPr>
            <w:r w:rsidRPr="005C133F">
              <w:rPr>
                <w:rFonts w:eastAsia="Calibri"/>
                <w:lang w:val="es-DO"/>
              </w:rPr>
              <w:t>60</w:t>
            </w:r>
          </w:p>
        </w:tc>
        <w:tc>
          <w:tcPr>
            <w:tcW w:w="3985" w:type="dxa"/>
            <w:noWrap/>
            <w:vAlign w:val="center"/>
            <w:hideMark/>
          </w:tcPr>
          <w:p w14:paraId="53AEAC68" w14:textId="77777777" w:rsidR="00070FA2" w:rsidRPr="005C133F" w:rsidRDefault="00070FA2" w:rsidP="00E05B71">
            <w:pPr>
              <w:spacing w:after="0" w:line="240" w:lineRule="auto"/>
              <w:rPr>
                <w:rFonts w:eastAsia="Times New Roman"/>
                <w:lang w:val="es-DO"/>
              </w:rPr>
            </w:pPr>
            <w:r w:rsidRPr="005C133F">
              <w:rPr>
                <w:rFonts w:eastAsia="Times New Roman"/>
                <w:lang w:val="es-DO"/>
              </w:rPr>
              <w:t>NIRAPARIB</w:t>
            </w:r>
          </w:p>
        </w:tc>
        <w:tc>
          <w:tcPr>
            <w:tcW w:w="3419" w:type="dxa"/>
            <w:vAlign w:val="center"/>
            <w:hideMark/>
          </w:tcPr>
          <w:p w14:paraId="6F190159" w14:textId="77777777" w:rsidR="00070FA2" w:rsidRPr="005C133F" w:rsidRDefault="00070FA2" w:rsidP="00E05B71">
            <w:pPr>
              <w:spacing w:after="0" w:line="240" w:lineRule="auto"/>
              <w:rPr>
                <w:rFonts w:eastAsia="Times New Roman"/>
                <w:lang w:val="es-DO"/>
              </w:rPr>
            </w:pPr>
            <w:r w:rsidRPr="005C133F">
              <w:rPr>
                <w:rFonts w:eastAsia="Times New Roman"/>
                <w:lang w:val="es-DO"/>
              </w:rPr>
              <w:t xml:space="preserve">Cáncer de </w:t>
            </w:r>
            <w:proofErr w:type="spellStart"/>
            <w:r w:rsidRPr="005C133F">
              <w:rPr>
                <w:rFonts w:eastAsia="Times New Roman"/>
                <w:lang w:val="es-DO"/>
              </w:rPr>
              <w:t>ovário</w:t>
            </w:r>
            <w:proofErr w:type="spellEnd"/>
            <w:r w:rsidRPr="005C133F">
              <w:rPr>
                <w:rFonts w:eastAsia="Times New Roman"/>
                <w:lang w:val="es-DO"/>
              </w:rPr>
              <w:t xml:space="preserve"> avanzado de alto grado 2da línea</w:t>
            </w:r>
          </w:p>
        </w:tc>
      </w:tr>
      <w:tr w:rsidR="004921FF" w:rsidRPr="005C133F" w14:paraId="0D60A613" w14:textId="77777777" w:rsidTr="00E05B71">
        <w:trPr>
          <w:trHeight w:val="589"/>
          <w:jc w:val="center"/>
        </w:trPr>
        <w:tc>
          <w:tcPr>
            <w:tcW w:w="675" w:type="dxa"/>
            <w:vAlign w:val="center"/>
          </w:tcPr>
          <w:p w14:paraId="48BEE401" w14:textId="77777777" w:rsidR="00070FA2" w:rsidRPr="005C133F" w:rsidRDefault="00070FA2" w:rsidP="00E05B71">
            <w:pPr>
              <w:spacing w:after="0" w:line="240" w:lineRule="auto"/>
              <w:jc w:val="center"/>
              <w:rPr>
                <w:rFonts w:eastAsia="Calibri"/>
                <w:lang w:val="es-DO"/>
              </w:rPr>
            </w:pPr>
            <w:r w:rsidRPr="005C133F">
              <w:rPr>
                <w:rFonts w:eastAsia="Calibri"/>
                <w:lang w:val="es-DO"/>
              </w:rPr>
              <w:t>61</w:t>
            </w:r>
          </w:p>
        </w:tc>
        <w:tc>
          <w:tcPr>
            <w:tcW w:w="3985" w:type="dxa"/>
            <w:noWrap/>
            <w:vAlign w:val="center"/>
          </w:tcPr>
          <w:p w14:paraId="5E3DE882" w14:textId="77777777" w:rsidR="00070FA2" w:rsidRPr="005C133F" w:rsidRDefault="00070FA2" w:rsidP="00E05B71">
            <w:pPr>
              <w:spacing w:after="0" w:line="240" w:lineRule="auto"/>
              <w:rPr>
                <w:rFonts w:eastAsia="Times New Roman"/>
                <w:lang w:val="es-DO"/>
              </w:rPr>
            </w:pPr>
            <w:r w:rsidRPr="005C133F">
              <w:rPr>
                <w:rFonts w:eastAsia="Times New Roman"/>
                <w:lang w:val="es-DO"/>
              </w:rPr>
              <w:t>VACUNA 15 ANTINEUMOCÓCICA</w:t>
            </w:r>
          </w:p>
        </w:tc>
        <w:tc>
          <w:tcPr>
            <w:tcW w:w="3419" w:type="dxa"/>
            <w:vAlign w:val="center"/>
          </w:tcPr>
          <w:p w14:paraId="080D9D85" w14:textId="77777777" w:rsidR="00070FA2" w:rsidRPr="005C133F" w:rsidRDefault="00070FA2" w:rsidP="00E05B71">
            <w:pPr>
              <w:spacing w:after="0" w:line="240" w:lineRule="auto"/>
              <w:rPr>
                <w:rFonts w:eastAsia="Times New Roman"/>
                <w:lang w:val="es-DO"/>
              </w:rPr>
            </w:pPr>
            <w:r w:rsidRPr="005C133F">
              <w:rPr>
                <w:rFonts w:eastAsia="Times New Roman"/>
                <w:lang w:val="es-DO"/>
              </w:rPr>
              <w:t>Enfermedades neumocócicas</w:t>
            </w:r>
          </w:p>
        </w:tc>
      </w:tr>
      <w:tr w:rsidR="004921FF" w:rsidRPr="00CD02F5" w14:paraId="16426B42" w14:textId="77777777" w:rsidTr="00E05B71">
        <w:trPr>
          <w:trHeight w:val="589"/>
          <w:jc w:val="center"/>
        </w:trPr>
        <w:tc>
          <w:tcPr>
            <w:tcW w:w="675" w:type="dxa"/>
            <w:vAlign w:val="center"/>
          </w:tcPr>
          <w:p w14:paraId="4FCFE791" w14:textId="77777777" w:rsidR="00070FA2" w:rsidRPr="005C133F" w:rsidRDefault="00070FA2" w:rsidP="00E05B71">
            <w:pPr>
              <w:spacing w:after="0" w:line="240" w:lineRule="auto"/>
              <w:jc w:val="center"/>
              <w:rPr>
                <w:rFonts w:eastAsia="Calibri"/>
                <w:lang w:val="es-DO"/>
              </w:rPr>
            </w:pPr>
            <w:r w:rsidRPr="005C133F">
              <w:rPr>
                <w:rFonts w:eastAsia="Calibri"/>
                <w:lang w:val="es-DO"/>
              </w:rPr>
              <w:t>62</w:t>
            </w:r>
          </w:p>
        </w:tc>
        <w:tc>
          <w:tcPr>
            <w:tcW w:w="3985" w:type="dxa"/>
            <w:noWrap/>
            <w:vAlign w:val="center"/>
          </w:tcPr>
          <w:p w14:paraId="75F37625" w14:textId="77777777" w:rsidR="00070FA2" w:rsidRPr="005C133F" w:rsidRDefault="00070FA2" w:rsidP="00E05B71">
            <w:pPr>
              <w:spacing w:after="0" w:line="240" w:lineRule="auto"/>
              <w:rPr>
                <w:rFonts w:eastAsia="Times New Roman"/>
                <w:lang w:val="es-DO"/>
              </w:rPr>
            </w:pPr>
            <w:r w:rsidRPr="005C133F">
              <w:rPr>
                <w:rFonts w:eastAsia="Times New Roman"/>
                <w:lang w:val="es-DO"/>
              </w:rPr>
              <w:t>VACUNA NONAVALENTE CONTRA EL VPH</w:t>
            </w:r>
          </w:p>
        </w:tc>
        <w:tc>
          <w:tcPr>
            <w:tcW w:w="3419" w:type="dxa"/>
            <w:vAlign w:val="center"/>
          </w:tcPr>
          <w:p w14:paraId="18086CCB" w14:textId="77777777" w:rsidR="00070FA2" w:rsidRPr="005C133F" w:rsidRDefault="00070FA2" w:rsidP="00E05B71">
            <w:pPr>
              <w:spacing w:after="0" w:line="240" w:lineRule="auto"/>
              <w:rPr>
                <w:rFonts w:eastAsia="Times New Roman"/>
                <w:lang w:val="es-DO"/>
              </w:rPr>
            </w:pPr>
            <w:r w:rsidRPr="005C133F">
              <w:rPr>
                <w:rFonts w:eastAsia="Times New Roman"/>
                <w:lang w:val="es-DO"/>
              </w:rPr>
              <w:t>Virus del papiloma humano (VPH)</w:t>
            </w:r>
          </w:p>
        </w:tc>
      </w:tr>
    </w:tbl>
    <w:p w14:paraId="6CA78F13" w14:textId="4741F258" w:rsidR="00A31BC9" w:rsidRPr="00E05B71" w:rsidRDefault="00A31BC9" w:rsidP="00E05B71">
      <w:pPr>
        <w:spacing w:after="0" w:line="240" w:lineRule="auto"/>
        <w:jc w:val="both"/>
        <w:rPr>
          <w:rFonts w:eastAsia="Calibri"/>
          <w:sz w:val="18"/>
          <w:szCs w:val="18"/>
          <w:lang w:val="es-ES"/>
        </w:rPr>
      </w:pPr>
      <w:r w:rsidRPr="00E05B71">
        <w:rPr>
          <w:rFonts w:eastAsia="Calibri"/>
          <w:sz w:val="18"/>
          <w:szCs w:val="18"/>
          <w:lang w:val="es-ES"/>
        </w:rPr>
        <w:t xml:space="preserve">Fuente: Dirección de Estudios Económicos y </w:t>
      </w:r>
      <w:r w:rsidR="00517406" w:rsidRPr="00E05B71">
        <w:rPr>
          <w:rFonts w:eastAsia="Calibri"/>
          <w:sz w:val="18"/>
          <w:szCs w:val="18"/>
          <w:lang w:val="es-ES"/>
        </w:rPr>
        <w:t>Estadísticos, SISALRIL</w:t>
      </w:r>
    </w:p>
    <w:p w14:paraId="54B3D8CE" w14:textId="77777777" w:rsidR="008A573E" w:rsidRPr="005C133F" w:rsidRDefault="008A573E" w:rsidP="005C133F">
      <w:pPr>
        <w:spacing w:after="0" w:line="360" w:lineRule="auto"/>
        <w:jc w:val="both"/>
        <w:rPr>
          <w:b/>
          <w:bCs/>
          <w:noProof/>
          <w:lang w:val="es-ES"/>
        </w:rPr>
      </w:pPr>
    </w:p>
    <w:p w14:paraId="4B6B2068" w14:textId="77777777" w:rsidR="00DD41CD" w:rsidRPr="005C133F" w:rsidRDefault="00FF60FC">
      <w:pPr>
        <w:pStyle w:val="Prrafodelista"/>
        <w:numPr>
          <w:ilvl w:val="0"/>
          <w:numId w:val="152"/>
        </w:numPr>
        <w:spacing w:after="0" w:line="360" w:lineRule="auto"/>
        <w:jc w:val="both"/>
        <w:rPr>
          <w:rFonts w:eastAsia="Calibri"/>
          <w:b/>
          <w:lang w:val="es-ES"/>
        </w:rPr>
      </w:pPr>
      <w:r w:rsidRPr="005C133F">
        <w:rPr>
          <w:rFonts w:eastAsia="Calibri"/>
          <w:b/>
          <w:lang w:val="es-ES"/>
        </w:rPr>
        <w:t>Solicitudes de Evaluaciones de Tecnologías Sanitarias a solicitudes vía EVTESA</w:t>
      </w:r>
    </w:p>
    <w:p w14:paraId="54EA7E8B" w14:textId="77777777" w:rsidR="00DD41CD" w:rsidRPr="005C133F" w:rsidRDefault="00DD41CD" w:rsidP="005C133F">
      <w:pPr>
        <w:pStyle w:val="Prrafodelista"/>
        <w:spacing w:after="0" w:line="360" w:lineRule="auto"/>
        <w:ind w:left="1080"/>
        <w:jc w:val="both"/>
        <w:rPr>
          <w:rFonts w:eastAsia="Calibri"/>
          <w:b/>
          <w:lang w:val="es-ES"/>
        </w:rPr>
      </w:pPr>
    </w:p>
    <w:p w14:paraId="24C97394" w14:textId="7B892580" w:rsidR="007D275F" w:rsidRPr="005C133F" w:rsidRDefault="00B25613" w:rsidP="005C133F">
      <w:pPr>
        <w:spacing w:after="0" w:line="360" w:lineRule="auto"/>
        <w:ind w:left="360"/>
        <w:jc w:val="both"/>
        <w:rPr>
          <w:rFonts w:eastAsia="Calibri"/>
          <w:lang w:val="es-ES"/>
        </w:rPr>
      </w:pPr>
      <w:r w:rsidRPr="005C133F">
        <w:rPr>
          <w:rFonts w:eastAsia="Calibri"/>
          <w:lang w:val="es-ES"/>
        </w:rPr>
        <w:t>En este período se elaboraron 1</w:t>
      </w:r>
      <w:r w:rsidR="00A435E4">
        <w:rPr>
          <w:rFonts w:eastAsia="Calibri"/>
          <w:lang w:val="es-ES"/>
        </w:rPr>
        <w:t>5</w:t>
      </w:r>
      <w:r w:rsidRPr="005C133F">
        <w:rPr>
          <w:rFonts w:eastAsia="Calibri"/>
          <w:lang w:val="es-ES"/>
        </w:rPr>
        <w:t xml:space="preserve"> informes rápidos de evaluación de tecnologías sanitarias, de los cuales </w:t>
      </w:r>
      <w:r w:rsidR="00A435E4">
        <w:rPr>
          <w:rFonts w:eastAsia="Calibri"/>
          <w:lang w:val="es-ES"/>
        </w:rPr>
        <w:t>12</w:t>
      </w:r>
      <w:r w:rsidRPr="005C133F">
        <w:rPr>
          <w:rFonts w:eastAsia="Calibri"/>
          <w:lang w:val="es-ES"/>
        </w:rPr>
        <w:t xml:space="preserve"> </w:t>
      </w:r>
      <w:r w:rsidR="00036A51" w:rsidRPr="005C133F">
        <w:rPr>
          <w:rFonts w:eastAsia="Calibri"/>
          <w:lang w:val="es-ES"/>
        </w:rPr>
        <w:t>estuvieron asociados a</w:t>
      </w:r>
      <w:r w:rsidRPr="005C133F">
        <w:rPr>
          <w:rFonts w:eastAsia="Calibri"/>
          <w:lang w:val="es-ES"/>
        </w:rPr>
        <w:t xml:space="preserve"> patologías oncológicas. Estas evaluaciones </w:t>
      </w:r>
      <w:r w:rsidR="00036A51" w:rsidRPr="005C133F">
        <w:rPr>
          <w:rFonts w:eastAsia="Calibri"/>
          <w:lang w:val="es-ES"/>
        </w:rPr>
        <w:t xml:space="preserve">tuvieron </w:t>
      </w:r>
      <w:r w:rsidRPr="005C133F">
        <w:rPr>
          <w:rFonts w:eastAsia="Calibri"/>
          <w:lang w:val="es-ES"/>
        </w:rPr>
        <w:t xml:space="preserve">como </w:t>
      </w:r>
      <w:r w:rsidR="00036A51" w:rsidRPr="005C133F">
        <w:rPr>
          <w:rFonts w:eastAsia="Calibri"/>
          <w:lang w:val="es-ES"/>
        </w:rPr>
        <w:t xml:space="preserve">objetivo </w:t>
      </w:r>
      <w:r w:rsidRPr="005C133F">
        <w:rPr>
          <w:rFonts w:eastAsia="Calibri"/>
          <w:lang w:val="es-ES"/>
        </w:rPr>
        <w:t xml:space="preserve">emitir una conclusión técnica fundamentada en los resultados clínicos disponibles, las recomendaciones contenidas en guías de práctica clínica, así como en los informes de agencias de evaluación de tecnologías sanitarias y análisis de evaluaciones </w:t>
      </w:r>
      <w:r w:rsidRPr="005C133F">
        <w:rPr>
          <w:rFonts w:eastAsia="Calibri"/>
          <w:lang w:val="es-ES"/>
        </w:rPr>
        <w:lastRenderedPageBreak/>
        <w:t xml:space="preserve">económicas, </w:t>
      </w:r>
      <w:r w:rsidR="00A5796B" w:rsidRPr="005C133F">
        <w:rPr>
          <w:rFonts w:eastAsia="Calibri"/>
          <w:lang w:val="es-ES"/>
        </w:rPr>
        <w:t>a</w:t>
      </w:r>
      <w:r w:rsidRPr="005C133F">
        <w:rPr>
          <w:rFonts w:eastAsia="Calibri"/>
          <w:lang w:val="es-ES"/>
        </w:rPr>
        <w:t xml:space="preserve"> fin de orientar </w:t>
      </w:r>
      <w:r w:rsidR="007D275F" w:rsidRPr="005C133F">
        <w:rPr>
          <w:rFonts w:eastAsia="Calibri"/>
          <w:lang w:val="es-ES"/>
        </w:rPr>
        <w:t xml:space="preserve">la toma de </w:t>
      </w:r>
      <w:r w:rsidRPr="005C133F">
        <w:rPr>
          <w:rFonts w:eastAsia="Calibri"/>
          <w:lang w:val="es-ES"/>
        </w:rPr>
        <w:t xml:space="preserve">decisiones en políticas de cobertura y uso racional de tecnologías en salud. </w:t>
      </w:r>
    </w:p>
    <w:p w14:paraId="293AC27A" w14:textId="77777777" w:rsidR="007D275F" w:rsidRPr="005C133F" w:rsidRDefault="007D275F" w:rsidP="005C133F">
      <w:pPr>
        <w:spacing w:after="0" w:line="360" w:lineRule="auto"/>
        <w:ind w:left="360"/>
        <w:jc w:val="both"/>
        <w:rPr>
          <w:rFonts w:eastAsia="Calibri"/>
          <w:lang w:val="es-ES"/>
        </w:rPr>
      </w:pPr>
    </w:p>
    <w:p w14:paraId="3FF71B7A" w14:textId="7E840182" w:rsidR="00B25613" w:rsidRPr="005C133F" w:rsidRDefault="00B25613" w:rsidP="005C133F">
      <w:pPr>
        <w:spacing w:after="0" w:line="360" w:lineRule="auto"/>
        <w:ind w:left="360"/>
        <w:jc w:val="both"/>
        <w:rPr>
          <w:rFonts w:eastAsia="Calibri"/>
          <w:lang w:val="es-ES"/>
        </w:rPr>
      </w:pPr>
      <w:r w:rsidRPr="005C133F">
        <w:rPr>
          <w:rFonts w:eastAsia="Calibri"/>
          <w:lang w:val="es-ES"/>
        </w:rPr>
        <w:t>A continuación, se enlistan las tecnologías cuya eficacia y seguridad han sido evaluadas frente a tratamientos y patologías específicas:</w:t>
      </w:r>
    </w:p>
    <w:p w14:paraId="05E5EBFE"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Dasatinib</w:t>
      </w:r>
      <w:proofErr w:type="spellEnd"/>
      <w:r w:rsidRPr="005C133F">
        <w:rPr>
          <w:rFonts w:eastAsia="Calibri"/>
          <w:bCs/>
          <w:lang w:val="es-DO"/>
        </w:rPr>
        <w:t xml:space="preserve"> en el tratamiento de pacientes adultos con Leucemia Linfoblástica Aguda cromosoma Filadelfia Positivo resistentes o intolerantes a imatinib.</w:t>
      </w:r>
    </w:p>
    <w:p w14:paraId="609B2C7D" w14:textId="77777777" w:rsidR="00B25613" w:rsidRPr="005C133F" w:rsidRDefault="00B25613">
      <w:pPr>
        <w:numPr>
          <w:ilvl w:val="0"/>
          <w:numId w:val="153"/>
        </w:numPr>
        <w:spacing w:after="0" w:line="360" w:lineRule="auto"/>
        <w:jc w:val="both"/>
        <w:rPr>
          <w:rFonts w:eastAsia="Calibri"/>
          <w:bCs/>
          <w:lang w:val="es-DO"/>
        </w:rPr>
      </w:pPr>
      <w:r w:rsidRPr="005C133F">
        <w:rPr>
          <w:rFonts w:eastAsia="Calibri"/>
          <w:bCs/>
          <w:lang w:val="es-DO"/>
        </w:rPr>
        <w:t>Olaparib en el tratamiento de cáncer de ovario epitelial avanzado platino sensible con mutaciones BRCA1/2.</w:t>
      </w:r>
    </w:p>
    <w:p w14:paraId="3C06A09C"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Abemaciclib</w:t>
      </w:r>
      <w:proofErr w:type="spellEnd"/>
      <w:r w:rsidRPr="005C133F">
        <w:rPr>
          <w:rFonts w:eastAsia="Calibri"/>
          <w:bCs/>
          <w:lang w:val="es-DO"/>
        </w:rPr>
        <w:t xml:space="preserve"> en combinación con terapia endocrina (TE) como tratamiento adyuvante en pacientes adultas con cáncer de mama en estadios iniciales, HR+, HER2-, con afectación ganglionar y elevado riesgo de recaída después de cirugía.</w:t>
      </w:r>
    </w:p>
    <w:p w14:paraId="654C5B68"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Benralizumab</w:t>
      </w:r>
      <w:proofErr w:type="spellEnd"/>
      <w:r w:rsidRPr="005C133F">
        <w:rPr>
          <w:rFonts w:eastAsia="Calibri"/>
          <w:bCs/>
          <w:lang w:val="es-DO"/>
        </w:rPr>
        <w:t xml:space="preserve"> + corticosteroides inhalados + </w:t>
      </w:r>
      <w:r w:rsidRPr="005C133F">
        <w:rPr>
          <w:rFonts w:eastAsia="Calibri"/>
          <w:bCs/>
        </w:rPr>
        <w:t>β</w:t>
      </w:r>
      <w:r w:rsidRPr="005C133F">
        <w:rPr>
          <w:rFonts w:eastAsia="Calibri"/>
          <w:bCs/>
          <w:lang w:val="es-DO"/>
        </w:rPr>
        <w:t>2-agonista de acción prolongada (LABA) para el tratamiento del asma eosinofílica grave no controlada posterior a terapia convencional en población pediátrica y adulta.</w:t>
      </w:r>
    </w:p>
    <w:p w14:paraId="3D5BA3B6" w14:textId="77777777" w:rsidR="00B25613" w:rsidRPr="005C133F" w:rsidRDefault="00B25613">
      <w:pPr>
        <w:numPr>
          <w:ilvl w:val="0"/>
          <w:numId w:val="153"/>
        </w:numPr>
        <w:spacing w:after="0" w:line="360" w:lineRule="auto"/>
        <w:jc w:val="both"/>
        <w:rPr>
          <w:rFonts w:eastAsia="Calibri"/>
          <w:bCs/>
          <w:lang w:val="es-DO"/>
        </w:rPr>
      </w:pPr>
      <w:r w:rsidRPr="005C133F">
        <w:rPr>
          <w:rFonts w:eastAsia="Calibri"/>
          <w:bCs/>
          <w:lang w:val="es-DO"/>
        </w:rPr>
        <w:t>Atezolizumab en el tratamiento de primera y segunda línea de Cáncer de Pulmón de Células No Pequeñas Avanzado.</w:t>
      </w:r>
    </w:p>
    <w:p w14:paraId="7FA44B6A"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Azacitidina</w:t>
      </w:r>
      <w:proofErr w:type="spellEnd"/>
      <w:r w:rsidRPr="005C133F">
        <w:rPr>
          <w:rFonts w:eastAsia="Calibri"/>
          <w:bCs/>
          <w:lang w:val="es-DO"/>
        </w:rPr>
        <w:t xml:space="preserve"> en el tratamiento de adultos con Leucemia Mieloide Aguda no elegibles a trasplante de células madre hematopoyéticas.</w:t>
      </w:r>
    </w:p>
    <w:p w14:paraId="5CEE1A97"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Bosentan</w:t>
      </w:r>
      <w:proofErr w:type="spellEnd"/>
      <w:r w:rsidRPr="005C133F">
        <w:rPr>
          <w:rFonts w:eastAsia="Calibri"/>
          <w:bCs/>
          <w:lang w:val="es-DO"/>
        </w:rPr>
        <w:t xml:space="preserve"> en monoterapia o en combinación con </w:t>
      </w:r>
      <w:proofErr w:type="spellStart"/>
      <w:r w:rsidRPr="005C133F">
        <w:rPr>
          <w:rFonts w:eastAsia="Calibri"/>
          <w:bCs/>
          <w:lang w:val="es-DO"/>
        </w:rPr>
        <w:t>sildenafilo</w:t>
      </w:r>
      <w:proofErr w:type="spellEnd"/>
      <w:r w:rsidRPr="005C133F">
        <w:rPr>
          <w:rFonts w:eastAsia="Calibri"/>
          <w:bCs/>
          <w:lang w:val="es-DO"/>
        </w:rPr>
        <w:t xml:space="preserve"> para el tratamiento de pacientes con hipertensión arterial pulmonar.</w:t>
      </w:r>
    </w:p>
    <w:p w14:paraId="357F0113"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lastRenderedPageBreak/>
        <w:t>Daratumumab</w:t>
      </w:r>
      <w:proofErr w:type="spellEnd"/>
      <w:r w:rsidRPr="005C133F">
        <w:rPr>
          <w:rFonts w:eastAsia="Calibri"/>
          <w:bCs/>
          <w:lang w:val="es-DO"/>
        </w:rPr>
        <w:t xml:space="preserve"> en combinación para pacientes adultos con diagnóstico de mieloma múltiple en recaída y/o refractario, con al menos una línea de tratamiento previo.</w:t>
      </w:r>
    </w:p>
    <w:p w14:paraId="64591728"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Trastuzumab</w:t>
      </w:r>
      <w:proofErr w:type="spellEnd"/>
      <w:r w:rsidRPr="005C133F">
        <w:rPr>
          <w:rFonts w:eastAsia="Calibri"/>
          <w:bCs/>
          <w:lang w:val="es-DO"/>
        </w:rPr>
        <w:t xml:space="preserve"> </w:t>
      </w:r>
      <w:proofErr w:type="spellStart"/>
      <w:r w:rsidRPr="005C133F">
        <w:rPr>
          <w:rFonts w:eastAsia="Calibri"/>
          <w:bCs/>
          <w:lang w:val="es-DO"/>
        </w:rPr>
        <w:t>emtansina</w:t>
      </w:r>
      <w:proofErr w:type="spellEnd"/>
      <w:r w:rsidRPr="005C133F">
        <w:rPr>
          <w:rFonts w:eastAsia="Calibri"/>
          <w:bCs/>
          <w:lang w:val="es-DO"/>
        </w:rPr>
        <w:t xml:space="preserve"> en pacientes con cáncer de mama HER2 positivo estadio temprano y enfermedad residual invasiva, que recibieron previamente tratamiento neoadyuvante.</w:t>
      </w:r>
    </w:p>
    <w:p w14:paraId="48DA50E4" w14:textId="77777777" w:rsidR="00B25613" w:rsidRPr="005C133F" w:rsidRDefault="00B25613">
      <w:pPr>
        <w:numPr>
          <w:ilvl w:val="0"/>
          <w:numId w:val="153"/>
        </w:numPr>
        <w:spacing w:after="0" w:line="360" w:lineRule="auto"/>
        <w:jc w:val="both"/>
        <w:rPr>
          <w:rFonts w:eastAsia="Calibri"/>
          <w:bCs/>
          <w:lang w:val="es-DO"/>
        </w:rPr>
      </w:pPr>
      <w:proofErr w:type="spellStart"/>
      <w:r w:rsidRPr="005C133F">
        <w:rPr>
          <w:rFonts w:eastAsia="Calibri"/>
          <w:bCs/>
          <w:lang w:val="es-DO"/>
        </w:rPr>
        <w:t>Blinatumomab</w:t>
      </w:r>
      <w:proofErr w:type="spellEnd"/>
      <w:r w:rsidRPr="005C133F">
        <w:rPr>
          <w:rFonts w:eastAsia="Calibri"/>
          <w:bCs/>
          <w:lang w:val="es-DO"/>
        </w:rPr>
        <w:t xml:space="preserve"> en fase de consolidación para pacientes pediátricos y adultos jóvenes con Leucemia Linfoblástica Aguda de precursores B, en primera recaída, con cromosoma Filadelfia negativo y enfermedad mínima residual positiva.</w:t>
      </w:r>
    </w:p>
    <w:p w14:paraId="59C89780" w14:textId="77777777" w:rsidR="00A435E4" w:rsidRDefault="00B25613" w:rsidP="00A435E4">
      <w:pPr>
        <w:numPr>
          <w:ilvl w:val="0"/>
          <w:numId w:val="153"/>
        </w:numPr>
        <w:spacing w:after="0" w:line="360" w:lineRule="auto"/>
        <w:jc w:val="both"/>
        <w:rPr>
          <w:rFonts w:eastAsia="Calibri"/>
          <w:bCs/>
          <w:lang w:val="es-DO"/>
        </w:rPr>
      </w:pPr>
      <w:proofErr w:type="spellStart"/>
      <w:r w:rsidRPr="005C133F">
        <w:rPr>
          <w:rFonts w:eastAsia="Calibri"/>
          <w:bCs/>
          <w:lang w:val="es-DO"/>
        </w:rPr>
        <w:t>Faricimab</w:t>
      </w:r>
      <w:proofErr w:type="spellEnd"/>
      <w:r w:rsidRPr="005C133F">
        <w:rPr>
          <w:rFonts w:eastAsia="Calibri"/>
          <w:bCs/>
          <w:lang w:val="es-DO"/>
        </w:rPr>
        <w:t xml:space="preserve"> y </w:t>
      </w:r>
      <w:proofErr w:type="spellStart"/>
      <w:r w:rsidRPr="005C133F">
        <w:rPr>
          <w:rFonts w:eastAsia="Calibri"/>
          <w:bCs/>
          <w:lang w:val="es-DO"/>
        </w:rPr>
        <w:t>ranibizumab</w:t>
      </w:r>
      <w:proofErr w:type="spellEnd"/>
      <w:r w:rsidRPr="005C133F">
        <w:rPr>
          <w:rFonts w:eastAsia="Calibri"/>
          <w:bCs/>
          <w:lang w:val="es-DO"/>
        </w:rPr>
        <w:t xml:space="preserve"> en pacientes adultos con edema macular diabético.</w:t>
      </w:r>
    </w:p>
    <w:p w14:paraId="797524E3" w14:textId="77777777" w:rsidR="00A435E4" w:rsidRDefault="00A435E4" w:rsidP="00A435E4">
      <w:pPr>
        <w:numPr>
          <w:ilvl w:val="0"/>
          <w:numId w:val="153"/>
        </w:numPr>
        <w:spacing w:after="0" w:line="360" w:lineRule="auto"/>
        <w:jc w:val="both"/>
        <w:rPr>
          <w:rFonts w:eastAsia="Calibri"/>
          <w:bCs/>
          <w:lang w:val="es-DO"/>
        </w:rPr>
      </w:pPr>
      <w:proofErr w:type="spellStart"/>
      <w:r w:rsidRPr="00A435E4">
        <w:rPr>
          <w:rFonts w:eastAsia="Calibri"/>
          <w:bCs/>
          <w:lang w:val="es-DO"/>
        </w:rPr>
        <w:t>Osimertinib</w:t>
      </w:r>
      <w:proofErr w:type="spellEnd"/>
      <w:r w:rsidRPr="00A435E4">
        <w:rPr>
          <w:rFonts w:eastAsia="Calibri"/>
          <w:bCs/>
          <w:lang w:val="es-DO"/>
        </w:rPr>
        <w:t xml:space="preserve"> como tratamiento adyuvante en pacientes adultos con cáncer de pulmón de células no pequeñas (CPCNP) en estadios iniciales, con mutación positiva del receptor del factor de crecimiento epidérmico (EGFR), tras la resección completa del tumor con o sin quimioterapia adyuvante previa.  </w:t>
      </w:r>
    </w:p>
    <w:p w14:paraId="7B9F5560" w14:textId="77777777" w:rsidR="00A435E4" w:rsidRDefault="00A435E4" w:rsidP="00A435E4">
      <w:pPr>
        <w:numPr>
          <w:ilvl w:val="0"/>
          <w:numId w:val="153"/>
        </w:numPr>
        <w:spacing w:after="0" w:line="360" w:lineRule="auto"/>
        <w:jc w:val="both"/>
        <w:rPr>
          <w:rFonts w:eastAsia="Calibri"/>
          <w:bCs/>
          <w:lang w:val="es-DO"/>
        </w:rPr>
      </w:pPr>
      <w:r w:rsidRPr="00A435E4">
        <w:rPr>
          <w:rFonts w:eastAsia="Calibri"/>
          <w:bCs/>
          <w:lang w:val="es-DO"/>
        </w:rPr>
        <w:t xml:space="preserve"> </w:t>
      </w:r>
      <w:proofErr w:type="spellStart"/>
      <w:r w:rsidRPr="00A435E4">
        <w:rPr>
          <w:rFonts w:eastAsia="Calibri"/>
          <w:bCs/>
          <w:lang w:val="es-DO"/>
        </w:rPr>
        <w:t>Osimertinib</w:t>
      </w:r>
      <w:proofErr w:type="spellEnd"/>
      <w:r w:rsidRPr="00A435E4">
        <w:rPr>
          <w:rFonts w:eastAsia="Calibri"/>
          <w:bCs/>
          <w:lang w:val="es-DO"/>
        </w:rPr>
        <w:t xml:space="preserve"> como tratamiento adyuvante en pacientes adultos con cáncer de pulmón de células no pequeñas (CPCNP) en estadios iniciales, con mutación positiva del receptor del factor de crecimiento epidérmico (EGFR), tras la resección completa del tumor con o sin quimioterapia adyuvante previa. </w:t>
      </w:r>
    </w:p>
    <w:p w14:paraId="7298D3D5" w14:textId="77777777" w:rsidR="00A435E4" w:rsidRDefault="00A435E4" w:rsidP="00A435E4">
      <w:pPr>
        <w:numPr>
          <w:ilvl w:val="0"/>
          <w:numId w:val="153"/>
        </w:numPr>
        <w:spacing w:after="0" w:line="360" w:lineRule="auto"/>
        <w:jc w:val="both"/>
        <w:rPr>
          <w:rFonts w:eastAsia="Calibri"/>
          <w:bCs/>
          <w:lang w:val="es-DO"/>
        </w:rPr>
      </w:pPr>
      <w:r w:rsidRPr="00A435E4">
        <w:rPr>
          <w:rFonts w:eastAsia="Calibri"/>
          <w:bCs/>
          <w:lang w:val="es-DO"/>
        </w:rPr>
        <w:t xml:space="preserve">Atezolizumab y </w:t>
      </w:r>
      <w:proofErr w:type="spellStart"/>
      <w:r w:rsidRPr="00A435E4">
        <w:rPr>
          <w:rFonts w:eastAsia="Calibri"/>
          <w:bCs/>
          <w:lang w:val="es-DO"/>
        </w:rPr>
        <w:t>pembrolizumab</w:t>
      </w:r>
      <w:proofErr w:type="spellEnd"/>
      <w:r w:rsidRPr="00A435E4">
        <w:rPr>
          <w:rFonts w:eastAsia="Calibri"/>
          <w:bCs/>
          <w:lang w:val="es-DO"/>
        </w:rPr>
        <w:t xml:space="preserve"> como tratamiento adyuvante en pacientes adultos con cáncer de pulmón células no pequeñas (CPCNP) completamente resecado en </w:t>
      </w:r>
      <w:r w:rsidRPr="00A435E4">
        <w:rPr>
          <w:rFonts w:eastAsia="Calibri"/>
          <w:bCs/>
          <w:lang w:val="es-DO"/>
        </w:rPr>
        <w:lastRenderedPageBreak/>
        <w:t xml:space="preserve">estadios IB (tumores ≥4 cm), II o IIIA, tras haber recibido quimioterapia adyuvante basada en platino. </w:t>
      </w:r>
    </w:p>
    <w:p w14:paraId="44317FBB" w14:textId="575853EF" w:rsidR="00A435E4" w:rsidRPr="00A435E4" w:rsidRDefault="00A435E4" w:rsidP="00A435E4">
      <w:pPr>
        <w:numPr>
          <w:ilvl w:val="0"/>
          <w:numId w:val="153"/>
        </w:numPr>
        <w:spacing w:after="0" w:line="360" w:lineRule="auto"/>
        <w:jc w:val="both"/>
        <w:rPr>
          <w:rFonts w:eastAsia="Calibri"/>
          <w:bCs/>
          <w:lang w:val="es-DO"/>
        </w:rPr>
      </w:pPr>
      <w:proofErr w:type="spellStart"/>
      <w:r w:rsidRPr="00A435E4">
        <w:rPr>
          <w:rFonts w:eastAsia="Calibri"/>
          <w:bCs/>
          <w:lang w:val="es-DO"/>
        </w:rPr>
        <w:t>Trastuzumab</w:t>
      </w:r>
      <w:proofErr w:type="spellEnd"/>
      <w:r w:rsidRPr="00A435E4">
        <w:rPr>
          <w:rFonts w:eastAsia="Calibri"/>
          <w:bCs/>
          <w:lang w:val="es-DO"/>
        </w:rPr>
        <w:t xml:space="preserve"> </w:t>
      </w:r>
      <w:proofErr w:type="spellStart"/>
      <w:r w:rsidRPr="00A435E4">
        <w:rPr>
          <w:rFonts w:eastAsia="Calibri"/>
          <w:bCs/>
          <w:lang w:val="es-DO"/>
        </w:rPr>
        <w:t>deruxtecan</w:t>
      </w:r>
      <w:proofErr w:type="spellEnd"/>
      <w:r w:rsidRPr="00A435E4">
        <w:rPr>
          <w:rFonts w:eastAsia="Calibri"/>
          <w:bCs/>
          <w:lang w:val="es-DO"/>
        </w:rPr>
        <w:t xml:space="preserve"> pacientes adultos con cáncer de mama HER2-positivo irresecable o metastásico, tras tratamiento basado en </w:t>
      </w:r>
      <w:proofErr w:type="spellStart"/>
      <w:r w:rsidRPr="00A435E4">
        <w:rPr>
          <w:rFonts w:eastAsia="Calibri"/>
          <w:bCs/>
          <w:lang w:val="es-DO"/>
        </w:rPr>
        <w:t>trastuzumab</w:t>
      </w:r>
      <w:proofErr w:type="spellEnd"/>
      <w:r w:rsidRPr="00A435E4">
        <w:rPr>
          <w:rFonts w:eastAsia="Calibri"/>
          <w:bCs/>
          <w:lang w:val="es-DO"/>
        </w:rPr>
        <w:t xml:space="preserve"> y/o </w:t>
      </w:r>
      <w:proofErr w:type="spellStart"/>
      <w:r w:rsidRPr="00A435E4">
        <w:rPr>
          <w:rFonts w:eastAsia="Calibri"/>
          <w:bCs/>
          <w:lang w:val="es-DO"/>
        </w:rPr>
        <w:t>taxano</w:t>
      </w:r>
      <w:proofErr w:type="spellEnd"/>
    </w:p>
    <w:p w14:paraId="1DA2719D" w14:textId="44A8FA43" w:rsidR="00D22045" w:rsidRPr="005C133F" w:rsidRDefault="00D22045">
      <w:pPr>
        <w:pStyle w:val="Prrafodelista"/>
        <w:numPr>
          <w:ilvl w:val="0"/>
          <w:numId w:val="152"/>
        </w:numPr>
        <w:spacing w:after="0" w:line="360" w:lineRule="auto"/>
        <w:jc w:val="both"/>
        <w:rPr>
          <w:rFonts w:eastAsia="Calibri"/>
          <w:bCs/>
          <w:lang w:val="es-DO"/>
        </w:rPr>
      </w:pPr>
      <w:r w:rsidRPr="005C133F">
        <w:rPr>
          <w:rFonts w:eastAsia="Calibri"/>
          <w:b/>
          <w:lang w:val="es-ES"/>
        </w:rPr>
        <w:t>Análisis de Síntesis de Evidencia y documentos de respuesta rápida a solicitudes de EVTESA</w:t>
      </w:r>
    </w:p>
    <w:p w14:paraId="0E894117" w14:textId="77777777" w:rsidR="00D22045" w:rsidRPr="005C133F" w:rsidRDefault="00D22045" w:rsidP="005C133F">
      <w:pPr>
        <w:spacing w:after="0" w:line="360" w:lineRule="auto"/>
        <w:jc w:val="both"/>
        <w:rPr>
          <w:rFonts w:eastAsia="Calibri"/>
          <w:bCs/>
          <w:lang w:val="es-DO"/>
        </w:rPr>
      </w:pPr>
    </w:p>
    <w:p w14:paraId="486D1736" w14:textId="24AF5881" w:rsidR="005B591D" w:rsidRPr="005C133F" w:rsidRDefault="0070781D" w:rsidP="005C133F">
      <w:pPr>
        <w:spacing w:after="0" w:line="360" w:lineRule="auto"/>
        <w:jc w:val="both"/>
        <w:rPr>
          <w:rFonts w:eastAsia="Calibri"/>
          <w:lang w:val="es-DO"/>
        </w:rPr>
      </w:pPr>
      <w:r w:rsidRPr="005C133F">
        <w:rPr>
          <w:rFonts w:eastAsia="Calibri"/>
          <w:lang w:val="es-DO"/>
        </w:rPr>
        <w:t>A</w:t>
      </w:r>
      <w:r w:rsidR="007438C7" w:rsidRPr="005C133F">
        <w:rPr>
          <w:rFonts w:eastAsia="Calibri"/>
          <w:lang w:val="es-DO"/>
        </w:rPr>
        <w:t>l mes de</w:t>
      </w:r>
      <w:r w:rsidRPr="005C133F">
        <w:rPr>
          <w:rFonts w:eastAsia="Calibri"/>
          <w:lang w:val="es-DO"/>
        </w:rPr>
        <w:t xml:space="preserve"> </w:t>
      </w:r>
      <w:r w:rsidR="005B591D" w:rsidRPr="005C133F">
        <w:rPr>
          <w:rFonts w:eastAsia="Calibri"/>
          <w:lang w:val="es-DO"/>
        </w:rPr>
        <w:t xml:space="preserve">noviembre de 2025 se elaboraron </w:t>
      </w:r>
      <w:r w:rsidR="007438C7" w:rsidRPr="005C133F">
        <w:rPr>
          <w:rFonts w:eastAsia="Calibri"/>
          <w:lang w:val="es-DO"/>
        </w:rPr>
        <w:t>treinta y nueve (</w:t>
      </w:r>
      <w:r w:rsidR="005B591D" w:rsidRPr="005C133F">
        <w:rPr>
          <w:rFonts w:eastAsia="Calibri"/>
          <w:lang w:val="es-DO"/>
        </w:rPr>
        <w:t>39</w:t>
      </w:r>
      <w:r w:rsidR="007438C7" w:rsidRPr="005C133F">
        <w:rPr>
          <w:rFonts w:eastAsia="Calibri"/>
          <w:lang w:val="es-DO"/>
        </w:rPr>
        <w:t>)</w:t>
      </w:r>
      <w:r w:rsidR="005B591D" w:rsidRPr="005C133F">
        <w:rPr>
          <w:rFonts w:eastAsia="Calibri"/>
          <w:lang w:val="es-DO"/>
        </w:rPr>
        <w:t xml:space="preserve"> informes de síntesis de evidencia, destinados a responder </w:t>
      </w:r>
      <w:r w:rsidR="002B08B3" w:rsidRPr="005C133F">
        <w:rPr>
          <w:rFonts w:eastAsia="Calibri"/>
          <w:lang w:val="es-DO"/>
        </w:rPr>
        <w:t>treinta y una (</w:t>
      </w:r>
      <w:r w:rsidR="005B591D" w:rsidRPr="005C133F">
        <w:rPr>
          <w:rFonts w:eastAsia="Calibri"/>
          <w:lang w:val="es-DO"/>
        </w:rPr>
        <w:t>31</w:t>
      </w:r>
      <w:r w:rsidR="002B08B3" w:rsidRPr="005C133F">
        <w:rPr>
          <w:rFonts w:eastAsia="Calibri"/>
          <w:lang w:val="es-DO"/>
        </w:rPr>
        <w:t>)</w:t>
      </w:r>
      <w:r w:rsidR="005B591D" w:rsidRPr="005C133F">
        <w:rPr>
          <w:rFonts w:eastAsia="Calibri"/>
          <w:lang w:val="es-DO"/>
        </w:rPr>
        <w:t xml:space="preserve"> solicitudes de evaluación internas y </w:t>
      </w:r>
      <w:r w:rsidR="00E47DBB" w:rsidRPr="005C133F">
        <w:rPr>
          <w:rFonts w:eastAsia="Calibri"/>
          <w:lang w:val="es-DO"/>
        </w:rPr>
        <w:t>dieciséis (</w:t>
      </w:r>
      <w:r w:rsidR="005B591D" w:rsidRPr="005C133F">
        <w:rPr>
          <w:rFonts w:eastAsia="Calibri"/>
          <w:lang w:val="es-DO"/>
        </w:rPr>
        <w:t>16</w:t>
      </w:r>
      <w:r w:rsidR="00E47DBB" w:rsidRPr="005C133F">
        <w:rPr>
          <w:rFonts w:eastAsia="Calibri"/>
          <w:lang w:val="es-DO"/>
        </w:rPr>
        <w:t>)</w:t>
      </w:r>
      <w:r w:rsidR="005B591D" w:rsidRPr="005C133F">
        <w:rPr>
          <w:rFonts w:eastAsia="Calibri"/>
          <w:lang w:val="es-DO"/>
        </w:rPr>
        <w:t xml:space="preserve"> solicitudes externas. De</w:t>
      </w:r>
      <w:r w:rsidR="002C6982" w:rsidRPr="005C133F">
        <w:rPr>
          <w:rFonts w:eastAsia="Calibri"/>
          <w:lang w:val="es-DO"/>
        </w:rPr>
        <w:t>l</w:t>
      </w:r>
      <w:r w:rsidR="00F86047" w:rsidRPr="005C133F">
        <w:rPr>
          <w:rFonts w:eastAsia="Calibri"/>
          <w:lang w:val="es-DO"/>
        </w:rPr>
        <w:t xml:space="preserve"> </w:t>
      </w:r>
      <w:r w:rsidR="002C6982" w:rsidRPr="005C133F">
        <w:rPr>
          <w:rFonts w:eastAsia="Calibri"/>
          <w:lang w:val="es-DO"/>
        </w:rPr>
        <w:t xml:space="preserve">total de </w:t>
      </w:r>
      <w:r w:rsidR="005B591D" w:rsidRPr="005C133F">
        <w:rPr>
          <w:rFonts w:eastAsia="Calibri"/>
          <w:lang w:val="es-DO"/>
        </w:rPr>
        <w:t>informes</w:t>
      </w:r>
      <w:r w:rsidR="002C6982" w:rsidRPr="005C133F">
        <w:rPr>
          <w:rFonts w:eastAsia="Calibri"/>
          <w:lang w:val="es-DO"/>
        </w:rPr>
        <w:t xml:space="preserve"> elaborados</w:t>
      </w:r>
      <w:r w:rsidR="005B591D" w:rsidRPr="005C133F">
        <w:rPr>
          <w:rFonts w:eastAsia="Calibri"/>
          <w:lang w:val="es-DO"/>
        </w:rPr>
        <w:t>,</w:t>
      </w:r>
      <w:r w:rsidR="002C6982" w:rsidRPr="005C133F">
        <w:rPr>
          <w:rFonts w:eastAsia="Calibri"/>
          <w:lang w:val="es-DO"/>
        </w:rPr>
        <w:t xml:space="preserve"> diez</w:t>
      </w:r>
      <w:r w:rsidR="005B591D" w:rsidRPr="005C133F">
        <w:rPr>
          <w:rFonts w:eastAsia="Calibri"/>
          <w:lang w:val="es-DO"/>
        </w:rPr>
        <w:t xml:space="preserve"> </w:t>
      </w:r>
      <w:r w:rsidR="002C6982" w:rsidRPr="005C133F">
        <w:rPr>
          <w:rFonts w:eastAsia="Calibri"/>
          <w:lang w:val="es-DO"/>
        </w:rPr>
        <w:t>(</w:t>
      </w:r>
      <w:r w:rsidR="005B591D" w:rsidRPr="005C133F">
        <w:rPr>
          <w:rFonts w:eastAsia="Calibri"/>
          <w:lang w:val="es-DO"/>
        </w:rPr>
        <w:t>10</w:t>
      </w:r>
      <w:r w:rsidR="002C6982" w:rsidRPr="005C133F">
        <w:rPr>
          <w:rFonts w:eastAsia="Calibri"/>
          <w:lang w:val="es-DO"/>
        </w:rPr>
        <w:t>)</w:t>
      </w:r>
      <w:r w:rsidR="005B591D" w:rsidRPr="005C133F">
        <w:rPr>
          <w:rFonts w:eastAsia="Calibri"/>
          <w:lang w:val="es-DO"/>
        </w:rPr>
        <w:t xml:space="preserve"> correspondieron a patologías oncológicas,</w:t>
      </w:r>
      <w:r w:rsidR="002C6982" w:rsidRPr="005C133F">
        <w:rPr>
          <w:rFonts w:eastAsia="Calibri"/>
          <w:lang w:val="es-DO"/>
        </w:rPr>
        <w:t xml:space="preserve"> cuatro</w:t>
      </w:r>
      <w:r w:rsidR="005B591D" w:rsidRPr="005C133F">
        <w:rPr>
          <w:rFonts w:eastAsia="Calibri"/>
          <w:lang w:val="es-DO"/>
        </w:rPr>
        <w:t xml:space="preserve"> </w:t>
      </w:r>
      <w:r w:rsidR="002C6982" w:rsidRPr="005C133F">
        <w:rPr>
          <w:rFonts w:eastAsia="Calibri"/>
          <w:lang w:val="es-DO"/>
        </w:rPr>
        <w:t>(</w:t>
      </w:r>
      <w:r w:rsidR="005B591D" w:rsidRPr="005C133F">
        <w:rPr>
          <w:rFonts w:eastAsia="Calibri"/>
          <w:lang w:val="es-DO"/>
        </w:rPr>
        <w:t>4</w:t>
      </w:r>
      <w:r w:rsidR="002C6982" w:rsidRPr="005C133F">
        <w:rPr>
          <w:rFonts w:eastAsia="Calibri"/>
          <w:lang w:val="es-DO"/>
        </w:rPr>
        <w:t>)</w:t>
      </w:r>
      <w:r w:rsidR="005B591D" w:rsidRPr="005C133F">
        <w:rPr>
          <w:rFonts w:eastAsia="Calibri"/>
          <w:lang w:val="es-DO"/>
        </w:rPr>
        <w:t xml:space="preserve"> de vacunas, </w:t>
      </w:r>
      <w:r w:rsidR="002C6982" w:rsidRPr="005C133F">
        <w:rPr>
          <w:rFonts w:eastAsia="Calibri"/>
          <w:lang w:val="es-DO"/>
        </w:rPr>
        <w:t>tres (</w:t>
      </w:r>
      <w:r w:rsidR="005B591D" w:rsidRPr="005C133F">
        <w:rPr>
          <w:rFonts w:eastAsia="Calibri"/>
          <w:lang w:val="es-DO"/>
        </w:rPr>
        <w:t>3</w:t>
      </w:r>
      <w:r w:rsidR="002C6982" w:rsidRPr="005C133F">
        <w:rPr>
          <w:rFonts w:eastAsia="Calibri"/>
          <w:lang w:val="es-DO"/>
        </w:rPr>
        <w:t>)</w:t>
      </w:r>
      <w:r w:rsidR="005B591D" w:rsidRPr="005C133F">
        <w:rPr>
          <w:rFonts w:eastAsia="Calibri"/>
          <w:lang w:val="es-DO"/>
        </w:rPr>
        <w:t xml:space="preserve"> a enfermedades autoinmunes, </w:t>
      </w:r>
      <w:r w:rsidR="002C6982" w:rsidRPr="005C133F">
        <w:rPr>
          <w:rFonts w:eastAsia="Calibri"/>
          <w:lang w:val="es-DO"/>
        </w:rPr>
        <w:t>tres</w:t>
      </w:r>
      <w:r w:rsidR="00FE0178" w:rsidRPr="005C133F">
        <w:rPr>
          <w:rFonts w:eastAsia="Calibri"/>
          <w:lang w:val="es-DO"/>
        </w:rPr>
        <w:t xml:space="preserve"> </w:t>
      </w:r>
      <w:r w:rsidR="002C6982" w:rsidRPr="005C133F">
        <w:rPr>
          <w:rFonts w:eastAsia="Calibri"/>
          <w:lang w:val="es-DO"/>
        </w:rPr>
        <w:t>(</w:t>
      </w:r>
      <w:r w:rsidR="005B591D" w:rsidRPr="005C133F">
        <w:rPr>
          <w:rFonts w:eastAsia="Calibri"/>
          <w:lang w:val="es-DO"/>
        </w:rPr>
        <w:t>3</w:t>
      </w:r>
      <w:r w:rsidR="00FE0178" w:rsidRPr="005C133F">
        <w:rPr>
          <w:rFonts w:eastAsia="Calibri"/>
          <w:lang w:val="es-DO"/>
        </w:rPr>
        <w:t>)</w:t>
      </w:r>
      <w:r w:rsidR="005B591D" w:rsidRPr="005C133F">
        <w:rPr>
          <w:rFonts w:eastAsia="Calibri"/>
          <w:lang w:val="es-DO"/>
        </w:rPr>
        <w:t xml:space="preserve"> a enfermedades genéticas, </w:t>
      </w:r>
      <w:r w:rsidR="00FE0178" w:rsidRPr="005C133F">
        <w:rPr>
          <w:rFonts w:eastAsia="Calibri"/>
          <w:lang w:val="es-DO"/>
        </w:rPr>
        <w:t>tres (</w:t>
      </w:r>
      <w:r w:rsidR="005B591D" w:rsidRPr="005C133F">
        <w:rPr>
          <w:rFonts w:eastAsia="Calibri"/>
          <w:lang w:val="es-DO"/>
        </w:rPr>
        <w:t>3</w:t>
      </w:r>
      <w:r w:rsidR="00FE0178" w:rsidRPr="005C133F">
        <w:rPr>
          <w:rFonts w:eastAsia="Calibri"/>
          <w:lang w:val="es-DO"/>
        </w:rPr>
        <w:t>)</w:t>
      </w:r>
      <w:r w:rsidR="005B591D" w:rsidRPr="005C133F">
        <w:rPr>
          <w:rFonts w:eastAsia="Calibri"/>
          <w:lang w:val="es-DO"/>
        </w:rPr>
        <w:t xml:space="preserve"> a trastornos endocrino-metabólicos y </w:t>
      </w:r>
      <w:r w:rsidR="00FE0178" w:rsidRPr="005C133F">
        <w:rPr>
          <w:rFonts w:eastAsia="Calibri"/>
          <w:lang w:val="es-DO"/>
        </w:rPr>
        <w:t>dieciséis (</w:t>
      </w:r>
      <w:r w:rsidR="005B591D" w:rsidRPr="005C133F">
        <w:rPr>
          <w:rFonts w:eastAsia="Calibri"/>
          <w:lang w:val="es-DO"/>
        </w:rPr>
        <w:t>16</w:t>
      </w:r>
      <w:r w:rsidR="00FE0178" w:rsidRPr="005C133F">
        <w:rPr>
          <w:rFonts w:eastAsia="Calibri"/>
          <w:lang w:val="es-DO"/>
        </w:rPr>
        <w:t>)</w:t>
      </w:r>
      <w:r w:rsidR="005B591D" w:rsidRPr="005C133F">
        <w:rPr>
          <w:rFonts w:eastAsia="Calibri"/>
          <w:lang w:val="es-DO"/>
        </w:rPr>
        <w:t xml:space="preserve"> a otras enfermedades.</w:t>
      </w:r>
    </w:p>
    <w:p w14:paraId="1C205FF1" w14:textId="0C9E9890" w:rsidR="005B591D" w:rsidRPr="005C133F" w:rsidRDefault="00E101C3" w:rsidP="00165F14">
      <w:pPr>
        <w:spacing w:after="0" w:line="360" w:lineRule="auto"/>
        <w:jc w:val="both"/>
        <w:rPr>
          <w:rFonts w:eastAsia="Calibri"/>
          <w:lang w:val="es-DO"/>
        </w:rPr>
      </w:pPr>
      <w:r w:rsidRPr="005C133F">
        <w:rPr>
          <w:rFonts w:eastAsia="Calibri"/>
          <w:lang w:val="es-DO"/>
        </w:rPr>
        <w:t xml:space="preserve">A continuación, se detallan las </w:t>
      </w:r>
      <w:r w:rsidR="005B591D" w:rsidRPr="005C133F">
        <w:rPr>
          <w:rFonts w:eastAsia="Calibri"/>
          <w:lang w:val="es-DO"/>
        </w:rPr>
        <w:t xml:space="preserve">Ácido </w:t>
      </w:r>
      <w:proofErr w:type="spellStart"/>
      <w:r w:rsidR="005B591D" w:rsidRPr="005C133F">
        <w:rPr>
          <w:rFonts w:eastAsia="Calibri"/>
          <w:lang w:val="es-DO"/>
        </w:rPr>
        <w:t>ibandrónico</w:t>
      </w:r>
      <w:proofErr w:type="spellEnd"/>
      <w:r w:rsidR="005B591D" w:rsidRPr="005C133F">
        <w:rPr>
          <w:rFonts w:eastAsia="Calibri"/>
          <w:lang w:val="es-DO"/>
        </w:rPr>
        <w:t xml:space="preserve"> para la osteoporosis en mujeres postmenopáusica con riesgo elevado de fractura</w:t>
      </w:r>
    </w:p>
    <w:p w14:paraId="210D548E"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Agalsidasa</w:t>
      </w:r>
      <w:proofErr w:type="spellEnd"/>
      <w:r w:rsidRPr="005C133F">
        <w:rPr>
          <w:rFonts w:eastAsia="Calibri"/>
          <w:lang w:val="es-DO"/>
        </w:rPr>
        <w:t xml:space="preserve"> beta en niños y adulto con enfermedad de </w:t>
      </w:r>
      <w:proofErr w:type="spellStart"/>
      <w:r w:rsidRPr="005C133F">
        <w:rPr>
          <w:rFonts w:eastAsia="Calibri"/>
          <w:lang w:val="es-DO"/>
        </w:rPr>
        <w:t>fabry</w:t>
      </w:r>
      <w:proofErr w:type="spellEnd"/>
    </w:p>
    <w:p w14:paraId="17718150"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Pegaspargasa</w:t>
      </w:r>
      <w:proofErr w:type="spellEnd"/>
      <w:r w:rsidRPr="005C133F">
        <w:rPr>
          <w:rFonts w:eastAsia="Calibri"/>
          <w:lang w:val="es-DO"/>
        </w:rPr>
        <w:t xml:space="preserve">, </w:t>
      </w:r>
      <w:proofErr w:type="spellStart"/>
      <w:r w:rsidRPr="005C133F">
        <w:rPr>
          <w:rFonts w:eastAsia="Calibri"/>
          <w:lang w:val="es-DO"/>
        </w:rPr>
        <w:t>Erwinia</w:t>
      </w:r>
      <w:proofErr w:type="spellEnd"/>
      <w:r w:rsidRPr="005C133F">
        <w:rPr>
          <w:rFonts w:eastAsia="Calibri"/>
          <w:lang w:val="es-DO"/>
        </w:rPr>
        <w:t xml:space="preserve"> </w:t>
      </w:r>
      <w:proofErr w:type="spellStart"/>
      <w:r w:rsidRPr="005C133F">
        <w:rPr>
          <w:rFonts w:eastAsia="Calibri"/>
          <w:lang w:val="es-DO"/>
        </w:rPr>
        <w:t>Asparaginasa</w:t>
      </w:r>
      <w:proofErr w:type="spellEnd"/>
      <w:r w:rsidRPr="005C133F">
        <w:rPr>
          <w:rFonts w:eastAsia="Calibri"/>
          <w:lang w:val="es-DO"/>
        </w:rPr>
        <w:t xml:space="preserve"> y </w:t>
      </w:r>
      <w:proofErr w:type="spellStart"/>
      <w:r w:rsidRPr="005C133F">
        <w:rPr>
          <w:rFonts w:eastAsia="Calibri"/>
          <w:lang w:val="es-DO"/>
        </w:rPr>
        <w:t>Asparaginasa</w:t>
      </w:r>
      <w:proofErr w:type="spellEnd"/>
      <w:r w:rsidRPr="005C133F">
        <w:rPr>
          <w:rFonts w:eastAsia="Calibri"/>
          <w:lang w:val="es-DO"/>
        </w:rPr>
        <w:t xml:space="preserve"> </w:t>
      </w:r>
      <w:proofErr w:type="spellStart"/>
      <w:r w:rsidRPr="005C133F">
        <w:rPr>
          <w:rFonts w:eastAsia="Calibri"/>
          <w:lang w:val="es-DO"/>
        </w:rPr>
        <w:t>Erwinia</w:t>
      </w:r>
      <w:proofErr w:type="spellEnd"/>
      <w:r w:rsidRPr="005C133F">
        <w:rPr>
          <w:rFonts w:eastAsia="Calibri"/>
          <w:lang w:val="es-DO"/>
        </w:rPr>
        <w:t xml:space="preserve"> recombinante en pacientes pediátrico con Leucemia Linfoblástica Aguda</w:t>
      </w:r>
    </w:p>
    <w:p w14:paraId="787A969A"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Atezolizumab en el tratamiento de sarcoma de partes blandas irresecable o metastásico en pacientes adultos que no han recibido terapia sistémica previa.</w:t>
      </w:r>
    </w:p>
    <w:p w14:paraId="11F08929"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Adición de azatioprina en el tratamiento con glucocorticoides en pacientes pediátricos y adultos con enfermedad inflamatoria </w:t>
      </w:r>
      <w:r w:rsidRPr="005C133F">
        <w:rPr>
          <w:rFonts w:eastAsia="Calibri"/>
          <w:lang w:val="es-DO"/>
        </w:rPr>
        <w:lastRenderedPageBreak/>
        <w:t>intestinal moderada a severa, resistentes o intolerantes a los esteroides</w:t>
      </w:r>
    </w:p>
    <w:p w14:paraId="53CA9D12"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Azatioprina en el tratamiento de lupus eritematoso sistémico (LES), intolerantes o con respuesta insuficiente a glucocorticoides.</w:t>
      </w:r>
    </w:p>
    <w:p w14:paraId="1EF897B4"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Eficacia y seguridad de la azatioprina en combinación con glucocorticoides para el tratamiento de </w:t>
      </w:r>
      <w:proofErr w:type="spellStart"/>
      <w:r w:rsidRPr="005C133F">
        <w:rPr>
          <w:rFonts w:eastAsia="Calibri"/>
          <w:lang w:val="es-DO"/>
        </w:rPr>
        <w:t>poliarteritis</w:t>
      </w:r>
      <w:proofErr w:type="spellEnd"/>
      <w:r w:rsidRPr="005C133F">
        <w:rPr>
          <w:rFonts w:eastAsia="Calibri"/>
          <w:lang w:val="es-DO"/>
        </w:rPr>
        <w:t xml:space="preserve"> nodosa en adultos</w:t>
      </w:r>
    </w:p>
    <w:p w14:paraId="41E097E7"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Blinatumomab</w:t>
      </w:r>
      <w:proofErr w:type="spellEnd"/>
      <w:r w:rsidRPr="005C133F">
        <w:rPr>
          <w:rFonts w:eastAsia="Calibri"/>
          <w:lang w:val="es-DO"/>
        </w:rPr>
        <w:t xml:space="preserve"> en pacientes pediátrico con Leucemia Linfoblástica Aguda de precursores de células B con cromosoma Filadelfia negativo</w:t>
      </w:r>
    </w:p>
    <w:p w14:paraId="603045A5"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Pembrolizumab</w:t>
      </w:r>
      <w:proofErr w:type="spellEnd"/>
      <w:r w:rsidRPr="005C133F">
        <w:rPr>
          <w:rFonts w:eastAsia="Calibri"/>
          <w:lang w:val="es-DO"/>
        </w:rPr>
        <w:t xml:space="preserve"> como terapia de tercera línea en pacientes de 3-17 años con Linfoma Hodgkin clásico refractario o en recaída a dos o más líneas de quimioterapia</w:t>
      </w:r>
    </w:p>
    <w:p w14:paraId="36ECA4C8"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Calcitriol para el hipoparatiroidismo en adultos</w:t>
      </w:r>
    </w:p>
    <w:p w14:paraId="2F7A5E54"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Cladribin</w:t>
      </w:r>
      <w:proofErr w:type="spellEnd"/>
      <w:r w:rsidRPr="005C133F">
        <w:rPr>
          <w:rFonts w:eastAsia="Calibri"/>
          <w:lang w:val="es-DO"/>
        </w:rPr>
        <w:t xml:space="preserve"> para pacientes adultos con esclerosis múltiple refractaria/remitente.</w:t>
      </w:r>
    </w:p>
    <w:p w14:paraId="048195E9"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Complejo coagulante </w:t>
      </w:r>
      <w:proofErr w:type="spellStart"/>
      <w:r w:rsidRPr="005C133F">
        <w:rPr>
          <w:rFonts w:eastAsia="Calibri"/>
          <w:lang w:val="es-DO"/>
        </w:rPr>
        <w:t>anti-inhibidor</w:t>
      </w:r>
      <w:proofErr w:type="spellEnd"/>
      <w:r w:rsidRPr="005C133F">
        <w:rPr>
          <w:rFonts w:eastAsia="Calibri"/>
          <w:lang w:val="es-DO"/>
        </w:rPr>
        <w:t xml:space="preserve"> en el tratamiento de la hemofilia A y B con presencia de inhibidores en pacientes pediátricos ≥7 años de edad y adultos</w:t>
      </w:r>
    </w:p>
    <w:p w14:paraId="7A60B381"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Dasatinib</w:t>
      </w:r>
      <w:proofErr w:type="spellEnd"/>
      <w:r w:rsidRPr="005C133F">
        <w:rPr>
          <w:rFonts w:eastAsia="Calibri"/>
          <w:lang w:val="es-DO"/>
        </w:rPr>
        <w:t xml:space="preserve"> como terapia de primera línea en pacientes pediátricos de 1 a 18 años con Leucemia Linfoblástica Aguda con cromosoma Filadelfia positivo (</w:t>
      </w:r>
      <w:proofErr w:type="spellStart"/>
      <w:r w:rsidRPr="005C133F">
        <w:rPr>
          <w:rFonts w:eastAsia="Calibri"/>
          <w:lang w:val="es-DO"/>
        </w:rPr>
        <w:t>Ph</w:t>
      </w:r>
      <w:proofErr w:type="spellEnd"/>
      <w:r w:rsidRPr="005C133F">
        <w:rPr>
          <w:rFonts w:eastAsia="Calibri"/>
          <w:lang w:val="es-DO"/>
        </w:rPr>
        <w:t>+)</w:t>
      </w:r>
    </w:p>
    <w:p w14:paraId="6AD34DFA"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Deferasirox</w:t>
      </w:r>
      <w:proofErr w:type="spellEnd"/>
      <w:r w:rsidRPr="005C133F">
        <w:rPr>
          <w:rFonts w:eastAsia="Calibri"/>
          <w:lang w:val="es-DO"/>
        </w:rPr>
        <w:t xml:space="preserve"> en pacientes mayores de 2 años con </w:t>
      </w:r>
      <w:proofErr w:type="spellStart"/>
      <w:r w:rsidRPr="005C133F">
        <w:rPr>
          <w:rFonts w:eastAsia="Calibri"/>
          <w:lang w:val="es-DO"/>
        </w:rPr>
        <w:t>hemosiderosis</w:t>
      </w:r>
      <w:proofErr w:type="spellEnd"/>
      <w:r w:rsidRPr="005C133F">
        <w:rPr>
          <w:rFonts w:eastAsia="Calibri"/>
          <w:lang w:val="es-DO"/>
        </w:rPr>
        <w:t xml:space="preserve"> transfusional</w:t>
      </w:r>
    </w:p>
    <w:p w14:paraId="4763623C"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Dornasa</w:t>
      </w:r>
      <w:proofErr w:type="spellEnd"/>
      <w:r w:rsidRPr="005C133F">
        <w:rPr>
          <w:rFonts w:eastAsia="Calibri"/>
          <w:lang w:val="es-DO"/>
        </w:rPr>
        <w:t xml:space="preserve"> alfa como terapia inhalatoria de primera línea en pacientes pediátricos y adultos diagnosticados con fibrosis quística</w:t>
      </w:r>
    </w:p>
    <w:p w14:paraId="4ABC7FB9"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lastRenderedPageBreak/>
        <w:t>Elbasvir</w:t>
      </w:r>
      <w:proofErr w:type="spellEnd"/>
      <w:r w:rsidRPr="005C133F">
        <w:rPr>
          <w:rFonts w:eastAsia="Calibri"/>
          <w:lang w:val="es-DO"/>
        </w:rPr>
        <w:t>/</w:t>
      </w:r>
      <w:proofErr w:type="spellStart"/>
      <w:r w:rsidRPr="005C133F">
        <w:rPr>
          <w:rFonts w:eastAsia="Calibri"/>
          <w:lang w:val="es-DO"/>
        </w:rPr>
        <w:t>grazoprevir</w:t>
      </w:r>
      <w:proofErr w:type="spellEnd"/>
      <w:r w:rsidRPr="005C133F">
        <w:rPr>
          <w:rFonts w:eastAsia="Calibri"/>
          <w:lang w:val="es-DO"/>
        </w:rPr>
        <w:t xml:space="preserve"> en adultos y niños ≥12 años con peso ≥30 kg con hepatitis C crónica genotipo 1 y 4 que han tenido fallas en el tratamiento previo o que no hayan recibido ningún tipo de tratamiento</w:t>
      </w:r>
    </w:p>
    <w:p w14:paraId="3C7CB393"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Guselkumab en pacientes adultos con artritis psoriásica activa que no han respondido adecuadamente al tratamiento estándar</w:t>
      </w:r>
    </w:p>
    <w:p w14:paraId="1701E04D"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Implante coclear bilateral en adultos y pediátricos mayores de 9 medes de edad con hipoacusia neurosensorial severa y profunda</w:t>
      </w:r>
    </w:p>
    <w:p w14:paraId="3E06B1E7"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Leuprolide</w:t>
      </w:r>
      <w:proofErr w:type="spellEnd"/>
      <w:r w:rsidRPr="005C133F">
        <w:rPr>
          <w:rFonts w:eastAsia="Calibri"/>
          <w:lang w:val="es-DO"/>
        </w:rPr>
        <w:t xml:space="preserve"> en el manejo de pacientes pediátricos ≥ 2 años con pubertad precoz central</w:t>
      </w:r>
    </w:p>
    <w:p w14:paraId="21E3D325"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Mastoplastia</w:t>
      </w:r>
      <w:proofErr w:type="spellEnd"/>
      <w:r w:rsidRPr="005C133F">
        <w:rPr>
          <w:rFonts w:eastAsia="Calibri"/>
          <w:lang w:val="es-DO"/>
        </w:rPr>
        <w:t xml:space="preserve"> reductora en pacientes con hipertrofia mamaria sintomática</w:t>
      </w:r>
    </w:p>
    <w:p w14:paraId="3C27FF52"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Metotrexato en pacientes adultos con artritis psoriásica sin tratamiento farmacológico previo</w:t>
      </w:r>
    </w:p>
    <w:p w14:paraId="657AAE33"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Nilotinib</w:t>
      </w:r>
      <w:proofErr w:type="spellEnd"/>
      <w:r w:rsidRPr="005C133F">
        <w:rPr>
          <w:rFonts w:eastAsia="Calibri"/>
          <w:lang w:val="es-DO"/>
        </w:rPr>
        <w:t xml:space="preserve"> en pacientes pediátricos mayor a 1 año con Leucemia Mieloide Crónica (LMC) cromosoma Filadelfia positivo, de nuevo diagnóstico, en fase crónica.</w:t>
      </w:r>
    </w:p>
    <w:p w14:paraId="2E79CA52"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Oxigenación Hiperbárica mediante el uso de la Cámara hiperbárica en pacientes sometidos a mamoplastia por hipertrofia mamaria</w:t>
      </w:r>
    </w:p>
    <w:p w14:paraId="115385EE"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Palonosetron</w:t>
      </w:r>
      <w:proofErr w:type="spellEnd"/>
      <w:r w:rsidRPr="005C133F">
        <w:rPr>
          <w:rFonts w:eastAsia="Calibri"/>
          <w:lang w:val="es-DO"/>
        </w:rPr>
        <w:t xml:space="preserve"> en la prevención de náuseas y vómitos inducidos por quimioterapia moderada y altamente hematógena, en pacientes pediátricos a partir ≥37 semanas hasta 17 años</w:t>
      </w:r>
    </w:p>
    <w:p w14:paraId="4C45C2A4" w14:textId="7F075F10"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Paricalcitol</w:t>
      </w:r>
      <w:proofErr w:type="spellEnd"/>
      <w:r w:rsidRPr="005C133F">
        <w:rPr>
          <w:rFonts w:eastAsia="Calibri"/>
          <w:lang w:val="es-DO"/>
        </w:rPr>
        <w:t xml:space="preserve"> en pacientes adultos con Hiperparatiroidismo secundario asociado con insuficiencia renal crónica en estadio 5</w:t>
      </w:r>
      <w:r w:rsidR="001930E2" w:rsidRPr="005C133F">
        <w:rPr>
          <w:rFonts w:eastAsia="Calibri"/>
          <w:lang w:val="es-DO"/>
        </w:rPr>
        <w:t>.</w:t>
      </w:r>
    </w:p>
    <w:p w14:paraId="2B48FCD9"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lastRenderedPageBreak/>
        <w:t>Pegfilgrastim</w:t>
      </w:r>
      <w:proofErr w:type="spellEnd"/>
      <w:r w:rsidRPr="005C133F">
        <w:rPr>
          <w:rFonts w:eastAsia="Calibri"/>
          <w:lang w:val="es-DO"/>
        </w:rPr>
        <w:t xml:space="preserve"> como profilaxis de neutropenia febril en pacientes pediátricos de 0 a 18 años con cáncer, sometidos a quimioterapia citotóxica (</w:t>
      </w:r>
      <w:proofErr w:type="spellStart"/>
      <w:r w:rsidRPr="005C133F">
        <w:rPr>
          <w:rFonts w:eastAsia="Calibri"/>
          <w:lang w:val="es-DO"/>
        </w:rPr>
        <w:t>mielosupresiva</w:t>
      </w:r>
      <w:proofErr w:type="spellEnd"/>
      <w:r w:rsidRPr="005C133F">
        <w:rPr>
          <w:rFonts w:eastAsia="Calibri"/>
          <w:lang w:val="es-DO"/>
        </w:rPr>
        <w:t>)</w:t>
      </w:r>
    </w:p>
    <w:p w14:paraId="2A18E08F"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Búsqueda de literatura de preparación de mezclas para medicamentos oncológicos</w:t>
      </w:r>
    </w:p>
    <w:p w14:paraId="176B8B9E"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Dispositivos </w:t>
      </w:r>
      <w:proofErr w:type="spellStart"/>
      <w:r w:rsidRPr="005C133F">
        <w:rPr>
          <w:rFonts w:eastAsia="Calibri"/>
          <w:lang w:val="es-DO"/>
        </w:rPr>
        <w:t>diversores</w:t>
      </w:r>
      <w:proofErr w:type="spellEnd"/>
      <w:r w:rsidRPr="005C133F">
        <w:rPr>
          <w:rFonts w:eastAsia="Calibri"/>
          <w:lang w:val="es-DO"/>
        </w:rPr>
        <w:t xml:space="preserve"> de flujo como tratamiento endovascular en pacientes adultos con diagnóstico de aneurisma intracraneal no roto.</w:t>
      </w:r>
    </w:p>
    <w:p w14:paraId="13D7F2AF"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Vacuna 15 </w:t>
      </w:r>
      <w:proofErr w:type="spellStart"/>
      <w:r w:rsidRPr="005C133F">
        <w:rPr>
          <w:rFonts w:eastAsia="Calibri"/>
          <w:lang w:val="es-DO"/>
        </w:rPr>
        <w:t>valente</w:t>
      </w:r>
      <w:proofErr w:type="spellEnd"/>
      <w:r w:rsidRPr="005C133F">
        <w:rPr>
          <w:rFonts w:eastAsia="Calibri"/>
          <w:lang w:val="es-DO"/>
        </w:rPr>
        <w:t xml:space="preserve"> y 20 </w:t>
      </w:r>
      <w:proofErr w:type="spellStart"/>
      <w:r w:rsidRPr="005C133F">
        <w:rPr>
          <w:rFonts w:eastAsia="Calibri"/>
          <w:lang w:val="es-DO"/>
        </w:rPr>
        <w:t>valente</w:t>
      </w:r>
      <w:proofErr w:type="spellEnd"/>
      <w:r w:rsidRPr="005C133F">
        <w:rPr>
          <w:rFonts w:eastAsia="Calibri"/>
          <w:lang w:val="es-DO"/>
        </w:rPr>
        <w:t xml:space="preserve"> en población adultos y pediátricos frente a las enfermedades neumocócica</w:t>
      </w:r>
    </w:p>
    <w:p w14:paraId="5E85E596"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Vacuna Hexavalente en lactantes de 6 semanas a menores de 1 año (esquema 2, 4 y 6 meses)</w:t>
      </w:r>
    </w:p>
    <w:p w14:paraId="51C5864E" w14:textId="58D6E5F1"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Vacuna </w:t>
      </w:r>
      <w:proofErr w:type="spellStart"/>
      <w:r w:rsidRPr="005C133F">
        <w:rPr>
          <w:rFonts w:eastAsia="Calibri"/>
          <w:lang w:val="es-DO"/>
        </w:rPr>
        <w:t>nonavalente</w:t>
      </w:r>
      <w:proofErr w:type="spellEnd"/>
      <w:r w:rsidRPr="005C133F">
        <w:rPr>
          <w:rFonts w:eastAsia="Calibri"/>
          <w:lang w:val="es-DO"/>
        </w:rPr>
        <w:t xml:space="preserve"> contra el virus del papiloma humano (VPH) para la prevención de cánceres y lesiones premalignas o displásicas asociadas al VPH, en pacientes de ambos sexos entre 9 y 14 años de edad</w:t>
      </w:r>
      <w:r w:rsidR="001930E2" w:rsidRPr="005C133F">
        <w:rPr>
          <w:rFonts w:eastAsia="Calibri"/>
          <w:lang w:val="es-DO"/>
        </w:rPr>
        <w:t>.</w:t>
      </w:r>
    </w:p>
    <w:p w14:paraId="21BE3DDF"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Vacunas trivalentes contra la influenza estacional en adultos mayores de 65 años</w:t>
      </w:r>
    </w:p>
    <w:p w14:paraId="1A585E31"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Fluvoxamina para pacientes adultos con Trastorno Obsesivo-Compulsivo sin tratamiento farmacológico previo</w:t>
      </w:r>
    </w:p>
    <w:p w14:paraId="4B2250E5"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Rivaroxabán para el tratamiento de pacientes adultos con enfermedades tromboembólicas</w:t>
      </w:r>
    </w:p>
    <w:p w14:paraId="7E864BE3"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Triptorelina en pacientes adultos para el tratamiento de cáncer de próstata avanzado</w:t>
      </w:r>
    </w:p>
    <w:p w14:paraId="011A367C"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Triptorelina en el tratamiento de mujeres adultas con endometriosis</w:t>
      </w:r>
    </w:p>
    <w:p w14:paraId="65A8DFA1" w14:textId="77777777" w:rsidR="005B591D" w:rsidRPr="005C133F" w:rsidRDefault="005B591D">
      <w:pPr>
        <w:numPr>
          <w:ilvl w:val="0"/>
          <w:numId w:val="154"/>
        </w:numPr>
        <w:spacing w:after="0" w:line="360" w:lineRule="auto"/>
        <w:jc w:val="both"/>
        <w:rPr>
          <w:rFonts w:eastAsia="Calibri"/>
          <w:lang w:val="es-DO"/>
        </w:rPr>
      </w:pPr>
      <w:r w:rsidRPr="005C133F">
        <w:rPr>
          <w:rFonts w:eastAsia="Calibri"/>
          <w:lang w:val="es-DO"/>
        </w:rPr>
        <w:t xml:space="preserve">Triptorelina para el tratamiento preoperatorio de miomatosis uterina en mujeres adultas en edad reproductiva o </w:t>
      </w:r>
      <w:proofErr w:type="spellStart"/>
      <w:r w:rsidRPr="005C133F">
        <w:rPr>
          <w:rFonts w:eastAsia="Calibri"/>
          <w:lang w:val="es-DO"/>
        </w:rPr>
        <w:t>perimenopáusica</w:t>
      </w:r>
      <w:proofErr w:type="spellEnd"/>
      <w:r w:rsidRPr="005C133F">
        <w:rPr>
          <w:rFonts w:eastAsia="Calibri"/>
          <w:lang w:val="es-DO"/>
        </w:rPr>
        <w:t xml:space="preserve"> candidatas a cirugía.</w:t>
      </w:r>
    </w:p>
    <w:p w14:paraId="1A980041" w14:textId="77777777" w:rsidR="005B591D"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lastRenderedPageBreak/>
        <w:t>Didrogesterona</w:t>
      </w:r>
      <w:proofErr w:type="spellEnd"/>
      <w:r w:rsidRPr="005C133F">
        <w:rPr>
          <w:rFonts w:eastAsia="Calibri"/>
          <w:lang w:val="es-DO"/>
        </w:rPr>
        <w:t xml:space="preserve"> como parte de la Terapia Hormonal Sustitutiva en pacientes adultas en etapa de climaterio y menopausia</w:t>
      </w:r>
    </w:p>
    <w:p w14:paraId="01F47E1B" w14:textId="5D3EC8CA" w:rsidR="002938A5" w:rsidRPr="005C133F" w:rsidRDefault="005B591D">
      <w:pPr>
        <w:numPr>
          <w:ilvl w:val="0"/>
          <w:numId w:val="154"/>
        </w:numPr>
        <w:spacing w:after="0" w:line="360" w:lineRule="auto"/>
        <w:jc w:val="both"/>
        <w:rPr>
          <w:rFonts w:eastAsia="Calibri"/>
          <w:lang w:val="es-DO"/>
        </w:rPr>
      </w:pPr>
      <w:proofErr w:type="spellStart"/>
      <w:r w:rsidRPr="005C133F">
        <w:rPr>
          <w:rFonts w:eastAsia="Calibri"/>
          <w:lang w:val="es-DO"/>
        </w:rPr>
        <w:t>Didrogesterona</w:t>
      </w:r>
      <w:proofErr w:type="spellEnd"/>
      <w:r w:rsidRPr="005C133F">
        <w:rPr>
          <w:rFonts w:eastAsia="Calibri"/>
          <w:lang w:val="es-DO"/>
        </w:rPr>
        <w:t xml:space="preserve"> en mujeres embarazadas con amenaza aborto espontáneo</w:t>
      </w:r>
      <w:r w:rsidR="001930E2" w:rsidRPr="005C133F">
        <w:rPr>
          <w:rFonts w:eastAsia="Calibri"/>
          <w:lang w:val="es-DO"/>
        </w:rPr>
        <w:t>.</w:t>
      </w:r>
    </w:p>
    <w:p w14:paraId="296C1A73" w14:textId="77777777" w:rsidR="002938A5" w:rsidRPr="005C133F" w:rsidRDefault="002938A5" w:rsidP="005C133F">
      <w:pPr>
        <w:spacing w:after="0" w:line="360" w:lineRule="auto"/>
        <w:ind w:left="720"/>
        <w:jc w:val="both"/>
        <w:rPr>
          <w:rFonts w:eastAsia="Calibri"/>
          <w:lang w:val="es-DO"/>
        </w:rPr>
      </w:pPr>
    </w:p>
    <w:p w14:paraId="45E320DE" w14:textId="46EC3E96" w:rsidR="002938A5" w:rsidRPr="005C133F" w:rsidRDefault="002938A5">
      <w:pPr>
        <w:pStyle w:val="Prrafodelista"/>
        <w:numPr>
          <w:ilvl w:val="0"/>
          <w:numId w:val="152"/>
        </w:numPr>
        <w:spacing w:after="0" w:line="360" w:lineRule="auto"/>
        <w:jc w:val="both"/>
        <w:rPr>
          <w:rFonts w:eastAsia="Calibri"/>
          <w:b/>
          <w:bCs/>
          <w:lang w:val="es-DO"/>
        </w:rPr>
      </w:pPr>
      <w:r w:rsidRPr="005C133F">
        <w:rPr>
          <w:rFonts w:eastAsia="Calibri"/>
          <w:b/>
          <w:bCs/>
          <w:lang w:val="es-DO"/>
        </w:rPr>
        <w:t>Mejoras al proceso de Evaluación de Tec</w:t>
      </w:r>
      <w:r w:rsidR="004B2421" w:rsidRPr="005C133F">
        <w:rPr>
          <w:rFonts w:eastAsia="Calibri"/>
          <w:b/>
          <w:bCs/>
          <w:lang w:val="es-DO"/>
        </w:rPr>
        <w:t>nolog</w:t>
      </w:r>
      <w:r w:rsidR="004C60DD" w:rsidRPr="005C133F">
        <w:rPr>
          <w:rFonts w:eastAsia="Calibri"/>
          <w:b/>
          <w:bCs/>
          <w:lang w:val="es-DO"/>
        </w:rPr>
        <w:t xml:space="preserve">ía Sanitarias </w:t>
      </w:r>
    </w:p>
    <w:p w14:paraId="3C12552D" w14:textId="77777777" w:rsidR="00902967" w:rsidRPr="005C133F" w:rsidRDefault="00902967" w:rsidP="005C133F">
      <w:pPr>
        <w:pStyle w:val="Prrafodelista"/>
        <w:spacing w:after="0" w:line="360" w:lineRule="auto"/>
        <w:ind w:left="1080"/>
        <w:jc w:val="both"/>
        <w:rPr>
          <w:rFonts w:eastAsia="Calibri"/>
          <w:b/>
          <w:bCs/>
          <w:lang w:val="es-DO"/>
        </w:rPr>
      </w:pPr>
    </w:p>
    <w:p w14:paraId="379DC2E5" w14:textId="721D2269" w:rsidR="00C94CBD" w:rsidRPr="005C133F" w:rsidRDefault="00C94CBD" w:rsidP="005C133F">
      <w:pPr>
        <w:pStyle w:val="Prrafodelista"/>
        <w:spacing w:after="0" w:line="360" w:lineRule="auto"/>
        <w:ind w:left="360"/>
        <w:jc w:val="both"/>
        <w:rPr>
          <w:rFonts w:eastAsia="Calibri"/>
          <w:lang w:val="es-DO"/>
        </w:rPr>
      </w:pPr>
      <w:r w:rsidRPr="005C133F">
        <w:rPr>
          <w:rFonts w:eastAsia="Calibri"/>
          <w:lang w:val="es-DO"/>
        </w:rPr>
        <w:t>Durante el año 2025, la SISALRIL implementó un conjunto de acciones orientadas al fortalecimiento, modernización y estandarización del proceso de Evaluación de Tecnologías Sanitarias (ETS), con el objetivo de garantizar decisiones de cobertura y financiamiento basadas en evidencia científica, eficiencia y sostenibilidad del sistema de salud.</w:t>
      </w:r>
    </w:p>
    <w:p w14:paraId="3EEF6FB1" w14:textId="470E39B3" w:rsidR="00902967" w:rsidRPr="005C133F" w:rsidRDefault="00902967">
      <w:pPr>
        <w:pStyle w:val="Prrafodelista"/>
        <w:numPr>
          <w:ilvl w:val="0"/>
          <w:numId w:val="155"/>
        </w:numPr>
        <w:spacing w:after="0" w:line="360" w:lineRule="auto"/>
        <w:jc w:val="both"/>
        <w:rPr>
          <w:rFonts w:eastAsia="Calibri"/>
          <w:lang w:val="es-DO"/>
        </w:rPr>
      </w:pPr>
      <w:r w:rsidRPr="005C133F">
        <w:rPr>
          <w:rFonts w:eastAsia="Calibri"/>
          <w:lang w:val="es-DO"/>
        </w:rPr>
        <w:t xml:space="preserve">Se implementó la nueva plataforma de Evaluación de Tecnologías Sanitarias (EVTESA) a través de la oficina virtual, de la SISALRIL. Esta herramienta automatiza, agiliza y transparenta el proceso de solicitud de evaluaciones, con el propósito de permitir un seguimiento continuo de cada etapa del trámite y facilitar, el acceso de una manera más ágil. </w:t>
      </w:r>
    </w:p>
    <w:p w14:paraId="6B764DDE" w14:textId="2473CBFF" w:rsidR="00AC7A4F" w:rsidRPr="005C133F" w:rsidRDefault="00AC7A4F">
      <w:pPr>
        <w:numPr>
          <w:ilvl w:val="0"/>
          <w:numId w:val="155"/>
        </w:numPr>
        <w:spacing w:after="0" w:line="360" w:lineRule="auto"/>
        <w:jc w:val="both"/>
        <w:rPr>
          <w:rFonts w:eastAsia="Calibri"/>
          <w:lang w:val="es-ES"/>
        </w:rPr>
      </w:pPr>
      <w:r w:rsidRPr="005C133F">
        <w:rPr>
          <w:rFonts w:eastAsia="Calibri"/>
          <w:lang w:val="es-DO"/>
        </w:rPr>
        <w:t>Se rediseñó la sección de EVTESA (</w:t>
      </w:r>
      <w:hyperlink r:id="rId53" w:history="1">
        <w:r w:rsidRPr="005C133F">
          <w:rPr>
            <w:rFonts w:eastAsia="Calibri"/>
            <w:u w:val="single"/>
            <w:lang w:val="es-DO"/>
          </w:rPr>
          <w:t>https://www.sisalril.gob.do/evtesa/</w:t>
        </w:r>
      </w:hyperlink>
      <w:r w:rsidRPr="005C133F">
        <w:rPr>
          <w:rFonts w:eastAsia="Calibri"/>
          <w:lang w:val="es-DO"/>
        </w:rPr>
        <w:t xml:space="preserve">), mejorando todo el contenido en la sección en la página web de SISALRIL con datos informativos sobre que es la evaluación de tecnologías sanitarias, base legal, informes realizados por tipo de informe, manuales e informaciones generales, preguntas frecuentes, proceso de evaluación, contactos, actividades anteriores y redes internacionales de colaboración. </w:t>
      </w:r>
    </w:p>
    <w:p w14:paraId="50471404" w14:textId="77777777" w:rsidR="00E1075E" w:rsidRPr="005C133F" w:rsidRDefault="00E1075E">
      <w:pPr>
        <w:numPr>
          <w:ilvl w:val="0"/>
          <w:numId w:val="155"/>
        </w:numPr>
        <w:spacing w:after="0" w:line="360" w:lineRule="auto"/>
        <w:jc w:val="both"/>
        <w:rPr>
          <w:rFonts w:eastAsia="Calibri"/>
          <w:lang w:val="es-DO"/>
        </w:rPr>
      </w:pPr>
      <w:r w:rsidRPr="005C133F">
        <w:rPr>
          <w:rFonts w:eastAsia="Calibri"/>
          <w:lang w:val="es-DO"/>
        </w:rPr>
        <w:lastRenderedPageBreak/>
        <w:t xml:space="preserve">Se llevó a cabo la </w:t>
      </w:r>
      <w:r w:rsidRPr="005C133F">
        <w:rPr>
          <w:rFonts w:eastAsia="Calibri"/>
          <w:b/>
          <w:bCs/>
          <w:lang w:val="es-DO"/>
        </w:rPr>
        <w:t>Consultoría para la Estandarización de Documentos de Evaluación de Tecnologías Sanitarias (ETS) en SISALRIL</w:t>
      </w:r>
      <w:r w:rsidRPr="005C133F">
        <w:rPr>
          <w:rFonts w:eastAsia="Calibri"/>
          <w:lang w:val="es-DO"/>
        </w:rPr>
        <w:t>, en el marco de la cooperación técnica con la Organización Panamericana de la Salud (OPS). El objetivo principal de esta consultoría fue optimizar y estandarizar los documentos de ETS, incorporando mejoras en todas las etapas del proceso de elaboración de los informes: desde el perfilamiento de la pregunta de investigación, la búsqueda y tamizaje de la evidencia, la evaluación de la calidad metodológica, hasta la síntesis y el reporte de resultados.</w:t>
      </w:r>
    </w:p>
    <w:p w14:paraId="12443984" w14:textId="0A4377DF" w:rsidR="00F20DAE" w:rsidRPr="005C133F" w:rsidRDefault="00F20DAE">
      <w:pPr>
        <w:pStyle w:val="Prrafodelista"/>
        <w:numPr>
          <w:ilvl w:val="0"/>
          <w:numId w:val="155"/>
        </w:numPr>
        <w:spacing w:after="0" w:line="360" w:lineRule="auto"/>
        <w:jc w:val="both"/>
        <w:rPr>
          <w:rFonts w:eastAsia="Calibri"/>
          <w:lang w:val="es-DO"/>
        </w:rPr>
      </w:pPr>
      <w:r w:rsidRPr="005C133F">
        <w:rPr>
          <w:rFonts w:eastAsia="Calibri"/>
          <w:lang w:val="es-DO"/>
        </w:rPr>
        <w:t>Junto con la Organización Mundial de la Salud (OPS), se iniciaron los trabajos para la aplicación de manuales metodológicos para la Evaluaciones Económicas y Análisis de Impacto Presupuestal del proceso de Evaluación de Tecnologías Sanitarias en la Superintendencia de Salud y Riesgos Laborales de la República Dominicana.</w:t>
      </w:r>
    </w:p>
    <w:p w14:paraId="2E5DB5A2" w14:textId="77777777" w:rsidR="00A62B49" w:rsidRPr="005C133F" w:rsidRDefault="00A62B49">
      <w:pPr>
        <w:numPr>
          <w:ilvl w:val="0"/>
          <w:numId w:val="155"/>
        </w:numPr>
        <w:spacing w:after="0" w:line="360" w:lineRule="auto"/>
        <w:jc w:val="both"/>
        <w:rPr>
          <w:rFonts w:eastAsia="Calibri"/>
          <w:lang w:val="es-ES"/>
        </w:rPr>
      </w:pPr>
      <w:r w:rsidRPr="005C133F">
        <w:rPr>
          <w:rFonts w:eastAsia="Calibri"/>
          <w:lang w:val="es-DO"/>
        </w:rPr>
        <w:t>La Superintendencia de Salud y Riesgos Laborales, fue otra vez elegida para un segundo período de dos años en el Comité Ejecutivo (CE) de la Red de Evaluación de Tecnología Sanitaria de las Américas (</w:t>
      </w:r>
      <w:proofErr w:type="spellStart"/>
      <w:r w:rsidRPr="005C133F">
        <w:rPr>
          <w:rFonts w:eastAsia="Calibri"/>
          <w:lang w:val="es-DO"/>
        </w:rPr>
        <w:t>RedETSA</w:t>
      </w:r>
      <w:proofErr w:type="spellEnd"/>
      <w:r w:rsidRPr="005C133F">
        <w:rPr>
          <w:rFonts w:eastAsia="Calibri"/>
          <w:lang w:val="es-DO"/>
        </w:rPr>
        <w:t xml:space="preserve">), quedando incluida junto con Argentina, Brasil, Chile y Perú.  Durante, este año el comité ejecutivo trabajo en las líneas del fortalecimiento de capacidades, comunicación e imagen, difusión de información, y la colaboración con otras redes. </w:t>
      </w:r>
    </w:p>
    <w:p w14:paraId="7BA910C0" w14:textId="77777777" w:rsidR="00F20DAE" w:rsidRPr="005C133F" w:rsidRDefault="00F20DAE" w:rsidP="005C133F">
      <w:pPr>
        <w:spacing w:after="0" w:line="360" w:lineRule="auto"/>
        <w:jc w:val="both"/>
        <w:rPr>
          <w:rFonts w:eastAsia="Calibri"/>
          <w:lang w:val="es-DO"/>
        </w:rPr>
      </w:pPr>
    </w:p>
    <w:p w14:paraId="244F37F1" w14:textId="0E21D3BF" w:rsidR="00F20DAE" w:rsidRPr="005C133F" w:rsidRDefault="00F20DAE">
      <w:pPr>
        <w:pStyle w:val="Prrafodelista"/>
        <w:numPr>
          <w:ilvl w:val="0"/>
          <w:numId w:val="156"/>
        </w:numPr>
        <w:spacing w:after="0" w:line="360" w:lineRule="auto"/>
        <w:jc w:val="both"/>
        <w:rPr>
          <w:rFonts w:eastAsia="Calibri"/>
          <w:lang w:val="es-DO"/>
        </w:rPr>
      </w:pPr>
      <w:r w:rsidRPr="005C133F">
        <w:rPr>
          <w:b/>
          <w:bCs/>
          <w:lang w:val="es-DO"/>
        </w:rPr>
        <w:t>Establecimiento del mecanismo para los análisis de absolutización y/o desinversión de tecnologías en salud</w:t>
      </w:r>
    </w:p>
    <w:p w14:paraId="40D9879E" w14:textId="77777777" w:rsidR="00F20DAE" w:rsidRPr="005C133F" w:rsidRDefault="00F20DAE" w:rsidP="005C133F">
      <w:pPr>
        <w:pStyle w:val="Prrafodelista"/>
        <w:spacing w:after="0" w:line="360" w:lineRule="auto"/>
        <w:ind w:left="360"/>
        <w:jc w:val="both"/>
        <w:rPr>
          <w:rFonts w:eastAsia="Calibri"/>
          <w:lang w:val="es-DO"/>
        </w:rPr>
      </w:pPr>
    </w:p>
    <w:p w14:paraId="2B545904" w14:textId="0B3C5F81" w:rsidR="006F1AB2" w:rsidRDefault="00F20DAE">
      <w:pPr>
        <w:pStyle w:val="Prrafodelista"/>
        <w:numPr>
          <w:ilvl w:val="0"/>
          <w:numId w:val="155"/>
        </w:numPr>
        <w:spacing w:after="0" w:line="360" w:lineRule="auto"/>
        <w:jc w:val="both"/>
        <w:rPr>
          <w:rFonts w:eastAsia="Calibri"/>
          <w:lang w:val="es-DO"/>
        </w:rPr>
      </w:pPr>
      <w:r w:rsidRPr="005C133F">
        <w:rPr>
          <w:rFonts w:eastAsia="Calibri"/>
          <w:lang w:val="es-DO"/>
        </w:rPr>
        <w:lastRenderedPageBreak/>
        <w:t>Se estableció un mecanismo para identificar, describir y sintetizar la evidencia disponible sobre estrategias, experiencias y marcos conceptuales utilizados para la desinversión en tecnologías sanitarias de bajo valor, con el fin de analizar sus enfoques metodológicos, resultados y factores contextuales que influyen en su implementación en tecnologías actualmente incorporadas en el Plan Básico de Salud (PBS). Este documento se enlaza con los manuales de Evaluaciones Económicas y Análisis de Impacto Presupuestal.</w:t>
      </w:r>
    </w:p>
    <w:p w14:paraId="13B0725D" w14:textId="77777777" w:rsidR="00E13BE6" w:rsidRPr="005C133F" w:rsidRDefault="00E13BE6" w:rsidP="00E13BE6">
      <w:pPr>
        <w:pStyle w:val="Prrafodelista"/>
        <w:spacing w:after="0" w:line="360" w:lineRule="auto"/>
        <w:ind w:left="360"/>
        <w:jc w:val="both"/>
        <w:rPr>
          <w:rFonts w:eastAsia="Calibri"/>
          <w:lang w:val="es-DO"/>
        </w:rPr>
      </w:pPr>
    </w:p>
    <w:p w14:paraId="3AC23486" w14:textId="4FF5C696" w:rsidR="001B7DA3" w:rsidRDefault="001B7DA3" w:rsidP="005C133F">
      <w:pPr>
        <w:spacing w:after="0" w:line="360" w:lineRule="auto"/>
        <w:jc w:val="both"/>
        <w:rPr>
          <w:b/>
          <w:bCs/>
          <w:lang w:val="es-DO"/>
        </w:rPr>
      </w:pPr>
      <w:r w:rsidRPr="005C133F">
        <w:rPr>
          <w:b/>
          <w:bCs/>
          <w:lang w:val="es-DO"/>
        </w:rPr>
        <w:t>Elaboración de documentos de análisis para mejora de las condiciones de acceso a las prestaciones en salud</w:t>
      </w:r>
    </w:p>
    <w:p w14:paraId="4736D4CB" w14:textId="77777777" w:rsidR="00C125F1" w:rsidRPr="005C133F" w:rsidRDefault="00C125F1" w:rsidP="005C133F">
      <w:pPr>
        <w:spacing w:after="0" w:line="360" w:lineRule="auto"/>
        <w:jc w:val="both"/>
        <w:rPr>
          <w:b/>
          <w:bCs/>
          <w:lang w:val="es-DO"/>
        </w:rPr>
      </w:pPr>
    </w:p>
    <w:p w14:paraId="4836F732" w14:textId="4B561DFE" w:rsidR="00F20DAE" w:rsidRPr="005C133F" w:rsidRDefault="00F20DAE">
      <w:pPr>
        <w:pStyle w:val="Prrafodelista"/>
        <w:numPr>
          <w:ilvl w:val="0"/>
          <w:numId w:val="155"/>
        </w:numPr>
        <w:spacing w:after="0" w:line="360" w:lineRule="auto"/>
        <w:jc w:val="both"/>
        <w:rPr>
          <w:shd w:val="clear" w:color="auto" w:fill="FFFFFF"/>
          <w:lang w:val="es-DO"/>
        </w:rPr>
      </w:pPr>
      <w:r w:rsidRPr="005C133F">
        <w:rPr>
          <w:lang w:val="es-ES"/>
        </w:rPr>
        <w:t xml:space="preserve">Se </w:t>
      </w:r>
      <w:r w:rsidR="00B8460E" w:rsidRPr="005C133F">
        <w:rPr>
          <w:lang w:val="es-ES"/>
        </w:rPr>
        <w:t xml:space="preserve">elaboró </w:t>
      </w:r>
      <w:r w:rsidRPr="005C133F">
        <w:rPr>
          <w:lang w:val="es-ES"/>
        </w:rPr>
        <w:t xml:space="preserve">un documento de análisis </w:t>
      </w:r>
      <w:r w:rsidRPr="005C133F">
        <w:rPr>
          <w:shd w:val="clear" w:color="auto" w:fill="FFFFFF"/>
          <w:lang w:val="es-DO"/>
        </w:rPr>
        <w:t xml:space="preserve">sobre desigualdad por sectores </w:t>
      </w:r>
      <w:r w:rsidR="00517406" w:rsidRPr="005C133F">
        <w:rPr>
          <w:shd w:val="clear" w:color="auto" w:fill="FFFFFF"/>
          <w:lang w:val="es-DO"/>
        </w:rPr>
        <w:t>económicos, que</w:t>
      </w:r>
      <w:r w:rsidRPr="005C133F">
        <w:rPr>
          <w:shd w:val="clear" w:color="auto" w:fill="FFFFFF"/>
          <w:lang w:val="es-DO"/>
        </w:rPr>
        <w:t xml:space="preserve"> permitió evaluar y comparar entre el salario promedio en distintos sectores económicos y el costo de la canasta básica, tanto a nivel nacional como por quintiles de ingreso. Este </w:t>
      </w:r>
      <w:r w:rsidR="00B8460E" w:rsidRPr="005C133F">
        <w:rPr>
          <w:shd w:val="clear" w:color="auto" w:fill="FFFFFF"/>
          <w:lang w:val="es-DO"/>
        </w:rPr>
        <w:t>análisis evidencia</w:t>
      </w:r>
      <w:r w:rsidRPr="005C133F">
        <w:rPr>
          <w:shd w:val="clear" w:color="auto" w:fill="FFFFFF"/>
          <w:lang w:val="es-DO"/>
        </w:rPr>
        <w:t xml:space="preserve"> los desafíos que enfrenta la población para mantener una calidad de vida adecuada y </w:t>
      </w:r>
      <w:r w:rsidRPr="005C133F">
        <w:rPr>
          <w:lang w:val="es-DO"/>
        </w:rPr>
        <w:t>permite analizar en cuáles sectores se encuentra la población no afiliada en el SFS/SRL para poder crear estrategias de incorporación.</w:t>
      </w:r>
    </w:p>
    <w:p w14:paraId="18413346" w14:textId="3E435C16" w:rsidR="001B7DA3" w:rsidRPr="005C133F" w:rsidRDefault="001B7DA3">
      <w:pPr>
        <w:pStyle w:val="Prrafodelista"/>
        <w:numPr>
          <w:ilvl w:val="0"/>
          <w:numId w:val="155"/>
        </w:numPr>
        <w:spacing w:after="0" w:line="360" w:lineRule="auto"/>
        <w:jc w:val="both"/>
        <w:rPr>
          <w:rFonts w:eastAsia="Calibri"/>
          <w:bCs/>
          <w:lang w:val="es-ES"/>
        </w:rPr>
      </w:pPr>
      <w:r w:rsidRPr="005C133F">
        <w:rPr>
          <w:rFonts w:eastAsia="Calibri"/>
          <w:bCs/>
          <w:lang w:val="es-ES"/>
        </w:rPr>
        <w:t xml:space="preserve">Se elaboró un documento </w:t>
      </w:r>
      <w:r w:rsidR="00B8460E" w:rsidRPr="005C133F">
        <w:rPr>
          <w:rFonts w:eastAsia="Calibri"/>
          <w:bCs/>
          <w:lang w:val="es-ES"/>
        </w:rPr>
        <w:t xml:space="preserve">analítico </w:t>
      </w:r>
      <w:r w:rsidRPr="005C133F">
        <w:rPr>
          <w:rFonts w:eastAsia="Calibri"/>
          <w:bCs/>
          <w:lang w:val="es-ES"/>
        </w:rPr>
        <w:t xml:space="preserve">sobre hospitalizaciones por trastornos susceptibles al Cuidado Ambulatorio en el Seguro Familiar de Salud de la República Dominicana. </w:t>
      </w:r>
      <w:r w:rsidR="00B8460E" w:rsidRPr="005C133F">
        <w:rPr>
          <w:rFonts w:eastAsia="Calibri"/>
          <w:bCs/>
          <w:lang w:val="es-DO"/>
        </w:rPr>
        <w:t>Este estudio responde a una</w:t>
      </w:r>
      <w:r w:rsidRPr="005C133F">
        <w:rPr>
          <w:rFonts w:eastAsia="Calibri"/>
          <w:bCs/>
          <w:lang w:val="es-DO"/>
        </w:rPr>
        <w:t xml:space="preserve"> necesidad estratégica de SISALRIL para generar evidencia cuantitativa y cualitativa sobre el impacto económico de las hospitalizaciones evitables en el SFS, con base en una serie histórica de cinco años e identificar los escenarios potenciales de </w:t>
      </w:r>
      <w:r w:rsidRPr="005C133F">
        <w:rPr>
          <w:rFonts w:eastAsia="Calibri"/>
          <w:bCs/>
          <w:lang w:val="es-DO"/>
        </w:rPr>
        <w:lastRenderedPageBreak/>
        <w:t xml:space="preserve">reducción del gasto si se implementan o refuerzan intervenciones costo-efectivas desde el primer nivel de atención en el país. </w:t>
      </w:r>
    </w:p>
    <w:p w14:paraId="1009BBD6" w14:textId="0F9A87AB" w:rsidR="00A17D88" w:rsidRPr="005C133F" w:rsidRDefault="001B7DA3">
      <w:pPr>
        <w:pStyle w:val="NormalWeb"/>
        <w:numPr>
          <w:ilvl w:val="0"/>
          <w:numId w:val="155"/>
        </w:numPr>
        <w:spacing w:before="0" w:beforeAutospacing="0" w:after="0" w:afterAutospacing="0" w:line="360" w:lineRule="auto"/>
        <w:jc w:val="both"/>
        <w:rPr>
          <w:rFonts w:eastAsia="Calibri"/>
          <w:bCs/>
          <w:color w:val="767171"/>
          <w:spacing w:val="20"/>
          <w:lang w:eastAsia="en-US"/>
        </w:rPr>
      </w:pPr>
      <w:r w:rsidRPr="005C133F">
        <w:rPr>
          <w:rFonts w:eastAsia="Calibri"/>
          <w:bCs/>
          <w:color w:val="767171"/>
          <w:spacing w:val="20"/>
          <w:lang w:eastAsia="en-US"/>
        </w:rPr>
        <w:t xml:space="preserve">Se </w:t>
      </w:r>
      <w:r w:rsidR="00B8460E" w:rsidRPr="005C133F">
        <w:rPr>
          <w:rFonts w:eastAsia="Calibri"/>
          <w:bCs/>
          <w:color w:val="767171"/>
          <w:spacing w:val="20"/>
          <w:lang w:eastAsia="en-US"/>
        </w:rPr>
        <w:t xml:space="preserve">diseñó </w:t>
      </w:r>
      <w:r w:rsidRPr="005C133F">
        <w:rPr>
          <w:rFonts w:eastAsia="Calibri"/>
          <w:bCs/>
          <w:color w:val="767171"/>
          <w:spacing w:val="20"/>
          <w:lang w:eastAsia="en-US"/>
        </w:rPr>
        <w:t>una matriz de indicadores replicable, que permite crear un sistema de seguimiento de costos, herramientas útiles para la regulación y la planificación financiera del SFS</w:t>
      </w:r>
      <w:r w:rsidR="00480AF4" w:rsidRPr="005C133F">
        <w:rPr>
          <w:rFonts w:eastAsia="Calibri"/>
          <w:bCs/>
          <w:color w:val="767171"/>
          <w:spacing w:val="20"/>
          <w:lang w:eastAsia="en-US"/>
        </w:rPr>
        <w:t xml:space="preserve">.  Esta matriz representa, </w:t>
      </w:r>
      <w:r w:rsidR="00517406" w:rsidRPr="005C133F">
        <w:rPr>
          <w:rFonts w:eastAsia="Calibri"/>
          <w:bCs/>
          <w:color w:val="767171"/>
          <w:spacing w:val="20"/>
          <w:lang w:eastAsia="en-US"/>
        </w:rPr>
        <w:t>además, una</w:t>
      </w:r>
      <w:r w:rsidRPr="005C133F">
        <w:rPr>
          <w:rFonts w:eastAsia="Calibri"/>
          <w:bCs/>
          <w:color w:val="767171"/>
          <w:spacing w:val="20"/>
          <w:lang w:eastAsia="en-US"/>
        </w:rPr>
        <w:t xml:space="preserve"> contribución técnica relevante para el fortalecimiento institucional del sistema de salud dominicano, permitiendo identificar hallazgos y recomendaciones sobre gasto evitable en el Seguro Familiar de Salud, si existirá el primer nivel como puerta de entrada.</w:t>
      </w:r>
    </w:p>
    <w:p w14:paraId="6E9FAF80" w14:textId="77777777" w:rsidR="00735301" w:rsidRPr="005C133F" w:rsidRDefault="00735301" w:rsidP="005C133F">
      <w:pPr>
        <w:pStyle w:val="NormalWeb"/>
        <w:spacing w:before="0" w:beforeAutospacing="0" w:after="0" w:afterAutospacing="0" w:line="360" w:lineRule="auto"/>
        <w:ind w:left="360"/>
        <w:jc w:val="both"/>
        <w:rPr>
          <w:rFonts w:eastAsia="Calibri"/>
          <w:bCs/>
          <w:color w:val="767171"/>
          <w:spacing w:val="20"/>
          <w:lang w:eastAsia="en-US"/>
        </w:rPr>
      </w:pPr>
    </w:p>
    <w:p w14:paraId="6E303A54" w14:textId="2B309698" w:rsidR="00A563B5" w:rsidRDefault="00102F28" w:rsidP="005C133F">
      <w:pPr>
        <w:spacing w:after="0" w:line="360" w:lineRule="auto"/>
        <w:jc w:val="both"/>
        <w:rPr>
          <w:b/>
          <w:bCs/>
          <w:lang w:val="es-DO"/>
        </w:rPr>
      </w:pPr>
      <w:r w:rsidRPr="005C133F">
        <w:rPr>
          <w:b/>
          <w:bCs/>
          <w:lang w:val="es-DO"/>
        </w:rPr>
        <w:t xml:space="preserve">Desarrollo </w:t>
      </w:r>
      <w:r w:rsidR="003E1F13" w:rsidRPr="005C133F">
        <w:rPr>
          <w:b/>
          <w:bCs/>
          <w:lang w:val="es-DO"/>
        </w:rPr>
        <w:t>de información estadística</w:t>
      </w:r>
      <w:r w:rsidR="00F33F17" w:rsidRPr="005C133F">
        <w:rPr>
          <w:b/>
          <w:bCs/>
          <w:lang w:val="es-DO"/>
        </w:rPr>
        <w:t xml:space="preserve"> para uso interno y transferencia</w:t>
      </w:r>
      <w:r w:rsidR="003E1F13" w:rsidRPr="005C133F">
        <w:rPr>
          <w:b/>
          <w:bCs/>
          <w:lang w:val="es-DO"/>
        </w:rPr>
        <w:t xml:space="preserve"> a instituciones relacionadas al Sistema Dominicano de Seguridad Social (SDSS) y del Sistema Estadístico Nacional (SEN).</w:t>
      </w:r>
    </w:p>
    <w:p w14:paraId="03C89C24" w14:textId="77777777" w:rsidR="00E13BE6" w:rsidRDefault="00E13BE6" w:rsidP="005C133F">
      <w:pPr>
        <w:spacing w:after="0" w:line="360" w:lineRule="auto"/>
        <w:jc w:val="both"/>
        <w:rPr>
          <w:b/>
          <w:bCs/>
          <w:lang w:val="es-DO"/>
        </w:rPr>
      </w:pPr>
    </w:p>
    <w:p w14:paraId="15C88638" w14:textId="0AD058A3" w:rsidR="00E13BE6" w:rsidRDefault="00E13BE6" w:rsidP="00E13BE6">
      <w:pPr>
        <w:pStyle w:val="Prrafodelista"/>
        <w:numPr>
          <w:ilvl w:val="0"/>
          <w:numId w:val="156"/>
        </w:numPr>
        <w:spacing w:after="0" w:line="360" w:lineRule="auto"/>
        <w:jc w:val="both"/>
        <w:rPr>
          <w:b/>
          <w:bCs/>
          <w:lang w:val="es-DO"/>
        </w:rPr>
      </w:pPr>
      <w:r w:rsidRPr="00E13BE6">
        <w:rPr>
          <w:b/>
          <w:bCs/>
          <w:lang w:val="es-DO"/>
        </w:rPr>
        <w:t>Documentos de análisis que responda a la mejora de las condiciones de acceso a las prestaciones en salud</w:t>
      </w:r>
    </w:p>
    <w:p w14:paraId="04215DF6" w14:textId="199C57CD" w:rsidR="00E13BE6" w:rsidRDefault="00E13BE6" w:rsidP="00E13BE6">
      <w:pPr>
        <w:pStyle w:val="Prrafodelista"/>
        <w:numPr>
          <w:ilvl w:val="0"/>
          <w:numId w:val="207"/>
        </w:numPr>
        <w:spacing w:after="0" w:line="360" w:lineRule="auto"/>
        <w:jc w:val="both"/>
        <w:rPr>
          <w:lang w:val="es-DO"/>
        </w:rPr>
      </w:pPr>
      <w:r w:rsidRPr="00E13BE6">
        <w:rPr>
          <w:lang w:val="es-DO"/>
        </w:rPr>
        <w:t xml:space="preserve">Se construyó un análisis de diálisis peritoneal y hemodiálisis, con el objetivo estimar el costo por sesión de las terapias de reemplazo renal mediante hemodiálisis y diálisis peritoneal, para responder a una solicitud de evaluación de los aspectos económicos asociados al uso de las terapias asociadas </w:t>
      </w:r>
      <w:r w:rsidR="00E82914">
        <w:rPr>
          <w:lang w:val="es-DO"/>
        </w:rPr>
        <w:t>y</w:t>
      </w:r>
      <w:r w:rsidRPr="00E13BE6">
        <w:rPr>
          <w:lang w:val="es-DO"/>
        </w:rPr>
        <w:t xml:space="preserve"> los costos derivados de su implementación y utilización en los distintos niveles de atención. </w:t>
      </w:r>
    </w:p>
    <w:p w14:paraId="3012A5DE" w14:textId="77777777" w:rsidR="00E13BE6" w:rsidRDefault="00E13BE6" w:rsidP="00E13BE6">
      <w:pPr>
        <w:pStyle w:val="Prrafodelista"/>
        <w:numPr>
          <w:ilvl w:val="0"/>
          <w:numId w:val="207"/>
        </w:numPr>
        <w:spacing w:after="0" w:line="360" w:lineRule="auto"/>
        <w:jc w:val="both"/>
        <w:rPr>
          <w:lang w:val="es-DO"/>
        </w:rPr>
      </w:pPr>
      <w:r w:rsidRPr="00E13BE6">
        <w:rPr>
          <w:lang w:val="es-DO"/>
        </w:rPr>
        <w:t xml:space="preserve">Se realizó un informe evaluando los dispositivos </w:t>
      </w:r>
      <w:proofErr w:type="spellStart"/>
      <w:r w:rsidRPr="00E13BE6">
        <w:rPr>
          <w:lang w:val="es-DO"/>
        </w:rPr>
        <w:t>diversores</w:t>
      </w:r>
      <w:proofErr w:type="spellEnd"/>
      <w:r w:rsidRPr="00E13BE6">
        <w:rPr>
          <w:lang w:val="es-DO"/>
        </w:rPr>
        <w:t xml:space="preserve"> de flujo con el objetivo analizar el beneficio clínico de </w:t>
      </w:r>
      <w:r>
        <w:rPr>
          <w:lang w:val="es-DO"/>
        </w:rPr>
        <w:t xml:space="preserve">estos </w:t>
      </w:r>
      <w:r w:rsidRPr="00E13BE6">
        <w:rPr>
          <w:lang w:val="es-DO"/>
        </w:rPr>
        <w:t xml:space="preserve"> como tratamiento endovascular, en pacientes adultos con diagnóstico de aneurisma intracraneal no roto, detallando las </w:t>
      </w:r>
      <w:r w:rsidRPr="00E13BE6">
        <w:rPr>
          <w:lang w:val="es-DO"/>
        </w:rPr>
        <w:lastRenderedPageBreak/>
        <w:t>evidencias científicas disponibles en cuanto a efectividad, seguridad, costo-efectividad y políticas de cobertura en otros países.</w:t>
      </w:r>
    </w:p>
    <w:p w14:paraId="035027A2" w14:textId="1DE118B5" w:rsidR="00E13BE6" w:rsidRPr="00E13BE6" w:rsidRDefault="00E13BE6" w:rsidP="00E13BE6">
      <w:pPr>
        <w:pStyle w:val="Prrafodelista"/>
        <w:numPr>
          <w:ilvl w:val="0"/>
          <w:numId w:val="207"/>
        </w:numPr>
        <w:spacing w:after="0" w:line="360" w:lineRule="auto"/>
        <w:jc w:val="both"/>
        <w:rPr>
          <w:lang w:val="es-DO"/>
        </w:rPr>
      </w:pPr>
      <w:r w:rsidRPr="00E13BE6">
        <w:rPr>
          <w:lang w:val="es-DO"/>
        </w:rPr>
        <w:t>Se realizó el informe de preparación de mezclas de medicamentos oncológicos para evaluar la inclusión del servicio en el PDSS</w:t>
      </w:r>
      <w:r>
        <w:rPr>
          <w:lang w:val="es-DO"/>
        </w:rPr>
        <w:t xml:space="preserve"> y </w:t>
      </w:r>
      <w:r w:rsidRPr="00E13BE6">
        <w:rPr>
          <w:lang w:val="es-DO"/>
        </w:rPr>
        <w:t>valorar el beneficio clínico de la tecnología y su posible pertinencia para inclusión como una prestación.</w:t>
      </w:r>
    </w:p>
    <w:p w14:paraId="748A899B" w14:textId="77777777" w:rsidR="00C125F1" w:rsidRPr="005C133F" w:rsidRDefault="00C125F1" w:rsidP="005C133F">
      <w:pPr>
        <w:spacing w:after="0" w:line="360" w:lineRule="auto"/>
        <w:jc w:val="both"/>
        <w:rPr>
          <w:b/>
          <w:bCs/>
          <w:lang w:val="es-DO"/>
        </w:rPr>
      </w:pPr>
    </w:p>
    <w:p w14:paraId="24BD89B4" w14:textId="165884C0" w:rsidR="002C26FA" w:rsidRPr="005C133F" w:rsidRDefault="002C26FA">
      <w:pPr>
        <w:pStyle w:val="Prrafodelista"/>
        <w:numPr>
          <w:ilvl w:val="0"/>
          <w:numId w:val="156"/>
        </w:numPr>
        <w:spacing w:after="0" w:line="360" w:lineRule="auto"/>
        <w:jc w:val="both"/>
        <w:rPr>
          <w:b/>
          <w:bCs/>
          <w:lang w:val="es-DO"/>
        </w:rPr>
      </w:pPr>
      <w:r w:rsidRPr="005C133F">
        <w:rPr>
          <w:b/>
          <w:bCs/>
          <w:lang w:val="es-DO"/>
        </w:rPr>
        <w:t xml:space="preserve">Herramienta de Consulta de indicadores del SFS y SRL con </w:t>
      </w:r>
      <w:proofErr w:type="spellStart"/>
      <w:r w:rsidRPr="005C133F">
        <w:rPr>
          <w:b/>
          <w:bCs/>
          <w:lang w:val="es-DO"/>
        </w:rPr>
        <w:t>Redatam</w:t>
      </w:r>
      <w:proofErr w:type="spellEnd"/>
      <w:r w:rsidRPr="005C133F">
        <w:rPr>
          <w:b/>
          <w:bCs/>
          <w:lang w:val="es-DO"/>
        </w:rPr>
        <w:t xml:space="preserve"> Web</w:t>
      </w:r>
    </w:p>
    <w:p w14:paraId="651219B8" w14:textId="7049F336" w:rsidR="00D02231" w:rsidRPr="00E13BE6" w:rsidRDefault="005D54F5" w:rsidP="00E13BE6">
      <w:pPr>
        <w:numPr>
          <w:ilvl w:val="0"/>
          <w:numId w:val="157"/>
        </w:numPr>
        <w:spacing w:after="0" w:line="360" w:lineRule="auto"/>
        <w:jc w:val="both"/>
        <w:rPr>
          <w:lang w:val="es-DO"/>
        </w:rPr>
      </w:pPr>
      <w:r w:rsidRPr="005C133F">
        <w:rPr>
          <w:lang w:val="es-DO"/>
        </w:rPr>
        <w:t xml:space="preserve">Se realizó el lanzamiento del Sistema de Consultas Dinámicas de Indicadores del Seguro Familiar de Salud (SFS) y del Seguro de Riesgos Laborales (SRL), en el Auditorio del Observatorio de la Seguridad Social, desarrollado con apoyo técnico de CELADE–División de Población de la CEPAL y basado en el programa </w:t>
      </w:r>
      <w:proofErr w:type="spellStart"/>
      <w:r w:rsidRPr="005C133F">
        <w:rPr>
          <w:lang w:val="es-DO"/>
        </w:rPr>
        <w:t>Redatam</w:t>
      </w:r>
      <w:proofErr w:type="spellEnd"/>
      <w:r w:rsidRPr="005C133F">
        <w:rPr>
          <w:lang w:val="es-DO"/>
        </w:rPr>
        <w:t>, que fortalece la transparencia y el uso de datos en la gestión de la seguridad social.</w:t>
      </w:r>
      <w:r w:rsidR="00783465" w:rsidRPr="005C133F">
        <w:rPr>
          <w:lang w:val="es-DO"/>
        </w:rPr>
        <w:t xml:space="preserve"> </w:t>
      </w:r>
      <w:r w:rsidR="001C4C70" w:rsidRPr="00E13BE6">
        <w:rPr>
          <w:lang w:val="es-DO"/>
        </w:rPr>
        <w:t>El sistema</w:t>
      </w:r>
      <w:r w:rsidR="00783465" w:rsidRPr="00E13BE6">
        <w:rPr>
          <w:lang w:val="es-DO"/>
        </w:rPr>
        <w:t xml:space="preserve"> permite </w:t>
      </w:r>
      <w:r w:rsidR="001C4C70" w:rsidRPr="00E13BE6">
        <w:rPr>
          <w:lang w:val="es-DO"/>
        </w:rPr>
        <w:t xml:space="preserve">a los usuarios </w:t>
      </w:r>
      <w:r w:rsidR="00783465" w:rsidRPr="00E13BE6">
        <w:rPr>
          <w:lang w:val="es-DO"/>
        </w:rPr>
        <w:t>seleccionar el tema de interés y definir distintas desagregaciones, tales como período (año, mes), tipo de ARS, régimen de financiamiento (contributivo o subsidiado), así como otros atributos relevantes para el análisis del SFS y del SRL. A partir de estas selecciones, la plataforma genera tablas y gráficos dinámicos que pueden exportarse para su uso en análisis técnicos, investigación y seguimiento de políticas públicas.</w:t>
      </w:r>
    </w:p>
    <w:p w14:paraId="4BC62254" w14:textId="77777777" w:rsidR="007C519D" w:rsidRPr="005C133F" w:rsidRDefault="007C519D" w:rsidP="005C133F">
      <w:pPr>
        <w:spacing w:after="0" w:line="360" w:lineRule="auto"/>
        <w:ind w:left="360"/>
        <w:jc w:val="both"/>
        <w:rPr>
          <w:lang w:val="es-DO"/>
        </w:rPr>
      </w:pPr>
    </w:p>
    <w:p w14:paraId="0A9D3D5A" w14:textId="4590F4F4" w:rsidR="005D54F5" w:rsidRPr="005C133F" w:rsidRDefault="00D02231">
      <w:pPr>
        <w:pStyle w:val="Prrafodelista"/>
        <w:numPr>
          <w:ilvl w:val="0"/>
          <w:numId w:val="156"/>
        </w:numPr>
        <w:spacing w:after="0" w:line="360" w:lineRule="auto"/>
        <w:jc w:val="both"/>
        <w:rPr>
          <w:b/>
          <w:bCs/>
          <w:lang w:val="es-DO"/>
        </w:rPr>
      </w:pPr>
      <w:r w:rsidRPr="005C133F">
        <w:rPr>
          <w:b/>
          <w:bCs/>
          <w:lang w:val="es-DO"/>
        </w:rPr>
        <w:t>Productos Estadísticos del SFS y SRL a través del portal web</w:t>
      </w:r>
    </w:p>
    <w:p w14:paraId="69F76081" w14:textId="28D2C7E8" w:rsidR="0065322C" w:rsidRPr="005C133F" w:rsidRDefault="007C519D" w:rsidP="005C133F">
      <w:pPr>
        <w:spacing w:after="0" w:line="360" w:lineRule="auto"/>
        <w:jc w:val="both"/>
        <w:rPr>
          <w:rFonts w:eastAsia="Calibri"/>
          <w:lang w:val="es-DO"/>
        </w:rPr>
      </w:pPr>
      <w:r w:rsidRPr="005C133F">
        <w:rPr>
          <w:rFonts w:eastAsia="Calibri"/>
          <w:lang w:val="es-DO"/>
        </w:rPr>
        <w:t xml:space="preserve">Durante el 2025 se implementaron mejoras en la difusión de estadísticas a través del portal web institucional, orientadas a </w:t>
      </w:r>
      <w:r w:rsidRPr="005C133F">
        <w:rPr>
          <w:rFonts w:eastAsia="Calibri"/>
          <w:lang w:val="es-DO"/>
        </w:rPr>
        <w:lastRenderedPageBreak/>
        <w:t>optimizar la accesibilidad, usabilidad y transparencia de la información. Entre las principales acciones realizadas se destacan:</w:t>
      </w:r>
    </w:p>
    <w:p w14:paraId="0BB0F6B0" w14:textId="6ACFA700" w:rsidR="00ED38B7" w:rsidRPr="00C73EB1" w:rsidRDefault="00F00160" w:rsidP="7FCB5B73">
      <w:pPr>
        <w:pStyle w:val="Prrafodelista"/>
        <w:numPr>
          <w:ilvl w:val="0"/>
          <w:numId w:val="157"/>
        </w:numPr>
        <w:spacing w:after="0" w:line="360" w:lineRule="auto"/>
        <w:jc w:val="both"/>
        <w:rPr>
          <w:rFonts w:eastAsia="Calibri"/>
          <w:lang w:val="es-DO"/>
        </w:rPr>
      </w:pPr>
      <w:r w:rsidRPr="00C73EB1">
        <w:rPr>
          <w:rFonts w:eastAsia="Calibri"/>
          <w:lang w:val="es-DO"/>
        </w:rPr>
        <w:t>R</w:t>
      </w:r>
      <w:r w:rsidR="0065322C" w:rsidRPr="00C73EB1">
        <w:rPr>
          <w:rFonts w:eastAsia="Calibri"/>
          <w:lang w:val="es-DO"/>
        </w:rPr>
        <w:t xml:space="preserve">ediseño de la </w:t>
      </w:r>
      <w:r w:rsidR="00517406" w:rsidRPr="00C73EB1">
        <w:rPr>
          <w:rFonts w:eastAsia="Calibri"/>
          <w:lang w:val="es-DO"/>
        </w:rPr>
        <w:t>sección “</w:t>
      </w:r>
      <w:r w:rsidR="0065322C" w:rsidRPr="00C73EB1">
        <w:rPr>
          <w:rFonts w:eastAsia="Calibri"/>
          <w:lang w:val="es-DO"/>
        </w:rPr>
        <w:t>Estadísticas”</w:t>
      </w:r>
      <w:r w:rsidR="00ED38B7" w:rsidRPr="00C73EB1">
        <w:rPr>
          <w:rFonts w:eastAsia="Calibri"/>
          <w:lang w:val="es-DO"/>
        </w:rPr>
        <w:t xml:space="preserve"> </w:t>
      </w:r>
      <w:r w:rsidR="0065322C" w:rsidRPr="00C73EB1">
        <w:rPr>
          <w:rFonts w:eastAsia="Calibri"/>
          <w:lang w:val="es-DO"/>
        </w:rPr>
        <w:t>como un nuevo espacio para centralizar y mejorar la difusión de la información estadística generada por la institución para mantener informada a la población acerca de las últimas cifras y la evolución de los componentes del Seguro Familiar de Salud y del Seguro de Riesgos Laborales</w:t>
      </w:r>
      <w:r w:rsidRPr="00C73EB1">
        <w:rPr>
          <w:rFonts w:eastAsia="Calibri"/>
          <w:lang w:val="es-DO"/>
        </w:rPr>
        <w:t xml:space="preserve">. </w:t>
      </w:r>
      <w:r w:rsidR="00ED38B7" w:rsidRPr="00C73EB1">
        <w:rPr>
          <w:rFonts w:eastAsia="Calibri"/>
          <w:lang w:val="es-DO"/>
        </w:rPr>
        <w:t xml:space="preserve"> </w:t>
      </w:r>
    </w:p>
    <w:p w14:paraId="638496D3" w14:textId="4169CBEC" w:rsidR="00745B89" w:rsidRPr="005C133F" w:rsidRDefault="00F00160">
      <w:pPr>
        <w:pStyle w:val="Prrafodelista"/>
        <w:numPr>
          <w:ilvl w:val="0"/>
          <w:numId w:val="157"/>
        </w:numPr>
        <w:spacing w:after="0" w:line="360" w:lineRule="auto"/>
        <w:jc w:val="both"/>
        <w:rPr>
          <w:rFonts w:eastAsia="Calibri"/>
          <w:lang w:val="es-DO"/>
        </w:rPr>
      </w:pPr>
      <w:r w:rsidRPr="005C133F">
        <w:rPr>
          <w:rFonts w:eastAsia="Calibri"/>
          <w:lang w:val="es-DO"/>
        </w:rPr>
        <w:t>Modificación</w:t>
      </w:r>
      <w:r w:rsidR="0065322C" w:rsidRPr="005C133F">
        <w:rPr>
          <w:rFonts w:eastAsia="Calibri"/>
          <w:lang w:val="es-DO"/>
        </w:rPr>
        <w:t xml:space="preserve"> </w:t>
      </w:r>
      <w:r w:rsidR="009D03D2" w:rsidRPr="005C133F">
        <w:rPr>
          <w:rFonts w:eastAsia="Calibri"/>
          <w:lang w:val="es-DO"/>
        </w:rPr>
        <w:t xml:space="preserve">de </w:t>
      </w:r>
      <w:r w:rsidR="0065322C" w:rsidRPr="005C133F">
        <w:rPr>
          <w:rFonts w:eastAsia="Calibri"/>
          <w:lang w:val="es-DO"/>
        </w:rPr>
        <w:t>la denominación de los tableros de información del SFS y SRL, sustituyendo el término “Numeralia” por “Avance en Cifras”. Esta modificación se fundamenta en criterios de claridad conceptual y adecuación terminológica facilitando la comprensión y objetivo de los tableros al ofrecer las últimas Cifras del Seguro Familiar de Salud del Seguro de Riesgos Laborales.</w:t>
      </w:r>
    </w:p>
    <w:p w14:paraId="0E7E4590" w14:textId="77777777" w:rsidR="006F1AB2" w:rsidRPr="005C133F" w:rsidRDefault="006F1AB2" w:rsidP="005C133F">
      <w:pPr>
        <w:pStyle w:val="Prrafodelista"/>
        <w:spacing w:after="0" w:line="360" w:lineRule="auto"/>
        <w:ind w:left="360"/>
        <w:jc w:val="both"/>
        <w:rPr>
          <w:rFonts w:eastAsia="Calibri"/>
          <w:lang w:val="es-DO"/>
        </w:rPr>
      </w:pPr>
    </w:p>
    <w:p w14:paraId="3E77C616" w14:textId="05AD46DF" w:rsidR="00745B89" w:rsidRPr="005C133F" w:rsidRDefault="00745B89">
      <w:pPr>
        <w:pStyle w:val="Prrafodelista"/>
        <w:numPr>
          <w:ilvl w:val="0"/>
          <w:numId w:val="156"/>
        </w:numPr>
        <w:spacing w:after="0" w:line="360" w:lineRule="auto"/>
        <w:jc w:val="both"/>
        <w:rPr>
          <w:b/>
          <w:bCs/>
          <w:lang w:val="es-DO"/>
        </w:rPr>
      </w:pPr>
      <w:r w:rsidRPr="005C133F">
        <w:rPr>
          <w:b/>
          <w:bCs/>
          <w:lang w:val="es-DO"/>
        </w:rPr>
        <w:t>Análisis de datos específicos sobre el SFS y SRL para la supervisión basada en riesgos y la toma de decisiones, elaborados para las áreas internas.</w:t>
      </w:r>
    </w:p>
    <w:p w14:paraId="3476D34A" w14:textId="58FA3C22" w:rsidR="000F203C" w:rsidRPr="005C133F" w:rsidRDefault="000F203C">
      <w:pPr>
        <w:pStyle w:val="Prrafodelista"/>
        <w:numPr>
          <w:ilvl w:val="0"/>
          <w:numId w:val="157"/>
        </w:numPr>
        <w:spacing w:after="0" w:line="360" w:lineRule="auto"/>
        <w:jc w:val="both"/>
        <w:rPr>
          <w:b/>
          <w:bCs/>
          <w:lang w:val="es-DO"/>
        </w:rPr>
      </w:pPr>
      <w:r w:rsidRPr="005C133F">
        <w:rPr>
          <w:rFonts w:eastAsia="Calibri"/>
          <w:lang w:val="es-DO"/>
        </w:rPr>
        <w:t xml:space="preserve">Con el propósito de fortalecer los procesos institucionales y promover decisiones informadas basadas en evidencia, el Departamento de Análisis de Datos y Visualización desarrolló y remitió </w:t>
      </w:r>
      <w:r w:rsidR="008C36E3">
        <w:rPr>
          <w:rFonts w:eastAsia="Calibri"/>
          <w:lang w:val="es-DO"/>
        </w:rPr>
        <w:t>83</w:t>
      </w:r>
      <w:r w:rsidRPr="005C133F">
        <w:rPr>
          <w:rFonts w:eastAsia="Calibri"/>
          <w:lang w:val="es-DO"/>
        </w:rPr>
        <w:t xml:space="preserve"> análisis de específicos relacionados con los datos reportados por las ARS y el IDOPPRIL sobre el Seguro Familiar de Salud (SFS) y el Seguro de Riesgos Laborales (SRL).</w:t>
      </w:r>
      <w:r w:rsidR="008D3A06" w:rsidRPr="005C133F">
        <w:rPr>
          <w:rFonts w:eastAsia="Calibri"/>
          <w:lang w:val="es-DO"/>
        </w:rPr>
        <w:t xml:space="preserve"> Entre los análisis realizados durante el período, se destacan los siguientes:</w:t>
      </w:r>
    </w:p>
    <w:p w14:paraId="754FA443" w14:textId="77777777" w:rsidR="00AC2B1B" w:rsidRPr="005C133F" w:rsidRDefault="00AC2B1B">
      <w:pPr>
        <w:numPr>
          <w:ilvl w:val="0"/>
          <w:numId w:val="158"/>
        </w:numPr>
        <w:spacing w:after="0" w:line="360" w:lineRule="auto"/>
        <w:jc w:val="both"/>
        <w:rPr>
          <w:rFonts w:eastAsia="Calibri"/>
          <w:lang w:val="es-DO"/>
        </w:rPr>
      </w:pPr>
      <w:r w:rsidRPr="005C133F">
        <w:rPr>
          <w:rFonts w:eastAsia="Calibri"/>
          <w:b/>
          <w:bCs/>
          <w:lang w:val="es-DO"/>
        </w:rPr>
        <w:t>Monitoreos de los montos pagados por las ARS</w:t>
      </w:r>
      <w:r w:rsidRPr="005C133F">
        <w:rPr>
          <w:rFonts w:eastAsia="Calibri"/>
          <w:lang w:val="es-DO"/>
        </w:rPr>
        <w:t>, con el objetivo de supervisar la consistencia financiera y el comportamiento del gasto en los servicios de salud.</w:t>
      </w:r>
    </w:p>
    <w:p w14:paraId="0B5D9721" w14:textId="77777777" w:rsidR="00AC2B1B" w:rsidRPr="005C133F" w:rsidRDefault="00AC2B1B">
      <w:pPr>
        <w:numPr>
          <w:ilvl w:val="0"/>
          <w:numId w:val="158"/>
        </w:numPr>
        <w:spacing w:after="0" w:line="360" w:lineRule="auto"/>
        <w:jc w:val="both"/>
        <w:rPr>
          <w:rFonts w:eastAsia="Calibri"/>
          <w:lang w:val="es-DO"/>
        </w:rPr>
      </w:pPr>
      <w:r w:rsidRPr="005C133F">
        <w:rPr>
          <w:rFonts w:eastAsia="Calibri"/>
          <w:b/>
          <w:bCs/>
          <w:lang w:val="es-DO"/>
        </w:rPr>
        <w:lastRenderedPageBreak/>
        <w:t>Evaluaciones de los servicios proporcionados por los Prestadores de Servicios de Salud (PSS)</w:t>
      </w:r>
      <w:r w:rsidRPr="005C133F">
        <w:rPr>
          <w:rFonts w:eastAsia="Calibri"/>
          <w:lang w:val="es-DO"/>
        </w:rPr>
        <w:t>, incluyendo análisis comparativos y seguimiento de variaciones relevantes.</w:t>
      </w:r>
    </w:p>
    <w:p w14:paraId="207B78F9" w14:textId="77777777" w:rsidR="00AC2B1B" w:rsidRPr="005C133F" w:rsidRDefault="00AC2B1B">
      <w:pPr>
        <w:numPr>
          <w:ilvl w:val="0"/>
          <w:numId w:val="158"/>
        </w:numPr>
        <w:spacing w:after="0" w:line="360" w:lineRule="auto"/>
        <w:jc w:val="both"/>
        <w:rPr>
          <w:rFonts w:eastAsia="Calibri"/>
          <w:lang w:val="es-DO"/>
        </w:rPr>
      </w:pPr>
      <w:r w:rsidRPr="005C133F">
        <w:rPr>
          <w:rFonts w:eastAsia="Calibri"/>
          <w:b/>
          <w:bCs/>
          <w:lang w:val="es-DO"/>
        </w:rPr>
        <w:t>Estudios sobre la aplicación de nuevos aumentos en las coberturas del PDSS</w:t>
      </w:r>
      <w:r w:rsidRPr="005C133F">
        <w:rPr>
          <w:rFonts w:eastAsia="Calibri"/>
          <w:lang w:val="es-DO"/>
        </w:rPr>
        <w:t>, orientados a validar su implementación y su impacto en los afiliados.</w:t>
      </w:r>
    </w:p>
    <w:p w14:paraId="3BDCB3D6" w14:textId="77777777" w:rsidR="00AC2B1B" w:rsidRPr="005C133F" w:rsidRDefault="00AC2B1B">
      <w:pPr>
        <w:numPr>
          <w:ilvl w:val="0"/>
          <w:numId w:val="158"/>
        </w:numPr>
        <w:spacing w:after="0" w:line="360" w:lineRule="auto"/>
        <w:jc w:val="both"/>
        <w:rPr>
          <w:rFonts w:eastAsia="Calibri"/>
          <w:lang w:val="es-DO"/>
        </w:rPr>
      </w:pPr>
      <w:r w:rsidRPr="005C133F">
        <w:rPr>
          <w:rFonts w:eastAsia="Calibri"/>
          <w:b/>
          <w:bCs/>
          <w:lang w:val="es-DO"/>
        </w:rPr>
        <w:t>Análisis para el monitoreo de denuncias públicas</w:t>
      </w:r>
      <w:r w:rsidRPr="005C133F">
        <w:rPr>
          <w:rFonts w:eastAsia="Calibri"/>
          <w:lang w:val="es-DO"/>
        </w:rPr>
        <w:t>, facilitando la verificación de casos reportados y contribuyendo a la transparencia del sistema.</w:t>
      </w:r>
    </w:p>
    <w:p w14:paraId="1CEBE83E" w14:textId="77777777" w:rsidR="006F1AB2" w:rsidRDefault="00AC2B1B">
      <w:pPr>
        <w:numPr>
          <w:ilvl w:val="0"/>
          <w:numId w:val="158"/>
        </w:numPr>
        <w:spacing w:after="0" w:line="360" w:lineRule="auto"/>
        <w:jc w:val="both"/>
        <w:rPr>
          <w:rFonts w:eastAsia="Calibri"/>
          <w:lang w:val="es-DO"/>
        </w:rPr>
      </w:pPr>
      <w:r w:rsidRPr="005C133F">
        <w:rPr>
          <w:rFonts w:eastAsia="Calibri"/>
          <w:b/>
          <w:bCs/>
          <w:lang w:val="es-DO"/>
        </w:rPr>
        <w:t>Análisis de suficiencia de red</w:t>
      </w:r>
      <w:r w:rsidRPr="005C133F">
        <w:rPr>
          <w:rFonts w:eastAsia="Calibri"/>
          <w:lang w:val="es-DO"/>
        </w:rPr>
        <w:t>, enfocados en la disponibilidad y capacidad instalada de los prestadores para garantizar el acceso oportuno a los servicios de salud.</w:t>
      </w:r>
    </w:p>
    <w:p w14:paraId="785E7A13" w14:textId="77777777" w:rsidR="008C36E3" w:rsidRPr="005C133F" w:rsidRDefault="008C36E3" w:rsidP="008C36E3">
      <w:pPr>
        <w:spacing w:after="0" w:line="360" w:lineRule="auto"/>
        <w:ind w:left="720"/>
        <w:jc w:val="both"/>
        <w:rPr>
          <w:rFonts w:eastAsia="Calibri"/>
          <w:lang w:val="es-DO"/>
        </w:rPr>
      </w:pPr>
    </w:p>
    <w:p w14:paraId="420E3C5B" w14:textId="65760FAA" w:rsidR="0065322C" w:rsidRDefault="00B54791">
      <w:pPr>
        <w:pStyle w:val="Prrafodelista"/>
        <w:numPr>
          <w:ilvl w:val="0"/>
          <w:numId w:val="156"/>
        </w:numPr>
        <w:spacing w:after="0" w:line="360" w:lineRule="auto"/>
        <w:jc w:val="both"/>
        <w:rPr>
          <w:b/>
          <w:bCs/>
          <w:lang w:val="es-DO"/>
        </w:rPr>
      </w:pPr>
      <w:r w:rsidRPr="005C133F">
        <w:rPr>
          <w:b/>
          <w:bCs/>
          <w:lang w:val="es-DO"/>
        </w:rPr>
        <w:t>Tableros de control creados para apoyar la toma de decisiones y mitigación de riesgos potenciales relacionados al SDSS</w:t>
      </w:r>
    </w:p>
    <w:p w14:paraId="111D8A02" w14:textId="77777777" w:rsidR="008C36E3" w:rsidRPr="005C133F" w:rsidRDefault="008C36E3" w:rsidP="008C36E3">
      <w:pPr>
        <w:pStyle w:val="Prrafodelista"/>
        <w:spacing w:after="0" w:line="360" w:lineRule="auto"/>
        <w:ind w:left="360"/>
        <w:jc w:val="both"/>
        <w:rPr>
          <w:b/>
          <w:bCs/>
          <w:lang w:val="es-DO"/>
        </w:rPr>
      </w:pPr>
    </w:p>
    <w:p w14:paraId="7AAD7E6A" w14:textId="40B431F5" w:rsidR="00AB081E" w:rsidRPr="005C133F" w:rsidRDefault="00AB081E">
      <w:pPr>
        <w:pStyle w:val="Prrafodelista"/>
        <w:numPr>
          <w:ilvl w:val="0"/>
          <w:numId w:val="159"/>
        </w:numPr>
        <w:spacing w:after="0" w:line="360" w:lineRule="auto"/>
        <w:jc w:val="both"/>
        <w:rPr>
          <w:rFonts w:eastAsia="Calibri"/>
          <w:lang w:val="es-DO"/>
        </w:rPr>
      </w:pPr>
      <w:r w:rsidRPr="005C133F">
        <w:rPr>
          <w:rFonts w:eastAsia="Calibri"/>
          <w:lang w:val="es-DO"/>
        </w:rPr>
        <w:t xml:space="preserve">En el transcurso del </w:t>
      </w:r>
      <w:r w:rsidR="001F3E9A" w:rsidRPr="005C133F">
        <w:rPr>
          <w:rFonts w:eastAsia="Calibri"/>
          <w:lang w:val="es-DO"/>
        </w:rPr>
        <w:t>2025</w:t>
      </w:r>
      <w:r w:rsidRPr="005C133F">
        <w:rPr>
          <w:rFonts w:eastAsia="Calibri"/>
          <w:lang w:val="es-DO"/>
        </w:rPr>
        <w:t>, se impulsaron acciones estratégicas orientadas a optimizar el proceso de evaluación de los esquemas en estatus “pendiente de aprobación”, logrando implementar nuevos tableros de control que fortalecen la validación de los datos reportados por las ARS antes de aprobar sus cargas, quedaron operativos los tableros correspondientes a los esquemas:</w:t>
      </w:r>
    </w:p>
    <w:p w14:paraId="6CD79886" w14:textId="100336DA" w:rsidR="00AB081E" w:rsidRPr="005C133F" w:rsidRDefault="00AB081E">
      <w:pPr>
        <w:pStyle w:val="Prrafodelista"/>
        <w:numPr>
          <w:ilvl w:val="0"/>
          <w:numId w:val="160"/>
        </w:numPr>
        <w:spacing w:after="0" w:line="360" w:lineRule="auto"/>
        <w:jc w:val="both"/>
        <w:rPr>
          <w:rFonts w:eastAsia="Calibri"/>
          <w:lang w:val="es-DO"/>
        </w:rPr>
      </w:pPr>
      <w:r w:rsidRPr="005C133F">
        <w:rPr>
          <w:rFonts w:eastAsia="Calibri"/>
          <w:b/>
          <w:bCs/>
          <w:lang w:val="es-DO"/>
        </w:rPr>
        <w:t>0028</w:t>
      </w:r>
      <w:r w:rsidRPr="005C133F">
        <w:rPr>
          <w:rFonts w:eastAsia="Calibri"/>
          <w:lang w:val="es-DO"/>
        </w:rPr>
        <w:t>: Red de Prestadores de Servicios de Salud de las ARS.</w:t>
      </w:r>
    </w:p>
    <w:p w14:paraId="6519E955" w14:textId="10F03775" w:rsidR="00AB081E" w:rsidRDefault="00AB081E">
      <w:pPr>
        <w:pStyle w:val="Prrafodelista"/>
        <w:numPr>
          <w:ilvl w:val="0"/>
          <w:numId w:val="160"/>
        </w:numPr>
        <w:spacing w:after="0" w:line="360" w:lineRule="auto"/>
        <w:jc w:val="both"/>
        <w:rPr>
          <w:rFonts w:eastAsia="Calibri"/>
          <w:lang w:val="es-DO"/>
        </w:rPr>
      </w:pPr>
      <w:r w:rsidRPr="005C133F">
        <w:rPr>
          <w:rFonts w:eastAsia="Calibri"/>
          <w:b/>
          <w:bCs/>
          <w:lang w:val="es-DO"/>
        </w:rPr>
        <w:t>0036</w:t>
      </w:r>
      <w:r w:rsidRPr="005C133F">
        <w:rPr>
          <w:rFonts w:eastAsia="Calibri"/>
          <w:lang w:val="es-DO"/>
        </w:rPr>
        <w:t>: Seguimiento de Diagnósticos de afiliados del SFS, FONAMAT y otros planes.</w:t>
      </w:r>
    </w:p>
    <w:p w14:paraId="13D7FFEF" w14:textId="23C2681F" w:rsidR="008C36E3" w:rsidRPr="005C133F" w:rsidRDefault="008C36E3">
      <w:pPr>
        <w:pStyle w:val="Prrafodelista"/>
        <w:numPr>
          <w:ilvl w:val="0"/>
          <w:numId w:val="160"/>
        </w:numPr>
        <w:spacing w:after="0" w:line="360" w:lineRule="auto"/>
        <w:jc w:val="both"/>
        <w:rPr>
          <w:rFonts w:eastAsia="Calibri"/>
          <w:lang w:val="es-DO"/>
        </w:rPr>
      </w:pPr>
      <w:r>
        <w:rPr>
          <w:rFonts w:eastAsia="Calibri"/>
          <w:b/>
          <w:bCs/>
          <w:lang w:val="es-DO"/>
        </w:rPr>
        <w:t>0040</w:t>
      </w:r>
      <w:r w:rsidRPr="008C36E3">
        <w:rPr>
          <w:rFonts w:eastAsia="Calibri"/>
          <w:lang w:val="es-DO"/>
        </w:rPr>
        <w:t>:</w:t>
      </w:r>
      <w:r>
        <w:rPr>
          <w:rFonts w:eastAsia="Calibri"/>
          <w:lang w:val="es-DO"/>
        </w:rPr>
        <w:t xml:space="preserve"> Seguimiento a programas de Promoción y Prevención del PDSS. </w:t>
      </w:r>
    </w:p>
    <w:p w14:paraId="2E19551F" w14:textId="74EB0B37" w:rsidR="00AB081E" w:rsidRPr="005C133F" w:rsidRDefault="00137C8D" w:rsidP="005C133F">
      <w:pPr>
        <w:spacing w:after="0" w:line="360" w:lineRule="auto"/>
        <w:ind w:left="360"/>
        <w:jc w:val="both"/>
        <w:rPr>
          <w:rFonts w:eastAsia="Calibri"/>
          <w:lang w:val="es-DO"/>
        </w:rPr>
      </w:pPr>
      <w:r w:rsidRPr="005C133F">
        <w:rPr>
          <w:rFonts w:eastAsia="Calibri"/>
          <w:lang w:val="es-DO"/>
        </w:rPr>
        <w:t xml:space="preserve">Se elaboraron </w:t>
      </w:r>
      <w:r w:rsidR="00AB081E" w:rsidRPr="005C133F">
        <w:rPr>
          <w:rFonts w:eastAsia="Calibri"/>
          <w:lang w:val="es-DO"/>
        </w:rPr>
        <w:t>otros tableros de control para temas diversos como:</w:t>
      </w:r>
    </w:p>
    <w:p w14:paraId="1CE347AD" w14:textId="77777777" w:rsidR="00AB081E" w:rsidRPr="005C133F" w:rsidRDefault="00AB081E">
      <w:pPr>
        <w:pStyle w:val="Prrafodelista"/>
        <w:numPr>
          <w:ilvl w:val="0"/>
          <w:numId w:val="160"/>
        </w:numPr>
        <w:spacing w:after="0" w:line="360" w:lineRule="auto"/>
        <w:jc w:val="both"/>
        <w:rPr>
          <w:rFonts w:eastAsia="Calibri"/>
          <w:lang w:val="es-DO"/>
        </w:rPr>
      </w:pPr>
      <w:r w:rsidRPr="005C133F">
        <w:rPr>
          <w:rFonts w:eastAsia="Calibri"/>
          <w:lang w:val="es-DO"/>
        </w:rPr>
        <w:t>Análisis sobre obesidad y sus comorbilidades asociadas.</w:t>
      </w:r>
    </w:p>
    <w:p w14:paraId="56418147" w14:textId="77777777" w:rsidR="00AB081E" w:rsidRPr="005C133F" w:rsidRDefault="00AB081E">
      <w:pPr>
        <w:pStyle w:val="Prrafodelista"/>
        <w:numPr>
          <w:ilvl w:val="0"/>
          <w:numId w:val="160"/>
        </w:numPr>
        <w:spacing w:after="0" w:line="360" w:lineRule="auto"/>
        <w:jc w:val="both"/>
        <w:rPr>
          <w:rFonts w:eastAsia="Calibri"/>
          <w:lang w:val="es-DO"/>
        </w:rPr>
      </w:pPr>
      <w:r w:rsidRPr="005C133F">
        <w:rPr>
          <w:rFonts w:eastAsia="Calibri"/>
          <w:lang w:val="es-DO"/>
        </w:rPr>
        <w:lastRenderedPageBreak/>
        <w:t>Monitoreo de vacunas.</w:t>
      </w:r>
    </w:p>
    <w:p w14:paraId="2CF702B8" w14:textId="37EF2A2A" w:rsidR="00D678B2" w:rsidRDefault="00AB081E">
      <w:pPr>
        <w:pStyle w:val="Prrafodelista"/>
        <w:numPr>
          <w:ilvl w:val="0"/>
          <w:numId w:val="160"/>
        </w:numPr>
        <w:spacing w:after="0" w:line="360" w:lineRule="auto"/>
        <w:jc w:val="both"/>
        <w:rPr>
          <w:rFonts w:eastAsia="Calibri"/>
          <w:lang w:val="es-DO"/>
        </w:rPr>
      </w:pPr>
      <w:r w:rsidRPr="005C133F">
        <w:rPr>
          <w:rFonts w:eastAsia="Calibri"/>
          <w:lang w:val="es-DO"/>
        </w:rPr>
        <w:t>Monitoreo de contratación de Centros Diagnósticos.</w:t>
      </w:r>
    </w:p>
    <w:p w14:paraId="5CDCC8C2" w14:textId="77777777" w:rsidR="008C36E3" w:rsidRPr="008C36E3" w:rsidRDefault="008C36E3" w:rsidP="008C36E3">
      <w:pPr>
        <w:pStyle w:val="Prrafodelista"/>
        <w:numPr>
          <w:ilvl w:val="0"/>
          <w:numId w:val="160"/>
        </w:numPr>
        <w:spacing w:after="0" w:line="360" w:lineRule="auto"/>
        <w:jc w:val="both"/>
        <w:rPr>
          <w:rFonts w:eastAsia="Calibri"/>
          <w:lang w:val="es-DO"/>
        </w:rPr>
      </w:pPr>
      <w:r w:rsidRPr="008C36E3">
        <w:rPr>
          <w:rFonts w:eastAsia="Calibri"/>
          <w:lang w:val="es-DO"/>
        </w:rPr>
        <w:t>Evolución anual de prestadoras de salud registradas por tipos de PSS</w:t>
      </w:r>
    </w:p>
    <w:p w14:paraId="1D0E9A50" w14:textId="52505F57" w:rsidR="008C36E3" w:rsidRPr="008C36E3" w:rsidRDefault="008C36E3" w:rsidP="008C36E3">
      <w:pPr>
        <w:pStyle w:val="Prrafodelista"/>
        <w:numPr>
          <w:ilvl w:val="0"/>
          <w:numId w:val="160"/>
        </w:numPr>
        <w:spacing w:after="0" w:line="360" w:lineRule="auto"/>
        <w:jc w:val="both"/>
        <w:rPr>
          <w:rFonts w:eastAsia="Calibri"/>
          <w:lang w:val="es-DO"/>
        </w:rPr>
      </w:pPr>
      <w:r w:rsidRPr="008C36E3">
        <w:rPr>
          <w:rFonts w:eastAsia="Calibri"/>
          <w:lang w:val="es-DO"/>
        </w:rPr>
        <w:t>Análisis Planes Odontológicos SB S.R.L – Histórico</w:t>
      </w:r>
    </w:p>
    <w:p w14:paraId="46C95637" w14:textId="77777777" w:rsidR="008C36E3" w:rsidRDefault="008C36E3" w:rsidP="008C36E3">
      <w:pPr>
        <w:pStyle w:val="Prrafodelista"/>
        <w:numPr>
          <w:ilvl w:val="0"/>
          <w:numId w:val="160"/>
        </w:numPr>
        <w:spacing w:after="0" w:line="360" w:lineRule="auto"/>
        <w:jc w:val="both"/>
        <w:rPr>
          <w:rFonts w:eastAsia="Calibri"/>
          <w:lang w:val="es-DO"/>
        </w:rPr>
      </w:pPr>
      <w:r w:rsidRPr="008C36E3">
        <w:rPr>
          <w:rFonts w:eastAsia="Calibri"/>
          <w:lang w:val="es-DO"/>
        </w:rPr>
        <w:t>Monitoreo de cobertura Oclusión de Vasos Cerebrales</w:t>
      </w:r>
    </w:p>
    <w:p w14:paraId="04A1B09B" w14:textId="4D9E239E" w:rsidR="008C36E3" w:rsidRPr="008C36E3" w:rsidRDefault="008C36E3" w:rsidP="008C36E3">
      <w:pPr>
        <w:pStyle w:val="Prrafodelista"/>
        <w:numPr>
          <w:ilvl w:val="0"/>
          <w:numId w:val="160"/>
        </w:numPr>
        <w:spacing w:after="0" w:line="360" w:lineRule="auto"/>
        <w:jc w:val="both"/>
        <w:rPr>
          <w:rFonts w:eastAsia="Calibri"/>
          <w:lang w:val="es-DO"/>
        </w:rPr>
      </w:pPr>
      <w:r w:rsidRPr="008C36E3">
        <w:rPr>
          <w:rFonts w:eastAsia="Calibri"/>
          <w:lang w:val="es-DO"/>
        </w:rPr>
        <w:t>Contratación de Centros Diagnóstico Laboratorio, Diagnóstico Imágenes y Otros Centro Diagnósticos.</w:t>
      </w:r>
    </w:p>
    <w:p w14:paraId="6F15CCB3" w14:textId="1EFDB444" w:rsidR="00774F75" w:rsidRPr="005C133F" w:rsidRDefault="00AB081E">
      <w:pPr>
        <w:pStyle w:val="Prrafodelista"/>
        <w:numPr>
          <w:ilvl w:val="0"/>
          <w:numId w:val="159"/>
        </w:numPr>
        <w:spacing w:after="0" w:line="360" w:lineRule="auto"/>
        <w:jc w:val="both"/>
        <w:rPr>
          <w:rFonts w:eastAsia="Calibri"/>
          <w:lang w:val="es-DO"/>
        </w:rPr>
      </w:pPr>
      <w:r w:rsidRPr="005C133F">
        <w:rPr>
          <w:rFonts w:eastAsia="Calibri"/>
          <w:lang w:val="es-DO"/>
        </w:rPr>
        <w:t>Como parte del proyecto del “Sistema de Información de Disponibilidad de Servicios de Salud” (SIDISS), se inic</w:t>
      </w:r>
      <w:r w:rsidR="001239AC" w:rsidRPr="005C133F">
        <w:rPr>
          <w:rFonts w:eastAsia="Calibri"/>
          <w:lang w:val="es-DO"/>
        </w:rPr>
        <w:t>ió</w:t>
      </w:r>
      <w:r w:rsidRPr="005C133F">
        <w:rPr>
          <w:rFonts w:eastAsia="Calibri"/>
          <w:lang w:val="es-DO"/>
        </w:rPr>
        <w:t xml:space="preserve"> la implementación de un </w:t>
      </w:r>
      <w:proofErr w:type="spellStart"/>
      <w:r w:rsidRPr="005C133F">
        <w:rPr>
          <w:rFonts w:eastAsia="Calibri"/>
          <w:lang w:val="es-DO"/>
        </w:rPr>
        <w:t>sub</w:t>
      </w:r>
      <w:r w:rsidR="00517406" w:rsidRPr="005C133F">
        <w:rPr>
          <w:rFonts w:eastAsia="Calibri"/>
          <w:lang w:val="es-DO"/>
        </w:rPr>
        <w:t>-</w:t>
      </w:r>
      <w:r w:rsidRPr="005C133F">
        <w:rPr>
          <w:rFonts w:eastAsia="Calibri"/>
          <w:lang w:val="es-DO"/>
        </w:rPr>
        <w:t>portal</w:t>
      </w:r>
      <w:proofErr w:type="spellEnd"/>
      <w:r w:rsidRPr="005C133F">
        <w:rPr>
          <w:rFonts w:eastAsia="Calibri"/>
          <w:lang w:val="es-DO"/>
        </w:rPr>
        <w:t xml:space="preserve"> donde los afiliados y el público en general puedan realizar consultas en línea sobre la disponibilidad de los servicios de Hospitalización y Unidad de Cuidados Intensivos, así como, los equipos inherentes a las mismas (camas y ventiladores), a fin de evitar limitaciones en la atención o traslados innecesarios. </w:t>
      </w:r>
    </w:p>
    <w:p w14:paraId="1E6B9C86" w14:textId="77777777" w:rsidR="00711566" w:rsidRPr="005C133F" w:rsidRDefault="00774F75">
      <w:pPr>
        <w:pStyle w:val="Prrafodelista"/>
        <w:numPr>
          <w:ilvl w:val="0"/>
          <w:numId w:val="159"/>
        </w:numPr>
        <w:spacing w:after="0" w:line="360" w:lineRule="auto"/>
        <w:jc w:val="both"/>
        <w:rPr>
          <w:rFonts w:eastAsia="Calibri"/>
          <w:lang w:val="es-DO"/>
        </w:rPr>
      </w:pPr>
      <w:r w:rsidRPr="005C133F">
        <w:rPr>
          <w:rFonts w:eastAsia="Calibri"/>
          <w:lang w:val="es-DO"/>
        </w:rPr>
        <w:t xml:space="preserve">Se </w:t>
      </w:r>
      <w:r w:rsidR="00CE6CA2" w:rsidRPr="005C133F">
        <w:rPr>
          <w:rFonts w:eastAsia="Calibri"/>
          <w:lang w:val="es-DO"/>
        </w:rPr>
        <w:t xml:space="preserve">realizaron </w:t>
      </w:r>
      <w:r w:rsidR="00CE6CA2" w:rsidRPr="005C133F">
        <w:rPr>
          <w:rFonts w:eastAsia="Calibri"/>
          <w:b/>
          <w:bCs/>
          <w:lang w:val="es-DO"/>
        </w:rPr>
        <w:t>132 actualizaciones</w:t>
      </w:r>
      <w:r w:rsidR="00CE6CA2" w:rsidRPr="005C133F">
        <w:rPr>
          <w:rFonts w:eastAsia="Calibri"/>
          <w:lang w:val="es-DO"/>
        </w:rPr>
        <w:t xml:space="preserve"> tanto a los </w:t>
      </w:r>
      <w:r w:rsidR="00CE6CA2" w:rsidRPr="005C133F">
        <w:rPr>
          <w:rFonts w:eastAsia="Calibri"/>
          <w:b/>
          <w:bCs/>
          <w:lang w:val="es-DO"/>
        </w:rPr>
        <w:t>tableros de control internos</w:t>
      </w:r>
      <w:r w:rsidR="00CE6CA2" w:rsidRPr="005C133F">
        <w:rPr>
          <w:rFonts w:eastAsia="Calibri"/>
          <w:lang w:val="es-DO"/>
        </w:rPr>
        <w:t xml:space="preserve"> como a los </w:t>
      </w:r>
      <w:r w:rsidR="00CE6CA2" w:rsidRPr="005C133F">
        <w:rPr>
          <w:rFonts w:eastAsia="Calibri"/>
          <w:b/>
          <w:bCs/>
          <w:lang w:val="es-DO"/>
        </w:rPr>
        <w:t>tableros de acceso público</w:t>
      </w:r>
      <w:r w:rsidR="00CE6CA2" w:rsidRPr="005C133F">
        <w:rPr>
          <w:rFonts w:eastAsia="Calibri"/>
          <w:lang w:val="es-DO"/>
        </w:rPr>
        <w:t xml:space="preserve"> disponibles en el portal web institucional. Estas actualizaciones, ejecutadas de manera continua, garantizan que las áreas misionales cuenten con herramientas actualizadas para el seguimiento operativo y estratégico del Sistema Dominicano de Seguridad Social (</w:t>
      </w:r>
      <w:r w:rsidR="00CE6CA2" w:rsidRPr="005C133F">
        <w:rPr>
          <w:rFonts w:eastAsia="Calibri"/>
          <w:b/>
          <w:bCs/>
          <w:lang w:val="es-DO"/>
        </w:rPr>
        <w:t>SDSS</w:t>
      </w:r>
      <w:r w:rsidR="00CE6CA2" w:rsidRPr="005C133F">
        <w:rPr>
          <w:rFonts w:eastAsia="Calibri"/>
          <w:lang w:val="es-DO"/>
        </w:rPr>
        <w:t>).</w:t>
      </w:r>
    </w:p>
    <w:p w14:paraId="75EB7EAC" w14:textId="7C833E1F" w:rsidR="005D54F5" w:rsidRDefault="00711566">
      <w:pPr>
        <w:pStyle w:val="Prrafodelista"/>
        <w:numPr>
          <w:ilvl w:val="0"/>
          <w:numId w:val="159"/>
        </w:numPr>
        <w:spacing w:after="0" w:line="360" w:lineRule="auto"/>
        <w:jc w:val="both"/>
        <w:rPr>
          <w:rFonts w:eastAsia="Calibri"/>
          <w:lang w:val="es-DO"/>
        </w:rPr>
      </w:pPr>
      <w:r w:rsidRPr="005C133F">
        <w:rPr>
          <w:rFonts w:eastAsia="Calibri"/>
          <w:lang w:val="es-DO"/>
        </w:rPr>
        <w:t>Se</w:t>
      </w:r>
      <w:r w:rsidR="00CE6CA2" w:rsidRPr="005C133F">
        <w:rPr>
          <w:rFonts w:eastAsia="Calibri"/>
          <w:lang w:val="es-DO"/>
        </w:rPr>
        <w:t xml:space="preserve"> realizaron mejoras significativas en los </w:t>
      </w:r>
      <w:r w:rsidR="00CE6CA2" w:rsidRPr="005C133F">
        <w:rPr>
          <w:rFonts w:eastAsia="Calibri"/>
          <w:b/>
          <w:bCs/>
          <w:lang w:val="es-DO"/>
        </w:rPr>
        <w:t>tableros de afiliación</w:t>
      </w:r>
      <w:r w:rsidR="00CE6CA2" w:rsidRPr="005C133F">
        <w:rPr>
          <w:rFonts w:eastAsia="Calibri"/>
          <w:lang w:val="es-DO"/>
        </w:rPr>
        <w:t xml:space="preserve"> al Seguro Familiar de Salud (</w:t>
      </w:r>
      <w:r w:rsidR="00CE6CA2" w:rsidRPr="005C133F">
        <w:rPr>
          <w:rFonts w:eastAsia="Calibri"/>
          <w:b/>
          <w:bCs/>
          <w:lang w:val="es-DO"/>
        </w:rPr>
        <w:t>SFS</w:t>
      </w:r>
      <w:r w:rsidR="00CE6CA2" w:rsidRPr="005C133F">
        <w:rPr>
          <w:rFonts w:eastAsia="Calibri"/>
          <w:lang w:val="es-DO"/>
        </w:rPr>
        <w:t>) y el Seguro de Riesgos Laborales (</w:t>
      </w:r>
      <w:r w:rsidR="00CE6CA2" w:rsidRPr="005C133F">
        <w:rPr>
          <w:rFonts w:eastAsia="Calibri"/>
          <w:b/>
          <w:bCs/>
          <w:lang w:val="es-DO"/>
        </w:rPr>
        <w:t>SRL</w:t>
      </w:r>
      <w:r w:rsidR="00CE6CA2" w:rsidRPr="005C133F">
        <w:rPr>
          <w:rFonts w:eastAsia="Calibri"/>
          <w:lang w:val="es-DO"/>
        </w:rPr>
        <w:t xml:space="preserve">), optimizando su diseño y estructura. Estas mejoras permiten una visualización más clara de la evolución de la población afiliada, facilitando el entendimiento de las tendencias por régimen, tipo de afiliado y periodos específicos. Asimismo, fue rediseñado el </w:t>
      </w:r>
      <w:r w:rsidR="00CE6CA2" w:rsidRPr="005C133F">
        <w:rPr>
          <w:rFonts w:eastAsia="Calibri"/>
          <w:b/>
          <w:bCs/>
          <w:lang w:val="es-DO"/>
        </w:rPr>
        <w:t>Tablero de Series Históricas</w:t>
      </w:r>
      <w:r w:rsidR="00CE6CA2" w:rsidRPr="005C133F">
        <w:rPr>
          <w:rFonts w:eastAsia="Calibri"/>
          <w:lang w:val="es-DO"/>
        </w:rPr>
        <w:t xml:space="preserve">, </w:t>
      </w:r>
      <w:r w:rsidR="00CE6CA2" w:rsidRPr="005C133F">
        <w:rPr>
          <w:rFonts w:eastAsia="Calibri"/>
          <w:lang w:val="es-DO"/>
        </w:rPr>
        <w:lastRenderedPageBreak/>
        <w:t>mejorando la disponibilidad de archivos disponibles para descarga que permiten realizar un análisis comparativo más preciso.</w:t>
      </w:r>
    </w:p>
    <w:p w14:paraId="0F2C5FBA" w14:textId="77777777" w:rsidR="005C1996" w:rsidRPr="005C133F" w:rsidRDefault="005C1996" w:rsidP="005C1996">
      <w:pPr>
        <w:pStyle w:val="Prrafodelista"/>
        <w:spacing w:after="0" w:line="360" w:lineRule="auto"/>
        <w:ind w:left="360"/>
        <w:jc w:val="both"/>
        <w:rPr>
          <w:rFonts w:eastAsia="Calibri"/>
          <w:lang w:val="es-DO"/>
        </w:rPr>
      </w:pPr>
    </w:p>
    <w:p w14:paraId="50413AB2" w14:textId="71759BF2" w:rsidR="00926EE8" w:rsidRDefault="00926EE8">
      <w:pPr>
        <w:pStyle w:val="Prrafodelista"/>
        <w:numPr>
          <w:ilvl w:val="0"/>
          <w:numId w:val="156"/>
        </w:numPr>
        <w:spacing w:after="0" w:line="360" w:lineRule="auto"/>
        <w:jc w:val="both"/>
        <w:rPr>
          <w:b/>
          <w:bCs/>
          <w:lang w:val="es-DO"/>
        </w:rPr>
      </w:pPr>
      <w:r w:rsidRPr="005C133F">
        <w:rPr>
          <w:b/>
          <w:bCs/>
          <w:lang w:val="es-DO"/>
        </w:rPr>
        <w:t>Informes estadísticos remitidos a entidades externas</w:t>
      </w:r>
    </w:p>
    <w:p w14:paraId="7BC9DE5F" w14:textId="77777777" w:rsidR="00D75EEC" w:rsidRPr="005C133F" w:rsidRDefault="00D75EEC" w:rsidP="00D75EEC">
      <w:pPr>
        <w:pStyle w:val="Prrafodelista"/>
        <w:spacing w:after="0" w:line="360" w:lineRule="auto"/>
        <w:ind w:left="360"/>
        <w:jc w:val="both"/>
        <w:rPr>
          <w:b/>
          <w:bCs/>
          <w:lang w:val="es-DO"/>
        </w:rPr>
      </w:pPr>
    </w:p>
    <w:p w14:paraId="10791264" w14:textId="0C9D3044" w:rsidR="004779FE" w:rsidRPr="005C133F" w:rsidRDefault="004779FE" w:rsidP="005C133F">
      <w:pPr>
        <w:spacing w:after="0" w:line="360" w:lineRule="auto"/>
        <w:jc w:val="both"/>
        <w:rPr>
          <w:rFonts w:eastAsia="Calibri"/>
        </w:rPr>
      </w:pPr>
      <w:r w:rsidRPr="005C133F">
        <w:rPr>
          <w:rFonts w:eastAsia="Calibri"/>
          <w:lang w:val="es-DO"/>
        </w:rPr>
        <w:t>Durante el año 2025, se realizaron y remitieron 2</w:t>
      </w:r>
      <w:r w:rsidR="005C1996">
        <w:rPr>
          <w:rFonts w:eastAsia="Calibri"/>
          <w:lang w:val="es-DO"/>
        </w:rPr>
        <w:t>6</w:t>
      </w:r>
      <w:r w:rsidRPr="005C133F">
        <w:rPr>
          <w:rFonts w:eastAsia="Calibri"/>
          <w:lang w:val="es-DO"/>
        </w:rPr>
        <w:t xml:space="preserve"> informes estadísticos dirigidos entidades externas, abarcando los principales ejes temáticos del Sistema Dominicano de Seguridad Social: afiliación, diagnósticos, estados financieros y prestaciones. Se desarrollaron análisis y tabulados especializados para caracterizar la población afiliada al Seguro Familiar de Salud (SFS) y al Seguro de Riesgos Laborales (SRL), generando información estratégica para la toma de decisiones, la formulación de políticas públicas y el seguimiento de compromisos nacionales e internacionales. </w:t>
      </w:r>
      <w:r w:rsidRPr="005C133F">
        <w:rPr>
          <w:rFonts w:eastAsia="Calibri"/>
        </w:rPr>
        <w:t xml:space="preserve">Entre </w:t>
      </w:r>
      <w:proofErr w:type="spellStart"/>
      <w:r w:rsidRPr="005C133F">
        <w:rPr>
          <w:rFonts w:eastAsia="Calibri"/>
        </w:rPr>
        <w:t>los</w:t>
      </w:r>
      <w:proofErr w:type="spellEnd"/>
      <w:r w:rsidRPr="005C133F">
        <w:rPr>
          <w:rFonts w:eastAsia="Calibri"/>
        </w:rPr>
        <w:t xml:space="preserve"> </w:t>
      </w:r>
      <w:r w:rsidRPr="005C133F">
        <w:rPr>
          <w:rFonts w:eastAsia="Calibri"/>
          <w:lang w:val="es-DO"/>
        </w:rPr>
        <w:t>principales productos estadísticos se destacan:</w:t>
      </w:r>
    </w:p>
    <w:p w14:paraId="0FC34BCA" w14:textId="1D762186" w:rsidR="004779FE" w:rsidRPr="005C133F" w:rsidRDefault="004779FE">
      <w:pPr>
        <w:numPr>
          <w:ilvl w:val="0"/>
          <w:numId w:val="161"/>
        </w:numPr>
        <w:spacing w:after="0" w:line="360" w:lineRule="auto"/>
        <w:jc w:val="both"/>
        <w:rPr>
          <w:rFonts w:eastAsia="Calibri"/>
          <w:lang w:val="es-DO"/>
        </w:rPr>
      </w:pPr>
      <w:r w:rsidRPr="005C133F">
        <w:rPr>
          <w:rFonts w:eastAsia="Calibri"/>
          <w:lang w:val="es-DO"/>
        </w:rPr>
        <w:t xml:space="preserve">Reporte estadístico sobre los servicios de salud mental otorgados a los afiliados del Seguro Familiar de Salud, con énfasis en la información presupuestaria, a fin de dar cumplimiento al compromiso país vinculado al llenado del Atlas de Salud Mental 2024. </w:t>
      </w:r>
      <w:r w:rsidR="00724835" w:rsidRPr="005C133F">
        <w:rPr>
          <w:rFonts w:eastAsia="Calibri"/>
          <w:lang w:val="es-DO"/>
        </w:rPr>
        <w:t>P</w:t>
      </w:r>
      <w:r w:rsidRPr="005C133F">
        <w:rPr>
          <w:rFonts w:eastAsia="Calibri"/>
          <w:lang w:val="es-DO"/>
        </w:rPr>
        <w:t>rincipal plataforma global para evaluar el desempeño de los países en materia de gobernanza, financiamiento, disponibilidad de servicios, recursos humanos y políticas públicas de salud mental.</w:t>
      </w:r>
    </w:p>
    <w:p w14:paraId="523F4678" w14:textId="718AFC16" w:rsidR="004779FE" w:rsidRPr="005C133F" w:rsidRDefault="00724835">
      <w:pPr>
        <w:numPr>
          <w:ilvl w:val="0"/>
          <w:numId w:val="161"/>
        </w:numPr>
        <w:spacing w:after="0" w:line="360" w:lineRule="auto"/>
        <w:jc w:val="both"/>
        <w:rPr>
          <w:rFonts w:eastAsia="Calibri"/>
          <w:lang w:val="es-DO"/>
        </w:rPr>
      </w:pPr>
      <w:r w:rsidRPr="005C133F">
        <w:rPr>
          <w:rFonts w:eastAsia="Calibri"/>
          <w:lang w:val="es-DO"/>
        </w:rPr>
        <w:t>A</w:t>
      </w:r>
      <w:r w:rsidR="004779FE" w:rsidRPr="005C133F">
        <w:rPr>
          <w:rFonts w:eastAsia="Calibri"/>
          <w:lang w:val="es-DO"/>
        </w:rPr>
        <w:t xml:space="preserve">poyo a la realización del Estudio de Medición del Gasto en SIDA 2024. </w:t>
      </w:r>
    </w:p>
    <w:p w14:paraId="607F4B60" w14:textId="77777777" w:rsidR="004779FE" w:rsidRDefault="004779FE">
      <w:pPr>
        <w:numPr>
          <w:ilvl w:val="0"/>
          <w:numId w:val="161"/>
        </w:numPr>
        <w:spacing w:after="0" w:line="360" w:lineRule="auto"/>
        <w:jc w:val="both"/>
        <w:rPr>
          <w:rFonts w:eastAsia="Calibri"/>
          <w:lang w:val="es-DO"/>
        </w:rPr>
      </w:pPr>
      <w:r w:rsidRPr="005C133F">
        <w:rPr>
          <w:rFonts w:eastAsia="Calibri"/>
          <w:lang w:val="es-DO"/>
        </w:rPr>
        <w:t>Intervenciones costo-efectivas en Enfermedad Diarreica Aguda (EDA), remitido al Ministerio de Salud Pública, el cual incluyó información detallada sobre los casos atendidos y los costos generados en el Seguro Familiar de Salud (SFS).</w:t>
      </w:r>
    </w:p>
    <w:p w14:paraId="1325A821" w14:textId="77777777" w:rsidR="00CF647E" w:rsidRPr="005C133F" w:rsidRDefault="00CF647E" w:rsidP="00CF647E">
      <w:pPr>
        <w:spacing w:after="0" w:line="360" w:lineRule="auto"/>
        <w:ind w:left="770"/>
        <w:jc w:val="both"/>
        <w:rPr>
          <w:rFonts w:eastAsia="Calibri"/>
          <w:lang w:val="es-DO"/>
        </w:rPr>
      </w:pPr>
    </w:p>
    <w:p w14:paraId="38AF7451" w14:textId="5581F510" w:rsidR="0066583D" w:rsidRDefault="0066583D" w:rsidP="00E05B71">
      <w:pPr>
        <w:pStyle w:val="Descripcin"/>
        <w:keepNext/>
        <w:spacing w:after="0"/>
        <w:jc w:val="center"/>
        <w:rPr>
          <w:b/>
          <w:bCs/>
          <w:i w:val="0"/>
          <w:iCs w:val="0"/>
          <w:color w:val="767171"/>
          <w:sz w:val="24"/>
          <w:szCs w:val="24"/>
          <w:lang w:val="es-DO"/>
        </w:rPr>
      </w:pPr>
      <w:bookmarkStart w:id="34" w:name="_Toc218784146"/>
      <w:r w:rsidRPr="005C133F">
        <w:rPr>
          <w:b/>
          <w:bCs/>
          <w:i w:val="0"/>
          <w:iCs w:val="0"/>
          <w:color w:val="767171"/>
          <w:sz w:val="24"/>
          <w:szCs w:val="24"/>
          <w:lang w:val="es-DO"/>
        </w:rPr>
        <w:t xml:space="preserve">Tabla </w:t>
      </w:r>
      <w:r w:rsidRPr="005C133F">
        <w:rPr>
          <w:b/>
          <w:bCs/>
          <w:i w:val="0"/>
          <w:iCs w:val="0"/>
          <w:color w:val="767171"/>
          <w:sz w:val="24"/>
          <w:szCs w:val="24"/>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rPr>
        <w:fldChar w:fldCharType="separate"/>
      </w:r>
      <w:r w:rsidR="00814341">
        <w:rPr>
          <w:b/>
          <w:bCs/>
          <w:i w:val="0"/>
          <w:iCs w:val="0"/>
          <w:noProof/>
          <w:color w:val="767171"/>
          <w:sz w:val="24"/>
          <w:szCs w:val="24"/>
          <w:lang w:val="es-DO"/>
        </w:rPr>
        <w:t>14</w:t>
      </w:r>
      <w:r w:rsidRPr="005C133F">
        <w:rPr>
          <w:b/>
          <w:bCs/>
          <w:i w:val="0"/>
          <w:iCs w:val="0"/>
          <w:color w:val="767171"/>
          <w:sz w:val="24"/>
          <w:szCs w:val="24"/>
        </w:rPr>
        <w:fldChar w:fldCharType="end"/>
      </w:r>
      <w:r w:rsidRPr="005C133F">
        <w:rPr>
          <w:b/>
          <w:bCs/>
          <w:i w:val="0"/>
          <w:iCs w:val="0"/>
          <w:color w:val="767171"/>
          <w:sz w:val="24"/>
          <w:szCs w:val="24"/>
          <w:lang w:val="es-DO"/>
        </w:rPr>
        <w:t>. Informes estadísticos remitidos a entidades externas</w:t>
      </w:r>
      <w:bookmarkEnd w:id="34"/>
    </w:p>
    <w:tbl>
      <w:tblPr>
        <w:tblW w:w="0" w:type="auto"/>
        <w:tblCellMar>
          <w:left w:w="70" w:type="dxa"/>
          <w:right w:w="70" w:type="dxa"/>
        </w:tblCellMar>
        <w:tblLook w:val="04A0" w:firstRow="1" w:lastRow="0" w:firstColumn="1" w:lastColumn="0" w:noHBand="0" w:noVBand="1"/>
      </w:tblPr>
      <w:tblGrid>
        <w:gridCol w:w="2201"/>
        <w:gridCol w:w="5563"/>
        <w:gridCol w:w="146"/>
      </w:tblGrid>
      <w:tr w:rsidR="00CF647E" w:rsidRPr="00CF647E" w14:paraId="3B8EDE2E" w14:textId="77777777" w:rsidTr="00CF647E">
        <w:trPr>
          <w:gridAfter w:val="1"/>
          <w:trHeight w:val="324"/>
          <w:tblHeader/>
        </w:trPr>
        <w:tc>
          <w:tcPr>
            <w:tcW w:w="0" w:type="auto"/>
            <w:tcBorders>
              <w:top w:val="single" w:sz="4" w:space="0" w:color="767171"/>
              <w:left w:val="single" w:sz="4" w:space="0" w:color="767171"/>
              <w:bottom w:val="single" w:sz="4" w:space="0" w:color="767171"/>
              <w:right w:val="single" w:sz="4" w:space="0" w:color="767171"/>
            </w:tcBorders>
            <w:shd w:val="clear" w:color="000000" w:fill="011C50"/>
            <w:noWrap/>
            <w:vAlign w:val="center"/>
            <w:hideMark/>
          </w:tcPr>
          <w:p w14:paraId="28462F81" w14:textId="77777777" w:rsidR="00CF647E" w:rsidRPr="00CF647E" w:rsidRDefault="00CF647E" w:rsidP="00CF647E">
            <w:pPr>
              <w:spacing w:after="0" w:line="240" w:lineRule="auto"/>
              <w:jc w:val="center"/>
              <w:rPr>
                <w:rFonts w:eastAsia="Times New Roman"/>
                <w:b/>
                <w:bCs/>
                <w:color w:val="FFFFFF"/>
                <w:spacing w:val="0"/>
                <w:lang w:val="es-DO" w:eastAsia="es-DO"/>
              </w:rPr>
            </w:pPr>
            <w:r w:rsidRPr="00CF647E">
              <w:rPr>
                <w:rFonts w:eastAsia="Times New Roman"/>
                <w:b/>
                <w:bCs/>
                <w:color w:val="FFFFFF"/>
                <w:spacing w:val="0"/>
                <w:lang w:val="es-DO" w:eastAsia="es-DO"/>
              </w:rPr>
              <w:t>Tema</w:t>
            </w:r>
          </w:p>
        </w:tc>
        <w:tc>
          <w:tcPr>
            <w:tcW w:w="0" w:type="auto"/>
            <w:tcBorders>
              <w:top w:val="single" w:sz="4" w:space="0" w:color="767171"/>
              <w:left w:val="nil"/>
              <w:bottom w:val="single" w:sz="4" w:space="0" w:color="767171"/>
              <w:right w:val="single" w:sz="4" w:space="0" w:color="767171"/>
            </w:tcBorders>
            <w:shd w:val="clear" w:color="000000" w:fill="011C50"/>
            <w:noWrap/>
            <w:vAlign w:val="center"/>
            <w:hideMark/>
          </w:tcPr>
          <w:p w14:paraId="279934E4" w14:textId="77777777" w:rsidR="00CF647E" w:rsidRPr="00CF647E" w:rsidRDefault="00CF647E" w:rsidP="00CF647E">
            <w:pPr>
              <w:spacing w:after="0" w:line="240" w:lineRule="auto"/>
              <w:jc w:val="center"/>
              <w:rPr>
                <w:rFonts w:eastAsia="Times New Roman"/>
                <w:b/>
                <w:bCs/>
                <w:color w:val="FFFFFF"/>
                <w:spacing w:val="0"/>
                <w:lang w:val="es-DO" w:eastAsia="es-DO"/>
              </w:rPr>
            </w:pPr>
            <w:r w:rsidRPr="00CF647E">
              <w:rPr>
                <w:rFonts w:eastAsia="Times New Roman"/>
                <w:b/>
                <w:bCs/>
                <w:color w:val="FFFFFF"/>
                <w:spacing w:val="0"/>
                <w:lang w:val="es-DO" w:eastAsia="es-DO"/>
              </w:rPr>
              <w:t>Informe Estadístico</w:t>
            </w:r>
          </w:p>
        </w:tc>
      </w:tr>
      <w:tr w:rsidR="00CF647E" w:rsidRPr="00CF647E" w14:paraId="20F282A1" w14:textId="77777777" w:rsidTr="00CF647E">
        <w:trPr>
          <w:gridAfter w:val="1"/>
          <w:trHeight w:val="639"/>
        </w:trPr>
        <w:tc>
          <w:tcPr>
            <w:tcW w:w="0" w:type="auto"/>
            <w:vMerge w:val="restart"/>
            <w:tcBorders>
              <w:top w:val="nil"/>
              <w:left w:val="single" w:sz="4" w:space="0" w:color="767171"/>
              <w:bottom w:val="single" w:sz="4" w:space="0" w:color="767171"/>
              <w:right w:val="single" w:sz="4" w:space="0" w:color="767171"/>
            </w:tcBorders>
            <w:noWrap/>
            <w:vAlign w:val="center"/>
            <w:hideMark/>
          </w:tcPr>
          <w:p w14:paraId="72EE4BE5" w14:textId="77777777" w:rsidR="00CF647E" w:rsidRPr="00CF647E" w:rsidRDefault="00CF647E" w:rsidP="00CF647E">
            <w:pPr>
              <w:spacing w:after="0" w:line="240" w:lineRule="auto"/>
              <w:jc w:val="center"/>
              <w:rPr>
                <w:rFonts w:eastAsia="Times New Roman"/>
                <w:b/>
                <w:bCs/>
                <w:spacing w:val="0"/>
                <w:lang w:val="es-DO" w:eastAsia="es-DO"/>
              </w:rPr>
            </w:pPr>
            <w:r w:rsidRPr="00CF647E">
              <w:rPr>
                <w:rFonts w:eastAsia="Times New Roman"/>
                <w:b/>
                <w:bCs/>
                <w:spacing w:val="0"/>
                <w:lang w:val="es-DO" w:eastAsia="es-DO"/>
              </w:rPr>
              <w:t>Afiliación</w:t>
            </w:r>
          </w:p>
        </w:tc>
        <w:tc>
          <w:tcPr>
            <w:tcW w:w="0" w:type="auto"/>
            <w:tcBorders>
              <w:top w:val="nil"/>
              <w:left w:val="nil"/>
              <w:bottom w:val="single" w:sz="4" w:space="0" w:color="767171"/>
              <w:right w:val="single" w:sz="4" w:space="0" w:color="767171"/>
            </w:tcBorders>
            <w:vAlign w:val="center"/>
            <w:hideMark/>
          </w:tcPr>
          <w:p w14:paraId="3AE29171"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1-Reporte estadístico de número de Afiliados al Seguro Familiar de Salud según régimen de financiamiento por Regiones de salud y provincias.  por Sexo, del año de cobertura:2024.</w:t>
            </w:r>
          </w:p>
        </w:tc>
      </w:tr>
      <w:tr w:rsidR="00CF647E" w:rsidRPr="00CF647E" w14:paraId="729CEB85" w14:textId="77777777" w:rsidTr="00CF647E">
        <w:trPr>
          <w:gridAfter w:val="1"/>
          <w:trHeight w:val="939"/>
        </w:trPr>
        <w:tc>
          <w:tcPr>
            <w:tcW w:w="0" w:type="auto"/>
            <w:vMerge/>
            <w:tcBorders>
              <w:top w:val="nil"/>
              <w:left w:val="single" w:sz="4" w:space="0" w:color="767171"/>
              <w:bottom w:val="single" w:sz="4" w:space="0" w:color="767171"/>
              <w:right w:val="single" w:sz="4" w:space="0" w:color="767171"/>
            </w:tcBorders>
            <w:vAlign w:val="center"/>
            <w:hideMark/>
          </w:tcPr>
          <w:p w14:paraId="128A2785"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591AC24D"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2- Reporte estadístico de Población afiliada por Sexo y grupos de edad según Régimen de financiamiento y Categoría de ARS. Periodo de Cobertura:202506; Catálogo de Prestaciones del PDSS del Régimen Contributivo y del Régimen Subsidiado; Estado de Resultado Mensual por Categoría de Administradora de Riesgos de Salud; Incrementos aplicados al Per Cápita del Plan Básico de Salud por Régimen de Financiamiento, según base legal. Años:2007 - 2025</w:t>
            </w:r>
          </w:p>
        </w:tc>
      </w:tr>
      <w:tr w:rsidR="00CF647E" w:rsidRPr="00CF647E" w14:paraId="0E8845A5" w14:textId="77777777" w:rsidTr="00CF647E">
        <w:trPr>
          <w:gridAfter w:val="1"/>
          <w:trHeight w:val="948"/>
        </w:trPr>
        <w:tc>
          <w:tcPr>
            <w:tcW w:w="0" w:type="auto"/>
            <w:vMerge/>
            <w:tcBorders>
              <w:top w:val="nil"/>
              <w:left w:val="single" w:sz="4" w:space="0" w:color="767171"/>
              <w:bottom w:val="single" w:sz="4" w:space="0" w:color="767171"/>
              <w:right w:val="single" w:sz="4" w:space="0" w:color="767171"/>
            </w:tcBorders>
            <w:vAlign w:val="center"/>
            <w:hideMark/>
          </w:tcPr>
          <w:p w14:paraId="09044E92"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0546F74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3-Reporte del total de afiliados en Régimen Subsidiado en el Régimen Subsidiado. Años: 2007-2024.</w:t>
            </w:r>
          </w:p>
        </w:tc>
      </w:tr>
      <w:tr w:rsidR="00CF647E" w:rsidRPr="00CD02F5" w14:paraId="50E3E531" w14:textId="77777777" w:rsidTr="00CF647E">
        <w:trPr>
          <w:gridAfter w:val="1"/>
          <w:trHeight w:val="639"/>
        </w:trPr>
        <w:tc>
          <w:tcPr>
            <w:tcW w:w="0" w:type="auto"/>
            <w:vMerge/>
            <w:tcBorders>
              <w:top w:val="nil"/>
              <w:left w:val="single" w:sz="4" w:space="0" w:color="767171"/>
              <w:bottom w:val="single" w:sz="4" w:space="0" w:color="767171"/>
              <w:right w:val="single" w:sz="4" w:space="0" w:color="767171"/>
            </w:tcBorders>
            <w:vAlign w:val="center"/>
            <w:hideMark/>
          </w:tcPr>
          <w:p w14:paraId="1CE473EE"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034032A7"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4-Reporte del total de afiliados asignados por ARS y Montos Dispersados</w:t>
            </w:r>
          </w:p>
        </w:tc>
      </w:tr>
      <w:tr w:rsidR="00CF647E" w:rsidRPr="00CD02F5" w14:paraId="6CFB7375" w14:textId="77777777" w:rsidTr="00CF647E">
        <w:trPr>
          <w:gridAfter w:val="1"/>
          <w:trHeight w:val="636"/>
        </w:trPr>
        <w:tc>
          <w:tcPr>
            <w:tcW w:w="0" w:type="auto"/>
            <w:vMerge/>
            <w:tcBorders>
              <w:top w:val="nil"/>
              <w:left w:val="single" w:sz="4" w:space="0" w:color="767171"/>
              <w:bottom w:val="single" w:sz="4" w:space="0" w:color="767171"/>
              <w:right w:val="single" w:sz="4" w:space="0" w:color="767171"/>
            </w:tcBorders>
            <w:vAlign w:val="center"/>
            <w:hideMark/>
          </w:tcPr>
          <w:p w14:paraId="51DC6F4E"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10A6E066"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5-Reporte del total de ciudadanos afiliados al Sistema Dominicano de Seguridad Social en la región norte del país, por provincias, y la distribución de afiliados por Administradora de Riesgos de Salud (ARS) por tipo de Régimen.</w:t>
            </w:r>
          </w:p>
        </w:tc>
      </w:tr>
      <w:tr w:rsidR="00CF647E" w:rsidRPr="00CD02F5" w14:paraId="6CB0284D" w14:textId="77777777" w:rsidTr="00CF647E">
        <w:trPr>
          <w:gridAfter w:val="1"/>
          <w:trHeight w:val="1260"/>
        </w:trPr>
        <w:tc>
          <w:tcPr>
            <w:tcW w:w="0" w:type="auto"/>
            <w:vMerge/>
            <w:tcBorders>
              <w:top w:val="nil"/>
              <w:left w:val="single" w:sz="4" w:space="0" w:color="767171"/>
              <w:bottom w:val="single" w:sz="4" w:space="0" w:color="767171"/>
              <w:right w:val="single" w:sz="4" w:space="0" w:color="767171"/>
            </w:tcBorders>
            <w:vAlign w:val="center"/>
            <w:hideMark/>
          </w:tcPr>
          <w:p w14:paraId="05893782"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7C232E3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6-Reporte estadístico de la Población Afiliada y Monto Dispersado, por Periodo de Cobertura, Región, Provincia, Sexo, Grupo de Edad, Régimen y Tipo de Afiliación Años: 2018-2025.</w:t>
            </w:r>
          </w:p>
        </w:tc>
      </w:tr>
      <w:tr w:rsidR="00CF647E" w:rsidRPr="00CD02F5" w14:paraId="7992F471" w14:textId="77777777" w:rsidTr="00CF647E">
        <w:trPr>
          <w:gridAfter w:val="1"/>
          <w:trHeight w:val="639"/>
        </w:trPr>
        <w:tc>
          <w:tcPr>
            <w:tcW w:w="0" w:type="auto"/>
            <w:vMerge/>
            <w:tcBorders>
              <w:top w:val="nil"/>
              <w:left w:val="single" w:sz="4" w:space="0" w:color="767171"/>
              <w:bottom w:val="single" w:sz="4" w:space="0" w:color="767171"/>
              <w:right w:val="single" w:sz="4" w:space="0" w:color="767171"/>
            </w:tcBorders>
            <w:vAlign w:val="center"/>
            <w:hideMark/>
          </w:tcPr>
          <w:p w14:paraId="3D0700CB"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50B63819"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7-Reporte estadístico de afiliados por régimen de financiamiento, tipo de afiliación, sexo, regiones de planificación, provincias y edades quinquenales</w:t>
            </w:r>
          </w:p>
        </w:tc>
      </w:tr>
      <w:tr w:rsidR="00CF647E" w:rsidRPr="00CF647E" w14:paraId="3FCDE99C" w14:textId="77777777" w:rsidTr="00CF647E">
        <w:trPr>
          <w:gridAfter w:val="1"/>
          <w:trHeight w:val="1104"/>
        </w:trPr>
        <w:tc>
          <w:tcPr>
            <w:tcW w:w="0" w:type="auto"/>
            <w:tcBorders>
              <w:top w:val="nil"/>
              <w:left w:val="single" w:sz="4" w:space="0" w:color="767171"/>
              <w:bottom w:val="single" w:sz="4" w:space="0" w:color="767171"/>
              <w:right w:val="single" w:sz="4" w:space="0" w:color="767171"/>
            </w:tcBorders>
            <w:noWrap/>
            <w:vAlign w:val="center"/>
            <w:hideMark/>
          </w:tcPr>
          <w:p w14:paraId="15B87955" w14:textId="77777777" w:rsidR="00CF647E" w:rsidRPr="00CF647E" w:rsidRDefault="00CF647E" w:rsidP="00CF647E">
            <w:pPr>
              <w:spacing w:after="0" w:line="240" w:lineRule="auto"/>
              <w:jc w:val="center"/>
              <w:rPr>
                <w:rFonts w:eastAsia="Times New Roman"/>
                <w:b/>
                <w:bCs/>
                <w:spacing w:val="0"/>
                <w:lang w:val="es-DO" w:eastAsia="es-DO"/>
              </w:rPr>
            </w:pPr>
            <w:r w:rsidRPr="00CF647E">
              <w:rPr>
                <w:rFonts w:eastAsia="Times New Roman"/>
                <w:b/>
                <w:bCs/>
                <w:spacing w:val="0"/>
                <w:lang w:val="es-DO" w:eastAsia="es-DO"/>
              </w:rPr>
              <w:t>Diagnósticos</w:t>
            </w:r>
          </w:p>
        </w:tc>
        <w:tc>
          <w:tcPr>
            <w:tcW w:w="0" w:type="auto"/>
            <w:tcBorders>
              <w:top w:val="nil"/>
              <w:left w:val="nil"/>
              <w:bottom w:val="single" w:sz="4" w:space="0" w:color="767171"/>
              <w:right w:val="single" w:sz="4" w:space="0" w:color="767171"/>
            </w:tcBorders>
            <w:vAlign w:val="center"/>
            <w:hideMark/>
          </w:tcPr>
          <w:p w14:paraId="6113631B"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1-Base de datos y tabulados para la investigación sobre intervenciones Costo efectivas para la Enfermedad Diarreica Aguda (EDA), de los casos atendidos por EDA y los costos generados por esta atención en el Seguro Familiar de Salud (SFS). Años 2022, 2023 y 2024.</w:t>
            </w:r>
          </w:p>
        </w:tc>
      </w:tr>
      <w:tr w:rsidR="00CF647E" w:rsidRPr="00CD02F5" w14:paraId="48F86DEC" w14:textId="77777777" w:rsidTr="00CF647E">
        <w:trPr>
          <w:gridAfter w:val="1"/>
          <w:trHeight w:val="1260"/>
        </w:trPr>
        <w:tc>
          <w:tcPr>
            <w:tcW w:w="0" w:type="auto"/>
            <w:tcBorders>
              <w:top w:val="nil"/>
              <w:left w:val="single" w:sz="4" w:space="0" w:color="767171"/>
              <w:bottom w:val="single" w:sz="4" w:space="0" w:color="767171"/>
              <w:right w:val="single" w:sz="4" w:space="0" w:color="767171"/>
            </w:tcBorders>
            <w:noWrap/>
            <w:vAlign w:val="center"/>
            <w:hideMark/>
          </w:tcPr>
          <w:p w14:paraId="5987E79A" w14:textId="77777777" w:rsidR="00CF647E" w:rsidRPr="00CF647E" w:rsidRDefault="00CF647E" w:rsidP="00CF647E">
            <w:pPr>
              <w:spacing w:after="0" w:line="240" w:lineRule="auto"/>
              <w:jc w:val="center"/>
              <w:rPr>
                <w:rFonts w:eastAsia="Times New Roman"/>
                <w:b/>
                <w:bCs/>
                <w:spacing w:val="0"/>
                <w:lang w:val="es-DO" w:eastAsia="es-DO"/>
              </w:rPr>
            </w:pPr>
            <w:r w:rsidRPr="00CF647E">
              <w:rPr>
                <w:rFonts w:eastAsia="Times New Roman"/>
                <w:b/>
                <w:bCs/>
                <w:spacing w:val="0"/>
                <w:lang w:val="es-DO" w:eastAsia="es-DO"/>
              </w:rPr>
              <w:lastRenderedPageBreak/>
              <w:t>Estados Financieros</w:t>
            </w:r>
          </w:p>
        </w:tc>
        <w:tc>
          <w:tcPr>
            <w:tcW w:w="0" w:type="auto"/>
            <w:tcBorders>
              <w:top w:val="nil"/>
              <w:left w:val="nil"/>
              <w:bottom w:val="single" w:sz="4" w:space="0" w:color="767171"/>
              <w:right w:val="single" w:sz="4" w:space="0" w:color="767171"/>
            </w:tcBorders>
            <w:vAlign w:val="center"/>
            <w:hideMark/>
          </w:tcPr>
          <w:p w14:paraId="4DCCE84B"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1-Reporte de Ingresos, gastos y beneficios por ARS públicas, privadas y de autogestión en el Régimen Contributivo por año, periodo 2007-2024.</w:t>
            </w:r>
          </w:p>
        </w:tc>
      </w:tr>
      <w:tr w:rsidR="00CF647E" w:rsidRPr="00CD02F5" w14:paraId="41784F41" w14:textId="77777777" w:rsidTr="00CF647E">
        <w:trPr>
          <w:gridAfter w:val="1"/>
          <w:trHeight w:val="639"/>
        </w:trPr>
        <w:tc>
          <w:tcPr>
            <w:tcW w:w="0" w:type="auto"/>
            <w:vMerge w:val="restart"/>
            <w:tcBorders>
              <w:top w:val="nil"/>
              <w:left w:val="single" w:sz="4" w:space="0" w:color="767171"/>
              <w:bottom w:val="single" w:sz="4" w:space="0" w:color="767171"/>
              <w:right w:val="single" w:sz="4" w:space="0" w:color="767171"/>
            </w:tcBorders>
            <w:noWrap/>
            <w:vAlign w:val="center"/>
            <w:hideMark/>
          </w:tcPr>
          <w:p w14:paraId="7D9DC70E" w14:textId="77777777" w:rsidR="00CF647E" w:rsidRPr="00CF647E" w:rsidRDefault="00CF647E" w:rsidP="00CF647E">
            <w:pPr>
              <w:spacing w:after="0" w:line="240" w:lineRule="auto"/>
              <w:jc w:val="center"/>
              <w:rPr>
                <w:rFonts w:eastAsia="Times New Roman"/>
                <w:b/>
                <w:bCs/>
                <w:spacing w:val="0"/>
                <w:lang w:val="es-DO" w:eastAsia="es-DO"/>
              </w:rPr>
            </w:pPr>
            <w:r w:rsidRPr="00CF647E">
              <w:rPr>
                <w:rFonts w:eastAsia="Times New Roman"/>
                <w:b/>
                <w:bCs/>
                <w:spacing w:val="0"/>
                <w:lang w:val="es-DO" w:eastAsia="es-DO"/>
              </w:rPr>
              <w:t>Prestaciones</w:t>
            </w:r>
          </w:p>
        </w:tc>
        <w:tc>
          <w:tcPr>
            <w:tcW w:w="0" w:type="auto"/>
            <w:tcBorders>
              <w:top w:val="nil"/>
              <w:left w:val="nil"/>
              <w:bottom w:val="single" w:sz="4" w:space="0" w:color="767171"/>
              <w:right w:val="single" w:sz="4" w:space="0" w:color="767171"/>
            </w:tcBorders>
            <w:vAlign w:val="center"/>
            <w:hideMark/>
          </w:tcPr>
          <w:p w14:paraId="28EA5980"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1-Reporte de cantidad de Afiliados al Seguro Familiar de Salud que reciben servicios de diálisis peritoneal por tipo de diálisis peritoneal (manual vs automatizada).</w:t>
            </w:r>
          </w:p>
        </w:tc>
      </w:tr>
      <w:tr w:rsidR="00CF647E" w:rsidRPr="00CD02F5" w14:paraId="3D1D202E" w14:textId="77777777" w:rsidTr="00CF647E">
        <w:trPr>
          <w:gridAfter w:val="1"/>
          <w:trHeight w:val="948"/>
        </w:trPr>
        <w:tc>
          <w:tcPr>
            <w:tcW w:w="0" w:type="auto"/>
            <w:vMerge/>
            <w:tcBorders>
              <w:top w:val="nil"/>
              <w:left w:val="single" w:sz="4" w:space="0" w:color="767171"/>
              <w:bottom w:val="single" w:sz="4" w:space="0" w:color="767171"/>
              <w:right w:val="single" w:sz="4" w:space="0" w:color="767171"/>
            </w:tcBorders>
            <w:vAlign w:val="center"/>
            <w:hideMark/>
          </w:tcPr>
          <w:p w14:paraId="3F853C97"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75724DBC"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2-Cantidad de afiliados que han recibido coberturas por eventos cardiovasculares por tipo de eventos, cantidad de servicios y Montos Pagados por internamiento en UCI a pacientes con eventos cardiovasculares: Años 2024-2025</w:t>
            </w:r>
          </w:p>
        </w:tc>
      </w:tr>
      <w:tr w:rsidR="00CF647E" w:rsidRPr="00CD02F5" w14:paraId="4B60B8B4" w14:textId="77777777" w:rsidTr="00CF647E">
        <w:trPr>
          <w:gridAfter w:val="1"/>
          <w:trHeight w:val="639"/>
        </w:trPr>
        <w:tc>
          <w:tcPr>
            <w:tcW w:w="0" w:type="auto"/>
            <w:vMerge/>
            <w:tcBorders>
              <w:top w:val="nil"/>
              <w:left w:val="single" w:sz="4" w:space="0" w:color="767171"/>
              <w:bottom w:val="single" w:sz="4" w:space="0" w:color="767171"/>
              <w:right w:val="single" w:sz="4" w:space="0" w:color="767171"/>
            </w:tcBorders>
            <w:vAlign w:val="center"/>
            <w:hideMark/>
          </w:tcPr>
          <w:p w14:paraId="21685A5B"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3B5F2023"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3-Reporte estadístico del volumen de servicios prestados y pagados a los Prestadores de Servicios de Salud (PSS) en el marco del Seguro Familiar de Salud durante el año 2024.</w:t>
            </w:r>
          </w:p>
        </w:tc>
      </w:tr>
      <w:tr w:rsidR="00CF647E" w:rsidRPr="00CF647E" w14:paraId="2AE266C8" w14:textId="77777777" w:rsidTr="00CF647E">
        <w:trPr>
          <w:gridAfter w:val="1"/>
          <w:trHeight w:val="1260"/>
        </w:trPr>
        <w:tc>
          <w:tcPr>
            <w:tcW w:w="0" w:type="auto"/>
            <w:vMerge/>
            <w:tcBorders>
              <w:top w:val="nil"/>
              <w:left w:val="single" w:sz="4" w:space="0" w:color="767171"/>
              <w:bottom w:val="single" w:sz="4" w:space="0" w:color="767171"/>
              <w:right w:val="single" w:sz="4" w:space="0" w:color="767171"/>
            </w:tcBorders>
            <w:vAlign w:val="center"/>
            <w:hideMark/>
          </w:tcPr>
          <w:p w14:paraId="589AB0FF"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41851E26"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4-Reporte estadístico de afiliados al Seguro Familiar de Salud en diálisis peritoneal: 1) Afiliados que reciben cobertura de diálisis peritoneal, por régimen de financiamiento. 2. Evolución anual de los pacientes en esta modalidad en los últimos cinco (5) años. 3. Distribución por Administradora de Riesgos de Salud (ARS). 2020-2025</w:t>
            </w:r>
          </w:p>
        </w:tc>
      </w:tr>
      <w:tr w:rsidR="00CF647E" w:rsidRPr="00CF647E" w14:paraId="1E27EE6D" w14:textId="77777777" w:rsidTr="00CF647E">
        <w:trPr>
          <w:gridAfter w:val="1"/>
          <w:trHeight w:val="1884"/>
        </w:trPr>
        <w:tc>
          <w:tcPr>
            <w:tcW w:w="0" w:type="auto"/>
            <w:vMerge/>
            <w:tcBorders>
              <w:top w:val="nil"/>
              <w:left w:val="single" w:sz="4" w:space="0" w:color="767171"/>
              <w:bottom w:val="single" w:sz="4" w:space="0" w:color="767171"/>
              <w:right w:val="single" w:sz="4" w:space="0" w:color="767171"/>
            </w:tcBorders>
            <w:vAlign w:val="center"/>
            <w:hideMark/>
          </w:tcPr>
          <w:p w14:paraId="4A8DCB5D"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3CBF9E47"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5-Reporte estadístico de VIH e ITS: 1) Coberturas para VIH y Sida en el Seguro Familiar de salud, procedimientos cubiertos, régimen de financiamiento y categoría de ARS, tipo y tipo de Prestador de Servicios de Salud/, cobertura ARS y copagos beneficiarios y cantidad de estos que utilizaron los servicios. Año 2024.  2) Cobertura de ITS, desagregadas por tipo y con las variables del requerimiento anterior. Año 2024</w:t>
            </w:r>
          </w:p>
        </w:tc>
      </w:tr>
      <w:tr w:rsidR="00CF647E" w:rsidRPr="00CF647E" w14:paraId="283E5B0A" w14:textId="77777777" w:rsidTr="00CF647E">
        <w:trPr>
          <w:gridAfter w:val="1"/>
          <w:trHeight w:val="658"/>
        </w:trPr>
        <w:tc>
          <w:tcPr>
            <w:tcW w:w="0" w:type="auto"/>
            <w:vMerge/>
            <w:tcBorders>
              <w:top w:val="nil"/>
              <w:left w:val="single" w:sz="4" w:space="0" w:color="767171"/>
              <w:bottom w:val="single" w:sz="4" w:space="0" w:color="767171"/>
              <w:right w:val="single" w:sz="4" w:space="0" w:color="767171"/>
            </w:tcBorders>
            <w:vAlign w:val="center"/>
            <w:hideMark/>
          </w:tcPr>
          <w:p w14:paraId="7CF27CE6"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7DAE715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6-Reporte estadístico de la cantidad de coberturas otorgadas por las ARS a los afiliados del SFS de Terapia de Reemplazo Renal continua. Año:2024-2025.</w:t>
            </w:r>
          </w:p>
        </w:tc>
      </w:tr>
      <w:tr w:rsidR="00CF647E" w:rsidRPr="00CF647E" w14:paraId="0F14B368" w14:textId="77777777" w:rsidTr="00CF647E">
        <w:trPr>
          <w:gridAfter w:val="1"/>
          <w:trHeight w:val="639"/>
        </w:trPr>
        <w:tc>
          <w:tcPr>
            <w:tcW w:w="0" w:type="auto"/>
            <w:vMerge/>
            <w:tcBorders>
              <w:top w:val="nil"/>
              <w:left w:val="single" w:sz="4" w:space="0" w:color="767171"/>
              <w:bottom w:val="single" w:sz="4" w:space="0" w:color="767171"/>
              <w:right w:val="single" w:sz="4" w:space="0" w:color="767171"/>
            </w:tcBorders>
            <w:vAlign w:val="center"/>
            <w:hideMark/>
          </w:tcPr>
          <w:p w14:paraId="7B375909"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155F9646"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7-Reporte de la cantidad de servicios y el monto total pagado para coberturas específicas de internamiento en Plan Básico de Salud. Años: 2024-2025</w:t>
            </w:r>
          </w:p>
        </w:tc>
      </w:tr>
      <w:tr w:rsidR="00CF647E" w:rsidRPr="00CD02F5" w14:paraId="1954B24D" w14:textId="77777777" w:rsidTr="00CF647E">
        <w:trPr>
          <w:gridAfter w:val="1"/>
          <w:trHeight w:val="639"/>
        </w:trPr>
        <w:tc>
          <w:tcPr>
            <w:tcW w:w="0" w:type="auto"/>
            <w:vMerge/>
            <w:tcBorders>
              <w:top w:val="nil"/>
              <w:left w:val="single" w:sz="4" w:space="0" w:color="767171"/>
              <w:bottom w:val="single" w:sz="4" w:space="0" w:color="767171"/>
              <w:right w:val="single" w:sz="4" w:space="0" w:color="767171"/>
            </w:tcBorders>
            <w:vAlign w:val="center"/>
            <w:hideMark/>
          </w:tcPr>
          <w:p w14:paraId="28334432"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51CBFA78"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8-Reporte estadístico de coberturas otorgadas relacionadas a emergencia del Plan Básico de Salud de las prestaciones Año:2024.</w:t>
            </w:r>
          </w:p>
        </w:tc>
      </w:tr>
      <w:tr w:rsidR="00CF647E" w:rsidRPr="00CD02F5" w14:paraId="0A59A62C" w14:textId="77777777" w:rsidTr="00CF647E">
        <w:trPr>
          <w:gridAfter w:val="1"/>
          <w:trHeight w:val="1260"/>
        </w:trPr>
        <w:tc>
          <w:tcPr>
            <w:tcW w:w="0" w:type="auto"/>
            <w:vMerge/>
            <w:tcBorders>
              <w:top w:val="nil"/>
              <w:left w:val="single" w:sz="4" w:space="0" w:color="767171"/>
              <w:bottom w:val="single" w:sz="4" w:space="0" w:color="767171"/>
              <w:right w:val="single" w:sz="4" w:space="0" w:color="767171"/>
            </w:tcBorders>
            <w:vAlign w:val="center"/>
            <w:hideMark/>
          </w:tcPr>
          <w:p w14:paraId="6148EC3E"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459BF02C"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9-Reporte estadístico de la Cantidad de prestadores públicos y prestadores privados de servicios de salud acreditados en el Régimen Contributivo y en el Régimen Subsidiado periodo 2007-2024.</w:t>
            </w:r>
          </w:p>
        </w:tc>
      </w:tr>
      <w:tr w:rsidR="00CF647E" w:rsidRPr="00CD02F5" w14:paraId="148D687C" w14:textId="77777777" w:rsidTr="00CF647E">
        <w:trPr>
          <w:gridAfter w:val="1"/>
          <w:trHeight w:val="948"/>
        </w:trPr>
        <w:tc>
          <w:tcPr>
            <w:tcW w:w="0" w:type="auto"/>
            <w:vMerge/>
            <w:tcBorders>
              <w:top w:val="nil"/>
              <w:left w:val="single" w:sz="4" w:space="0" w:color="767171"/>
              <w:bottom w:val="single" w:sz="4" w:space="0" w:color="767171"/>
              <w:right w:val="single" w:sz="4" w:space="0" w:color="767171"/>
            </w:tcBorders>
            <w:vAlign w:val="center"/>
            <w:hideMark/>
          </w:tcPr>
          <w:p w14:paraId="2C48A5D3"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7A0E603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10-Reporte estadístico del Per Cápita actualizado para afiliados a régimen contributivo y régimen subsidiado.</w:t>
            </w:r>
          </w:p>
        </w:tc>
      </w:tr>
      <w:tr w:rsidR="00CF647E" w:rsidRPr="00CD02F5" w14:paraId="77EEA296" w14:textId="77777777" w:rsidTr="00CF647E">
        <w:trPr>
          <w:gridAfter w:val="1"/>
          <w:trHeight w:val="636"/>
        </w:trPr>
        <w:tc>
          <w:tcPr>
            <w:tcW w:w="0" w:type="auto"/>
            <w:vMerge w:val="restart"/>
            <w:tcBorders>
              <w:top w:val="nil"/>
              <w:left w:val="single" w:sz="4" w:space="0" w:color="767171"/>
              <w:bottom w:val="single" w:sz="4" w:space="0" w:color="767171"/>
              <w:right w:val="single" w:sz="4" w:space="0" w:color="767171"/>
            </w:tcBorders>
            <w:noWrap/>
            <w:vAlign w:val="center"/>
            <w:hideMark/>
          </w:tcPr>
          <w:p w14:paraId="0FEE1C84" w14:textId="77777777" w:rsidR="00CF647E" w:rsidRPr="00CF647E" w:rsidRDefault="00CF647E" w:rsidP="00CF647E">
            <w:pPr>
              <w:spacing w:after="0" w:line="240" w:lineRule="auto"/>
              <w:jc w:val="center"/>
              <w:rPr>
                <w:rFonts w:eastAsia="Times New Roman"/>
                <w:b/>
                <w:bCs/>
                <w:spacing w:val="0"/>
                <w:lang w:val="es-DO" w:eastAsia="es-DO"/>
              </w:rPr>
            </w:pPr>
            <w:r w:rsidRPr="00CF647E">
              <w:rPr>
                <w:rFonts w:eastAsia="Times New Roman"/>
                <w:b/>
                <w:bCs/>
                <w:spacing w:val="0"/>
                <w:lang w:val="es-DO" w:eastAsia="es-DO"/>
              </w:rPr>
              <w:t>Prestaciones</w:t>
            </w:r>
          </w:p>
        </w:tc>
        <w:tc>
          <w:tcPr>
            <w:tcW w:w="0" w:type="auto"/>
            <w:vMerge w:val="restart"/>
            <w:tcBorders>
              <w:top w:val="nil"/>
              <w:left w:val="single" w:sz="4" w:space="0" w:color="767171"/>
              <w:bottom w:val="single" w:sz="4" w:space="0" w:color="767171"/>
              <w:right w:val="single" w:sz="4" w:space="0" w:color="767171"/>
            </w:tcBorders>
            <w:vAlign w:val="center"/>
            <w:hideMark/>
          </w:tcPr>
          <w:p w14:paraId="3CC8A1A9"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11-Reporte estadístico de Montos Pagados y Servicios Otorgados de Atenciones en el Grupo 6 del PDSS (Partos). Años: 2007-2024. y Listado de Coberturas Consideradas en el Grupo Partos del PDSS.</w:t>
            </w:r>
          </w:p>
        </w:tc>
      </w:tr>
      <w:tr w:rsidR="00CF647E" w:rsidRPr="00CD02F5" w14:paraId="72159E31" w14:textId="77777777" w:rsidTr="00CF647E">
        <w:trPr>
          <w:trHeight w:val="324"/>
        </w:trPr>
        <w:tc>
          <w:tcPr>
            <w:tcW w:w="0" w:type="auto"/>
            <w:vMerge/>
            <w:tcBorders>
              <w:top w:val="nil"/>
              <w:left w:val="single" w:sz="4" w:space="0" w:color="767171"/>
              <w:bottom w:val="single" w:sz="4" w:space="0" w:color="767171"/>
              <w:right w:val="single" w:sz="4" w:space="0" w:color="767171"/>
            </w:tcBorders>
            <w:vAlign w:val="center"/>
            <w:hideMark/>
          </w:tcPr>
          <w:p w14:paraId="18E05EAA" w14:textId="77777777" w:rsidR="00CF647E" w:rsidRPr="00CF647E" w:rsidRDefault="00CF647E" w:rsidP="00CF647E">
            <w:pPr>
              <w:spacing w:after="0" w:line="240" w:lineRule="auto"/>
              <w:rPr>
                <w:rFonts w:eastAsia="Times New Roman"/>
                <w:b/>
                <w:bCs/>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29C5122" w14:textId="77777777" w:rsidR="00CF647E" w:rsidRPr="00CF647E" w:rsidRDefault="00CF647E" w:rsidP="00CF647E">
            <w:pPr>
              <w:spacing w:after="0" w:line="240" w:lineRule="auto"/>
              <w:rPr>
                <w:rFonts w:eastAsia="Times New Roman"/>
                <w:spacing w:val="0"/>
                <w:lang w:val="es-DO" w:eastAsia="es-DO"/>
              </w:rPr>
            </w:pPr>
          </w:p>
        </w:tc>
        <w:tc>
          <w:tcPr>
            <w:tcW w:w="0" w:type="auto"/>
            <w:tcBorders>
              <w:top w:val="nil"/>
              <w:left w:val="nil"/>
              <w:bottom w:val="nil"/>
              <w:right w:val="nil"/>
            </w:tcBorders>
            <w:noWrap/>
            <w:vAlign w:val="bottom"/>
            <w:hideMark/>
          </w:tcPr>
          <w:p w14:paraId="71E17A16" w14:textId="77777777" w:rsidR="00CF647E" w:rsidRPr="00CF647E" w:rsidRDefault="00CF647E" w:rsidP="00CF647E">
            <w:pPr>
              <w:spacing w:after="0" w:line="240" w:lineRule="auto"/>
              <w:rPr>
                <w:rFonts w:eastAsia="Times New Roman"/>
                <w:spacing w:val="0"/>
                <w:lang w:val="es-DO" w:eastAsia="es-DO"/>
              </w:rPr>
            </w:pPr>
          </w:p>
        </w:tc>
      </w:tr>
      <w:tr w:rsidR="00CF647E" w:rsidRPr="00CD02F5" w14:paraId="77734D9C" w14:textId="77777777" w:rsidTr="00CF647E">
        <w:trPr>
          <w:trHeight w:val="324"/>
        </w:trPr>
        <w:tc>
          <w:tcPr>
            <w:tcW w:w="0" w:type="auto"/>
            <w:vMerge/>
            <w:tcBorders>
              <w:top w:val="nil"/>
              <w:left w:val="single" w:sz="4" w:space="0" w:color="767171"/>
              <w:bottom w:val="single" w:sz="4" w:space="0" w:color="767171"/>
              <w:right w:val="single" w:sz="4" w:space="0" w:color="767171"/>
            </w:tcBorders>
            <w:vAlign w:val="center"/>
            <w:hideMark/>
          </w:tcPr>
          <w:p w14:paraId="4262B5E9" w14:textId="77777777" w:rsidR="00CF647E" w:rsidRPr="00CF647E" w:rsidRDefault="00CF647E" w:rsidP="00CF647E">
            <w:pPr>
              <w:spacing w:after="0" w:line="240" w:lineRule="auto"/>
              <w:rPr>
                <w:rFonts w:eastAsia="Times New Roman"/>
                <w:b/>
                <w:bCs/>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5FE98C13" w14:textId="77777777" w:rsidR="00CF647E" w:rsidRPr="00CF647E" w:rsidRDefault="00CF647E" w:rsidP="00CF647E">
            <w:pPr>
              <w:spacing w:after="0" w:line="240" w:lineRule="auto"/>
              <w:rPr>
                <w:rFonts w:eastAsia="Times New Roman"/>
                <w:spacing w:val="0"/>
                <w:lang w:val="es-DO" w:eastAsia="es-DO"/>
              </w:rPr>
            </w:pPr>
          </w:p>
        </w:tc>
        <w:tc>
          <w:tcPr>
            <w:tcW w:w="0" w:type="auto"/>
            <w:tcBorders>
              <w:top w:val="nil"/>
              <w:left w:val="nil"/>
              <w:bottom w:val="nil"/>
              <w:right w:val="nil"/>
            </w:tcBorders>
            <w:noWrap/>
            <w:vAlign w:val="bottom"/>
            <w:hideMark/>
          </w:tcPr>
          <w:p w14:paraId="1DAFAC57"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F647E" w14:paraId="3EA3DEF3" w14:textId="77777777" w:rsidTr="00CF647E">
        <w:trPr>
          <w:trHeight w:val="948"/>
        </w:trPr>
        <w:tc>
          <w:tcPr>
            <w:tcW w:w="0" w:type="auto"/>
            <w:vMerge/>
            <w:tcBorders>
              <w:top w:val="nil"/>
              <w:left w:val="single" w:sz="4" w:space="0" w:color="767171"/>
              <w:bottom w:val="single" w:sz="4" w:space="0" w:color="767171"/>
              <w:right w:val="single" w:sz="4" w:space="0" w:color="767171"/>
            </w:tcBorders>
            <w:vAlign w:val="center"/>
            <w:hideMark/>
          </w:tcPr>
          <w:p w14:paraId="1D7548DE"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37793568"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12- Reporte Estadístico por Régimen de financiamiento relacionadas de las principales causas de autorización de los en las siguientes categorías: Consultas, Emergencias, Procedimientos Quirúrgicos, Medicamentos, Laboratorio e Imágenes, y Atenciones de Alto Costo. Año: 2024.</w:t>
            </w:r>
          </w:p>
        </w:tc>
        <w:tc>
          <w:tcPr>
            <w:tcW w:w="0" w:type="auto"/>
            <w:vAlign w:val="center"/>
            <w:hideMark/>
          </w:tcPr>
          <w:p w14:paraId="40029892"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D02F5" w14:paraId="3C66573D" w14:textId="77777777" w:rsidTr="00CF647E">
        <w:trPr>
          <w:trHeight w:val="948"/>
        </w:trPr>
        <w:tc>
          <w:tcPr>
            <w:tcW w:w="0" w:type="auto"/>
            <w:vMerge/>
            <w:tcBorders>
              <w:top w:val="nil"/>
              <w:left w:val="single" w:sz="4" w:space="0" w:color="767171"/>
              <w:bottom w:val="single" w:sz="4" w:space="0" w:color="767171"/>
              <w:right w:val="single" w:sz="4" w:space="0" w:color="767171"/>
            </w:tcBorders>
            <w:vAlign w:val="center"/>
            <w:hideMark/>
          </w:tcPr>
          <w:p w14:paraId="2FACD5D0"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1493559F"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13-Reporte estadístico de los montos pagados por las ARS desagregados por concepto de servicios de laboratorios, de "Apoyo Diagnóstico (</w:t>
            </w:r>
            <w:proofErr w:type="spellStart"/>
            <w:r w:rsidRPr="00CF647E">
              <w:rPr>
                <w:rFonts w:eastAsia="Times New Roman"/>
                <w:spacing w:val="0"/>
                <w:lang w:val="es-DO" w:eastAsia="es-DO"/>
              </w:rPr>
              <w:t>Dx</w:t>
            </w:r>
            <w:proofErr w:type="spellEnd"/>
            <w:r w:rsidRPr="00CF647E">
              <w:rPr>
                <w:rFonts w:eastAsia="Times New Roman"/>
                <w:spacing w:val="0"/>
                <w:lang w:val="es-DO" w:eastAsia="es-DO"/>
              </w:rPr>
              <w:t xml:space="preserve">) en Internamiento y Ambulatorio" rayos x, ecografías, otros medios </w:t>
            </w:r>
            <w:proofErr w:type="spellStart"/>
            <w:r w:rsidRPr="00CF647E">
              <w:rPr>
                <w:rFonts w:eastAsia="Times New Roman"/>
                <w:spacing w:val="0"/>
                <w:lang w:val="es-DO" w:eastAsia="es-DO"/>
              </w:rPr>
              <w:t>Dx</w:t>
            </w:r>
            <w:proofErr w:type="spellEnd"/>
            <w:r w:rsidRPr="00CF647E">
              <w:rPr>
                <w:rFonts w:eastAsia="Times New Roman"/>
                <w:spacing w:val="0"/>
                <w:lang w:val="es-DO" w:eastAsia="es-DO"/>
              </w:rPr>
              <w:t>, biopsias, tomografía axial computarizadas (TAC) y resonancia nuclear magnética (RNM) Años 2023 y 2024.</w:t>
            </w:r>
          </w:p>
        </w:tc>
        <w:tc>
          <w:tcPr>
            <w:tcW w:w="0" w:type="auto"/>
            <w:vAlign w:val="center"/>
            <w:hideMark/>
          </w:tcPr>
          <w:p w14:paraId="73486C0E"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D02F5" w14:paraId="0A12E5EA" w14:textId="77777777" w:rsidTr="00CF647E">
        <w:trPr>
          <w:trHeight w:val="639"/>
        </w:trPr>
        <w:tc>
          <w:tcPr>
            <w:tcW w:w="0" w:type="auto"/>
            <w:vMerge/>
            <w:tcBorders>
              <w:top w:val="nil"/>
              <w:left w:val="single" w:sz="4" w:space="0" w:color="767171"/>
              <w:bottom w:val="single" w:sz="4" w:space="0" w:color="767171"/>
              <w:right w:val="single" w:sz="4" w:space="0" w:color="767171"/>
            </w:tcBorders>
            <w:vAlign w:val="center"/>
            <w:hideMark/>
          </w:tcPr>
          <w:p w14:paraId="3D2D8645"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1684C70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14-Reporte estadístico del Monto y servicios pagado en los regímenes de financiamiento en el 2020- 2024</w:t>
            </w:r>
          </w:p>
        </w:tc>
        <w:tc>
          <w:tcPr>
            <w:tcW w:w="0" w:type="auto"/>
            <w:vAlign w:val="center"/>
            <w:hideMark/>
          </w:tcPr>
          <w:p w14:paraId="7ED34534"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D02F5" w14:paraId="2A2E7C0A" w14:textId="77777777" w:rsidTr="00CF647E">
        <w:trPr>
          <w:trHeight w:val="636"/>
        </w:trPr>
        <w:tc>
          <w:tcPr>
            <w:tcW w:w="0" w:type="auto"/>
            <w:vMerge/>
            <w:tcBorders>
              <w:top w:val="nil"/>
              <w:left w:val="single" w:sz="4" w:space="0" w:color="767171"/>
              <w:bottom w:val="single" w:sz="4" w:space="0" w:color="767171"/>
              <w:right w:val="single" w:sz="4" w:space="0" w:color="767171"/>
            </w:tcBorders>
            <w:vAlign w:val="center"/>
            <w:hideMark/>
          </w:tcPr>
          <w:p w14:paraId="120AE59A"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47170323"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15-Plan de Servicios de Salud (PDSS) vigente a 2025 y monto y porcentaje del per cápita para cada servicio del PDSS.</w:t>
            </w:r>
          </w:p>
        </w:tc>
        <w:tc>
          <w:tcPr>
            <w:tcW w:w="0" w:type="auto"/>
            <w:vAlign w:val="center"/>
            <w:hideMark/>
          </w:tcPr>
          <w:p w14:paraId="58E02669"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D02F5" w14:paraId="279C60F5" w14:textId="77777777" w:rsidTr="00CF647E">
        <w:trPr>
          <w:trHeight w:val="948"/>
        </w:trPr>
        <w:tc>
          <w:tcPr>
            <w:tcW w:w="0" w:type="auto"/>
            <w:vMerge/>
            <w:tcBorders>
              <w:top w:val="nil"/>
              <w:left w:val="single" w:sz="4" w:space="0" w:color="767171"/>
              <w:bottom w:val="single" w:sz="4" w:space="0" w:color="767171"/>
              <w:right w:val="single" w:sz="4" w:space="0" w:color="767171"/>
            </w:tcBorders>
            <w:vAlign w:val="center"/>
            <w:hideMark/>
          </w:tcPr>
          <w:p w14:paraId="545942B4"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7F60E0A2"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16-Reporte estadístico de servicios de salud mental, particularmente en lo referente al presupuesto asignado, para responder al compromiso país relacionado con el llenado del Atlas 2024.</w:t>
            </w:r>
          </w:p>
        </w:tc>
        <w:tc>
          <w:tcPr>
            <w:tcW w:w="0" w:type="auto"/>
            <w:vAlign w:val="center"/>
            <w:hideMark/>
          </w:tcPr>
          <w:p w14:paraId="4296A09C" w14:textId="77777777" w:rsidR="00CF647E" w:rsidRPr="00CF647E" w:rsidRDefault="00CF647E" w:rsidP="00CF647E">
            <w:pPr>
              <w:spacing w:after="0" w:line="240" w:lineRule="auto"/>
              <w:rPr>
                <w:rFonts w:eastAsia="Times New Roman"/>
                <w:color w:val="auto"/>
                <w:spacing w:val="0"/>
                <w:sz w:val="20"/>
                <w:szCs w:val="20"/>
                <w:lang w:val="es-DO" w:eastAsia="es-DO"/>
              </w:rPr>
            </w:pPr>
          </w:p>
        </w:tc>
      </w:tr>
      <w:tr w:rsidR="00CF647E" w:rsidRPr="00CD02F5" w14:paraId="734D4261" w14:textId="77777777" w:rsidTr="00CF647E">
        <w:trPr>
          <w:trHeight w:val="639"/>
        </w:trPr>
        <w:tc>
          <w:tcPr>
            <w:tcW w:w="0" w:type="auto"/>
            <w:vMerge/>
            <w:tcBorders>
              <w:top w:val="nil"/>
              <w:left w:val="single" w:sz="4" w:space="0" w:color="767171"/>
              <w:bottom w:val="single" w:sz="4" w:space="0" w:color="767171"/>
              <w:right w:val="single" w:sz="4" w:space="0" w:color="767171"/>
            </w:tcBorders>
            <w:vAlign w:val="center"/>
            <w:hideMark/>
          </w:tcPr>
          <w:p w14:paraId="35405A24" w14:textId="77777777" w:rsidR="00CF647E" w:rsidRPr="00CF647E" w:rsidRDefault="00CF647E" w:rsidP="00CF647E">
            <w:pPr>
              <w:spacing w:after="0" w:line="240" w:lineRule="auto"/>
              <w:rPr>
                <w:rFonts w:eastAsia="Times New Roman"/>
                <w:b/>
                <w:bCs/>
                <w:spacing w:val="0"/>
                <w:lang w:val="es-DO" w:eastAsia="es-DO"/>
              </w:rPr>
            </w:pPr>
          </w:p>
        </w:tc>
        <w:tc>
          <w:tcPr>
            <w:tcW w:w="0" w:type="auto"/>
            <w:tcBorders>
              <w:top w:val="nil"/>
              <w:left w:val="nil"/>
              <w:bottom w:val="single" w:sz="4" w:space="0" w:color="767171"/>
              <w:right w:val="single" w:sz="4" w:space="0" w:color="767171"/>
            </w:tcBorders>
            <w:vAlign w:val="center"/>
            <w:hideMark/>
          </w:tcPr>
          <w:p w14:paraId="00CEE755" w14:textId="77777777" w:rsidR="00CF647E" w:rsidRPr="00CF647E" w:rsidRDefault="00CF647E" w:rsidP="00CF647E">
            <w:pPr>
              <w:spacing w:after="0" w:line="240" w:lineRule="auto"/>
              <w:rPr>
                <w:rFonts w:eastAsia="Times New Roman"/>
                <w:spacing w:val="0"/>
                <w:lang w:val="es-DO" w:eastAsia="es-DO"/>
              </w:rPr>
            </w:pPr>
            <w:r w:rsidRPr="00CF647E">
              <w:rPr>
                <w:rFonts w:eastAsia="Times New Roman"/>
                <w:spacing w:val="0"/>
                <w:lang w:val="es-DO" w:eastAsia="es-DO"/>
              </w:rPr>
              <w:t xml:space="preserve">17- Reporte estadístico de cantidad de </w:t>
            </w:r>
            <w:proofErr w:type="spellStart"/>
            <w:r w:rsidRPr="00CF647E">
              <w:rPr>
                <w:rFonts w:eastAsia="Times New Roman"/>
                <w:spacing w:val="0"/>
                <w:lang w:val="es-DO" w:eastAsia="es-DO"/>
              </w:rPr>
              <w:t>Stents</w:t>
            </w:r>
            <w:proofErr w:type="spellEnd"/>
            <w:r w:rsidRPr="00CF647E">
              <w:rPr>
                <w:rFonts w:eastAsia="Times New Roman"/>
                <w:spacing w:val="0"/>
                <w:lang w:val="es-DO" w:eastAsia="es-DO"/>
              </w:rPr>
              <w:t xml:space="preserve"> y cateterismos realizados por más de una ocasión.</w:t>
            </w:r>
          </w:p>
        </w:tc>
        <w:tc>
          <w:tcPr>
            <w:tcW w:w="0" w:type="auto"/>
            <w:vAlign w:val="center"/>
            <w:hideMark/>
          </w:tcPr>
          <w:p w14:paraId="1C8D4999" w14:textId="77777777" w:rsidR="00CF647E" w:rsidRPr="00CF647E" w:rsidRDefault="00CF647E" w:rsidP="00CF647E">
            <w:pPr>
              <w:spacing w:after="0" w:line="240" w:lineRule="auto"/>
              <w:rPr>
                <w:rFonts w:eastAsia="Times New Roman"/>
                <w:color w:val="auto"/>
                <w:spacing w:val="0"/>
                <w:sz w:val="20"/>
                <w:szCs w:val="20"/>
                <w:lang w:val="es-DO" w:eastAsia="es-DO"/>
              </w:rPr>
            </w:pPr>
          </w:p>
        </w:tc>
      </w:tr>
    </w:tbl>
    <w:p w14:paraId="4DE04820" w14:textId="056DD8B0" w:rsidR="00AB3650" w:rsidRPr="004E4EBE" w:rsidRDefault="000B4974" w:rsidP="005C133F">
      <w:pPr>
        <w:tabs>
          <w:tab w:val="left" w:pos="3315"/>
        </w:tabs>
        <w:spacing w:after="0" w:line="360" w:lineRule="auto"/>
        <w:rPr>
          <w:sz w:val="18"/>
          <w:szCs w:val="18"/>
          <w:lang w:val="es-DO"/>
        </w:rPr>
      </w:pPr>
      <w:r w:rsidRPr="004E4EBE">
        <w:rPr>
          <w:sz w:val="18"/>
          <w:szCs w:val="18"/>
          <w:lang w:val="es-DO"/>
        </w:rPr>
        <w:t>Fuente: Departamento de Estadísticas</w:t>
      </w:r>
      <w:r w:rsidR="008D75CB" w:rsidRPr="004E4EBE">
        <w:rPr>
          <w:sz w:val="18"/>
          <w:szCs w:val="18"/>
          <w:lang w:val="es-DO"/>
        </w:rPr>
        <w:t>,</w:t>
      </w:r>
      <w:r w:rsidRPr="004E4EBE">
        <w:rPr>
          <w:sz w:val="18"/>
          <w:szCs w:val="18"/>
          <w:lang w:val="es-DO"/>
        </w:rPr>
        <w:t xml:space="preserve"> SISALRIL </w:t>
      </w:r>
    </w:p>
    <w:p w14:paraId="69994C4E" w14:textId="77777777" w:rsidR="00735301" w:rsidRPr="005C133F" w:rsidRDefault="00735301" w:rsidP="00C125F1">
      <w:pPr>
        <w:spacing w:after="0" w:line="360" w:lineRule="auto"/>
        <w:jc w:val="both"/>
        <w:rPr>
          <w:rFonts w:eastAsia="Calibri"/>
          <w:lang w:val="es-DO"/>
        </w:rPr>
      </w:pPr>
    </w:p>
    <w:p w14:paraId="0CD80681" w14:textId="36FA73AA" w:rsidR="000A7AC2" w:rsidRPr="005C133F" w:rsidRDefault="007335A0" w:rsidP="005C133F">
      <w:pPr>
        <w:pStyle w:val="SUBTITULOM"/>
        <w:spacing w:after="0"/>
      </w:pPr>
      <w:bookmarkStart w:id="35" w:name="_Toc219121840"/>
      <w:r w:rsidRPr="005C133F">
        <w:lastRenderedPageBreak/>
        <w:t>3.1.4 Mejoras en el alcance de la protección social y los beneficios del sistema de aseguramiento de los riesgos laborales del SDSS</w:t>
      </w:r>
      <w:bookmarkEnd w:id="35"/>
    </w:p>
    <w:p w14:paraId="307DDF30" w14:textId="77777777" w:rsidR="007B55AB" w:rsidRPr="005C133F" w:rsidRDefault="007B55AB" w:rsidP="005C133F">
      <w:pPr>
        <w:tabs>
          <w:tab w:val="left" w:pos="5760"/>
        </w:tabs>
        <w:spacing w:after="0" w:line="360" w:lineRule="auto"/>
        <w:rPr>
          <w:rFonts w:eastAsia="Times New Roman"/>
          <w:lang w:val="es-DO" w:eastAsia="es-DO"/>
        </w:rPr>
      </w:pPr>
    </w:p>
    <w:p w14:paraId="7C4BF733" w14:textId="327C2370" w:rsidR="007B55AB" w:rsidRPr="005C133F" w:rsidRDefault="007B55AB" w:rsidP="005C133F">
      <w:pPr>
        <w:tabs>
          <w:tab w:val="left" w:pos="5760"/>
        </w:tabs>
        <w:spacing w:after="0" w:line="360" w:lineRule="auto"/>
        <w:jc w:val="both"/>
        <w:rPr>
          <w:rFonts w:eastAsia="Times New Roman"/>
          <w:lang w:val="es-DO" w:eastAsia="es-DO"/>
        </w:rPr>
      </w:pPr>
      <w:r w:rsidRPr="005C133F">
        <w:rPr>
          <w:rFonts w:eastAsia="Times New Roman"/>
          <w:lang w:val="es-DO" w:eastAsia="es-DO"/>
        </w:rPr>
        <w:t xml:space="preserve">El Seguro de Riesgos Laborales (SRL) </w:t>
      </w:r>
      <w:r w:rsidR="008C74A7" w:rsidRPr="005C133F">
        <w:rPr>
          <w:rFonts w:eastAsia="Times New Roman"/>
          <w:lang w:val="es-DO" w:eastAsia="es-DO"/>
        </w:rPr>
        <w:t xml:space="preserve">constituye </w:t>
      </w:r>
      <w:r w:rsidRPr="005C133F">
        <w:rPr>
          <w:rFonts w:eastAsia="Times New Roman"/>
          <w:lang w:val="es-DO" w:eastAsia="es-DO"/>
        </w:rPr>
        <w:t>un eje fundamental en la protección integral de los trabajadores dominicanos</w:t>
      </w:r>
      <w:r w:rsidR="008C74A7" w:rsidRPr="005C133F">
        <w:rPr>
          <w:rFonts w:eastAsia="Times New Roman"/>
          <w:lang w:val="es-DO" w:eastAsia="es-DO"/>
        </w:rPr>
        <w:t>. En este</w:t>
      </w:r>
      <w:r w:rsidR="00FE261C" w:rsidRPr="005C133F">
        <w:rPr>
          <w:rFonts w:eastAsia="Times New Roman"/>
          <w:lang w:val="es-DO" w:eastAsia="es-DO"/>
        </w:rPr>
        <w:t xml:space="preserve"> marco la institución desarrolló las siguientes acciones</w:t>
      </w:r>
      <w:r w:rsidR="00E45085" w:rsidRPr="005C133F">
        <w:rPr>
          <w:rFonts w:eastAsia="Times New Roman"/>
          <w:lang w:val="es-DO" w:eastAsia="es-DO"/>
        </w:rPr>
        <w:t xml:space="preserve"> orientadas al fortalecimiento normativo, técnico y financiero del sistema</w:t>
      </w:r>
      <w:r w:rsidR="00FE261C" w:rsidRPr="005C133F">
        <w:rPr>
          <w:rFonts w:eastAsia="Times New Roman"/>
          <w:lang w:val="es-DO" w:eastAsia="es-DO"/>
        </w:rPr>
        <w:t xml:space="preserve">: </w:t>
      </w:r>
    </w:p>
    <w:p w14:paraId="352F5157" w14:textId="77777777" w:rsidR="00FE261C" w:rsidRPr="005C133F" w:rsidRDefault="00FE261C" w:rsidP="005C133F">
      <w:pPr>
        <w:tabs>
          <w:tab w:val="left" w:pos="5760"/>
        </w:tabs>
        <w:spacing w:after="0" w:line="360" w:lineRule="auto"/>
        <w:rPr>
          <w:noProof/>
          <w:lang w:val="es-DO"/>
        </w:rPr>
      </w:pPr>
    </w:p>
    <w:p w14:paraId="38CB2FC3" w14:textId="2F89821E" w:rsidR="007A462C" w:rsidRPr="005C133F" w:rsidRDefault="007A462C">
      <w:pPr>
        <w:pStyle w:val="Prrafodelista"/>
        <w:numPr>
          <w:ilvl w:val="0"/>
          <w:numId w:val="146"/>
        </w:numPr>
        <w:spacing w:after="0" w:line="360" w:lineRule="auto"/>
        <w:jc w:val="both"/>
        <w:rPr>
          <w:rFonts w:eastAsia="Times New Roman"/>
          <w:lang w:val="es-DO" w:eastAsia="es-DO"/>
        </w:rPr>
      </w:pPr>
      <w:r w:rsidRPr="005C133F">
        <w:rPr>
          <w:rFonts w:eastAsia="Times New Roman"/>
          <w:lang w:val="es-DO" w:eastAsia="es-DO"/>
        </w:rPr>
        <w:t>Se diseñó la propuesta de incentivos a las empresas por disminución de la siniestralidad laboral, en respuesta a las facultades expresas en el enunciado del párrafo 11 del nuevo Reglamento del Seguro de Riesgos Laborales (Res. CNSS No.</w:t>
      </w:r>
      <w:r w:rsidR="009E1D3D" w:rsidRPr="005C133F">
        <w:rPr>
          <w:rFonts w:eastAsia="Times New Roman"/>
          <w:lang w:val="es-DO" w:eastAsia="es-DO"/>
        </w:rPr>
        <w:t xml:space="preserve"> </w:t>
      </w:r>
      <w:r w:rsidRPr="005C133F">
        <w:rPr>
          <w:rFonts w:eastAsia="Times New Roman"/>
          <w:lang w:val="es-DO" w:eastAsia="es-DO"/>
        </w:rPr>
        <w:t>578-04), fue remitida al IDOPPRIL</w:t>
      </w:r>
      <w:r w:rsidR="0013550C" w:rsidRPr="005C133F">
        <w:rPr>
          <w:rFonts w:eastAsia="Times New Roman"/>
          <w:lang w:val="es-DO" w:eastAsia="es-DO"/>
        </w:rPr>
        <w:t xml:space="preserve"> </w:t>
      </w:r>
      <w:r w:rsidRPr="005C133F">
        <w:rPr>
          <w:rFonts w:eastAsia="Times New Roman"/>
          <w:lang w:val="es-DO" w:eastAsia="es-DO"/>
        </w:rPr>
        <w:t>como entidad involucrada. </w:t>
      </w:r>
    </w:p>
    <w:p w14:paraId="74561521" w14:textId="5F684DB0" w:rsidR="005F3178" w:rsidRPr="005C133F" w:rsidRDefault="00E45085">
      <w:pPr>
        <w:pStyle w:val="Prrafodelista"/>
        <w:numPr>
          <w:ilvl w:val="0"/>
          <w:numId w:val="146"/>
        </w:numPr>
        <w:spacing w:after="0" w:line="360" w:lineRule="auto"/>
        <w:jc w:val="both"/>
        <w:rPr>
          <w:lang w:val="es-DO" w:eastAsia="es-DO"/>
        </w:rPr>
      </w:pPr>
      <w:r w:rsidRPr="005C133F">
        <w:rPr>
          <w:lang w:val="es-DO" w:eastAsia="es-DO"/>
        </w:rPr>
        <w:t xml:space="preserve">Se elaboró el </w:t>
      </w:r>
      <w:r w:rsidR="005F3178" w:rsidRPr="005C133F">
        <w:rPr>
          <w:lang w:val="es-DO" w:eastAsia="es-DO"/>
        </w:rPr>
        <w:t xml:space="preserve">borrador de </w:t>
      </w:r>
      <w:r w:rsidRPr="005C133F">
        <w:rPr>
          <w:lang w:val="es-DO" w:eastAsia="es-DO"/>
        </w:rPr>
        <w:t xml:space="preserve">la </w:t>
      </w:r>
      <w:r w:rsidR="005F3178" w:rsidRPr="005C133F">
        <w:rPr>
          <w:lang w:val="es-DO" w:eastAsia="es-DO"/>
        </w:rPr>
        <w:t>propuesta para la actualización de la Normativa de Accidentes en Trayecto. </w:t>
      </w:r>
    </w:p>
    <w:p w14:paraId="59DD5D85" w14:textId="11AC7CAE" w:rsidR="0096187B" w:rsidRPr="005C133F" w:rsidRDefault="0096187B">
      <w:pPr>
        <w:pStyle w:val="Prrafodelista"/>
        <w:numPr>
          <w:ilvl w:val="0"/>
          <w:numId w:val="146"/>
        </w:numPr>
        <w:spacing w:after="0" w:line="360" w:lineRule="auto"/>
        <w:jc w:val="both"/>
        <w:rPr>
          <w:lang w:val="es-DO" w:eastAsia="es-DO"/>
        </w:rPr>
      </w:pPr>
      <w:r w:rsidRPr="005C133F">
        <w:rPr>
          <w:lang w:val="es-DO" w:eastAsia="es-DO"/>
        </w:rPr>
        <w:t xml:space="preserve">Se emitieron </w:t>
      </w:r>
      <w:r w:rsidR="00C2499F">
        <w:rPr>
          <w:lang w:val="es-DO" w:eastAsia="es-DO"/>
        </w:rPr>
        <w:t>mil doscientas noventa y tres</w:t>
      </w:r>
      <w:r w:rsidR="00E45085" w:rsidRPr="005C133F">
        <w:rPr>
          <w:lang w:val="es-DO" w:eastAsia="es-DO"/>
        </w:rPr>
        <w:t xml:space="preserve"> (</w:t>
      </w:r>
      <w:r w:rsidR="00C2499F">
        <w:rPr>
          <w:lang w:val="es-DO" w:eastAsia="es-DO"/>
        </w:rPr>
        <w:t>1,293</w:t>
      </w:r>
      <w:r w:rsidR="00E45085" w:rsidRPr="005C133F">
        <w:rPr>
          <w:lang w:val="es-DO" w:eastAsia="es-DO"/>
        </w:rPr>
        <w:t>)</w:t>
      </w:r>
      <w:r w:rsidRPr="005C133F">
        <w:rPr>
          <w:lang w:val="es-DO" w:eastAsia="es-DO"/>
        </w:rPr>
        <w:t xml:space="preserve"> certificaciones de grado de discapacidad por la CTD-SRL -SISALRIL, los cuales fueron publicados en la oficina virtual. </w:t>
      </w:r>
    </w:p>
    <w:p w14:paraId="3C397491" w14:textId="1B73FD29" w:rsidR="003E55C5" w:rsidRPr="005C133F" w:rsidRDefault="008148A0">
      <w:pPr>
        <w:pStyle w:val="Prrafodelista"/>
        <w:numPr>
          <w:ilvl w:val="0"/>
          <w:numId w:val="147"/>
        </w:numPr>
        <w:spacing w:after="0" w:line="360" w:lineRule="auto"/>
        <w:jc w:val="both"/>
        <w:rPr>
          <w:rFonts w:eastAsia="Calibri"/>
          <w:lang w:val="es-DO"/>
        </w:rPr>
      </w:pPr>
      <w:r w:rsidRPr="005C133F">
        <w:rPr>
          <w:rFonts w:eastAsia="Calibri"/>
          <w:lang w:val="es-DO"/>
        </w:rPr>
        <w:t>S</w:t>
      </w:r>
      <w:r w:rsidR="003E55C5" w:rsidRPr="005C133F">
        <w:rPr>
          <w:rFonts w:eastAsia="Calibri"/>
          <w:lang w:val="es-DO"/>
        </w:rPr>
        <w:t>e publicaron en el portal del IDOPPRIL dos notas técnicas para la calificación y reconocimiento en el SRL: </w:t>
      </w:r>
    </w:p>
    <w:p w14:paraId="0339BE4A" w14:textId="77777777" w:rsidR="003E55C5" w:rsidRPr="005C133F" w:rsidRDefault="003E55C5">
      <w:pPr>
        <w:numPr>
          <w:ilvl w:val="0"/>
          <w:numId w:val="144"/>
        </w:numPr>
        <w:spacing w:after="0" w:line="360" w:lineRule="auto"/>
        <w:jc w:val="both"/>
        <w:rPr>
          <w:rFonts w:eastAsia="Calibri"/>
          <w:lang w:val="es-DO"/>
        </w:rPr>
      </w:pPr>
      <w:r w:rsidRPr="005C133F">
        <w:rPr>
          <w:rFonts w:eastAsia="Calibri"/>
          <w:lang w:val="es-DO"/>
        </w:rPr>
        <w:t>Nota técnica que establece los indicadores de referencia para la recolección y análisis de datos, medición y monitoreo de la accidentabilidad y siniestralidad laboral de los afiliados al Seguro de Riesgos Laborales. </w:t>
      </w:r>
    </w:p>
    <w:p w14:paraId="749B7AEA" w14:textId="77777777" w:rsidR="004C0A40" w:rsidRPr="005C133F" w:rsidRDefault="003E55C5">
      <w:pPr>
        <w:numPr>
          <w:ilvl w:val="0"/>
          <w:numId w:val="145"/>
        </w:numPr>
        <w:spacing w:after="0" w:line="360" w:lineRule="auto"/>
        <w:jc w:val="both"/>
        <w:rPr>
          <w:rFonts w:eastAsia="Times New Roman"/>
          <w:lang w:val="es-DO" w:eastAsia="es-DO"/>
        </w:rPr>
      </w:pPr>
      <w:r w:rsidRPr="005C133F">
        <w:rPr>
          <w:rFonts w:eastAsia="Calibri"/>
          <w:lang w:val="es-DO"/>
        </w:rPr>
        <w:t>Nota técnica de contingencias laborales del teletrabajo por el Seguros de Riesgos Laborales. </w:t>
      </w:r>
    </w:p>
    <w:p w14:paraId="5965C274" w14:textId="3D93DD81" w:rsidR="00222AA5" w:rsidRPr="005C133F" w:rsidRDefault="00892282" w:rsidP="005C133F">
      <w:pPr>
        <w:spacing w:after="0" w:line="360" w:lineRule="auto"/>
        <w:ind w:left="360"/>
        <w:jc w:val="both"/>
        <w:rPr>
          <w:rFonts w:eastAsia="Times New Roman"/>
          <w:lang w:val="es-DO" w:eastAsia="es-DO"/>
        </w:rPr>
      </w:pPr>
      <w:r w:rsidRPr="005C133F">
        <w:rPr>
          <w:rFonts w:eastAsia="Times New Roman"/>
          <w:lang w:val="es-DO" w:eastAsia="es-DO"/>
        </w:rPr>
        <w:t xml:space="preserve">Asimismo, </w:t>
      </w:r>
      <w:r w:rsidR="00E45085" w:rsidRPr="005C133F">
        <w:rPr>
          <w:rFonts w:eastAsia="Times New Roman"/>
          <w:lang w:val="es-DO" w:eastAsia="es-DO"/>
        </w:rPr>
        <w:t>con el propósito</w:t>
      </w:r>
      <w:r w:rsidRPr="005C133F">
        <w:rPr>
          <w:rFonts w:eastAsia="Times New Roman"/>
          <w:lang w:val="es-DO" w:eastAsia="es-DO"/>
        </w:rPr>
        <w:t xml:space="preserve"> de velar por la sostenibilidad técnica y financiera </w:t>
      </w:r>
      <w:r w:rsidR="00CB2C99" w:rsidRPr="005C133F">
        <w:rPr>
          <w:rFonts w:eastAsia="Times New Roman"/>
          <w:lang w:val="es-DO" w:eastAsia="es-DO"/>
        </w:rPr>
        <w:t>del SRL</w:t>
      </w:r>
      <w:r w:rsidRPr="005C133F">
        <w:rPr>
          <w:rFonts w:eastAsia="Times New Roman"/>
          <w:lang w:val="es-DO" w:eastAsia="es-DO"/>
        </w:rPr>
        <w:t>,</w:t>
      </w:r>
      <w:r w:rsidR="00686097" w:rsidRPr="005C133F">
        <w:rPr>
          <w:rFonts w:eastAsia="Times New Roman"/>
          <w:lang w:val="es-DO" w:eastAsia="es-DO"/>
        </w:rPr>
        <w:t xml:space="preserve"> </w:t>
      </w:r>
      <w:r w:rsidR="000A7AC2" w:rsidRPr="005C133F">
        <w:rPr>
          <w:rFonts w:eastAsia="Times New Roman"/>
          <w:lang w:val="es-DO" w:eastAsia="es-DO"/>
        </w:rPr>
        <w:t>la</w:t>
      </w:r>
      <w:r w:rsidR="00686097" w:rsidRPr="005C133F">
        <w:rPr>
          <w:rFonts w:eastAsia="Times New Roman"/>
          <w:lang w:val="es-DO" w:eastAsia="es-DO"/>
        </w:rPr>
        <w:t xml:space="preserve"> institución</w:t>
      </w:r>
      <w:r w:rsidR="000A7AC2" w:rsidRPr="005C133F">
        <w:rPr>
          <w:rFonts w:eastAsia="Times New Roman"/>
          <w:lang w:val="es-DO" w:eastAsia="es-DO"/>
        </w:rPr>
        <w:t xml:space="preserve"> </w:t>
      </w:r>
      <w:r w:rsidR="00E45085" w:rsidRPr="005C133F">
        <w:rPr>
          <w:rFonts w:eastAsia="Times New Roman"/>
          <w:lang w:val="es-DO" w:eastAsia="es-DO"/>
        </w:rPr>
        <w:t xml:space="preserve">brindó apoyo </w:t>
      </w:r>
      <w:r w:rsidR="007417D7" w:rsidRPr="005C133F">
        <w:rPr>
          <w:rFonts w:eastAsia="Times New Roman"/>
          <w:lang w:val="es-DO" w:eastAsia="es-DO"/>
        </w:rPr>
        <w:t>técnico</w:t>
      </w:r>
      <w:r w:rsidR="00E45085" w:rsidRPr="005C133F">
        <w:rPr>
          <w:rFonts w:eastAsia="Times New Roman"/>
          <w:lang w:val="es-DO" w:eastAsia="es-DO"/>
        </w:rPr>
        <w:t xml:space="preserve"> </w:t>
      </w:r>
      <w:r w:rsidR="000A7AC2" w:rsidRPr="005C133F">
        <w:rPr>
          <w:rFonts w:eastAsia="Times New Roman"/>
          <w:lang w:val="es-DO" w:eastAsia="es-DO"/>
        </w:rPr>
        <w:t xml:space="preserve">al </w:t>
      </w:r>
      <w:r w:rsidR="000A7AC2" w:rsidRPr="005C133F">
        <w:rPr>
          <w:rFonts w:eastAsia="Times New Roman"/>
          <w:lang w:val="es-DO" w:eastAsia="es-DO"/>
        </w:rPr>
        <w:lastRenderedPageBreak/>
        <w:t xml:space="preserve">IDOPPRIL en la evaluación de los pasivos actuariales constituidos al 31 de diciembre de 2024, valuando la suficiencia técnica y financiera del SRL en el largo plazo, a fin de garantizar la protección y los beneficios de los afiliados al SRL. </w:t>
      </w:r>
      <w:r w:rsidR="00600884" w:rsidRPr="005C133F">
        <w:rPr>
          <w:rFonts w:eastAsia="Times New Roman"/>
          <w:lang w:val="es-DO" w:eastAsia="es-DO"/>
        </w:rPr>
        <w:t xml:space="preserve">  Como resultado de este ejercicio, las </w:t>
      </w:r>
      <w:r w:rsidR="000A7AC2" w:rsidRPr="005C133F">
        <w:rPr>
          <w:rFonts w:eastAsia="Times New Roman"/>
          <w:lang w:val="es-DO" w:eastAsia="es-DO"/>
        </w:rPr>
        <w:t xml:space="preserve">reservas estimadas del año 2024 se constituyen en RD$41,113,059,936.15, </w:t>
      </w:r>
      <w:r w:rsidR="00600884" w:rsidRPr="005C133F">
        <w:rPr>
          <w:rFonts w:eastAsia="Times New Roman"/>
          <w:lang w:val="es-DO" w:eastAsia="es-DO"/>
        </w:rPr>
        <w:t>lo que representa un incremento</w:t>
      </w:r>
      <w:r w:rsidR="000A7AC2" w:rsidRPr="005C133F">
        <w:rPr>
          <w:rFonts w:eastAsia="Times New Roman"/>
          <w:lang w:val="es-DO" w:eastAsia="es-DO"/>
        </w:rPr>
        <w:t xml:space="preserve"> de RD$2,045,406,762.92 con relación al año 2023</w:t>
      </w:r>
      <w:bookmarkStart w:id="36" w:name="_bookmark18"/>
      <w:bookmarkEnd w:id="36"/>
      <w:r w:rsidR="000A7AC2" w:rsidRPr="005C133F">
        <w:rPr>
          <w:rFonts w:eastAsia="Times New Roman"/>
          <w:lang w:val="es-DO" w:eastAsia="es-DO"/>
        </w:rPr>
        <w:t xml:space="preserve"> </w:t>
      </w:r>
      <w:r w:rsidR="00B23A58" w:rsidRPr="005C133F">
        <w:rPr>
          <w:rFonts w:eastAsia="Times New Roman"/>
          <w:lang w:val="es-DO" w:eastAsia="es-DO"/>
        </w:rPr>
        <w:t xml:space="preserve">cuanto las reservas </w:t>
      </w:r>
      <w:r w:rsidR="00B42DA8" w:rsidRPr="005C133F">
        <w:rPr>
          <w:rFonts w:eastAsia="Times New Roman"/>
          <w:lang w:val="es-DO" w:eastAsia="es-DO"/>
        </w:rPr>
        <w:t>alcanzaron 39,067,653,173.23</w:t>
      </w:r>
      <w:r w:rsidR="00E746C6" w:rsidRPr="005C133F">
        <w:rPr>
          <w:rFonts w:eastAsia="Times New Roman"/>
          <w:lang w:val="es-DO" w:eastAsia="es-DO"/>
        </w:rPr>
        <w:t>evidenciando un fortalecimiento progresivo de la solvencia del sistema</w:t>
      </w:r>
      <w:r w:rsidR="000A7AC2" w:rsidRPr="005C133F">
        <w:rPr>
          <w:rFonts w:eastAsia="Times New Roman"/>
          <w:lang w:val="es-DO" w:eastAsia="es-DO"/>
        </w:rPr>
        <w:t xml:space="preserve">. </w:t>
      </w:r>
    </w:p>
    <w:p w14:paraId="21CBB320" w14:textId="77777777" w:rsidR="00C32E22" w:rsidRPr="005C133F" w:rsidRDefault="00C32E22" w:rsidP="005C133F">
      <w:pPr>
        <w:spacing w:after="0" w:line="360" w:lineRule="auto"/>
        <w:ind w:left="360"/>
        <w:jc w:val="both"/>
        <w:rPr>
          <w:rFonts w:eastAsia="Times New Roman"/>
          <w:lang w:val="es-DO" w:eastAsia="es-DO"/>
        </w:rPr>
      </w:pPr>
    </w:p>
    <w:p w14:paraId="7E9C01B7" w14:textId="1E47B961" w:rsidR="00222AA5" w:rsidRPr="005C133F" w:rsidRDefault="00862738" w:rsidP="005C133F">
      <w:pPr>
        <w:pStyle w:val="SUBTITULITO"/>
        <w:spacing w:after="0"/>
        <w:rPr>
          <w:rFonts w:eastAsia="Calibri"/>
          <w:noProof/>
        </w:rPr>
      </w:pPr>
      <w:bookmarkStart w:id="37" w:name="_Toc219121841"/>
      <w:r w:rsidRPr="005C133F">
        <w:rPr>
          <w:rFonts w:eastAsia="Calibri"/>
          <w:noProof/>
        </w:rPr>
        <w:t>3.2 Eficientización del Gasto del Seguro Familiar de Salud y del Seguro de Riesgos Laborales</w:t>
      </w:r>
      <w:bookmarkEnd w:id="37"/>
      <w:r w:rsidRPr="005C133F">
        <w:rPr>
          <w:rFonts w:eastAsia="Calibri"/>
          <w:noProof/>
        </w:rPr>
        <w:t xml:space="preserve"> </w:t>
      </w:r>
    </w:p>
    <w:p w14:paraId="70A7316F" w14:textId="77777777" w:rsidR="00862738" w:rsidRPr="005C133F" w:rsidRDefault="00862738" w:rsidP="005C133F">
      <w:pPr>
        <w:pStyle w:val="SUBTITULOM"/>
        <w:spacing w:after="0"/>
      </w:pPr>
      <w:bookmarkStart w:id="38" w:name="_Toc219121842"/>
      <w:r w:rsidRPr="005C133F">
        <w:t>3.2.1 Supervisión y regulación del uso de los recursos financieros de aseguramiento en salud</w:t>
      </w:r>
      <w:bookmarkEnd w:id="38"/>
      <w:r w:rsidRPr="005C133F">
        <w:t xml:space="preserve"> </w:t>
      </w:r>
    </w:p>
    <w:p w14:paraId="26EC6522" w14:textId="77777777" w:rsidR="00D754D7" w:rsidRPr="005C133F" w:rsidRDefault="00D754D7" w:rsidP="005C133F">
      <w:pPr>
        <w:spacing w:before="120" w:after="0" w:line="360" w:lineRule="auto"/>
        <w:jc w:val="both"/>
        <w:rPr>
          <w:lang w:val="es-DO"/>
        </w:rPr>
      </w:pPr>
    </w:p>
    <w:p w14:paraId="429E19A2" w14:textId="16154685" w:rsidR="00D754D7" w:rsidRPr="005C133F" w:rsidRDefault="00D754D7" w:rsidP="00D75EEC">
      <w:pPr>
        <w:spacing w:after="0" w:line="360" w:lineRule="auto"/>
        <w:jc w:val="both"/>
        <w:rPr>
          <w:b/>
          <w:bCs/>
          <w:lang w:val="es-DO"/>
        </w:rPr>
      </w:pPr>
      <w:r w:rsidRPr="005C133F">
        <w:rPr>
          <w:b/>
          <w:bCs/>
          <w:lang w:val="es-DO"/>
        </w:rPr>
        <w:t xml:space="preserve">Auditoría Financieras y de Sistemas </w:t>
      </w:r>
    </w:p>
    <w:p w14:paraId="2CE56781" w14:textId="77777777" w:rsidR="00D75EEC" w:rsidRDefault="00D75EEC" w:rsidP="00D75EEC">
      <w:pPr>
        <w:spacing w:after="0" w:line="360" w:lineRule="auto"/>
        <w:jc w:val="both"/>
        <w:rPr>
          <w:lang w:val="es-DO"/>
        </w:rPr>
      </w:pPr>
    </w:p>
    <w:p w14:paraId="558A82BE" w14:textId="1585E896" w:rsidR="00BF2B04" w:rsidRPr="005C133F" w:rsidRDefault="00956DA1" w:rsidP="00D75EEC">
      <w:pPr>
        <w:spacing w:after="0" w:line="360" w:lineRule="auto"/>
        <w:jc w:val="both"/>
        <w:rPr>
          <w:lang w:val="es-DO"/>
        </w:rPr>
      </w:pPr>
      <w:r w:rsidRPr="005C133F">
        <w:rPr>
          <w:lang w:val="es-DO"/>
        </w:rPr>
        <w:t>Durante el período enero-</w:t>
      </w:r>
      <w:r w:rsidR="00682BAE">
        <w:rPr>
          <w:lang w:val="es-DO"/>
        </w:rPr>
        <w:t>diciembre</w:t>
      </w:r>
      <w:r w:rsidRPr="005C133F">
        <w:rPr>
          <w:lang w:val="es-DO"/>
        </w:rPr>
        <w:t xml:space="preserve"> 2025 </w:t>
      </w:r>
      <w:r w:rsidR="003C6848" w:rsidRPr="005C133F">
        <w:rPr>
          <w:lang w:val="es-DO"/>
        </w:rPr>
        <w:t xml:space="preserve">se realizaron </w:t>
      </w:r>
      <w:r w:rsidR="002A39BF" w:rsidRPr="005C133F">
        <w:rPr>
          <w:lang w:val="es-DO"/>
        </w:rPr>
        <w:t>treinta</w:t>
      </w:r>
      <w:r w:rsidR="00682BAE">
        <w:rPr>
          <w:lang w:val="es-DO"/>
        </w:rPr>
        <w:t xml:space="preserve"> y seis</w:t>
      </w:r>
      <w:r w:rsidRPr="005C133F">
        <w:rPr>
          <w:lang w:val="es-DO"/>
        </w:rPr>
        <w:t xml:space="preserve"> (3</w:t>
      </w:r>
      <w:r w:rsidR="00682BAE">
        <w:rPr>
          <w:lang w:val="es-DO"/>
        </w:rPr>
        <w:t>6</w:t>
      </w:r>
      <w:r w:rsidRPr="005C133F">
        <w:rPr>
          <w:lang w:val="es-DO"/>
        </w:rPr>
        <w:t xml:space="preserve">) procesos de auditorías a las Administradoras de Riesgos de Salud y al IDOPPRIL, de las cuales </w:t>
      </w:r>
      <w:r w:rsidR="0072151C">
        <w:rPr>
          <w:lang w:val="es-DO"/>
        </w:rPr>
        <w:t xml:space="preserve">dieciocho </w:t>
      </w:r>
      <w:r w:rsidRPr="005C133F">
        <w:rPr>
          <w:lang w:val="es-DO"/>
        </w:rPr>
        <w:t>(1</w:t>
      </w:r>
      <w:r w:rsidR="00682BAE">
        <w:rPr>
          <w:lang w:val="es-DO"/>
        </w:rPr>
        <w:t>8</w:t>
      </w:r>
      <w:r w:rsidRPr="005C133F">
        <w:rPr>
          <w:lang w:val="es-DO"/>
        </w:rPr>
        <w:t xml:space="preserve">) corresponden a Auditorías Financieras y </w:t>
      </w:r>
      <w:r w:rsidR="0072151C">
        <w:rPr>
          <w:lang w:val="es-DO"/>
        </w:rPr>
        <w:t xml:space="preserve">dieciocho </w:t>
      </w:r>
      <w:r w:rsidRPr="005C133F">
        <w:rPr>
          <w:lang w:val="es-DO"/>
        </w:rPr>
        <w:t>(1</w:t>
      </w:r>
      <w:r w:rsidR="00682BAE">
        <w:rPr>
          <w:lang w:val="es-DO"/>
        </w:rPr>
        <w:t>8</w:t>
      </w:r>
      <w:r w:rsidRPr="005C133F">
        <w:rPr>
          <w:lang w:val="es-DO"/>
        </w:rPr>
        <w:t xml:space="preserve">) Auditorías de Sistemas. En cuanto al primer grupo de auditorías, </w:t>
      </w:r>
      <w:r w:rsidR="0072151C">
        <w:rPr>
          <w:lang w:val="es-DO"/>
        </w:rPr>
        <w:t>trece</w:t>
      </w:r>
      <w:r w:rsidRPr="005C133F">
        <w:rPr>
          <w:lang w:val="es-DO"/>
        </w:rPr>
        <w:t xml:space="preserve"> (1</w:t>
      </w:r>
      <w:r w:rsidR="0072151C">
        <w:rPr>
          <w:lang w:val="es-DO"/>
        </w:rPr>
        <w:t>3</w:t>
      </w:r>
      <w:r w:rsidRPr="005C133F">
        <w:rPr>
          <w:lang w:val="es-DO"/>
        </w:rPr>
        <w:t xml:space="preserve">) fueron aplicadas a las ARS Privadas, tres (3) a las ARS de Autogestión y </w:t>
      </w:r>
      <w:r w:rsidR="0072151C">
        <w:rPr>
          <w:lang w:val="es-DO"/>
        </w:rPr>
        <w:t>dos</w:t>
      </w:r>
      <w:r w:rsidRPr="005C133F">
        <w:rPr>
          <w:lang w:val="es-DO"/>
        </w:rPr>
        <w:t xml:space="preserve"> (</w:t>
      </w:r>
      <w:r w:rsidR="0072151C">
        <w:rPr>
          <w:lang w:val="es-DO"/>
        </w:rPr>
        <w:t>2</w:t>
      </w:r>
      <w:r w:rsidRPr="005C133F">
        <w:rPr>
          <w:lang w:val="es-DO"/>
        </w:rPr>
        <w:t xml:space="preserve">) a ARS Pública; con relación al segundo grupo, </w:t>
      </w:r>
      <w:r w:rsidR="0072151C">
        <w:rPr>
          <w:lang w:val="es-DO"/>
        </w:rPr>
        <w:t xml:space="preserve">doce </w:t>
      </w:r>
      <w:r w:rsidRPr="005C133F">
        <w:rPr>
          <w:lang w:val="es-DO"/>
        </w:rPr>
        <w:t>(1</w:t>
      </w:r>
      <w:r w:rsidR="0072151C">
        <w:rPr>
          <w:lang w:val="es-DO"/>
        </w:rPr>
        <w:t>2</w:t>
      </w:r>
      <w:r w:rsidRPr="005C133F">
        <w:rPr>
          <w:lang w:val="es-DO"/>
        </w:rPr>
        <w:t xml:space="preserve">) fueron realizadas en ARS Privadas, dos (2) en ARS Públicas y </w:t>
      </w:r>
      <w:r w:rsidR="0072151C">
        <w:rPr>
          <w:lang w:val="es-DO"/>
        </w:rPr>
        <w:t>cuatro</w:t>
      </w:r>
      <w:r w:rsidRPr="005C133F">
        <w:rPr>
          <w:lang w:val="es-DO"/>
        </w:rPr>
        <w:t xml:space="preserve"> (</w:t>
      </w:r>
      <w:r w:rsidR="0072151C">
        <w:rPr>
          <w:lang w:val="es-DO"/>
        </w:rPr>
        <w:t>4</w:t>
      </w:r>
      <w:r w:rsidRPr="005C133F">
        <w:rPr>
          <w:lang w:val="es-DO"/>
        </w:rPr>
        <w:t>) en ARS de Autogestión.</w:t>
      </w:r>
    </w:p>
    <w:p w14:paraId="39F46345" w14:textId="77777777" w:rsidR="00D75EEC" w:rsidRDefault="00D75EEC" w:rsidP="00D75EEC">
      <w:pPr>
        <w:spacing w:after="0" w:line="360" w:lineRule="auto"/>
        <w:jc w:val="both"/>
        <w:rPr>
          <w:lang w:val="es-DO"/>
        </w:rPr>
      </w:pPr>
    </w:p>
    <w:p w14:paraId="7D9E0986" w14:textId="2C9DB9F9" w:rsidR="005A477B" w:rsidRPr="005C133F" w:rsidRDefault="005A477B" w:rsidP="00D75EEC">
      <w:pPr>
        <w:spacing w:after="0" w:line="360" w:lineRule="auto"/>
        <w:jc w:val="both"/>
        <w:rPr>
          <w:lang w:val="es-DO"/>
        </w:rPr>
      </w:pPr>
      <w:r w:rsidRPr="005C133F">
        <w:rPr>
          <w:lang w:val="es-DO"/>
        </w:rPr>
        <w:lastRenderedPageBreak/>
        <w:t xml:space="preserve">Además de las auditorias financieras y de sistemas programadas para el año 2025, la Dirección de Monitoreo y Supervisión de Riesgos (DGR) </w:t>
      </w:r>
      <w:r w:rsidR="00C52663" w:rsidRPr="005C133F">
        <w:rPr>
          <w:lang w:val="es-DO"/>
        </w:rPr>
        <w:t>participó</w:t>
      </w:r>
      <w:r w:rsidRPr="005C133F">
        <w:rPr>
          <w:lang w:val="es-DO"/>
        </w:rPr>
        <w:t xml:space="preserve"> en el acompañamiento técnico realizado a dos entidades (ARS SeNaSa y ARS APS) que </w:t>
      </w:r>
      <w:r w:rsidR="00C52663" w:rsidRPr="005C133F">
        <w:rPr>
          <w:lang w:val="es-DO"/>
        </w:rPr>
        <w:t>requirieron</w:t>
      </w:r>
      <w:r w:rsidRPr="005C133F">
        <w:rPr>
          <w:lang w:val="es-DO"/>
        </w:rPr>
        <w:t xml:space="preserve"> de la intervención de esta Superintendencia para corregir desviaciones y situaciones que afecta</w:t>
      </w:r>
      <w:r w:rsidR="00404DD8" w:rsidRPr="005C133F">
        <w:rPr>
          <w:lang w:val="es-DO"/>
        </w:rPr>
        <w:t>ron s</w:t>
      </w:r>
      <w:r w:rsidRPr="005C133F">
        <w:rPr>
          <w:lang w:val="es-DO"/>
        </w:rPr>
        <w:t>u cumplimiento</w:t>
      </w:r>
      <w:r w:rsidR="004E2A15" w:rsidRPr="005C133F">
        <w:rPr>
          <w:lang w:val="es-DO"/>
        </w:rPr>
        <w:t xml:space="preserve"> respecto a lo </w:t>
      </w:r>
      <w:r w:rsidRPr="005C133F">
        <w:rPr>
          <w:lang w:val="es-DO"/>
        </w:rPr>
        <w:t>establecido en las normativas vigentes.</w:t>
      </w:r>
    </w:p>
    <w:p w14:paraId="40180A35" w14:textId="77777777" w:rsidR="00D75EEC" w:rsidRDefault="00D75EEC" w:rsidP="00D75EEC">
      <w:pPr>
        <w:spacing w:after="0" w:line="360" w:lineRule="auto"/>
        <w:jc w:val="both"/>
        <w:rPr>
          <w:b/>
          <w:bCs/>
          <w:lang w:val="es-DO"/>
        </w:rPr>
      </w:pPr>
      <w:bookmarkStart w:id="39" w:name="_Toc170482670"/>
    </w:p>
    <w:p w14:paraId="5200060B" w14:textId="77777777" w:rsidR="00D75EEC" w:rsidRDefault="009163B3" w:rsidP="00D75EEC">
      <w:pPr>
        <w:spacing w:after="0" w:line="360" w:lineRule="auto"/>
        <w:jc w:val="both"/>
        <w:rPr>
          <w:b/>
          <w:bCs/>
          <w:lang w:val="es-DO"/>
        </w:rPr>
      </w:pPr>
      <w:r w:rsidRPr="005C133F">
        <w:rPr>
          <w:b/>
          <w:bCs/>
          <w:lang w:val="es-DO"/>
        </w:rPr>
        <w:t>Registro, Acreditación y Renovación Firmas de Auditores Externos</w:t>
      </w:r>
      <w:bookmarkEnd w:id="39"/>
    </w:p>
    <w:p w14:paraId="62E894DF" w14:textId="2CD712FC" w:rsidR="009163B3" w:rsidRPr="005C133F" w:rsidRDefault="009163B3" w:rsidP="00D75EEC">
      <w:pPr>
        <w:spacing w:after="0" w:line="360" w:lineRule="auto"/>
        <w:jc w:val="both"/>
        <w:rPr>
          <w:b/>
          <w:bCs/>
          <w:lang w:val="es-DO"/>
        </w:rPr>
      </w:pPr>
      <w:r w:rsidRPr="005C133F">
        <w:rPr>
          <w:b/>
          <w:bCs/>
          <w:lang w:val="es-DO"/>
        </w:rPr>
        <w:t xml:space="preserve">  </w:t>
      </w:r>
    </w:p>
    <w:p w14:paraId="30108941" w14:textId="18C575DF" w:rsidR="00C32E22" w:rsidRPr="005C133F" w:rsidRDefault="009F57D3" w:rsidP="00D75EEC">
      <w:pPr>
        <w:autoSpaceDE w:val="0"/>
        <w:autoSpaceDN w:val="0"/>
        <w:adjustRightInd w:val="0"/>
        <w:spacing w:after="0" w:line="360" w:lineRule="auto"/>
        <w:jc w:val="both"/>
        <w:rPr>
          <w:lang w:val="es-DO"/>
        </w:rPr>
      </w:pPr>
      <w:r w:rsidRPr="005C133F">
        <w:rPr>
          <w:lang w:val="es-DO"/>
        </w:rPr>
        <w:t xml:space="preserve">En cumplimiento a lo establecido en la Resolución 198-2014 de fecha 20 de </w:t>
      </w:r>
      <w:r w:rsidR="008D54AE" w:rsidRPr="005C133F">
        <w:rPr>
          <w:lang w:val="es-DO"/>
        </w:rPr>
        <w:t>marzo</w:t>
      </w:r>
      <w:r w:rsidRPr="005C133F">
        <w:rPr>
          <w:lang w:val="es-DO"/>
        </w:rPr>
        <w:t xml:space="preserve"> del 2014, la Superintendencia durante el período enero-</w:t>
      </w:r>
      <w:r w:rsidR="0072151C">
        <w:rPr>
          <w:lang w:val="es-DO"/>
        </w:rPr>
        <w:t>diciembre</w:t>
      </w:r>
      <w:r w:rsidRPr="005C133F">
        <w:rPr>
          <w:lang w:val="es-DO"/>
        </w:rPr>
        <w:t xml:space="preserve"> del año 2025 recibió un total de</w:t>
      </w:r>
      <w:r w:rsidR="00B56A75" w:rsidRPr="005C133F">
        <w:rPr>
          <w:lang w:val="es-DO"/>
        </w:rPr>
        <w:t xml:space="preserve"> </w:t>
      </w:r>
      <w:r w:rsidR="0072151C">
        <w:rPr>
          <w:lang w:val="es-DO"/>
        </w:rPr>
        <w:t>cuarenta</w:t>
      </w:r>
      <w:r w:rsidRPr="005C133F">
        <w:rPr>
          <w:lang w:val="es-DO"/>
        </w:rPr>
        <w:t xml:space="preserve"> (</w:t>
      </w:r>
      <w:r w:rsidR="0072151C">
        <w:rPr>
          <w:lang w:val="es-DO"/>
        </w:rPr>
        <w:t>4</w:t>
      </w:r>
      <w:r w:rsidRPr="005C133F">
        <w:rPr>
          <w:lang w:val="es-DO"/>
        </w:rPr>
        <w:t>0) solicitudes para</w:t>
      </w:r>
      <w:r w:rsidR="00AE2515" w:rsidRPr="005C133F">
        <w:rPr>
          <w:lang w:val="es-DO"/>
        </w:rPr>
        <w:t xml:space="preserve"> </w:t>
      </w:r>
      <w:r w:rsidR="0051055C" w:rsidRPr="005C133F">
        <w:rPr>
          <w:lang w:val="es-DO"/>
        </w:rPr>
        <w:t>registro de</w:t>
      </w:r>
      <w:r w:rsidRPr="005C133F">
        <w:rPr>
          <w:lang w:val="es-DO"/>
        </w:rPr>
        <w:t xml:space="preserve"> Auditores Externos, para el inicio del proceso de </w:t>
      </w:r>
      <w:r w:rsidR="0072151C">
        <w:rPr>
          <w:lang w:val="es-DO"/>
        </w:rPr>
        <w:t>doce</w:t>
      </w:r>
      <w:r w:rsidR="00AB44F8" w:rsidRPr="005C133F">
        <w:rPr>
          <w:lang w:val="es-DO"/>
        </w:rPr>
        <w:t xml:space="preserve"> </w:t>
      </w:r>
      <w:r w:rsidRPr="005C133F">
        <w:rPr>
          <w:lang w:val="es-DO"/>
        </w:rPr>
        <w:t>(</w:t>
      </w:r>
      <w:r w:rsidR="0072151C">
        <w:rPr>
          <w:lang w:val="es-DO"/>
        </w:rPr>
        <w:t>12</w:t>
      </w:r>
      <w:r w:rsidRPr="005C133F">
        <w:rPr>
          <w:lang w:val="es-DO"/>
        </w:rPr>
        <w:t>) renovaciones de acreditación de los Contadores Públicos Autorizados</w:t>
      </w:r>
      <w:r w:rsidR="006207D0" w:rsidRPr="005C133F">
        <w:rPr>
          <w:lang w:val="es-DO"/>
        </w:rPr>
        <w:t xml:space="preserve"> (CPA)</w:t>
      </w:r>
      <w:r w:rsidRPr="005C133F">
        <w:rPr>
          <w:lang w:val="es-DO"/>
        </w:rPr>
        <w:t xml:space="preserve"> miembros de las Firmas, </w:t>
      </w:r>
      <w:r w:rsidR="0072151C">
        <w:rPr>
          <w:lang w:val="es-DO"/>
        </w:rPr>
        <w:t>seis (6</w:t>
      </w:r>
      <w:r w:rsidRPr="005C133F">
        <w:rPr>
          <w:lang w:val="es-DO"/>
        </w:rPr>
        <w:t xml:space="preserve">) nuevos registros como </w:t>
      </w:r>
      <w:r w:rsidR="00FA58CD" w:rsidRPr="005C133F">
        <w:rPr>
          <w:lang w:val="es-DO"/>
        </w:rPr>
        <w:t>Contador Público Autorizado (</w:t>
      </w:r>
      <w:r w:rsidRPr="005C133F">
        <w:rPr>
          <w:lang w:val="es-DO"/>
        </w:rPr>
        <w:t>CPA</w:t>
      </w:r>
      <w:r w:rsidR="00FA58CD" w:rsidRPr="005C133F">
        <w:rPr>
          <w:lang w:val="es-DO"/>
        </w:rPr>
        <w:t>)</w:t>
      </w:r>
      <w:r w:rsidRPr="005C133F">
        <w:rPr>
          <w:lang w:val="es-DO"/>
        </w:rPr>
        <w:t xml:space="preserve">, </w:t>
      </w:r>
      <w:r w:rsidR="0072151C">
        <w:rPr>
          <w:lang w:val="es-DO"/>
        </w:rPr>
        <w:t>siete</w:t>
      </w:r>
      <w:r w:rsidR="0089449D" w:rsidRPr="005C133F">
        <w:rPr>
          <w:lang w:val="es-DO"/>
        </w:rPr>
        <w:t xml:space="preserve"> </w:t>
      </w:r>
      <w:r w:rsidRPr="005C133F">
        <w:rPr>
          <w:lang w:val="es-DO"/>
        </w:rPr>
        <w:t>(</w:t>
      </w:r>
      <w:r w:rsidR="0072151C">
        <w:rPr>
          <w:lang w:val="es-DO"/>
        </w:rPr>
        <w:t>7</w:t>
      </w:r>
      <w:r w:rsidRPr="005C133F">
        <w:rPr>
          <w:lang w:val="es-DO"/>
        </w:rPr>
        <w:t>) solicitudes de nuevo registro como firmas</w:t>
      </w:r>
      <w:r w:rsidR="00AA6173" w:rsidRPr="005C133F">
        <w:rPr>
          <w:lang w:val="es-DO"/>
        </w:rPr>
        <w:t xml:space="preserve">. De estas, </w:t>
      </w:r>
      <w:r w:rsidR="00163C6C" w:rsidRPr="005C133F">
        <w:rPr>
          <w:lang w:val="es-DO"/>
        </w:rPr>
        <w:t xml:space="preserve">quince </w:t>
      </w:r>
      <w:r w:rsidRPr="005C133F">
        <w:rPr>
          <w:lang w:val="es-DO"/>
        </w:rPr>
        <w:t xml:space="preserve">(15) solicitudes de Registro fueron rechazadas por documentación incompleta. </w:t>
      </w:r>
      <w:bookmarkStart w:id="40" w:name="_Toc120118257"/>
      <w:bookmarkStart w:id="41" w:name="_Toc170482671"/>
    </w:p>
    <w:p w14:paraId="4BBA4526" w14:textId="77777777" w:rsidR="00735301" w:rsidRPr="005C133F" w:rsidRDefault="00735301" w:rsidP="005C133F">
      <w:pPr>
        <w:autoSpaceDE w:val="0"/>
        <w:autoSpaceDN w:val="0"/>
        <w:adjustRightInd w:val="0"/>
        <w:spacing w:after="0" w:line="360" w:lineRule="auto"/>
        <w:jc w:val="both"/>
        <w:rPr>
          <w:lang w:val="es-DO"/>
        </w:rPr>
      </w:pPr>
    </w:p>
    <w:p w14:paraId="7417743E" w14:textId="7F721187" w:rsidR="00165D09" w:rsidRPr="005C133F" w:rsidRDefault="00205FB0" w:rsidP="005C133F">
      <w:pPr>
        <w:spacing w:after="0" w:line="360" w:lineRule="auto"/>
        <w:jc w:val="both"/>
        <w:rPr>
          <w:b/>
          <w:bCs/>
          <w:lang w:val="es-DO"/>
        </w:rPr>
      </w:pPr>
      <w:r w:rsidRPr="005C133F">
        <w:rPr>
          <w:b/>
          <w:bCs/>
          <w:lang w:val="es-DO"/>
        </w:rPr>
        <w:t>Seguimiento y Monitoreo a la carga de Esquemas de Información</w:t>
      </w:r>
      <w:bookmarkEnd w:id="40"/>
      <w:bookmarkEnd w:id="41"/>
      <w:r w:rsidRPr="005C133F">
        <w:rPr>
          <w:b/>
          <w:bCs/>
          <w:lang w:val="es-DO"/>
        </w:rPr>
        <w:t xml:space="preserve"> </w:t>
      </w:r>
    </w:p>
    <w:p w14:paraId="3BA776CC" w14:textId="77777777" w:rsidR="00735301" w:rsidRPr="005C133F" w:rsidRDefault="00735301" w:rsidP="005C133F">
      <w:pPr>
        <w:spacing w:after="0" w:line="360" w:lineRule="auto"/>
        <w:jc w:val="both"/>
        <w:rPr>
          <w:b/>
          <w:bCs/>
          <w:lang w:val="es-DO"/>
        </w:rPr>
      </w:pPr>
    </w:p>
    <w:p w14:paraId="57A172F9" w14:textId="353306DA" w:rsidR="00707822" w:rsidRDefault="00784444" w:rsidP="005C133F">
      <w:pPr>
        <w:spacing w:after="0" w:line="360" w:lineRule="auto"/>
        <w:jc w:val="both"/>
        <w:rPr>
          <w:lang w:val="es-DO"/>
        </w:rPr>
      </w:pPr>
      <w:r w:rsidRPr="005C133F">
        <w:rPr>
          <w:lang w:val="es-DO"/>
        </w:rPr>
        <w:t>Según lo establecido en la Resolución No.194-2013, conforme a la remisión de información mediante los diferentes esquemas de datos a través del Sistema de Monitoreo (SIMON) correspondiente al período enero-</w:t>
      </w:r>
      <w:r w:rsidR="00FD6057">
        <w:rPr>
          <w:lang w:val="es-DO"/>
        </w:rPr>
        <w:t>diciembre</w:t>
      </w:r>
      <w:r w:rsidRPr="005C133F">
        <w:rPr>
          <w:lang w:val="es-DO"/>
        </w:rPr>
        <w:t xml:space="preserve"> 2025, se obs</w:t>
      </w:r>
      <w:r w:rsidR="00B7108B" w:rsidRPr="005C133F">
        <w:rPr>
          <w:lang w:val="es-DO"/>
        </w:rPr>
        <w:t>ervaron</w:t>
      </w:r>
      <w:r w:rsidRPr="005C133F">
        <w:rPr>
          <w:lang w:val="es-DO"/>
        </w:rPr>
        <w:t xml:space="preserve"> los siguientes porcentajes de cumplimiento para las cargas de las ARS y el IDOPPRIL.</w:t>
      </w:r>
    </w:p>
    <w:p w14:paraId="257D2155" w14:textId="77777777" w:rsidR="00FD6057" w:rsidRPr="005C133F" w:rsidRDefault="00FD6057" w:rsidP="005C133F">
      <w:pPr>
        <w:spacing w:after="0" w:line="360" w:lineRule="auto"/>
        <w:jc w:val="both"/>
        <w:rPr>
          <w:lang w:val="es-DO"/>
        </w:rPr>
      </w:pPr>
    </w:p>
    <w:p w14:paraId="257C9336" w14:textId="60478C41" w:rsidR="002F7600" w:rsidRPr="005C133F" w:rsidRDefault="00FD6057" w:rsidP="005C133F">
      <w:pPr>
        <w:spacing w:after="0" w:line="360" w:lineRule="auto"/>
        <w:jc w:val="both"/>
        <w:rPr>
          <w:lang w:val="es-DO"/>
        </w:rPr>
      </w:pPr>
      <w:r w:rsidRPr="00FD6057">
        <w:rPr>
          <w:lang w:val="es-DO"/>
        </w:rPr>
        <w:t>Las ARS reflejaron un cumplimiento del 95.3% del total de cargas disponibles conformadas por: cargas procesadas 92.9% y cargas pendientes de aprobación 2.4%. Mientras que del total quedó pendiente de carga 4.7%: 3.33% en estado pendiente de carga, 0.58% rechazadas y 0.79% pendientes con errores.</w:t>
      </w:r>
    </w:p>
    <w:p w14:paraId="441229E7" w14:textId="77777777" w:rsidR="00165D09" w:rsidRPr="005C133F" w:rsidRDefault="00165D09" w:rsidP="005C133F">
      <w:pPr>
        <w:autoSpaceDE w:val="0"/>
        <w:autoSpaceDN w:val="0"/>
        <w:adjustRightInd w:val="0"/>
        <w:spacing w:after="0" w:line="360" w:lineRule="auto"/>
        <w:rPr>
          <w:b/>
          <w:bCs/>
          <w:lang w:val="es-DO"/>
        </w:rPr>
      </w:pPr>
    </w:p>
    <w:p w14:paraId="697636EA" w14:textId="4A2640E9" w:rsidR="00165D09" w:rsidRDefault="002F7600" w:rsidP="005C133F">
      <w:pPr>
        <w:autoSpaceDE w:val="0"/>
        <w:autoSpaceDN w:val="0"/>
        <w:adjustRightInd w:val="0"/>
        <w:spacing w:after="0" w:line="360" w:lineRule="auto"/>
        <w:rPr>
          <w:b/>
          <w:bCs/>
          <w:lang w:val="es-DO"/>
        </w:rPr>
      </w:pPr>
      <w:r w:rsidRPr="005C133F">
        <w:rPr>
          <w:b/>
          <w:bCs/>
          <w:lang w:val="es-DO"/>
        </w:rPr>
        <w:t>Cargas de esquemas de las ARS (</w:t>
      </w:r>
      <w:r w:rsidR="00165D09" w:rsidRPr="005C133F">
        <w:rPr>
          <w:b/>
          <w:bCs/>
          <w:lang w:val="es-DO"/>
        </w:rPr>
        <w:t>enero</w:t>
      </w:r>
      <w:r w:rsidRPr="005C133F">
        <w:rPr>
          <w:b/>
          <w:bCs/>
          <w:lang w:val="es-DO"/>
        </w:rPr>
        <w:t>-</w:t>
      </w:r>
      <w:r w:rsidR="003201CC">
        <w:rPr>
          <w:b/>
          <w:bCs/>
          <w:lang w:val="es-DO"/>
        </w:rPr>
        <w:t>diciembre</w:t>
      </w:r>
      <w:r w:rsidRPr="005C133F">
        <w:rPr>
          <w:b/>
          <w:bCs/>
          <w:lang w:val="es-DO"/>
        </w:rPr>
        <w:t xml:space="preserve"> 2025)</w:t>
      </w:r>
    </w:p>
    <w:p w14:paraId="4BF03EF6" w14:textId="518D935B" w:rsidR="004E397A" w:rsidRPr="005C133F" w:rsidRDefault="004E397A" w:rsidP="004E397A">
      <w:pPr>
        <w:autoSpaceDE w:val="0"/>
        <w:autoSpaceDN w:val="0"/>
        <w:adjustRightInd w:val="0"/>
        <w:spacing w:after="0" w:line="360" w:lineRule="auto"/>
        <w:jc w:val="center"/>
        <w:rPr>
          <w:b/>
          <w:bCs/>
          <w:lang w:val="es-DO"/>
        </w:rPr>
      </w:pPr>
      <w:r w:rsidRPr="004E397A">
        <w:rPr>
          <w:b/>
          <w:bCs/>
          <w:noProof/>
          <w:lang w:val="es-DO"/>
        </w:rPr>
        <w:drawing>
          <wp:inline distT="0" distB="0" distL="0" distR="0" wp14:anchorId="3F5AE76B" wp14:editId="43431322">
            <wp:extent cx="5029200" cy="1096645"/>
            <wp:effectExtent l="19050" t="19050" r="19050" b="27305"/>
            <wp:docPr id="45045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5950" name=""/>
                    <pic:cNvPicPr/>
                  </pic:nvPicPr>
                  <pic:blipFill>
                    <a:blip r:embed="rId54"/>
                    <a:stretch>
                      <a:fillRect/>
                    </a:stretch>
                  </pic:blipFill>
                  <pic:spPr>
                    <a:xfrm>
                      <a:off x="0" y="0"/>
                      <a:ext cx="5029200" cy="1096645"/>
                    </a:xfrm>
                    <a:prstGeom prst="rect">
                      <a:avLst/>
                    </a:prstGeom>
                    <a:ln>
                      <a:solidFill>
                        <a:srgbClr val="767171"/>
                      </a:solidFill>
                    </a:ln>
                  </pic:spPr>
                </pic:pic>
              </a:graphicData>
            </a:graphic>
          </wp:inline>
        </w:drawing>
      </w:r>
    </w:p>
    <w:p w14:paraId="0850DD93" w14:textId="3894FC64" w:rsidR="00956DA1" w:rsidRPr="00817AAE" w:rsidRDefault="00EC02DC" w:rsidP="005C133F">
      <w:pPr>
        <w:spacing w:after="0" w:line="360" w:lineRule="auto"/>
        <w:jc w:val="both"/>
        <w:rPr>
          <w:i/>
          <w:iCs/>
          <w:lang w:val="es-DO" w:eastAsia="es-DO"/>
        </w:rPr>
      </w:pPr>
      <w:r w:rsidRPr="00817AAE">
        <w:rPr>
          <w:sz w:val="18"/>
          <w:szCs w:val="18"/>
          <w:lang w:val="es-DO" w:eastAsia="es-DO"/>
        </w:rPr>
        <w:t xml:space="preserve">Fuente: captura </w:t>
      </w:r>
      <w:r w:rsidR="00165D09" w:rsidRPr="00817AAE">
        <w:rPr>
          <w:i/>
          <w:sz w:val="18"/>
          <w:szCs w:val="18"/>
          <w:lang w:val="es-DO" w:eastAsia="es-DO"/>
        </w:rPr>
        <w:t>de los esquemas</w:t>
      </w:r>
      <w:r w:rsidR="003B572C" w:rsidRPr="00817AAE">
        <w:rPr>
          <w:sz w:val="18"/>
          <w:szCs w:val="18"/>
          <w:lang w:val="es-DO" w:eastAsia="es-DO"/>
        </w:rPr>
        <w:t xml:space="preserve"> de datos remitidos por las ARS.</w:t>
      </w:r>
    </w:p>
    <w:p w14:paraId="3D1DC4E0" w14:textId="77777777" w:rsidR="00E21E50" w:rsidRPr="005C133F" w:rsidRDefault="00E21E50" w:rsidP="005C133F">
      <w:pPr>
        <w:spacing w:after="0" w:line="360" w:lineRule="auto"/>
        <w:jc w:val="both"/>
        <w:rPr>
          <w:lang w:val="es-DO"/>
        </w:rPr>
      </w:pPr>
    </w:p>
    <w:p w14:paraId="645DBC8C" w14:textId="007900BB" w:rsidR="005C0F82" w:rsidRPr="005C133F" w:rsidRDefault="00741037" w:rsidP="005C133F">
      <w:pPr>
        <w:spacing w:after="0" w:line="360" w:lineRule="auto"/>
        <w:jc w:val="both"/>
        <w:rPr>
          <w:lang w:val="es-DO"/>
        </w:rPr>
      </w:pPr>
      <w:r w:rsidRPr="005C133F">
        <w:rPr>
          <w:lang w:val="es-DO"/>
        </w:rPr>
        <w:t>En cuanto al IDOPPRIL, este refleja un cumplimiento del 100% del total de cargas disponibles, las cuales fueron procesada</w:t>
      </w:r>
      <w:r w:rsidR="00A815E4" w:rsidRPr="005C133F">
        <w:rPr>
          <w:lang w:val="es-DO"/>
        </w:rPr>
        <w:t xml:space="preserve">s. </w:t>
      </w:r>
    </w:p>
    <w:p w14:paraId="227E50E7" w14:textId="77777777" w:rsidR="00165D09" w:rsidRPr="005C133F" w:rsidRDefault="00165D09" w:rsidP="005C133F">
      <w:pPr>
        <w:spacing w:after="0" w:line="360" w:lineRule="auto"/>
        <w:jc w:val="both"/>
        <w:rPr>
          <w:b/>
          <w:bCs/>
          <w:lang w:val="es-DO"/>
        </w:rPr>
      </w:pPr>
    </w:p>
    <w:p w14:paraId="5E00085E" w14:textId="7A6E66B8" w:rsidR="00A815E4" w:rsidRPr="005C133F" w:rsidRDefault="00A815E4" w:rsidP="005C133F">
      <w:pPr>
        <w:spacing w:after="0" w:line="360" w:lineRule="auto"/>
        <w:jc w:val="both"/>
        <w:rPr>
          <w:b/>
          <w:bCs/>
          <w:lang w:val="es-DO"/>
        </w:rPr>
      </w:pPr>
      <w:r w:rsidRPr="005C133F">
        <w:rPr>
          <w:b/>
          <w:bCs/>
          <w:lang w:val="es-DO"/>
        </w:rPr>
        <w:t>Cargas de esquemas del IDOPPRIL (</w:t>
      </w:r>
      <w:r w:rsidR="00165D09" w:rsidRPr="005C133F">
        <w:rPr>
          <w:b/>
          <w:bCs/>
          <w:lang w:val="es-DO"/>
        </w:rPr>
        <w:t>enero</w:t>
      </w:r>
      <w:r w:rsidRPr="005C133F">
        <w:rPr>
          <w:b/>
          <w:bCs/>
          <w:lang w:val="es-DO"/>
        </w:rPr>
        <w:t>-</w:t>
      </w:r>
      <w:r w:rsidR="003201CC">
        <w:rPr>
          <w:b/>
          <w:bCs/>
          <w:lang w:val="es-DO"/>
        </w:rPr>
        <w:t>diciembre</w:t>
      </w:r>
      <w:r w:rsidRPr="005C133F">
        <w:rPr>
          <w:b/>
          <w:bCs/>
          <w:lang w:val="es-DO"/>
        </w:rPr>
        <w:t xml:space="preserve"> 2025)</w:t>
      </w:r>
    </w:p>
    <w:p w14:paraId="6C7BCC69" w14:textId="2C34401C" w:rsidR="00741037" w:rsidRPr="003201CC" w:rsidRDefault="005C0F82" w:rsidP="005C133F">
      <w:pPr>
        <w:spacing w:after="0" w:line="360" w:lineRule="auto"/>
        <w:jc w:val="both"/>
        <w:rPr>
          <w:b/>
          <w:bCs/>
          <w:lang w:val="es-DO"/>
        </w:rPr>
      </w:pPr>
      <w:r w:rsidRPr="005C133F">
        <w:rPr>
          <w:rFonts w:eastAsia="Calibri"/>
          <w:noProof/>
        </w:rPr>
        <w:drawing>
          <wp:inline distT="0" distB="0" distL="0" distR="0" wp14:anchorId="69AAB91D" wp14:editId="478D3CA4">
            <wp:extent cx="5029200" cy="1002292"/>
            <wp:effectExtent l="19050" t="19050" r="19050" b="26670"/>
            <wp:docPr id="98426357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63573" name="Imagen 1" descr="Texto&#10;&#10;El contenido generado por IA puede ser incorrecto."/>
                    <pic:cNvPicPr/>
                  </pic:nvPicPr>
                  <pic:blipFill>
                    <a:blip r:embed="rId55"/>
                    <a:stretch>
                      <a:fillRect/>
                    </a:stretch>
                  </pic:blipFill>
                  <pic:spPr>
                    <a:xfrm>
                      <a:off x="0" y="0"/>
                      <a:ext cx="5029200" cy="1002292"/>
                    </a:xfrm>
                    <a:prstGeom prst="rect">
                      <a:avLst/>
                    </a:prstGeom>
                    <a:ln>
                      <a:solidFill>
                        <a:srgbClr val="767171"/>
                      </a:solidFill>
                    </a:ln>
                  </pic:spPr>
                </pic:pic>
              </a:graphicData>
            </a:graphic>
          </wp:inline>
        </w:drawing>
      </w:r>
    </w:p>
    <w:p w14:paraId="37B43A0F" w14:textId="702464EA" w:rsidR="00116545" w:rsidRPr="004E4EBE" w:rsidRDefault="00116545" w:rsidP="005C133F">
      <w:pPr>
        <w:pStyle w:val="Textoindependiente"/>
        <w:spacing w:line="360" w:lineRule="auto"/>
        <w:jc w:val="both"/>
        <w:rPr>
          <w:b w:val="0"/>
          <w:i w:val="0"/>
          <w:color w:val="767171"/>
          <w:spacing w:val="20"/>
          <w:sz w:val="18"/>
          <w:szCs w:val="18"/>
          <w:lang w:val="es-DO" w:eastAsia="es-DO"/>
        </w:rPr>
      </w:pPr>
      <w:r w:rsidRPr="004E4EBE">
        <w:rPr>
          <w:b w:val="0"/>
          <w:i w:val="0"/>
          <w:color w:val="767171"/>
          <w:spacing w:val="20"/>
          <w:sz w:val="18"/>
          <w:szCs w:val="18"/>
          <w:lang w:val="es-DO" w:eastAsia="es-DO"/>
        </w:rPr>
        <w:t xml:space="preserve">Fuente: captura </w:t>
      </w:r>
      <w:r w:rsidR="00165D09" w:rsidRPr="004E4EBE">
        <w:rPr>
          <w:b w:val="0"/>
          <w:i w:val="0"/>
          <w:color w:val="767171"/>
          <w:spacing w:val="20"/>
          <w:sz w:val="18"/>
          <w:szCs w:val="18"/>
          <w:lang w:val="es-DO" w:eastAsia="es-DO"/>
        </w:rPr>
        <w:t>de los esquemas</w:t>
      </w:r>
      <w:r w:rsidRPr="004E4EBE">
        <w:rPr>
          <w:b w:val="0"/>
          <w:i w:val="0"/>
          <w:color w:val="767171"/>
          <w:spacing w:val="20"/>
          <w:sz w:val="18"/>
          <w:szCs w:val="18"/>
          <w:lang w:val="es-DO" w:eastAsia="es-DO"/>
        </w:rPr>
        <w:t xml:space="preserve"> de datos remitidos por el </w:t>
      </w:r>
      <w:r w:rsidR="00404580" w:rsidRPr="004E4EBE">
        <w:rPr>
          <w:b w:val="0"/>
          <w:i w:val="0"/>
          <w:color w:val="767171"/>
          <w:spacing w:val="20"/>
          <w:sz w:val="18"/>
          <w:szCs w:val="18"/>
          <w:lang w:val="es-DO" w:eastAsia="es-DO"/>
        </w:rPr>
        <w:t>IDOPPRIL.</w:t>
      </w:r>
    </w:p>
    <w:p w14:paraId="36B4C529" w14:textId="77777777" w:rsidR="00735301" w:rsidRPr="005C133F" w:rsidRDefault="00735301" w:rsidP="005C133F">
      <w:pPr>
        <w:spacing w:after="0" w:line="360" w:lineRule="auto"/>
        <w:jc w:val="both"/>
        <w:rPr>
          <w:lang w:val="es-DO"/>
        </w:rPr>
      </w:pPr>
    </w:p>
    <w:p w14:paraId="41A1CEA7" w14:textId="77777777" w:rsidR="00856B33" w:rsidRDefault="00856B33">
      <w:pPr>
        <w:rPr>
          <w:b/>
          <w:bCs/>
          <w:lang w:val="es-DO"/>
        </w:rPr>
      </w:pPr>
      <w:r>
        <w:rPr>
          <w:b/>
          <w:bCs/>
          <w:lang w:val="es-DO"/>
        </w:rPr>
        <w:br w:type="page"/>
      </w:r>
    </w:p>
    <w:p w14:paraId="2BFADD2F" w14:textId="7E6E7421" w:rsidR="00326298" w:rsidRDefault="00960690" w:rsidP="005C133F">
      <w:pPr>
        <w:spacing w:after="0" w:line="360" w:lineRule="auto"/>
        <w:jc w:val="both"/>
        <w:rPr>
          <w:b/>
          <w:bCs/>
          <w:lang w:val="es-DO"/>
        </w:rPr>
      </w:pPr>
      <w:r w:rsidRPr="005C133F">
        <w:rPr>
          <w:b/>
          <w:bCs/>
          <w:lang w:val="es-DO"/>
        </w:rPr>
        <w:lastRenderedPageBreak/>
        <w:t xml:space="preserve">Evaluación y análisis de las informaciones financieras de las ARS e IDOPPRIL </w:t>
      </w:r>
    </w:p>
    <w:p w14:paraId="75B45533" w14:textId="77777777" w:rsidR="004E3A3E" w:rsidRPr="004E3A3E" w:rsidRDefault="004E3A3E" w:rsidP="005C133F">
      <w:pPr>
        <w:spacing w:after="0" w:line="360" w:lineRule="auto"/>
        <w:jc w:val="both"/>
        <w:rPr>
          <w:b/>
          <w:bCs/>
          <w:lang w:val="es-DO"/>
        </w:rPr>
      </w:pPr>
    </w:p>
    <w:p w14:paraId="20FC9602" w14:textId="249F008E" w:rsidR="00C777EA" w:rsidRDefault="00326298" w:rsidP="005C133F">
      <w:pPr>
        <w:spacing w:after="0" w:line="360" w:lineRule="auto"/>
        <w:jc w:val="both"/>
        <w:rPr>
          <w:lang w:val="es-DO"/>
        </w:rPr>
      </w:pPr>
      <w:r w:rsidRPr="005C133F">
        <w:rPr>
          <w:lang w:val="es-DO"/>
        </w:rPr>
        <w:t>Durante el per</w:t>
      </w:r>
      <w:r w:rsidR="003009DC" w:rsidRPr="005C133F">
        <w:rPr>
          <w:lang w:val="es-DO"/>
        </w:rPr>
        <w:t>í</w:t>
      </w:r>
      <w:r w:rsidRPr="005C133F">
        <w:rPr>
          <w:lang w:val="es-DO"/>
        </w:rPr>
        <w:t>odo enero-septiembre 2025 se</w:t>
      </w:r>
      <w:r w:rsidR="003009DC" w:rsidRPr="005C133F">
        <w:rPr>
          <w:lang w:val="es-DO"/>
        </w:rPr>
        <w:t xml:space="preserve"> realizó</w:t>
      </w:r>
      <w:r w:rsidRPr="005C133F">
        <w:rPr>
          <w:lang w:val="es-DO"/>
        </w:rPr>
        <w:t xml:space="preserve"> el monitoreo, evaluaciones y análisis de las informaciones detalladas a continuación, correspondiente a las diecisiete (17) administradoras:  16 ARS y el IDOPPRIL</w:t>
      </w:r>
      <w:r w:rsidR="00C777EA" w:rsidRPr="005C133F">
        <w:rPr>
          <w:lang w:val="es-DO"/>
        </w:rPr>
        <w:t>.</w:t>
      </w:r>
    </w:p>
    <w:p w14:paraId="5626150F" w14:textId="77777777" w:rsidR="00817AAE" w:rsidRPr="005C133F" w:rsidRDefault="00817AAE" w:rsidP="005C133F">
      <w:pPr>
        <w:spacing w:after="0" w:line="360" w:lineRule="auto"/>
        <w:jc w:val="both"/>
        <w:rPr>
          <w:lang w:val="es-DO"/>
        </w:rPr>
      </w:pPr>
    </w:p>
    <w:p w14:paraId="5B064A89" w14:textId="77777777" w:rsidR="002D2A03" w:rsidRPr="005C133F" w:rsidRDefault="00C777EA" w:rsidP="005C133F">
      <w:pPr>
        <w:spacing w:after="0" w:line="360" w:lineRule="auto"/>
        <w:jc w:val="both"/>
        <w:rPr>
          <w:lang w:val="es-DO"/>
        </w:rPr>
      </w:pPr>
      <w:r w:rsidRPr="005C133F">
        <w:rPr>
          <w:lang w:val="es-DO"/>
        </w:rPr>
        <w:t>Para es</w:t>
      </w:r>
      <w:r w:rsidR="00307CA5" w:rsidRPr="005C133F">
        <w:rPr>
          <w:lang w:val="es-DO"/>
        </w:rPr>
        <w:t>t</w:t>
      </w:r>
      <w:r w:rsidRPr="005C133F">
        <w:rPr>
          <w:lang w:val="es-DO"/>
        </w:rPr>
        <w:t>e mismo periodo, no se incluyen las informaciones de ARS SeNaSa, debido a que la misma se encuentra sometida a un proceso de intervención o acompañamiento técnico de esta Superintendencia, para realizar correcciones de los estados financieros, de un subregistro de la autorizaciones y reclamaciones, así como otras desviaciones que le han afectado en su cumplimiento con los requerimientos establecidos en las normativas vigentes.</w:t>
      </w:r>
    </w:p>
    <w:p w14:paraId="519E4711" w14:textId="09C0F27E" w:rsidR="00326298" w:rsidRPr="005C133F" w:rsidRDefault="002D2A03" w:rsidP="005C133F">
      <w:pPr>
        <w:spacing w:after="0" w:line="360" w:lineRule="auto"/>
        <w:jc w:val="both"/>
        <w:rPr>
          <w:lang w:val="es-DO"/>
        </w:rPr>
      </w:pPr>
      <w:r w:rsidRPr="005C133F">
        <w:rPr>
          <w:lang w:val="es-DO"/>
        </w:rPr>
        <w:t>En el marco de estas actuaciones, se desarrollaron las siguientes actividades:</w:t>
      </w:r>
      <w:r w:rsidR="00C777EA" w:rsidRPr="005C133F">
        <w:rPr>
          <w:lang w:val="es-DO"/>
        </w:rPr>
        <w:t xml:space="preserve"> </w:t>
      </w:r>
    </w:p>
    <w:p w14:paraId="18D5165A" w14:textId="1A5E9327" w:rsidR="00326298" w:rsidRPr="005C133F" w:rsidRDefault="000E5E84">
      <w:pPr>
        <w:pStyle w:val="Prrafodelista"/>
        <w:numPr>
          <w:ilvl w:val="0"/>
          <w:numId w:val="165"/>
        </w:numPr>
        <w:spacing w:after="0" w:line="360" w:lineRule="auto"/>
        <w:jc w:val="both"/>
        <w:rPr>
          <w:lang w:val="es-DO"/>
        </w:rPr>
      </w:pPr>
      <w:r w:rsidRPr="005C133F">
        <w:rPr>
          <w:lang w:val="es-DO"/>
        </w:rPr>
        <w:t>Se evaluaron y analizaron</w:t>
      </w:r>
      <w:r w:rsidR="00326298" w:rsidRPr="005C133F">
        <w:rPr>
          <w:lang w:val="es-DO"/>
        </w:rPr>
        <w:t xml:space="preserve"> las informaciones financieras recibidas a través de los estados financieros mensuales, y trimestrales del año 2025.  </w:t>
      </w:r>
    </w:p>
    <w:p w14:paraId="41C72ACD" w14:textId="621A7AF0" w:rsidR="00326298" w:rsidRPr="005C133F" w:rsidRDefault="000E5E84">
      <w:pPr>
        <w:pStyle w:val="Prrafodelista"/>
        <w:numPr>
          <w:ilvl w:val="0"/>
          <w:numId w:val="165"/>
        </w:numPr>
        <w:spacing w:after="0" w:line="360" w:lineRule="auto"/>
        <w:jc w:val="both"/>
        <w:rPr>
          <w:lang w:val="es-DO"/>
        </w:rPr>
      </w:pPr>
      <w:r w:rsidRPr="005C133F">
        <w:rPr>
          <w:lang w:val="es-DO"/>
        </w:rPr>
        <w:t xml:space="preserve">Se evaluaron y analizaron </w:t>
      </w:r>
      <w:r w:rsidR="00326298" w:rsidRPr="005C133F">
        <w:rPr>
          <w:lang w:val="es-DO"/>
        </w:rPr>
        <w:t xml:space="preserve">las informaciones financieras e informes sobre los estados financieros (auditados) correspondientes al período enero-diciembre 2024, incluyendo el dictamen, las notas y la carta de gerencia emitida por las firmas de auditores externos a las ARS e IDOPPRIL; </w:t>
      </w:r>
    </w:p>
    <w:p w14:paraId="10C1C57B" w14:textId="41D7E4C7" w:rsidR="00326298" w:rsidRPr="005C133F" w:rsidRDefault="006D329A">
      <w:pPr>
        <w:pStyle w:val="Prrafodelista"/>
        <w:numPr>
          <w:ilvl w:val="0"/>
          <w:numId w:val="165"/>
        </w:numPr>
        <w:spacing w:after="0" w:line="360" w:lineRule="auto"/>
        <w:jc w:val="both"/>
        <w:rPr>
          <w:lang w:val="es-DO"/>
        </w:rPr>
      </w:pPr>
      <w:r w:rsidRPr="005C133F">
        <w:rPr>
          <w:lang w:val="es-DO"/>
        </w:rPr>
        <w:t xml:space="preserve">Se evaluaron y analizaron </w:t>
      </w:r>
      <w:r w:rsidR="00326298" w:rsidRPr="005C133F">
        <w:rPr>
          <w:lang w:val="es-DO"/>
        </w:rPr>
        <w:t>las informaciones remitidas por las ARS a través de las cargas de los diferentes esquemas.</w:t>
      </w:r>
    </w:p>
    <w:p w14:paraId="74C1AC57" w14:textId="2838ED57" w:rsidR="00326298" w:rsidRPr="005C133F" w:rsidRDefault="00A47B7E">
      <w:pPr>
        <w:pStyle w:val="Prrafodelista"/>
        <w:numPr>
          <w:ilvl w:val="0"/>
          <w:numId w:val="165"/>
        </w:numPr>
        <w:spacing w:after="0" w:line="360" w:lineRule="auto"/>
        <w:jc w:val="both"/>
        <w:rPr>
          <w:lang w:val="es-DO"/>
        </w:rPr>
      </w:pPr>
      <w:r w:rsidRPr="005C133F">
        <w:rPr>
          <w:lang w:val="es-DO"/>
        </w:rPr>
        <w:t xml:space="preserve">Se elaboraron </w:t>
      </w:r>
      <w:r w:rsidR="00326298" w:rsidRPr="005C133F">
        <w:rPr>
          <w:lang w:val="es-DO"/>
        </w:rPr>
        <w:t xml:space="preserve">los reportes e informes necesarios para la toma de decisiones de esta Superintendencia, así como autorizar su </w:t>
      </w:r>
      <w:r w:rsidR="00326298" w:rsidRPr="005C133F">
        <w:rPr>
          <w:lang w:val="es-DO"/>
        </w:rPr>
        <w:lastRenderedPageBreak/>
        <w:t>publicación en la WEB y en la Oficina Virtual de esta SISALRIL y su remisión a las entidades supervisadas, cuando fuere pertinente.</w:t>
      </w:r>
    </w:p>
    <w:p w14:paraId="44FD6956" w14:textId="0340642D" w:rsidR="00326298" w:rsidRPr="005C133F" w:rsidRDefault="00C06166">
      <w:pPr>
        <w:pStyle w:val="Prrafodelista"/>
        <w:numPr>
          <w:ilvl w:val="0"/>
          <w:numId w:val="165"/>
        </w:numPr>
        <w:spacing w:after="0" w:line="360" w:lineRule="auto"/>
        <w:jc w:val="both"/>
        <w:rPr>
          <w:lang w:val="es-DO"/>
        </w:rPr>
      </w:pPr>
      <w:r w:rsidRPr="005C133F">
        <w:rPr>
          <w:lang w:val="es-DO"/>
        </w:rPr>
        <w:t>Se revisaron y aprobaron</w:t>
      </w:r>
      <w:r w:rsidR="00326298" w:rsidRPr="005C133F">
        <w:rPr>
          <w:lang w:val="es-DO"/>
        </w:rPr>
        <w:t xml:space="preserve"> los modelos de publicación de los Estados Financieros trimestrales y anuales (auditados), autorizando su publicación en un periódico de circulación nacional.  En los oficios remitidos, se reportan a las entidades supervisadas las debilidades, violaciones y observaciones detectadas en la evaluación realizada. </w:t>
      </w:r>
    </w:p>
    <w:p w14:paraId="48BED917" w14:textId="22A284C9" w:rsidR="00326298" w:rsidRPr="005C133F" w:rsidRDefault="003B7172">
      <w:pPr>
        <w:pStyle w:val="Prrafodelista"/>
        <w:numPr>
          <w:ilvl w:val="0"/>
          <w:numId w:val="165"/>
        </w:numPr>
        <w:spacing w:after="0" w:line="360" w:lineRule="auto"/>
        <w:jc w:val="both"/>
        <w:rPr>
          <w:lang w:val="es-DO"/>
        </w:rPr>
      </w:pPr>
      <w:r w:rsidRPr="005C133F">
        <w:rPr>
          <w:lang w:val="es-DO"/>
        </w:rPr>
        <w:t>Se evaluó</w:t>
      </w:r>
      <w:r w:rsidR="00326298" w:rsidRPr="005C133F">
        <w:rPr>
          <w:lang w:val="es-DO"/>
        </w:rPr>
        <w:t xml:space="preserve"> </w:t>
      </w:r>
      <w:r w:rsidR="002D312D" w:rsidRPr="005C133F">
        <w:rPr>
          <w:lang w:val="es-DO"/>
        </w:rPr>
        <w:t xml:space="preserve">el cumplimiento </w:t>
      </w:r>
      <w:r w:rsidR="00326298" w:rsidRPr="005C133F">
        <w:rPr>
          <w:lang w:val="es-DO"/>
        </w:rPr>
        <w:t>de las Firmas de Auditorias con lo establecido en la Resolución No.198-2014, en lo que respeta la realización de las auditorias financieras realizadas a las ARS e IDOPPRIL.</w:t>
      </w:r>
    </w:p>
    <w:p w14:paraId="5C9B20D2" w14:textId="7ADB74CB" w:rsidR="00326298" w:rsidRPr="005C133F" w:rsidRDefault="00326298" w:rsidP="005C133F">
      <w:pPr>
        <w:spacing w:after="0" w:line="360" w:lineRule="auto"/>
        <w:ind w:left="360"/>
        <w:jc w:val="both"/>
        <w:rPr>
          <w:lang w:val="es-DO"/>
        </w:rPr>
      </w:pPr>
      <w:r w:rsidRPr="005C133F">
        <w:rPr>
          <w:lang w:val="es-DO"/>
        </w:rPr>
        <w:t xml:space="preserve">Luego de la validación y aprobación de las informaciones financieras de las ARS, se </w:t>
      </w:r>
      <w:r w:rsidR="008B1F4D" w:rsidRPr="005C133F">
        <w:rPr>
          <w:lang w:val="es-DO"/>
        </w:rPr>
        <w:t>elaboró</w:t>
      </w:r>
      <w:r w:rsidRPr="005C133F">
        <w:rPr>
          <w:lang w:val="es-DO"/>
        </w:rPr>
        <w:t xml:space="preserve"> el consolidado de reportes estadísticos con los indicadores financiero</w:t>
      </w:r>
      <w:r w:rsidR="00967721" w:rsidRPr="005C133F">
        <w:rPr>
          <w:lang w:val="es-DO"/>
        </w:rPr>
        <w:t>s</w:t>
      </w:r>
      <w:r w:rsidRPr="005C133F">
        <w:rPr>
          <w:lang w:val="es-DO"/>
        </w:rPr>
        <w:t xml:space="preserve"> de las ARS/IDOPPRIL, dentro de los cuales los más importantes son los siguientes. </w:t>
      </w:r>
    </w:p>
    <w:p w14:paraId="4646ED7C" w14:textId="77777777" w:rsidR="00326298" w:rsidRPr="005C133F" w:rsidRDefault="00326298">
      <w:pPr>
        <w:numPr>
          <w:ilvl w:val="0"/>
          <w:numId w:val="163"/>
        </w:numPr>
        <w:spacing w:before="120" w:after="0" w:line="360" w:lineRule="auto"/>
        <w:ind w:left="991" w:hanging="283"/>
        <w:jc w:val="both"/>
        <w:rPr>
          <w:rFonts w:eastAsia="Times New Roman"/>
          <w:lang w:val="es-DO"/>
        </w:rPr>
      </w:pPr>
      <w:r w:rsidRPr="005C133F">
        <w:rPr>
          <w:rFonts w:eastAsia="Times New Roman"/>
          <w:b/>
          <w:lang w:val="es-DO"/>
        </w:rPr>
        <w:t>Indicadores de cumplimiento</w:t>
      </w:r>
      <w:r w:rsidRPr="005C133F">
        <w:rPr>
          <w:rFonts w:eastAsia="Times New Roman"/>
          <w:lang w:val="es-DO"/>
        </w:rPr>
        <w:t xml:space="preserve">: </w:t>
      </w:r>
    </w:p>
    <w:p w14:paraId="2A1175AE" w14:textId="77777777" w:rsidR="00326298" w:rsidRPr="005C133F" w:rsidRDefault="00326298">
      <w:pPr>
        <w:numPr>
          <w:ilvl w:val="0"/>
          <w:numId w:val="164"/>
        </w:numPr>
        <w:spacing w:before="120" w:after="0" w:line="360" w:lineRule="auto"/>
        <w:ind w:left="1351"/>
        <w:jc w:val="both"/>
        <w:rPr>
          <w:rFonts w:eastAsia="Times New Roman"/>
          <w:lang w:val="es-DO"/>
        </w:rPr>
      </w:pPr>
      <w:r w:rsidRPr="005C133F">
        <w:rPr>
          <w:rFonts w:eastAsia="Times New Roman"/>
          <w:lang w:val="es-DO"/>
        </w:rPr>
        <w:t>Reservas Técnicas (RT) e Inversiones de las RT;</w:t>
      </w:r>
    </w:p>
    <w:p w14:paraId="7ADC608F" w14:textId="77777777" w:rsidR="00326298" w:rsidRPr="005C133F" w:rsidRDefault="00326298">
      <w:pPr>
        <w:numPr>
          <w:ilvl w:val="0"/>
          <w:numId w:val="164"/>
        </w:numPr>
        <w:spacing w:before="120" w:after="0" w:line="360" w:lineRule="auto"/>
        <w:ind w:left="1351"/>
        <w:jc w:val="both"/>
        <w:rPr>
          <w:rFonts w:eastAsia="Times New Roman"/>
          <w:lang w:val="es-DO"/>
        </w:rPr>
      </w:pPr>
      <w:r w:rsidRPr="005C133F">
        <w:rPr>
          <w:rFonts w:eastAsia="Times New Roman"/>
          <w:lang w:val="es-DO"/>
        </w:rPr>
        <w:t>Capital Mínimo Requerido (CMR);</w:t>
      </w:r>
    </w:p>
    <w:p w14:paraId="737151AC" w14:textId="77777777" w:rsidR="00326298" w:rsidRPr="005C133F" w:rsidRDefault="00326298">
      <w:pPr>
        <w:numPr>
          <w:ilvl w:val="0"/>
          <w:numId w:val="164"/>
        </w:numPr>
        <w:spacing w:before="120" w:after="0" w:line="360" w:lineRule="auto"/>
        <w:ind w:left="1351"/>
        <w:jc w:val="both"/>
        <w:rPr>
          <w:rFonts w:eastAsia="Times New Roman"/>
          <w:lang w:val="es-DO"/>
        </w:rPr>
      </w:pPr>
      <w:r w:rsidRPr="005C133F">
        <w:rPr>
          <w:rFonts w:eastAsia="Times New Roman"/>
          <w:lang w:val="es-DO"/>
        </w:rPr>
        <w:t>Margen de Solvencia (MS)</w:t>
      </w:r>
    </w:p>
    <w:p w14:paraId="5D5719E9" w14:textId="77777777" w:rsidR="00326298" w:rsidRPr="005C133F" w:rsidRDefault="00326298">
      <w:pPr>
        <w:numPr>
          <w:ilvl w:val="0"/>
          <w:numId w:val="164"/>
        </w:numPr>
        <w:spacing w:before="120" w:after="0" w:line="360" w:lineRule="auto"/>
        <w:ind w:left="1351"/>
        <w:jc w:val="both"/>
        <w:rPr>
          <w:rFonts w:eastAsia="Times New Roman"/>
          <w:lang w:val="es-DO"/>
        </w:rPr>
      </w:pPr>
      <w:r w:rsidRPr="005C133F">
        <w:rPr>
          <w:rFonts w:eastAsia="Times New Roman"/>
          <w:lang w:val="es-DO"/>
        </w:rPr>
        <w:t>Exceso de Gastos Generales y Administrativos (GGA)</w:t>
      </w:r>
    </w:p>
    <w:p w14:paraId="7189E52B" w14:textId="77777777" w:rsidR="00326298" w:rsidRPr="005C133F" w:rsidRDefault="00326298">
      <w:pPr>
        <w:numPr>
          <w:ilvl w:val="0"/>
          <w:numId w:val="164"/>
        </w:numPr>
        <w:spacing w:before="120" w:after="0" w:line="360" w:lineRule="auto"/>
        <w:ind w:left="1351"/>
        <w:jc w:val="both"/>
        <w:rPr>
          <w:rFonts w:eastAsia="Times New Roman"/>
          <w:lang w:val="es-DO"/>
        </w:rPr>
      </w:pPr>
      <w:r w:rsidRPr="005C133F">
        <w:rPr>
          <w:rFonts w:eastAsia="Times New Roman"/>
          <w:lang w:val="es-DO"/>
        </w:rPr>
        <w:t>Cálculo de las Reservas de Siniestros Ocurridos, pero no reportados (IBNR).</w:t>
      </w:r>
    </w:p>
    <w:p w14:paraId="5229A78B" w14:textId="77777777" w:rsidR="00326298" w:rsidRPr="005C133F" w:rsidRDefault="00326298">
      <w:pPr>
        <w:numPr>
          <w:ilvl w:val="0"/>
          <w:numId w:val="163"/>
        </w:numPr>
        <w:spacing w:before="120" w:after="0" w:line="360" w:lineRule="auto"/>
        <w:ind w:left="991" w:hanging="283"/>
        <w:jc w:val="both"/>
        <w:rPr>
          <w:rFonts w:eastAsia="Times New Roman"/>
          <w:lang w:val="es-DO"/>
        </w:rPr>
      </w:pPr>
      <w:r w:rsidRPr="005C133F">
        <w:rPr>
          <w:rFonts w:eastAsia="Times New Roman"/>
          <w:b/>
          <w:lang w:val="es-DO"/>
        </w:rPr>
        <w:t xml:space="preserve"> Otros Reportes: </w:t>
      </w:r>
    </w:p>
    <w:p w14:paraId="230D6254" w14:textId="77777777" w:rsidR="00326298" w:rsidRPr="005C133F" w:rsidRDefault="00326298">
      <w:pPr>
        <w:numPr>
          <w:ilvl w:val="0"/>
          <w:numId w:val="162"/>
        </w:numPr>
        <w:spacing w:before="120" w:after="0" w:line="360" w:lineRule="auto"/>
        <w:ind w:left="1275" w:hanging="284"/>
        <w:jc w:val="both"/>
        <w:rPr>
          <w:rFonts w:eastAsia="Times New Roman"/>
          <w:lang w:val="es-DO"/>
        </w:rPr>
      </w:pPr>
      <w:r w:rsidRPr="005C133F">
        <w:rPr>
          <w:rFonts w:eastAsia="Times New Roman"/>
          <w:lang w:val="es-DO"/>
        </w:rPr>
        <w:lastRenderedPageBreak/>
        <w:t>Reporte de Validación del Esquema 06 – Comisiones a Promotores de Salud.</w:t>
      </w:r>
    </w:p>
    <w:p w14:paraId="5381FA65" w14:textId="77777777" w:rsidR="00326298" w:rsidRPr="005C133F" w:rsidRDefault="00326298">
      <w:pPr>
        <w:numPr>
          <w:ilvl w:val="0"/>
          <w:numId w:val="162"/>
        </w:numPr>
        <w:spacing w:before="120" w:after="0" w:line="360" w:lineRule="auto"/>
        <w:ind w:left="1275" w:hanging="284"/>
        <w:jc w:val="both"/>
        <w:rPr>
          <w:rFonts w:eastAsia="Times New Roman"/>
          <w:lang w:val="es-DO"/>
        </w:rPr>
      </w:pPr>
      <w:r w:rsidRPr="005C133F">
        <w:rPr>
          <w:rFonts w:eastAsia="Times New Roman"/>
          <w:lang w:val="es-DO"/>
        </w:rPr>
        <w:t>Reporte de Validación del Esquema 07 – Reclamaciones de las PSS.</w:t>
      </w:r>
    </w:p>
    <w:p w14:paraId="3C6FD247" w14:textId="77777777" w:rsidR="00326298" w:rsidRPr="005C133F" w:rsidRDefault="00326298">
      <w:pPr>
        <w:numPr>
          <w:ilvl w:val="0"/>
          <w:numId w:val="162"/>
        </w:numPr>
        <w:spacing w:before="120" w:after="0" w:line="360" w:lineRule="auto"/>
        <w:ind w:left="1275" w:hanging="284"/>
        <w:jc w:val="both"/>
        <w:rPr>
          <w:rFonts w:eastAsia="Tahoma"/>
          <w:lang w:val="es-ES"/>
        </w:rPr>
      </w:pPr>
      <w:r w:rsidRPr="005C133F">
        <w:rPr>
          <w:rFonts w:eastAsia="Tahoma"/>
          <w:lang w:val="es-ES"/>
        </w:rPr>
        <w:t>Reporte de validación del registro contable de la Dispersión del CAMAT.</w:t>
      </w:r>
    </w:p>
    <w:p w14:paraId="28E2C29D" w14:textId="77777777" w:rsidR="00326298" w:rsidRPr="005C133F" w:rsidRDefault="00326298">
      <w:pPr>
        <w:numPr>
          <w:ilvl w:val="0"/>
          <w:numId w:val="162"/>
        </w:numPr>
        <w:spacing w:before="120" w:after="0" w:line="360" w:lineRule="auto"/>
        <w:ind w:left="1275" w:hanging="284"/>
        <w:jc w:val="both"/>
        <w:rPr>
          <w:rFonts w:eastAsia="Tahoma"/>
          <w:lang w:val="es-ES"/>
        </w:rPr>
      </w:pPr>
      <w:r w:rsidRPr="005C133F">
        <w:rPr>
          <w:rFonts w:eastAsia="Tahoma"/>
          <w:lang w:val="es-ES"/>
        </w:rPr>
        <w:t xml:space="preserve">Reporte de registro de Operaciones de Reaseguros. </w:t>
      </w:r>
    </w:p>
    <w:p w14:paraId="1E50CC31" w14:textId="77777777" w:rsidR="00326298" w:rsidRPr="005C133F" w:rsidRDefault="00326298">
      <w:pPr>
        <w:numPr>
          <w:ilvl w:val="0"/>
          <w:numId w:val="162"/>
        </w:numPr>
        <w:spacing w:before="120" w:after="0" w:line="360" w:lineRule="auto"/>
        <w:ind w:left="1275" w:hanging="284"/>
        <w:jc w:val="both"/>
        <w:rPr>
          <w:rFonts w:eastAsia="Tahoma"/>
          <w:lang w:val="es-ES"/>
        </w:rPr>
      </w:pPr>
      <w:r w:rsidRPr="005C133F">
        <w:rPr>
          <w:rFonts w:eastAsia="Tahoma"/>
          <w:lang w:val="es-ES"/>
        </w:rPr>
        <w:t>Reporte de validación de registro, reversión y liberación de las Reservas Técnicas.</w:t>
      </w:r>
    </w:p>
    <w:p w14:paraId="1CB62E66" w14:textId="77777777" w:rsidR="00326298" w:rsidRPr="005C133F" w:rsidRDefault="00326298">
      <w:pPr>
        <w:numPr>
          <w:ilvl w:val="0"/>
          <w:numId w:val="162"/>
        </w:numPr>
        <w:spacing w:before="120" w:after="0" w:line="360" w:lineRule="auto"/>
        <w:ind w:left="1275" w:hanging="284"/>
        <w:jc w:val="both"/>
        <w:rPr>
          <w:rFonts w:eastAsia="Times New Roman"/>
          <w:lang w:val="es-DO"/>
        </w:rPr>
      </w:pPr>
      <w:r w:rsidRPr="005C133F">
        <w:rPr>
          <w:rFonts w:eastAsia="Times New Roman"/>
          <w:lang w:val="es-DO"/>
        </w:rPr>
        <w:t>Reporte de Análisis de Antigüedad de Saldos.</w:t>
      </w:r>
    </w:p>
    <w:p w14:paraId="141EB42F" w14:textId="77777777" w:rsidR="00326298" w:rsidRPr="005C133F" w:rsidRDefault="00326298">
      <w:pPr>
        <w:numPr>
          <w:ilvl w:val="0"/>
          <w:numId w:val="162"/>
        </w:numPr>
        <w:spacing w:after="0" w:line="360" w:lineRule="auto"/>
        <w:ind w:left="1275" w:hanging="284"/>
        <w:jc w:val="both"/>
        <w:rPr>
          <w:rFonts w:eastAsia="Tahoma"/>
          <w:lang w:val="es-DO"/>
        </w:rPr>
      </w:pPr>
      <w:r w:rsidRPr="005C133F">
        <w:rPr>
          <w:rFonts w:eastAsia="Tahoma"/>
          <w:lang w:val="es-DO"/>
        </w:rPr>
        <w:t>Reporte con el Desempeño Técnico y resumen de los principales indicadores financieros de las ARS y los resultados técnicos del periodo evaluado.</w:t>
      </w:r>
    </w:p>
    <w:p w14:paraId="78F31A3B" w14:textId="77777777" w:rsidR="00326298" w:rsidRPr="005C133F" w:rsidRDefault="00326298" w:rsidP="005C133F">
      <w:pPr>
        <w:spacing w:after="0" w:line="360" w:lineRule="auto"/>
        <w:jc w:val="both"/>
        <w:rPr>
          <w:rFonts w:eastAsia="Tahoma"/>
          <w:lang w:val="es-ES" w:eastAsia="es-DO"/>
        </w:rPr>
      </w:pPr>
    </w:p>
    <w:p w14:paraId="21423B40" w14:textId="4FEE3B57" w:rsidR="00326298" w:rsidRPr="005C133F" w:rsidRDefault="001706A9" w:rsidP="005C133F">
      <w:pPr>
        <w:spacing w:after="0" w:line="360" w:lineRule="auto"/>
        <w:jc w:val="both"/>
        <w:rPr>
          <w:rFonts w:eastAsia="Tahoma"/>
          <w:lang w:val="es-DO"/>
        </w:rPr>
      </w:pPr>
      <w:r w:rsidRPr="005C133F">
        <w:rPr>
          <w:rFonts w:eastAsia="Tahoma"/>
          <w:lang w:val="es-ES" w:eastAsia="es-DO"/>
        </w:rPr>
        <w:t xml:space="preserve">Partiendo de dicho informe, a </w:t>
      </w:r>
      <w:r w:rsidR="002716C6" w:rsidRPr="005C133F">
        <w:rPr>
          <w:rFonts w:eastAsia="Tahoma"/>
          <w:lang w:val="es-ES"/>
        </w:rPr>
        <w:t>continuación,</w:t>
      </w:r>
      <w:r w:rsidR="00326298" w:rsidRPr="005C133F">
        <w:rPr>
          <w:rFonts w:eastAsia="Tahoma"/>
          <w:lang w:val="es-ES"/>
        </w:rPr>
        <w:t xml:space="preserve"> </w:t>
      </w:r>
      <w:r w:rsidR="00673047" w:rsidRPr="005C133F">
        <w:rPr>
          <w:rFonts w:eastAsia="Tahoma"/>
          <w:lang w:val="es-ES"/>
        </w:rPr>
        <w:t xml:space="preserve">se </w:t>
      </w:r>
      <w:r w:rsidR="00326298" w:rsidRPr="005C133F">
        <w:rPr>
          <w:rFonts w:eastAsia="Tahoma"/>
          <w:lang w:val="es-ES" w:eastAsia="es-DO"/>
        </w:rPr>
        <w:t>present</w:t>
      </w:r>
      <w:r w:rsidR="00673047" w:rsidRPr="005C133F">
        <w:rPr>
          <w:rFonts w:eastAsia="Tahoma"/>
          <w:lang w:val="es-ES" w:eastAsia="es-DO"/>
        </w:rPr>
        <w:t xml:space="preserve">an </w:t>
      </w:r>
      <w:r w:rsidR="00326298" w:rsidRPr="005C133F">
        <w:rPr>
          <w:rFonts w:eastAsia="Tahoma"/>
          <w:lang w:val="es-ES" w:eastAsia="es-DO"/>
        </w:rPr>
        <w:t xml:space="preserve">las informaciones financieras de las ARS y del IDOPPRIL correspondientes al periodo </w:t>
      </w:r>
      <w:r w:rsidRPr="005C133F">
        <w:rPr>
          <w:rFonts w:eastAsia="Tahoma"/>
          <w:lang w:val="es-ES" w:eastAsia="es-DO"/>
        </w:rPr>
        <w:t>e</w:t>
      </w:r>
      <w:r w:rsidR="00326298" w:rsidRPr="005C133F">
        <w:rPr>
          <w:rFonts w:eastAsia="Tahoma"/>
          <w:lang w:val="es-ES" w:eastAsia="es-DO"/>
        </w:rPr>
        <w:t>nero-septiembre 2025</w:t>
      </w:r>
      <w:r w:rsidR="005608D4" w:rsidRPr="005C133F">
        <w:rPr>
          <w:rFonts w:eastAsia="Tahoma"/>
          <w:lang w:val="es-ES" w:eastAsia="es-DO"/>
        </w:rPr>
        <w:t xml:space="preserve">: </w:t>
      </w:r>
    </w:p>
    <w:p w14:paraId="32A43720" w14:textId="77777777" w:rsidR="007229FD" w:rsidRPr="005C133F" w:rsidRDefault="007229FD" w:rsidP="005C133F">
      <w:pPr>
        <w:spacing w:after="0" w:line="360" w:lineRule="auto"/>
        <w:jc w:val="both"/>
        <w:rPr>
          <w:lang w:val="es-DO"/>
        </w:rPr>
      </w:pPr>
    </w:p>
    <w:p w14:paraId="4E0E29B8" w14:textId="77777777" w:rsidR="00575490" w:rsidRPr="005C133F" w:rsidRDefault="00326298" w:rsidP="005C133F">
      <w:pPr>
        <w:spacing w:after="0" w:line="360" w:lineRule="auto"/>
        <w:jc w:val="both"/>
        <w:rPr>
          <w:b/>
          <w:bCs/>
          <w:lang w:val="es-DO"/>
        </w:rPr>
      </w:pPr>
      <w:r w:rsidRPr="005C133F">
        <w:rPr>
          <w:b/>
          <w:bCs/>
          <w:lang w:val="es-DO"/>
        </w:rPr>
        <w:t>Estadísticas financieras e indicadores de las ARS</w:t>
      </w:r>
      <w:bookmarkStart w:id="42" w:name="_Toc170482673"/>
    </w:p>
    <w:p w14:paraId="05C830EA" w14:textId="77777777" w:rsidR="00575490" w:rsidRPr="005C133F" w:rsidRDefault="00575490" w:rsidP="005C133F">
      <w:pPr>
        <w:spacing w:after="0" w:line="360" w:lineRule="auto"/>
        <w:jc w:val="both"/>
        <w:rPr>
          <w:b/>
          <w:bCs/>
          <w:lang w:val="es-DO"/>
        </w:rPr>
      </w:pPr>
    </w:p>
    <w:p w14:paraId="106346BF" w14:textId="77777777" w:rsidR="00326298" w:rsidRPr="005C133F" w:rsidRDefault="00326298">
      <w:pPr>
        <w:pStyle w:val="Prrafodelista"/>
        <w:numPr>
          <w:ilvl w:val="0"/>
          <w:numId w:val="166"/>
        </w:numPr>
        <w:spacing w:after="0" w:line="360" w:lineRule="auto"/>
        <w:jc w:val="both"/>
        <w:rPr>
          <w:b/>
          <w:bCs/>
          <w:lang w:val="es-DO"/>
        </w:rPr>
      </w:pPr>
      <w:r w:rsidRPr="005C133F">
        <w:rPr>
          <w:b/>
          <w:bCs/>
          <w:lang w:val="es-DO"/>
        </w:rPr>
        <w:t>Reservas Técnicas Vs.  Inversiones de las Reservas Técnicas</w:t>
      </w:r>
      <w:bookmarkEnd w:id="42"/>
    </w:p>
    <w:p w14:paraId="27541DBA" w14:textId="6D41C4BF" w:rsidR="00C8293E" w:rsidRPr="005C133F" w:rsidRDefault="00326298" w:rsidP="005C133F">
      <w:pPr>
        <w:spacing w:before="120" w:after="0" w:line="360" w:lineRule="auto"/>
        <w:ind w:left="708"/>
        <w:jc w:val="both"/>
        <w:rPr>
          <w:rFonts w:eastAsia="Tahoma"/>
          <w:lang w:val="es-ES" w:eastAsia="es-DO"/>
        </w:rPr>
      </w:pPr>
      <w:r w:rsidRPr="005C133F">
        <w:rPr>
          <w:rFonts w:eastAsia="Tahoma"/>
          <w:lang w:val="es-ES" w:eastAsia="es-DO"/>
        </w:rPr>
        <w:t xml:space="preserve">En el período enero – septiembre 2025 las Inversiones de las Reservas Técnicas ascendieron a la suma de RD$19,607,091,046.16, monto que supera los requeridos para avalar los pasivos de las ARS con los afiliados y con las Prestadoras de Servicios de Salud (PSS) que totalizan un monto de RD$14,584,595,018.11, presentando un excedente de </w:t>
      </w:r>
      <w:r w:rsidRPr="005C133F">
        <w:rPr>
          <w:rFonts w:eastAsia="Tahoma"/>
          <w:lang w:val="es-ES" w:eastAsia="es-DO"/>
        </w:rPr>
        <w:lastRenderedPageBreak/>
        <w:t xml:space="preserve">RD$5,022,496,028.05 en las inversiones de las reservas técnicas, según se muestra en el cuadro siguiente:  </w:t>
      </w:r>
    </w:p>
    <w:p w14:paraId="0E2FF329" w14:textId="2E252E8A" w:rsidR="00B45C2F" w:rsidRPr="005C133F" w:rsidRDefault="00B45C2F" w:rsidP="005C133F">
      <w:pPr>
        <w:spacing w:after="0" w:line="360" w:lineRule="auto"/>
        <w:jc w:val="center"/>
        <w:rPr>
          <w:rFonts w:eastAsia="Tahoma"/>
          <w:b/>
          <w:bCs/>
          <w:lang w:val="es-ES" w:eastAsia="es-DO"/>
        </w:rPr>
      </w:pPr>
    </w:p>
    <w:p w14:paraId="100E8814" w14:textId="6B5D44B9" w:rsidR="00826993" w:rsidRPr="005C133F" w:rsidRDefault="00826993" w:rsidP="00402F25">
      <w:pPr>
        <w:pStyle w:val="Descripcin"/>
        <w:keepNext/>
        <w:spacing w:after="0"/>
        <w:jc w:val="center"/>
        <w:rPr>
          <w:rFonts w:eastAsia="Tahoma"/>
          <w:b/>
          <w:bCs/>
          <w:i w:val="0"/>
          <w:iCs w:val="0"/>
          <w:color w:val="767171"/>
          <w:sz w:val="24"/>
          <w:szCs w:val="24"/>
          <w:lang w:val="es-ES" w:eastAsia="es-DO"/>
        </w:rPr>
      </w:pPr>
      <w:bookmarkStart w:id="43" w:name="_Toc218784147"/>
      <w:r w:rsidRPr="005C133F">
        <w:rPr>
          <w:rFonts w:eastAsia="Tahoma"/>
          <w:b/>
          <w:bCs/>
          <w:i w:val="0"/>
          <w:iCs w:val="0"/>
          <w:color w:val="767171"/>
          <w:sz w:val="24"/>
          <w:szCs w:val="24"/>
          <w:lang w:val="es-ES" w:eastAsia="es-DO"/>
        </w:rPr>
        <w:t xml:space="preserve">Tabla </w:t>
      </w:r>
      <w:r w:rsidRPr="005C133F">
        <w:rPr>
          <w:rFonts w:eastAsia="Tahoma"/>
          <w:b/>
          <w:bCs/>
          <w:i w:val="0"/>
          <w:iCs w:val="0"/>
          <w:color w:val="767171"/>
          <w:sz w:val="24"/>
          <w:szCs w:val="24"/>
          <w:lang w:val="es-ES" w:eastAsia="es-DO"/>
        </w:rPr>
        <w:fldChar w:fldCharType="begin"/>
      </w:r>
      <w:r w:rsidRPr="005C133F">
        <w:rPr>
          <w:rFonts w:eastAsia="Tahoma"/>
          <w:b/>
          <w:bCs/>
          <w:i w:val="0"/>
          <w:iCs w:val="0"/>
          <w:color w:val="767171"/>
          <w:sz w:val="24"/>
          <w:szCs w:val="24"/>
          <w:lang w:val="es-ES" w:eastAsia="es-DO"/>
        </w:rPr>
        <w:instrText xml:space="preserve"> SEQ Tabla \* ARABIC </w:instrText>
      </w:r>
      <w:r w:rsidRPr="005C133F">
        <w:rPr>
          <w:rFonts w:eastAsia="Tahoma"/>
          <w:b/>
          <w:bCs/>
          <w:i w:val="0"/>
          <w:iCs w:val="0"/>
          <w:color w:val="767171"/>
          <w:sz w:val="24"/>
          <w:szCs w:val="24"/>
          <w:lang w:val="es-ES" w:eastAsia="es-DO"/>
        </w:rPr>
        <w:fldChar w:fldCharType="separate"/>
      </w:r>
      <w:r w:rsidR="00814341">
        <w:rPr>
          <w:rFonts w:eastAsia="Tahoma"/>
          <w:b/>
          <w:bCs/>
          <w:i w:val="0"/>
          <w:iCs w:val="0"/>
          <w:noProof/>
          <w:color w:val="767171"/>
          <w:sz w:val="24"/>
          <w:szCs w:val="24"/>
          <w:lang w:val="es-ES" w:eastAsia="es-DO"/>
        </w:rPr>
        <w:t>15</w:t>
      </w:r>
      <w:r w:rsidRPr="005C133F">
        <w:rPr>
          <w:rFonts w:eastAsia="Tahoma"/>
          <w:b/>
          <w:bCs/>
          <w:i w:val="0"/>
          <w:iCs w:val="0"/>
          <w:color w:val="767171"/>
          <w:sz w:val="24"/>
          <w:szCs w:val="24"/>
          <w:lang w:val="es-ES" w:eastAsia="es-DO"/>
        </w:rPr>
        <w:fldChar w:fldCharType="end"/>
      </w:r>
      <w:r w:rsidRPr="005C133F">
        <w:rPr>
          <w:rFonts w:eastAsia="Tahoma"/>
          <w:b/>
          <w:bCs/>
          <w:i w:val="0"/>
          <w:iCs w:val="0"/>
          <w:color w:val="767171"/>
          <w:sz w:val="24"/>
          <w:szCs w:val="24"/>
          <w:lang w:val="es-ES" w:eastAsia="es-DO"/>
        </w:rPr>
        <w:t>. Reservas Técnicas Vs. Inversiones de las Reservas Técnicas, período enero - septiembre 2025</w:t>
      </w:r>
      <w:bookmarkEnd w:id="43"/>
    </w:p>
    <w:tbl>
      <w:tblPr>
        <w:tblW w:w="779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760"/>
        <w:gridCol w:w="3032"/>
      </w:tblGrid>
      <w:tr w:rsidR="004E4EBE" w:rsidRPr="004E4EBE" w14:paraId="7BD3195E" w14:textId="77777777" w:rsidTr="00E05B71">
        <w:trPr>
          <w:trHeight w:val="408"/>
          <w:tblHeader/>
          <w:jc w:val="center"/>
        </w:trPr>
        <w:tc>
          <w:tcPr>
            <w:tcW w:w="4760" w:type="dxa"/>
            <w:shd w:val="clear" w:color="auto" w:fill="011C50"/>
            <w:vAlign w:val="center"/>
            <w:hideMark/>
          </w:tcPr>
          <w:p w14:paraId="022E137B" w14:textId="77777777" w:rsidR="00F418E6" w:rsidRPr="004E4EBE" w:rsidRDefault="00F418E6"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Detalle</w:t>
            </w:r>
          </w:p>
        </w:tc>
        <w:tc>
          <w:tcPr>
            <w:tcW w:w="3032" w:type="dxa"/>
            <w:shd w:val="clear" w:color="auto" w:fill="011C50"/>
            <w:vAlign w:val="center"/>
            <w:hideMark/>
          </w:tcPr>
          <w:p w14:paraId="3CAE0A6F" w14:textId="77777777" w:rsidR="00F418E6" w:rsidRPr="004E4EBE" w:rsidRDefault="00F418E6"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Valor al 2025</w:t>
            </w:r>
          </w:p>
        </w:tc>
      </w:tr>
      <w:tr w:rsidR="004921FF" w:rsidRPr="005C133F" w14:paraId="70DB71D2" w14:textId="77777777" w:rsidTr="00E05B71">
        <w:trPr>
          <w:trHeight w:val="324"/>
          <w:jc w:val="center"/>
        </w:trPr>
        <w:tc>
          <w:tcPr>
            <w:tcW w:w="4760" w:type="dxa"/>
            <w:vAlign w:val="center"/>
            <w:hideMark/>
          </w:tcPr>
          <w:p w14:paraId="6C812235" w14:textId="77777777" w:rsidR="00F418E6" w:rsidRPr="005C133F" w:rsidRDefault="00F418E6" w:rsidP="00402F25">
            <w:pPr>
              <w:spacing w:after="0" w:line="240" w:lineRule="auto"/>
              <w:rPr>
                <w:rFonts w:eastAsia="Times New Roman"/>
                <w:spacing w:val="0"/>
                <w:lang w:val="es-DO" w:eastAsia="es-DO"/>
              </w:rPr>
            </w:pPr>
            <w:r w:rsidRPr="005C133F">
              <w:rPr>
                <w:rFonts w:eastAsia="Times New Roman"/>
                <w:spacing w:val="0"/>
                <w:lang w:val="es-DO" w:eastAsia="es-DO"/>
              </w:rPr>
              <w:t>Reservas Técnicas (RT)</w:t>
            </w:r>
          </w:p>
        </w:tc>
        <w:tc>
          <w:tcPr>
            <w:tcW w:w="3032" w:type="dxa"/>
            <w:vAlign w:val="center"/>
            <w:hideMark/>
          </w:tcPr>
          <w:p w14:paraId="310A3D39" w14:textId="77777777" w:rsidR="00F418E6" w:rsidRPr="005C133F" w:rsidRDefault="00F418E6"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14,584,595,018.11 </w:t>
            </w:r>
          </w:p>
        </w:tc>
      </w:tr>
      <w:tr w:rsidR="004921FF" w:rsidRPr="005C133F" w14:paraId="07247451" w14:textId="77777777" w:rsidTr="00E05B71">
        <w:trPr>
          <w:trHeight w:val="324"/>
          <w:jc w:val="center"/>
        </w:trPr>
        <w:tc>
          <w:tcPr>
            <w:tcW w:w="4760" w:type="dxa"/>
            <w:vAlign w:val="center"/>
            <w:hideMark/>
          </w:tcPr>
          <w:p w14:paraId="2DAA7562" w14:textId="77777777" w:rsidR="00F418E6" w:rsidRPr="005C133F" w:rsidRDefault="00F418E6" w:rsidP="00402F25">
            <w:pPr>
              <w:spacing w:after="0" w:line="240" w:lineRule="auto"/>
              <w:rPr>
                <w:rFonts w:eastAsia="Times New Roman"/>
                <w:spacing w:val="0"/>
                <w:lang w:val="es-DO" w:eastAsia="es-DO"/>
              </w:rPr>
            </w:pPr>
            <w:r w:rsidRPr="005C133F">
              <w:rPr>
                <w:rFonts w:eastAsia="Times New Roman"/>
                <w:spacing w:val="0"/>
                <w:lang w:val="es-DO" w:eastAsia="es-DO"/>
              </w:rPr>
              <w:t>Inversiones de las Reservas Técnicas</w:t>
            </w:r>
          </w:p>
        </w:tc>
        <w:tc>
          <w:tcPr>
            <w:tcW w:w="3032" w:type="dxa"/>
            <w:vAlign w:val="center"/>
            <w:hideMark/>
          </w:tcPr>
          <w:p w14:paraId="7F66003F" w14:textId="77777777" w:rsidR="00F418E6" w:rsidRPr="005C133F" w:rsidRDefault="00F418E6"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19,607,091,046.16 </w:t>
            </w:r>
          </w:p>
        </w:tc>
      </w:tr>
      <w:tr w:rsidR="004921FF" w:rsidRPr="005C133F" w14:paraId="2690B58D" w14:textId="77777777" w:rsidTr="00E05B71">
        <w:trPr>
          <w:trHeight w:val="324"/>
          <w:jc w:val="center"/>
        </w:trPr>
        <w:tc>
          <w:tcPr>
            <w:tcW w:w="4760" w:type="dxa"/>
            <w:vAlign w:val="center"/>
            <w:hideMark/>
          </w:tcPr>
          <w:p w14:paraId="1C8EEB9E" w14:textId="54D2705E" w:rsidR="00F418E6" w:rsidRPr="005C133F" w:rsidRDefault="00393A50"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           </w:t>
            </w:r>
            <w:r w:rsidR="00F418E6" w:rsidRPr="005C133F">
              <w:rPr>
                <w:rFonts w:eastAsia="Times New Roman"/>
                <w:b/>
                <w:bCs/>
                <w:spacing w:val="0"/>
                <w:lang w:val="es-DO" w:eastAsia="es-DO"/>
              </w:rPr>
              <w:t>Excedente en las Inversiones de las RT</w:t>
            </w:r>
          </w:p>
        </w:tc>
        <w:tc>
          <w:tcPr>
            <w:tcW w:w="3032" w:type="dxa"/>
            <w:noWrap/>
            <w:vAlign w:val="center"/>
            <w:hideMark/>
          </w:tcPr>
          <w:p w14:paraId="31F1DBF9" w14:textId="77777777" w:rsidR="00F418E6" w:rsidRPr="005C133F" w:rsidRDefault="00F418E6"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5,022,496,028.05 </w:t>
            </w:r>
          </w:p>
        </w:tc>
      </w:tr>
      <w:tr w:rsidR="004921FF" w:rsidRPr="00CD02F5" w14:paraId="28367704" w14:textId="77777777" w:rsidTr="00E05B71">
        <w:trPr>
          <w:trHeight w:val="390"/>
          <w:jc w:val="center"/>
        </w:trPr>
        <w:tc>
          <w:tcPr>
            <w:tcW w:w="7792" w:type="dxa"/>
            <w:gridSpan w:val="2"/>
            <w:vAlign w:val="center"/>
            <w:hideMark/>
          </w:tcPr>
          <w:p w14:paraId="1891B0C0" w14:textId="57C233FF" w:rsidR="00F418E6" w:rsidRPr="00402F25" w:rsidRDefault="00027E01" w:rsidP="00402F25">
            <w:pPr>
              <w:spacing w:after="0" w:line="240" w:lineRule="auto"/>
              <w:rPr>
                <w:rFonts w:eastAsia="Times New Roman"/>
                <w:spacing w:val="0"/>
                <w:sz w:val="18"/>
                <w:szCs w:val="18"/>
                <w:lang w:val="es-DO" w:eastAsia="es-DO"/>
              </w:rPr>
            </w:pPr>
            <w:r w:rsidRPr="00402F25">
              <w:rPr>
                <w:rFonts w:eastAsia="Times New Roman"/>
                <w:spacing w:val="0"/>
                <w:sz w:val="18"/>
                <w:szCs w:val="18"/>
                <w:lang w:val="es-DO" w:eastAsia="es-DO"/>
              </w:rPr>
              <w:t xml:space="preserve">Nota:  </w:t>
            </w:r>
            <w:r w:rsidR="0090522A" w:rsidRPr="00402F25">
              <w:rPr>
                <w:rFonts w:eastAsia="Times New Roman"/>
                <w:spacing w:val="0"/>
                <w:sz w:val="18"/>
                <w:szCs w:val="18"/>
                <w:lang w:val="es-DO" w:eastAsia="es-DO"/>
              </w:rPr>
              <w:t>Para este periodo no se incluye</w:t>
            </w:r>
            <w:r w:rsidR="00CF0B83" w:rsidRPr="00402F25">
              <w:rPr>
                <w:rFonts w:eastAsia="Times New Roman"/>
                <w:spacing w:val="0"/>
                <w:sz w:val="18"/>
                <w:szCs w:val="18"/>
                <w:lang w:val="es-DO" w:eastAsia="es-DO"/>
              </w:rPr>
              <w:t xml:space="preserve"> las</w:t>
            </w:r>
            <w:r w:rsidRPr="00402F25">
              <w:rPr>
                <w:rFonts w:eastAsia="Times New Roman"/>
                <w:spacing w:val="0"/>
                <w:sz w:val="18"/>
                <w:szCs w:val="18"/>
                <w:lang w:val="es-DO" w:eastAsia="es-DO"/>
              </w:rPr>
              <w:t xml:space="preserve"> informaci</w:t>
            </w:r>
            <w:r w:rsidR="00CF0B83" w:rsidRPr="00402F25">
              <w:rPr>
                <w:rFonts w:eastAsia="Times New Roman"/>
                <w:spacing w:val="0"/>
                <w:sz w:val="18"/>
                <w:szCs w:val="18"/>
                <w:lang w:val="es-DO" w:eastAsia="es-DO"/>
              </w:rPr>
              <w:t>ones</w:t>
            </w:r>
            <w:r w:rsidRPr="00402F25">
              <w:rPr>
                <w:rFonts w:eastAsia="Times New Roman"/>
                <w:spacing w:val="0"/>
                <w:sz w:val="18"/>
                <w:szCs w:val="18"/>
                <w:lang w:val="es-DO" w:eastAsia="es-DO"/>
              </w:rPr>
              <w:t xml:space="preserve"> de la ARS SeNaSa</w:t>
            </w:r>
            <w:r w:rsidR="00CF0B83" w:rsidRPr="00402F25">
              <w:rPr>
                <w:rFonts w:eastAsia="Times New Roman"/>
                <w:spacing w:val="0"/>
                <w:sz w:val="18"/>
                <w:szCs w:val="18"/>
                <w:lang w:val="es-DO" w:eastAsia="es-DO"/>
              </w:rPr>
              <w:t xml:space="preserve">, debido a que esta ARS </w:t>
            </w:r>
            <w:r w:rsidR="00062334" w:rsidRPr="00402F25">
              <w:rPr>
                <w:rFonts w:eastAsia="Times New Roman"/>
                <w:spacing w:val="0"/>
                <w:sz w:val="18"/>
                <w:szCs w:val="18"/>
                <w:lang w:val="es-DO" w:eastAsia="es-DO"/>
              </w:rPr>
              <w:t>se encuentra en proceso de correcciones de sus informaciones financieras.</w:t>
            </w:r>
          </w:p>
        </w:tc>
      </w:tr>
    </w:tbl>
    <w:p w14:paraId="1DE48B85" w14:textId="77777777" w:rsidR="00A3499F" w:rsidRPr="00402F25" w:rsidRDefault="003017CD" w:rsidP="00402F25">
      <w:pPr>
        <w:spacing w:after="0" w:line="240" w:lineRule="auto"/>
        <w:jc w:val="both"/>
        <w:rPr>
          <w:rFonts w:eastAsia="Tahoma"/>
          <w:sz w:val="18"/>
          <w:szCs w:val="18"/>
          <w:lang w:val="es-DO" w:eastAsia="es-DO"/>
        </w:rPr>
      </w:pPr>
      <w:r w:rsidRPr="00402F25">
        <w:rPr>
          <w:rFonts w:eastAsia="Tahoma"/>
          <w:sz w:val="18"/>
          <w:szCs w:val="18"/>
          <w:lang w:val="es-DO" w:eastAsia="es-DO"/>
        </w:rPr>
        <w:t>Fuente: Dirección d</w:t>
      </w:r>
      <w:r w:rsidR="00744C8F" w:rsidRPr="00402F25">
        <w:rPr>
          <w:rFonts w:eastAsia="Tahoma"/>
          <w:sz w:val="18"/>
          <w:szCs w:val="18"/>
          <w:lang w:val="es-DO" w:eastAsia="es-DO"/>
        </w:rPr>
        <w:t xml:space="preserve">e </w:t>
      </w:r>
      <w:r w:rsidR="00946CF2" w:rsidRPr="00402F25">
        <w:rPr>
          <w:rFonts w:eastAsia="Tahoma"/>
          <w:sz w:val="18"/>
          <w:szCs w:val="18"/>
          <w:lang w:val="es-DO" w:eastAsia="es-DO"/>
        </w:rPr>
        <w:t xml:space="preserve">Monitoreo </w:t>
      </w:r>
      <w:r w:rsidR="00B8338D" w:rsidRPr="00402F25">
        <w:rPr>
          <w:rFonts w:eastAsia="Tahoma"/>
          <w:sz w:val="18"/>
          <w:szCs w:val="18"/>
          <w:lang w:val="es-DO" w:eastAsia="es-DO"/>
        </w:rPr>
        <w:t>y Supervisión de la Gestión de Riesgo</w:t>
      </w:r>
      <w:r w:rsidR="00A61AD9" w:rsidRPr="00402F25">
        <w:rPr>
          <w:rFonts w:eastAsia="Tahoma"/>
          <w:sz w:val="18"/>
          <w:szCs w:val="18"/>
          <w:lang w:val="es-DO" w:eastAsia="es-DO"/>
        </w:rPr>
        <w:t>s</w:t>
      </w:r>
      <w:r w:rsidRPr="00402F25">
        <w:rPr>
          <w:rFonts w:eastAsia="Tahoma"/>
          <w:sz w:val="18"/>
          <w:szCs w:val="18"/>
          <w:lang w:val="es-DO" w:eastAsia="es-DO"/>
        </w:rPr>
        <w:t xml:space="preserve"> </w:t>
      </w:r>
    </w:p>
    <w:p w14:paraId="3920B935" w14:textId="77777777" w:rsidR="00A3499F" w:rsidRPr="005C133F" w:rsidRDefault="00A3499F" w:rsidP="005C133F">
      <w:pPr>
        <w:spacing w:after="0" w:line="360" w:lineRule="auto"/>
        <w:jc w:val="both"/>
        <w:rPr>
          <w:rFonts w:eastAsia="Tahoma"/>
          <w:lang w:val="es-DO" w:eastAsia="es-DO"/>
        </w:rPr>
      </w:pPr>
    </w:p>
    <w:p w14:paraId="47782BDA" w14:textId="6F1ECFED" w:rsidR="003A5934" w:rsidRPr="005C133F" w:rsidRDefault="00F91237" w:rsidP="005C133F">
      <w:pPr>
        <w:spacing w:after="0" w:line="360" w:lineRule="auto"/>
        <w:jc w:val="both"/>
        <w:rPr>
          <w:rFonts w:eastAsia="Tahoma"/>
          <w:lang w:val="es-ES" w:eastAsia="es-DO"/>
        </w:rPr>
      </w:pPr>
      <w:r w:rsidRPr="005C133F">
        <w:rPr>
          <w:rFonts w:eastAsia="Tahoma"/>
          <w:lang w:val="es-ES" w:eastAsia="es-DO"/>
        </w:rPr>
        <w:t>S</w:t>
      </w:r>
      <w:r w:rsidR="003A5934" w:rsidRPr="005C133F">
        <w:rPr>
          <w:rFonts w:eastAsia="Tahoma"/>
          <w:lang w:val="es-ES" w:eastAsia="es-DO"/>
        </w:rPr>
        <w:t>egún se observa en el cuadro siguiente, al realizar la comparación entre las reservas técnicas y las inversiones de las reservas técnicas por tipo de ARS, se puede observar que las ARS Privadas presentan un excedente de RD$4,708,286,366.78, las ARS de Autogestión RD$78,261,643.60 y las ARS Públicas 235,948,017.67,</w:t>
      </w:r>
      <w:r w:rsidR="00EB55C3" w:rsidRPr="005C133F">
        <w:rPr>
          <w:rFonts w:eastAsia="Tahoma"/>
          <w:lang w:val="es-ES" w:eastAsia="es-DO"/>
        </w:rPr>
        <w:t xml:space="preserve"> respectivamente</w:t>
      </w:r>
      <w:r w:rsidR="003A5934" w:rsidRPr="005C133F">
        <w:rPr>
          <w:rFonts w:eastAsia="Tahoma"/>
          <w:lang w:val="es-ES" w:eastAsia="es-DO"/>
        </w:rPr>
        <w:t xml:space="preserve"> equivalente al 93.74%, 1.56% y 4.70%, del monto total de las inversiones de las Reservas Técnicas.  </w:t>
      </w:r>
    </w:p>
    <w:p w14:paraId="564E1CBB" w14:textId="121C86FE" w:rsidR="009A79F7" w:rsidRPr="005C133F" w:rsidRDefault="009A79F7" w:rsidP="005C133F">
      <w:pPr>
        <w:spacing w:after="0" w:line="360" w:lineRule="auto"/>
        <w:jc w:val="center"/>
        <w:rPr>
          <w:rFonts w:eastAsia="Tahoma"/>
          <w:b/>
          <w:bCs/>
          <w:lang w:val="es-ES" w:eastAsia="es-DO"/>
        </w:rPr>
      </w:pPr>
    </w:p>
    <w:p w14:paraId="64C6977E" w14:textId="790610FF" w:rsidR="00826993" w:rsidRPr="005C133F" w:rsidRDefault="00826993" w:rsidP="00E05B71">
      <w:pPr>
        <w:pStyle w:val="Descripcin"/>
        <w:keepNext/>
        <w:spacing w:after="0"/>
        <w:jc w:val="center"/>
        <w:rPr>
          <w:rFonts w:eastAsia="Tahoma"/>
          <w:b/>
          <w:bCs/>
          <w:i w:val="0"/>
          <w:iCs w:val="0"/>
          <w:noProof/>
          <w:color w:val="767171"/>
          <w:sz w:val="24"/>
          <w:szCs w:val="24"/>
          <w:lang w:val="es-ES" w:eastAsia="es-DO"/>
        </w:rPr>
      </w:pPr>
      <w:bookmarkStart w:id="44" w:name="_Toc218784148"/>
      <w:r w:rsidRPr="005C133F">
        <w:rPr>
          <w:rFonts w:eastAsia="Tahoma"/>
          <w:b/>
          <w:bCs/>
          <w:i w:val="0"/>
          <w:iCs w:val="0"/>
          <w:noProof/>
          <w:color w:val="767171"/>
          <w:sz w:val="24"/>
          <w:szCs w:val="24"/>
          <w:lang w:val="es-ES" w:eastAsia="es-DO"/>
        </w:rPr>
        <w:t xml:space="preserve">Tabla </w:t>
      </w:r>
      <w:r w:rsidRPr="005C133F">
        <w:rPr>
          <w:rFonts w:eastAsia="Tahoma"/>
          <w:b/>
          <w:bCs/>
          <w:i w:val="0"/>
          <w:iCs w:val="0"/>
          <w:noProof/>
          <w:color w:val="767171"/>
          <w:sz w:val="24"/>
          <w:szCs w:val="24"/>
          <w:lang w:val="es-ES" w:eastAsia="es-DO"/>
        </w:rPr>
        <w:fldChar w:fldCharType="begin"/>
      </w:r>
      <w:r w:rsidRPr="005C133F">
        <w:rPr>
          <w:rFonts w:eastAsia="Tahoma"/>
          <w:b/>
          <w:bCs/>
          <w:i w:val="0"/>
          <w:iCs w:val="0"/>
          <w:noProof/>
          <w:color w:val="767171"/>
          <w:sz w:val="24"/>
          <w:szCs w:val="24"/>
          <w:lang w:val="es-ES" w:eastAsia="es-DO"/>
        </w:rPr>
        <w:instrText xml:space="preserve"> SEQ Tabla \* ARABIC </w:instrText>
      </w:r>
      <w:r w:rsidRPr="005C133F">
        <w:rPr>
          <w:rFonts w:eastAsia="Tahoma"/>
          <w:b/>
          <w:bCs/>
          <w:i w:val="0"/>
          <w:iCs w:val="0"/>
          <w:noProof/>
          <w:color w:val="767171"/>
          <w:sz w:val="24"/>
          <w:szCs w:val="24"/>
          <w:lang w:val="es-ES" w:eastAsia="es-DO"/>
        </w:rPr>
        <w:fldChar w:fldCharType="separate"/>
      </w:r>
      <w:r w:rsidR="00814341">
        <w:rPr>
          <w:rFonts w:eastAsia="Tahoma"/>
          <w:b/>
          <w:bCs/>
          <w:i w:val="0"/>
          <w:iCs w:val="0"/>
          <w:noProof/>
          <w:color w:val="767171"/>
          <w:sz w:val="24"/>
          <w:szCs w:val="24"/>
          <w:lang w:val="es-ES" w:eastAsia="es-DO"/>
        </w:rPr>
        <w:t>16</w:t>
      </w:r>
      <w:r w:rsidRPr="005C133F">
        <w:rPr>
          <w:rFonts w:eastAsia="Tahoma"/>
          <w:b/>
          <w:bCs/>
          <w:i w:val="0"/>
          <w:iCs w:val="0"/>
          <w:noProof/>
          <w:color w:val="767171"/>
          <w:sz w:val="24"/>
          <w:szCs w:val="24"/>
          <w:lang w:val="es-ES" w:eastAsia="es-DO"/>
        </w:rPr>
        <w:fldChar w:fldCharType="end"/>
      </w:r>
      <w:r w:rsidRPr="005C133F">
        <w:rPr>
          <w:rFonts w:eastAsia="Tahoma"/>
          <w:b/>
          <w:bCs/>
          <w:i w:val="0"/>
          <w:iCs w:val="0"/>
          <w:noProof/>
          <w:color w:val="767171"/>
          <w:sz w:val="24"/>
          <w:szCs w:val="24"/>
          <w:lang w:val="es-ES" w:eastAsia="es-DO"/>
        </w:rPr>
        <w:t>. Reservas Técnicas (RT) Vs. Inversiones de las Reservas Técnicas por tipo de ARS, período enero - septiembre 2025</w:t>
      </w:r>
      <w:bookmarkEnd w:id="44"/>
    </w:p>
    <w:tbl>
      <w:tblPr>
        <w:tblW w:w="0" w:type="auto"/>
        <w:jc w:val="center"/>
        <w:tblLayout w:type="fixed"/>
        <w:tblCellMar>
          <w:left w:w="70" w:type="dxa"/>
          <w:right w:w="70" w:type="dxa"/>
        </w:tblCellMar>
        <w:tblLook w:val="04A0" w:firstRow="1" w:lastRow="0" w:firstColumn="1" w:lastColumn="0" w:noHBand="0" w:noVBand="1"/>
      </w:tblPr>
      <w:tblGrid>
        <w:gridCol w:w="1271"/>
        <w:gridCol w:w="1701"/>
        <w:gridCol w:w="1701"/>
        <w:gridCol w:w="1701"/>
        <w:gridCol w:w="1536"/>
      </w:tblGrid>
      <w:tr w:rsidR="004E4EBE" w:rsidRPr="004E4EBE" w14:paraId="2E4D7E83" w14:textId="77777777" w:rsidTr="00E05B71">
        <w:trPr>
          <w:trHeight w:val="390"/>
          <w:tblHeader/>
          <w:jc w:val="center"/>
        </w:trPr>
        <w:tc>
          <w:tcPr>
            <w:tcW w:w="1271" w:type="dxa"/>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416FAF18" w14:textId="77777777" w:rsidR="009A79F7" w:rsidRPr="004E4EBE" w:rsidRDefault="009A79F7"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Detalle</w:t>
            </w:r>
          </w:p>
        </w:tc>
        <w:tc>
          <w:tcPr>
            <w:tcW w:w="1701" w:type="dxa"/>
            <w:tcBorders>
              <w:top w:val="single" w:sz="4" w:space="0" w:color="767171"/>
              <w:left w:val="nil"/>
              <w:bottom w:val="single" w:sz="4" w:space="0" w:color="767171"/>
              <w:right w:val="single" w:sz="4" w:space="0" w:color="767171"/>
            </w:tcBorders>
            <w:shd w:val="clear" w:color="auto" w:fill="011C50"/>
            <w:vAlign w:val="center"/>
            <w:hideMark/>
          </w:tcPr>
          <w:p w14:paraId="749D0841" w14:textId="77777777" w:rsidR="009A79F7" w:rsidRPr="004E4EBE" w:rsidRDefault="009A79F7"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 xml:space="preserve">Total </w:t>
            </w:r>
          </w:p>
        </w:tc>
        <w:tc>
          <w:tcPr>
            <w:tcW w:w="1701" w:type="dxa"/>
            <w:tcBorders>
              <w:top w:val="single" w:sz="4" w:space="0" w:color="767171"/>
              <w:left w:val="nil"/>
              <w:bottom w:val="single" w:sz="4" w:space="0" w:color="767171"/>
              <w:right w:val="single" w:sz="4" w:space="0" w:color="767171"/>
            </w:tcBorders>
            <w:shd w:val="clear" w:color="auto" w:fill="011C50"/>
            <w:vAlign w:val="center"/>
            <w:hideMark/>
          </w:tcPr>
          <w:p w14:paraId="47528BF7" w14:textId="77777777" w:rsidR="009A79F7" w:rsidRPr="004E4EBE" w:rsidRDefault="009A79F7"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ARS Privadas</w:t>
            </w:r>
          </w:p>
        </w:tc>
        <w:tc>
          <w:tcPr>
            <w:tcW w:w="1701" w:type="dxa"/>
            <w:tcBorders>
              <w:top w:val="single" w:sz="4" w:space="0" w:color="767171"/>
              <w:left w:val="nil"/>
              <w:bottom w:val="single" w:sz="4" w:space="0" w:color="767171"/>
              <w:right w:val="single" w:sz="4" w:space="0" w:color="767171"/>
            </w:tcBorders>
            <w:shd w:val="clear" w:color="auto" w:fill="011C50"/>
            <w:vAlign w:val="center"/>
            <w:hideMark/>
          </w:tcPr>
          <w:p w14:paraId="44D0615D" w14:textId="77777777" w:rsidR="009A79F7" w:rsidRPr="004E4EBE" w:rsidRDefault="009A79F7"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 xml:space="preserve">ARS Autogestión </w:t>
            </w:r>
          </w:p>
        </w:tc>
        <w:tc>
          <w:tcPr>
            <w:tcW w:w="1536" w:type="dxa"/>
            <w:tcBorders>
              <w:top w:val="single" w:sz="4" w:space="0" w:color="767171"/>
              <w:left w:val="nil"/>
              <w:bottom w:val="single" w:sz="4" w:space="0" w:color="767171"/>
              <w:right w:val="single" w:sz="4" w:space="0" w:color="767171"/>
            </w:tcBorders>
            <w:shd w:val="clear" w:color="auto" w:fill="011C50"/>
            <w:vAlign w:val="center"/>
            <w:hideMark/>
          </w:tcPr>
          <w:p w14:paraId="09341670" w14:textId="77777777" w:rsidR="009A79F7" w:rsidRPr="004E4EBE" w:rsidRDefault="009A79F7" w:rsidP="00402F25">
            <w:pPr>
              <w:spacing w:after="0" w:line="240" w:lineRule="auto"/>
              <w:jc w:val="center"/>
              <w:rPr>
                <w:rFonts w:eastAsia="Times New Roman"/>
                <w:b/>
                <w:bCs/>
                <w:color w:val="FFFFFF" w:themeColor="background1"/>
                <w:spacing w:val="0"/>
                <w:lang w:val="es-DO" w:eastAsia="es-DO"/>
              </w:rPr>
            </w:pPr>
            <w:r w:rsidRPr="004E4EBE">
              <w:rPr>
                <w:rFonts w:eastAsia="Times New Roman"/>
                <w:b/>
                <w:bCs/>
                <w:color w:val="FFFFFF" w:themeColor="background1"/>
                <w:spacing w:val="0"/>
                <w:lang w:val="es-DO" w:eastAsia="es-DO"/>
              </w:rPr>
              <w:t>ARS Públicas</w:t>
            </w:r>
          </w:p>
        </w:tc>
      </w:tr>
      <w:tr w:rsidR="004921FF" w:rsidRPr="005C133F" w14:paraId="7A77EF81" w14:textId="77777777" w:rsidTr="00E05B71">
        <w:trPr>
          <w:trHeight w:val="495"/>
          <w:jc w:val="center"/>
        </w:trPr>
        <w:tc>
          <w:tcPr>
            <w:tcW w:w="1271" w:type="dxa"/>
            <w:tcBorders>
              <w:top w:val="nil"/>
              <w:left w:val="single" w:sz="4" w:space="0" w:color="767171"/>
              <w:bottom w:val="single" w:sz="4" w:space="0" w:color="767171"/>
              <w:right w:val="single" w:sz="4" w:space="0" w:color="767171"/>
            </w:tcBorders>
            <w:vAlign w:val="center"/>
            <w:hideMark/>
          </w:tcPr>
          <w:p w14:paraId="6DFB276D" w14:textId="77777777" w:rsidR="009A79F7" w:rsidRPr="005C133F" w:rsidRDefault="009A79F7" w:rsidP="00402F25">
            <w:pPr>
              <w:spacing w:after="0" w:line="240" w:lineRule="auto"/>
              <w:rPr>
                <w:rFonts w:eastAsia="Times New Roman"/>
                <w:spacing w:val="0"/>
                <w:lang w:val="es-DO" w:eastAsia="es-DO"/>
              </w:rPr>
            </w:pPr>
            <w:r w:rsidRPr="005C133F">
              <w:rPr>
                <w:rFonts w:eastAsia="Times New Roman"/>
                <w:spacing w:val="0"/>
                <w:lang w:val="es-DO" w:eastAsia="es-DO"/>
              </w:rPr>
              <w:t>Reservas Técnicas (RT)</w:t>
            </w:r>
          </w:p>
        </w:tc>
        <w:tc>
          <w:tcPr>
            <w:tcW w:w="1701" w:type="dxa"/>
            <w:tcBorders>
              <w:top w:val="nil"/>
              <w:left w:val="nil"/>
              <w:bottom w:val="single" w:sz="4" w:space="0" w:color="767171"/>
              <w:right w:val="single" w:sz="4" w:space="0" w:color="767171"/>
            </w:tcBorders>
            <w:vAlign w:val="center"/>
            <w:hideMark/>
          </w:tcPr>
          <w:p w14:paraId="57247782"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14,584,595,018.11 </w:t>
            </w:r>
          </w:p>
        </w:tc>
        <w:tc>
          <w:tcPr>
            <w:tcW w:w="1701" w:type="dxa"/>
            <w:tcBorders>
              <w:top w:val="nil"/>
              <w:left w:val="nil"/>
              <w:bottom w:val="single" w:sz="4" w:space="0" w:color="767171"/>
              <w:right w:val="single" w:sz="4" w:space="0" w:color="767171"/>
            </w:tcBorders>
            <w:vAlign w:val="center"/>
            <w:hideMark/>
          </w:tcPr>
          <w:p w14:paraId="2D099A42"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11,970,781,552.10 </w:t>
            </w:r>
          </w:p>
        </w:tc>
        <w:tc>
          <w:tcPr>
            <w:tcW w:w="1701" w:type="dxa"/>
            <w:tcBorders>
              <w:top w:val="nil"/>
              <w:left w:val="nil"/>
              <w:bottom w:val="single" w:sz="4" w:space="0" w:color="767171"/>
              <w:right w:val="single" w:sz="4" w:space="0" w:color="767171"/>
            </w:tcBorders>
            <w:vAlign w:val="center"/>
            <w:hideMark/>
          </w:tcPr>
          <w:p w14:paraId="646F9C42"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2,254,439,745.32 </w:t>
            </w:r>
          </w:p>
        </w:tc>
        <w:tc>
          <w:tcPr>
            <w:tcW w:w="1536" w:type="dxa"/>
            <w:tcBorders>
              <w:top w:val="nil"/>
              <w:left w:val="nil"/>
              <w:bottom w:val="single" w:sz="4" w:space="0" w:color="767171"/>
              <w:right w:val="single" w:sz="4" w:space="0" w:color="767171"/>
            </w:tcBorders>
            <w:vAlign w:val="center"/>
            <w:hideMark/>
          </w:tcPr>
          <w:p w14:paraId="28CA785A"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359,373,720.69 </w:t>
            </w:r>
          </w:p>
        </w:tc>
      </w:tr>
      <w:tr w:rsidR="004921FF" w:rsidRPr="005C133F" w14:paraId="73343D00" w14:textId="77777777" w:rsidTr="00E05B71">
        <w:trPr>
          <w:trHeight w:val="495"/>
          <w:jc w:val="center"/>
        </w:trPr>
        <w:tc>
          <w:tcPr>
            <w:tcW w:w="1271" w:type="dxa"/>
            <w:tcBorders>
              <w:top w:val="nil"/>
              <w:left w:val="single" w:sz="4" w:space="0" w:color="767171"/>
              <w:bottom w:val="single" w:sz="4" w:space="0" w:color="767171"/>
              <w:right w:val="single" w:sz="4" w:space="0" w:color="767171"/>
            </w:tcBorders>
            <w:vAlign w:val="center"/>
            <w:hideMark/>
          </w:tcPr>
          <w:p w14:paraId="662C2DC2" w14:textId="77777777" w:rsidR="009A79F7" w:rsidRPr="005C133F" w:rsidRDefault="009A79F7" w:rsidP="00402F25">
            <w:pPr>
              <w:spacing w:after="0" w:line="240" w:lineRule="auto"/>
              <w:rPr>
                <w:rFonts w:eastAsia="Times New Roman"/>
                <w:spacing w:val="0"/>
                <w:lang w:val="es-DO" w:eastAsia="es-DO"/>
              </w:rPr>
            </w:pPr>
            <w:r w:rsidRPr="005C133F">
              <w:rPr>
                <w:rFonts w:eastAsia="Times New Roman"/>
                <w:spacing w:val="0"/>
                <w:lang w:val="es-DO" w:eastAsia="es-DO"/>
              </w:rPr>
              <w:t>Inversiones de las reservas Técnicas</w:t>
            </w:r>
          </w:p>
        </w:tc>
        <w:tc>
          <w:tcPr>
            <w:tcW w:w="1701" w:type="dxa"/>
            <w:tcBorders>
              <w:top w:val="nil"/>
              <w:left w:val="nil"/>
              <w:bottom w:val="single" w:sz="4" w:space="0" w:color="767171"/>
              <w:right w:val="single" w:sz="4" w:space="0" w:color="767171"/>
            </w:tcBorders>
            <w:vAlign w:val="center"/>
            <w:hideMark/>
          </w:tcPr>
          <w:p w14:paraId="47E45C18"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19,607,091,046.16 </w:t>
            </w:r>
          </w:p>
        </w:tc>
        <w:tc>
          <w:tcPr>
            <w:tcW w:w="1701" w:type="dxa"/>
            <w:tcBorders>
              <w:top w:val="nil"/>
              <w:left w:val="nil"/>
              <w:bottom w:val="single" w:sz="4" w:space="0" w:color="767171"/>
              <w:right w:val="single" w:sz="4" w:space="0" w:color="767171"/>
            </w:tcBorders>
            <w:vAlign w:val="center"/>
            <w:hideMark/>
          </w:tcPr>
          <w:p w14:paraId="1EADDEC9"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16,679,067,918.88 </w:t>
            </w:r>
          </w:p>
        </w:tc>
        <w:tc>
          <w:tcPr>
            <w:tcW w:w="1701" w:type="dxa"/>
            <w:tcBorders>
              <w:top w:val="nil"/>
              <w:left w:val="nil"/>
              <w:bottom w:val="single" w:sz="4" w:space="0" w:color="767171"/>
              <w:right w:val="single" w:sz="4" w:space="0" w:color="767171"/>
            </w:tcBorders>
            <w:vAlign w:val="center"/>
            <w:hideMark/>
          </w:tcPr>
          <w:p w14:paraId="0F48853D"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2,332,701,388.92 </w:t>
            </w:r>
          </w:p>
        </w:tc>
        <w:tc>
          <w:tcPr>
            <w:tcW w:w="1536" w:type="dxa"/>
            <w:tcBorders>
              <w:top w:val="nil"/>
              <w:left w:val="nil"/>
              <w:bottom w:val="single" w:sz="4" w:space="0" w:color="767171"/>
              <w:right w:val="single" w:sz="4" w:space="0" w:color="767171"/>
            </w:tcBorders>
            <w:vAlign w:val="center"/>
            <w:hideMark/>
          </w:tcPr>
          <w:p w14:paraId="6C2C1BD2"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595,321,738.36 </w:t>
            </w:r>
          </w:p>
        </w:tc>
      </w:tr>
      <w:tr w:rsidR="004921FF" w:rsidRPr="005C133F" w14:paraId="72286833" w14:textId="77777777" w:rsidTr="00E05B71">
        <w:trPr>
          <w:trHeight w:val="639"/>
          <w:jc w:val="center"/>
        </w:trPr>
        <w:tc>
          <w:tcPr>
            <w:tcW w:w="1271" w:type="dxa"/>
            <w:tcBorders>
              <w:top w:val="nil"/>
              <w:left w:val="single" w:sz="4" w:space="0" w:color="767171"/>
              <w:bottom w:val="single" w:sz="4" w:space="0" w:color="767171"/>
              <w:right w:val="single" w:sz="4" w:space="0" w:color="767171"/>
            </w:tcBorders>
            <w:vAlign w:val="center"/>
            <w:hideMark/>
          </w:tcPr>
          <w:p w14:paraId="361510A0" w14:textId="77777777" w:rsidR="009A79F7" w:rsidRPr="005C133F" w:rsidRDefault="009A79F7" w:rsidP="00402F25">
            <w:pPr>
              <w:spacing w:after="0" w:line="240" w:lineRule="auto"/>
              <w:rPr>
                <w:rFonts w:eastAsia="Times New Roman"/>
                <w:spacing w:val="0"/>
                <w:lang w:val="es-DO" w:eastAsia="es-DO"/>
              </w:rPr>
            </w:pPr>
            <w:r w:rsidRPr="005C133F">
              <w:rPr>
                <w:rFonts w:eastAsia="Times New Roman"/>
                <w:spacing w:val="0"/>
                <w:lang w:val="es-DO" w:eastAsia="es-DO"/>
              </w:rPr>
              <w:t>Excedente (</w:t>
            </w:r>
            <w:proofErr w:type="spellStart"/>
            <w:r w:rsidRPr="005C133F">
              <w:rPr>
                <w:rFonts w:eastAsia="Times New Roman"/>
                <w:spacing w:val="0"/>
                <w:lang w:val="es-DO" w:eastAsia="es-DO"/>
              </w:rPr>
              <w:t>Deficit</w:t>
            </w:r>
            <w:proofErr w:type="spellEnd"/>
            <w:r w:rsidRPr="005C133F">
              <w:rPr>
                <w:rFonts w:eastAsia="Times New Roman"/>
                <w:spacing w:val="0"/>
                <w:lang w:val="es-DO" w:eastAsia="es-DO"/>
              </w:rPr>
              <w:t xml:space="preserve">) en las </w:t>
            </w:r>
            <w:r w:rsidRPr="005C133F">
              <w:rPr>
                <w:rFonts w:eastAsia="Times New Roman"/>
                <w:spacing w:val="0"/>
                <w:lang w:val="es-DO" w:eastAsia="es-DO"/>
              </w:rPr>
              <w:lastRenderedPageBreak/>
              <w:t>inversiones de las RT</w:t>
            </w:r>
          </w:p>
        </w:tc>
        <w:tc>
          <w:tcPr>
            <w:tcW w:w="1701" w:type="dxa"/>
            <w:tcBorders>
              <w:top w:val="nil"/>
              <w:left w:val="nil"/>
              <w:bottom w:val="single" w:sz="4" w:space="0" w:color="767171"/>
              <w:right w:val="single" w:sz="4" w:space="0" w:color="767171"/>
            </w:tcBorders>
            <w:noWrap/>
            <w:vAlign w:val="center"/>
            <w:hideMark/>
          </w:tcPr>
          <w:p w14:paraId="612BAC0E"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lastRenderedPageBreak/>
              <w:t xml:space="preserve">             5,022,496,028.05 </w:t>
            </w:r>
          </w:p>
        </w:tc>
        <w:tc>
          <w:tcPr>
            <w:tcW w:w="1701" w:type="dxa"/>
            <w:tcBorders>
              <w:top w:val="nil"/>
              <w:left w:val="nil"/>
              <w:bottom w:val="single" w:sz="4" w:space="0" w:color="767171"/>
              <w:right w:val="single" w:sz="4" w:space="0" w:color="767171"/>
            </w:tcBorders>
            <w:noWrap/>
            <w:vAlign w:val="center"/>
            <w:hideMark/>
          </w:tcPr>
          <w:p w14:paraId="63747E6F"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4,708,286,366.78 </w:t>
            </w:r>
          </w:p>
        </w:tc>
        <w:tc>
          <w:tcPr>
            <w:tcW w:w="1701" w:type="dxa"/>
            <w:tcBorders>
              <w:top w:val="nil"/>
              <w:left w:val="nil"/>
              <w:bottom w:val="single" w:sz="4" w:space="0" w:color="767171"/>
              <w:right w:val="single" w:sz="4" w:space="0" w:color="767171"/>
            </w:tcBorders>
            <w:noWrap/>
            <w:vAlign w:val="center"/>
            <w:hideMark/>
          </w:tcPr>
          <w:p w14:paraId="07235101"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78,261,643.60 </w:t>
            </w:r>
          </w:p>
        </w:tc>
        <w:tc>
          <w:tcPr>
            <w:tcW w:w="1536" w:type="dxa"/>
            <w:tcBorders>
              <w:top w:val="nil"/>
              <w:left w:val="nil"/>
              <w:bottom w:val="single" w:sz="4" w:space="0" w:color="767171"/>
              <w:right w:val="single" w:sz="4" w:space="0" w:color="767171"/>
            </w:tcBorders>
            <w:noWrap/>
            <w:vAlign w:val="center"/>
            <w:hideMark/>
          </w:tcPr>
          <w:p w14:paraId="70E73D52" w14:textId="77777777" w:rsidR="009A79F7" w:rsidRPr="005C133F" w:rsidRDefault="009A79F7"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235,948,017.67 </w:t>
            </w:r>
          </w:p>
        </w:tc>
      </w:tr>
      <w:tr w:rsidR="004921FF" w:rsidRPr="005C133F" w14:paraId="68888707" w14:textId="77777777" w:rsidTr="00E05B71">
        <w:trPr>
          <w:trHeight w:val="624"/>
          <w:jc w:val="center"/>
        </w:trPr>
        <w:tc>
          <w:tcPr>
            <w:tcW w:w="1271" w:type="dxa"/>
            <w:tcBorders>
              <w:top w:val="nil"/>
              <w:left w:val="single" w:sz="4" w:space="0" w:color="767171"/>
              <w:bottom w:val="single" w:sz="4" w:space="0" w:color="767171"/>
              <w:right w:val="single" w:sz="4" w:space="0" w:color="767171"/>
            </w:tcBorders>
            <w:vAlign w:val="center"/>
            <w:hideMark/>
          </w:tcPr>
          <w:p w14:paraId="13325EA5" w14:textId="66699869" w:rsidR="009A79F7" w:rsidRPr="005C133F" w:rsidRDefault="0002321A" w:rsidP="00402F25">
            <w:pPr>
              <w:spacing w:after="0" w:line="240" w:lineRule="auto"/>
              <w:rPr>
                <w:rFonts w:eastAsia="Times New Roman"/>
                <w:spacing w:val="0"/>
                <w:lang w:val="es-DO" w:eastAsia="es-DO"/>
              </w:rPr>
            </w:pPr>
            <w:r w:rsidRPr="005C133F">
              <w:rPr>
                <w:rFonts w:eastAsia="Times New Roman"/>
                <w:spacing w:val="0"/>
                <w:lang w:val="es-DO" w:eastAsia="es-DO"/>
              </w:rPr>
              <w:t>Participación</w:t>
            </w:r>
            <w:r w:rsidR="009A79F7" w:rsidRPr="005C133F">
              <w:rPr>
                <w:rFonts w:eastAsia="Times New Roman"/>
                <w:spacing w:val="0"/>
                <w:lang w:val="es-DO" w:eastAsia="es-DO"/>
              </w:rPr>
              <w:t xml:space="preserve"> en el Excedente de las Inversiones de las Reservas Técnicas</w:t>
            </w:r>
          </w:p>
        </w:tc>
        <w:tc>
          <w:tcPr>
            <w:tcW w:w="1701" w:type="dxa"/>
            <w:tcBorders>
              <w:top w:val="nil"/>
              <w:left w:val="nil"/>
              <w:bottom w:val="single" w:sz="4" w:space="0" w:color="767171"/>
              <w:right w:val="single" w:sz="4" w:space="0" w:color="767171"/>
            </w:tcBorders>
            <w:noWrap/>
            <w:vAlign w:val="center"/>
            <w:hideMark/>
          </w:tcPr>
          <w:p w14:paraId="0E65ABFF" w14:textId="77777777" w:rsidR="009A79F7" w:rsidRPr="005C133F" w:rsidRDefault="009A79F7"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100.00%</w:t>
            </w:r>
          </w:p>
        </w:tc>
        <w:tc>
          <w:tcPr>
            <w:tcW w:w="1701" w:type="dxa"/>
            <w:tcBorders>
              <w:top w:val="nil"/>
              <w:left w:val="nil"/>
              <w:bottom w:val="single" w:sz="4" w:space="0" w:color="767171"/>
              <w:right w:val="single" w:sz="4" w:space="0" w:color="767171"/>
            </w:tcBorders>
            <w:noWrap/>
            <w:vAlign w:val="center"/>
            <w:hideMark/>
          </w:tcPr>
          <w:p w14:paraId="6D84171F" w14:textId="77777777" w:rsidR="009A79F7" w:rsidRPr="005C133F" w:rsidRDefault="009A79F7"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93.74%</w:t>
            </w:r>
          </w:p>
        </w:tc>
        <w:tc>
          <w:tcPr>
            <w:tcW w:w="1701" w:type="dxa"/>
            <w:tcBorders>
              <w:top w:val="nil"/>
              <w:left w:val="nil"/>
              <w:bottom w:val="single" w:sz="4" w:space="0" w:color="767171"/>
              <w:right w:val="single" w:sz="4" w:space="0" w:color="767171"/>
            </w:tcBorders>
            <w:noWrap/>
            <w:vAlign w:val="center"/>
            <w:hideMark/>
          </w:tcPr>
          <w:p w14:paraId="7F77F705" w14:textId="77777777" w:rsidR="009A79F7" w:rsidRPr="005C133F" w:rsidRDefault="009A79F7"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1.56%</w:t>
            </w:r>
          </w:p>
        </w:tc>
        <w:tc>
          <w:tcPr>
            <w:tcW w:w="1536" w:type="dxa"/>
            <w:tcBorders>
              <w:top w:val="nil"/>
              <w:left w:val="nil"/>
              <w:bottom w:val="single" w:sz="4" w:space="0" w:color="767171"/>
              <w:right w:val="single" w:sz="4" w:space="0" w:color="767171"/>
            </w:tcBorders>
            <w:noWrap/>
            <w:vAlign w:val="center"/>
            <w:hideMark/>
          </w:tcPr>
          <w:p w14:paraId="384C7746" w14:textId="77777777" w:rsidR="009A79F7" w:rsidRPr="005C133F" w:rsidRDefault="009A79F7"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4.70%</w:t>
            </w:r>
          </w:p>
        </w:tc>
      </w:tr>
      <w:tr w:rsidR="004921FF" w:rsidRPr="00CD02F5" w14:paraId="1A454A74" w14:textId="77777777" w:rsidTr="00E05B71">
        <w:trPr>
          <w:trHeight w:val="240"/>
          <w:jc w:val="center"/>
        </w:trPr>
        <w:tc>
          <w:tcPr>
            <w:tcW w:w="7910" w:type="dxa"/>
            <w:gridSpan w:val="5"/>
            <w:tcBorders>
              <w:top w:val="single" w:sz="4" w:space="0" w:color="767171"/>
              <w:left w:val="single" w:sz="4" w:space="0" w:color="767171"/>
              <w:bottom w:val="single" w:sz="4" w:space="0" w:color="767171"/>
              <w:right w:val="single" w:sz="4" w:space="0" w:color="767171"/>
            </w:tcBorders>
            <w:vAlign w:val="center"/>
            <w:hideMark/>
          </w:tcPr>
          <w:p w14:paraId="58B10623" w14:textId="02EFF215" w:rsidR="009A79F7" w:rsidRPr="00402F25" w:rsidRDefault="00027E01" w:rsidP="00402F25">
            <w:pPr>
              <w:spacing w:after="0" w:line="240" w:lineRule="auto"/>
              <w:jc w:val="both"/>
              <w:rPr>
                <w:rFonts w:eastAsia="Times New Roman"/>
                <w:spacing w:val="0"/>
                <w:sz w:val="18"/>
                <w:szCs w:val="18"/>
                <w:lang w:val="es-DO" w:eastAsia="es-DO"/>
              </w:rPr>
            </w:pPr>
            <w:r w:rsidRPr="00402F25">
              <w:rPr>
                <w:rFonts w:eastAsia="Times New Roman"/>
                <w:spacing w:val="0"/>
                <w:sz w:val="18"/>
                <w:szCs w:val="18"/>
                <w:lang w:val="es-DO" w:eastAsia="es-DO"/>
              </w:rPr>
              <w:t xml:space="preserve">Nota:  </w:t>
            </w:r>
            <w:r w:rsidR="0011695C" w:rsidRPr="00402F25">
              <w:rPr>
                <w:rFonts w:eastAsia="Times New Roman"/>
                <w:spacing w:val="0"/>
                <w:sz w:val="18"/>
                <w:szCs w:val="18"/>
                <w:lang w:val="es-DO" w:eastAsia="es-DO"/>
              </w:rPr>
              <w:t xml:space="preserve">En el periodo </w:t>
            </w:r>
            <w:r w:rsidR="00500765" w:rsidRPr="00402F25">
              <w:rPr>
                <w:rFonts w:eastAsia="Times New Roman"/>
                <w:spacing w:val="0"/>
                <w:sz w:val="18"/>
                <w:szCs w:val="18"/>
                <w:lang w:val="es-DO" w:eastAsia="es-DO"/>
              </w:rPr>
              <w:t xml:space="preserve">Enero </w:t>
            </w:r>
            <w:r w:rsidR="0096688F" w:rsidRPr="00402F25">
              <w:rPr>
                <w:rFonts w:eastAsia="Times New Roman"/>
                <w:spacing w:val="0"/>
                <w:sz w:val="18"/>
                <w:szCs w:val="18"/>
                <w:lang w:val="es-DO" w:eastAsia="es-DO"/>
              </w:rPr>
              <w:t>–</w:t>
            </w:r>
            <w:r w:rsidR="00500765" w:rsidRPr="00402F25">
              <w:rPr>
                <w:rFonts w:eastAsia="Times New Roman"/>
                <w:spacing w:val="0"/>
                <w:sz w:val="18"/>
                <w:szCs w:val="18"/>
                <w:lang w:val="es-DO" w:eastAsia="es-DO"/>
              </w:rPr>
              <w:t xml:space="preserve"> Septiembre</w:t>
            </w:r>
            <w:r w:rsidR="0096688F" w:rsidRPr="00402F25">
              <w:rPr>
                <w:rFonts w:eastAsia="Times New Roman"/>
                <w:spacing w:val="0"/>
                <w:sz w:val="18"/>
                <w:szCs w:val="18"/>
                <w:lang w:val="es-DO" w:eastAsia="es-DO"/>
              </w:rPr>
              <w:t xml:space="preserve"> no se incluyen las informaciones</w:t>
            </w:r>
            <w:r w:rsidRPr="00402F25">
              <w:rPr>
                <w:rFonts w:eastAsia="Times New Roman"/>
                <w:spacing w:val="0"/>
                <w:sz w:val="18"/>
                <w:szCs w:val="18"/>
                <w:lang w:val="es-DO" w:eastAsia="es-DO"/>
              </w:rPr>
              <w:t xml:space="preserve"> de la ARS SeNaSa</w:t>
            </w:r>
            <w:r w:rsidR="0096688F" w:rsidRPr="00402F25">
              <w:rPr>
                <w:rFonts w:eastAsia="Times New Roman"/>
                <w:spacing w:val="0"/>
                <w:sz w:val="18"/>
                <w:szCs w:val="18"/>
                <w:lang w:val="es-DO" w:eastAsia="es-DO"/>
              </w:rPr>
              <w:t xml:space="preserve">, debido a que esta </w:t>
            </w:r>
            <w:r w:rsidR="0043146B" w:rsidRPr="00402F25">
              <w:rPr>
                <w:rFonts w:eastAsia="Times New Roman"/>
                <w:spacing w:val="0"/>
                <w:sz w:val="18"/>
                <w:szCs w:val="18"/>
                <w:lang w:val="es-DO" w:eastAsia="es-DO"/>
              </w:rPr>
              <w:t xml:space="preserve">ARS </w:t>
            </w:r>
            <w:r w:rsidR="001918C8" w:rsidRPr="00402F25">
              <w:rPr>
                <w:rFonts w:eastAsia="Times New Roman"/>
                <w:spacing w:val="0"/>
                <w:sz w:val="18"/>
                <w:szCs w:val="18"/>
                <w:lang w:val="es-DO" w:eastAsia="es-DO"/>
              </w:rPr>
              <w:t>se encuentra en proceso de correcciones de sus informaciones financieras.</w:t>
            </w:r>
          </w:p>
        </w:tc>
      </w:tr>
    </w:tbl>
    <w:p w14:paraId="2A0D4EFF" w14:textId="08393456" w:rsidR="00326298" w:rsidRPr="00402F25" w:rsidRDefault="001248D7" w:rsidP="005C133F">
      <w:pPr>
        <w:spacing w:after="0" w:line="360" w:lineRule="auto"/>
        <w:jc w:val="both"/>
        <w:rPr>
          <w:rFonts w:eastAsia="Tahoma"/>
          <w:sz w:val="18"/>
          <w:szCs w:val="18"/>
          <w:lang w:val="es-DO" w:eastAsia="es-DO"/>
        </w:rPr>
      </w:pPr>
      <w:r w:rsidRPr="00402F25">
        <w:rPr>
          <w:rFonts w:eastAsia="Tahoma"/>
          <w:sz w:val="18"/>
          <w:szCs w:val="18"/>
          <w:lang w:val="es-DO" w:eastAsia="es-DO"/>
        </w:rPr>
        <w:t>Fuente: Estados financieros de las ARS - SIE (SIMON)</w:t>
      </w:r>
    </w:p>
    <w:p w14:paraId="3C397430" w14:textId="77777777" w:rsidR="00C32E22" w:rsidRPr="005C133F" w:rsidRDefault="00C32E22" w:rsidP="005C133F">
      <w:pPr>
        <w:spacing w:after="0" w:line="360" w:lineRule="auto"/>
        <w:jc w:val="both"/>
        <w:rPr>
          <w:rFonts w:eastAsia="Tahoma"/>
          <w:lang w:val="es-DO" w:eastAsia="es-DO"/>
        </w:rPr>
      </w:pPr>
    </w:p>
    <w:p w14:paraId="26A1F310" w14:textId="77777777" w:rsidR="005E511A" w:rsidRPr="005C133F" w:rsidRDefault="005E511A">
      <w:pPr>
        <w:pStyle w:val="Prrafodelista"/>
        <w:numPr>
          <w:ilvl w:val="0"/>
          <w:numId w:val="166"/>
        </w:numPr>
        <w:spacing w:after="0" w:line="360" w:lineRule="auto"/>
        <w:jc w:val="both"/>
        <w:rPr>
          <w:b/>
          <w:bCs/>
          <w:lang w:val="es-DO"/>
        </w:rPr>
      </w:pPr>
      <w:r w:rsidRPr="005C133F">
        <w:rPr>
          <w:b/>
          <w:bCs/>
          <w:lang w:val="es-DO"/>
        </w:rPr>
        <w:t>Estados de Resultados e Indicadores de las ARS por Tipos de planes de Salud</w:t>
      </w:r>
    </w:p>
    <w:p w14:paraId="1E67B58A" w14:textId="77777777" w:rsidR="00781EB2" w:rsidRPr="005C133F" w:rsidRDefault="00781EB2" w:rsidP="005C133F">
      <w:pPr>
        <w:pStyle w:val="Prrafodelista"/>
        <w:spacing w:after="0" w:line="360" w:lineRule="auto"/>
        <w:jc w:val="both"/>
        <w:rPr>
          <w:b/>
          <w:bCs/>
          <w:lang w:val="es-DO"/>
        </w:rPr>
      </w:pPr>
    </w:p>
    <w:p w14:paraId="241058FB" w14:textId="6D50AB8F" w:rsidR="002E265E" w:rsidRPr="005C133F" w:rsidRDefault="005E511A" w:rsidP="005C133F">
      <w:pPr>
        <w:spacing w:after="0" w:line="360" w:lineRule="auto"/>
        <w:ind w:left="360"/>
        <w:jc w:val="both"/>
        <w:rPr>
          <w:lang w:val="es-DO"/>
        </w:rPr>
      </w:pPr>
      <w:r w:rsidRPr="005C133F">
        <w:rPr>
          <w:lang w:val="es-DO"/>
        </w:rPr>
        <w:t>En el cuadro siguiente se presenta el Estado de Resultados o Estado de Beneficios consolidado de todas las ARS, para el período enero – septiembre 2025</w:t>
      </w:r>
      <w:r w:rsidR="00781EB2" w:rsidRPr="005C133F">
        <w:rPr>
          <w:lang w:val="es-DO"/>
        </w:rPr>
        <w:t xml:space="preserve">, </w:t>
      </w:r>
      <w:r w:rsidRPr="005C133F">
        <w:rPr>
          <w:lang w:val="es-DO"/>
        </w:rPr>
        <w:t>en el cual se resumen los ingresos, costos y/o prestaciones en salud, y los gastos incurridos en el período evaluado, clasificados por los diferentes planes de salud.</w:t>
      </w:r>
      <w:r w:rsidRPr="005C133F">
        <w:rPr>
          <w:lang w:val="es-DO"/>
        </w:rPr>
        <w:tab/>
      </w:r>
    </w:p>
    <w:p w14:paraId="08057F5F" w14:textId="77777777" w:rsidR="00C32E22" w:rsidRPr="005C133F" w:rsidRDefault="00C32E22" w:rsidP="005C133F">
      <w:pPr>
        <w:spacing w:after="0" w:line="360" w:lineRule="auto"/>
        <w:ind w:left="360"/>
        <w:jc w:val="both"/>
        <w:rPr>
          <w:lang w:val="es-DO"/>
        </w:rPr>
      </w:pPr>
    </w:p>
    <w:p w14:paraId="61B8D2F5" w14:textId="5081A71D" w:rsidR="005E511A" w:rsidRPr="005C133F" w:rsidRDefault="005E511A" w:rsidP="005C133F">
      <w:pPr>
        <w:spacing w:after="0" w:line="360" w:lineRule="auto"/>
        <w:ind w:left="360"/>
        <w:jc w:val="both"/>
        <w:rPr>
          <w:lang w:val="es-DO"/>
        </w:rPr>
      </w:pPr>
      <w:r w:rsidRPr="005C133F">
        <w:rPr>
          <w:lang w:val="es-DO"/>
        </w:rPr>
        <w:t>Los Beneficios (Pérdidas) Brutos del per</w:t>
      </w:r>
      <w:r w:rsidR="002446AA" w:rsidRPr="005C133F">
        <w:rPr>
          <w:lang w:val="es-DO"/>
        </w:rPr>
        <w:t>í</w:t>
      </w:r>
      <w:r w:rsidRPr="005C133F">
        <w:rPr>
          <w:lang w:val="es-DO"/>
        </w:rPr>
        <w:t>odo, ascienden a un total de RD$1,727,389,540.00, monto conformado por los beneficios en el PBS – R. Contributivo por RD$940,866,193.00, en el PBS – R. Subsidiado RD$0.00 y en otros planes un monto de RD$786,523,347.00</w:t>
      </w:r>
      <w:r w:rsidR="004510B5" w:rsidRPr="005C133F">
        <w:rPr>
          <w:lang w:val="es-DO"/>
        </w:rPr>
        <w:t xml:space="preserve">, a los cuales se deducen los impuestos y reservas por un monto de RD$726,522,199 .00, quedando como resultado beneficios netos por un total de RD$1,000,867,341.00, de los cuales al PDSS Contributivo corresponde un monto de </w:t>
      </w:r>
      <w:r w:rsidR="004510B5" w:rsidRPr="005C133F">
        <w:rPr>
          <w:lang w:val="es-DO"/>
        </w:rPr>
        <w:lastRenderedPageBreak/>
        <w:t>RD$245,843,096, al  PDSS - Régimen Subsidiado RD$0.00 y para otros planes RD$755,024,245.00.</w:t>
      </w:r>
      <w:r w:rsidR="004510B5" w:rsidRPr="005C133F">
        <w:rPr>
          <w:rFonts w:eastAsia="Calibri"/>
          <w:lang w:val="es-DO"/>
        </w:rPr>
        <w:t xml:space="preserve">                           </w:t>
      </w:r>
    </w:p>
    <w:p w14:paraId="78E6A1FA" w14:textId="77777777" w:rsidR="00C32E22" w:rsidRPr="005C133F" w:rsidRDefault="00C32E22" w:rsidP="005C133F">
      <w:pPr>
        <w:tabs>
          <w:tab w:val="left" w:pos="6681"/>
        </w:tabs>
        <w:spacing w:after="0" w:line="360" w:lineRule="auto"/>
        <w:rPr>
          <w:b/>
          <w:bCs/>
          <w:lang w:val="es-DO"/>
        </w:rPr>
      </w:pPr>
    </w:p>
    <w:p w14:paraId="5C937814" w14:textId="753CEA31" w:rsidR="00826993" w:rsidRPr="00402F25" w:rsidRDefault="00826993" w:rsidP="00E05B71">
      <w:pPr>
        <w:pStyle w:val="Descripcin"/>
        <w:keepNext/>
        <w:spacing w:after="0"/>
        <w:jc w:val="center"/>
        <w:rPr>
          <w:b/>
          <w:bCs/>
          <w:i w:val="0"/>
          <w:iCs w:val="0"/>
          <w:color w:val="767171"/>
          <w:sz w:val="24"/>
          <w:szCs w:val="24"/>
          <w:lang w:val="es-DO"/>
        </w:rPr>
      </w:pPr>
      <w:bookmarkStart w:id="45" w:name="_Toc218784149"/>
      <w:r w:rsidRPr="00402F25">
        <w:rPr>
          <w:b/>
          <w:bCs/>
          <w:i w:val="0"/>
          <w:iCs w:val="0"/>
          <w:color w:val="767171"/>
          <w:sz w:val="24"/>
          <w:szCs w:val="24"/>
          <w:lang w:val="es-DO"/>
        </w:rPr>
        <w:t xml:space="preserve">Tabla </w:t>
      </w:r>
      <w:r w:rsidRPr="00402F25">
        <w:rPr>
          <w:b/>
          <w:bCs/>
          <w:i w:val="0"/>
          <w:iCs w:val="0"/>
          <w:color w:val="767171"/>
          <w:sz w:val="24"/>
          <w:szCs w:val="24"/>
          <w:lang w:val="es-DO"/>
        </w:rPr>
        <w:fldChar w:fldCharType="begin"/>
      </w:r>
      <w:r w:rsidRPr="00402F25">
        <w:rPr>
          <w:b/>
          <w:bCs/>
          <w:i w:val="0"/>
          <w:iCs w:val="0"/>
          <w:color w:val="767171"/>
          <w:sz w:val="24"/>
          <w:szCs w:val="24"/>
          <w:lang w:val="es-DO"/>
        </w:rPr>
        <w:instrText xml:space="preserve"> SEQ Tabla \* ARABIC </w:instrText>
      </w:r>
      <w:r w:rsidRPr="00402F25">
        <w:rPr>
          <w:b/>
          <w:bCs/>
          <w:i w:val="0"/>
          <w:iCs w:val="0"/>
          <w:color w:val="767171"/>
          <w:sz w:val="24"/>
          <w:szCs w:val="24"/>
          <w:lang w:val="es-DO"/>
        </w:rPr>
        <w:fldChar w:fldCharType="separate"/>
      </w:r>
      <w:r w:rsidR="00814341">
        <w:rPr>
          <w:b/>
          <w:bCs/>
          <w:i w:val="0"/>
          <w:iCs w:val="0"/>
          <w:noProof/>
          <w:color w:val="767171"/>
          <w:sz w:val="24"/>
          <w:szCs w:val="24"/>
          <w:lang w:val="es-DO"/>
        </w:rPr>
        <w:t>17</w:t>
      </w:r>
      <w:r w:rsidRPr="00402F25">
        <w:rPr>
          <w:b/>
          <w:bCs/>
          <w:i w:val="0"/>
          <w:iCs w:val="0"/>
          <w:color w:val="767171"/>
          <w:sz w:val="24"/>
          <w:szCs w:val="24"/>
          <w:lang w:val="es-DO"/>
        </w:rPr>
        <w:fldChar w:fldCharType="end"/>
      </w:r>
      <w:r w:rsidRPr="00402F25">
        <w:rPr>
          <w:b/>
          <w:bCs/>
          <w:i w:val="0"/>
          <w:iCs w:val="0"/>
          <w:color w:val="767171"/>
          <w:sz w:val="24"/>
          <w:szCs w:val="24"/>
          <w:lang w:val="es-DO"/>
        </w:rPr>
        <w:t>. Estado de Resultado Consolidado por Tipo de Planes de Salud de todas las ARS, enero - septiembre 2025</w:t>
      </w:r>
      <w:bookmarkEnd w:id="45"/>
    </w:p>
    <w:tbl>
      <w:tblPr>
        <w:tblW w:w="0" w:type="auto"/>
        <w:jc w:val="center"/>
        <w:tblCellMar>
          <w:left w:w="70" w:type="dxa"/>
          <w:right w:w="70" w:type="dxa"/>
        </w:tblCellMar>
        <w:tblLook w:val="04A0" w:firstRow="1" w:lastRow="0" w:firstColumn="1" w:lastColumn="0" w:noHBand="0" w:noVBand="1"/>
      </w:tblPr>
      <w:tblGrid>
        <w:gridCol w:w="1810"/>
        <w:gridCol w:w="1616"/>
        <w:gridCol w:w="1364"/>
        <w:gridCol w:w="1504"/>
        <w:gridCol w:w="1616"/>
      </w:tblGrid>
      <w:tr w:rsidR="004921FF" w:rsidRPr="00402F25" w14:paraId="23C9B78C" w14:textId="77777777" w:rsidTr="00E05B71">
        <w:trPr>
          <w:trHeight w:val="100"/>
          <w:tblHeader/>
          <w:jc w:val="center"/>
        </w:trPr>
        <w:tc>
          <w:tcPr>
            <w:tcW w:w="1838" w:type="dxa"/>
            <w:vMerge w:val="restart"/>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39DB3231" w14:textId="77777777"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Detalle</w:t>
            </w:r>
          </w:p>
        </w:tc>
        <w:tc>
          <w:tcPr>
            <w:tcW w:w="4474" w:type="dxa"/>
            <w:gridSpan w:val="3"/>
            <w:tcBorders>
              <w:top w:val="single" w:sz="4" w:space="0" w:color="767171"/>
              <w:left w:val="nil"/>
              <w:bottom w:val="single" w:sz="4" w:space="0" w:color="767171"/>
              <w:right w:val="single" w:sz="4" w:space="0" w:color="767171"/>
            </w:tcBorders>
            <w:shd w:val="clear" w:color="auto" w:fill="011C50"/>
            <w:vAlign w:val="center"/>
            <w:hideMark/>
          </w:tcPr>
          <w:p w14:paraId="29215C64" w14:textId="77777777"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Planes de Salud</w:t>
            </w:r>
          </w:p>
        </w:tc>
        <w:tc>
          <w:tcPr>
            <w:tcW w:w="1598" w:type="dxa"/>
            <w:vMerge w:val="restart"/>
            <w:tcBorders>
              <w:top w:val="single" w:sz="4" w:space="0" w:color="767171"/>
              <w:left w:val="nil"/>
              <w:right w:val="single" w:sz="4" w:space="0" w:color="767171"/>
            </w:tcBorders>
            <w:shd w:val="clear" w:color="auto" w:fill="011C50"/>
            <w:noWrap/>
            <w:vAlign w:val="center"/>
            <w:hideMark/>
          </w:tcPr>
          <w:p w14:paraId="143F91AE" w14:textId="77777777" w:rsidR="00404C0D" w:rsidRPr="00402F25" w:rsidRDefault="00404C0D" w:rsidP="00402F25">
            <w:pPr>
              <w:spacing w:after="0" w:line="240" w:lineRule="auto"/>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 </w:t>
            </w:r>
          </w:p>
          <w:p w14:paraId="7FE232F4" w14:textId="65C48811"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Total</w:t>
            </w:r>
          </w:p>
        </w:tc>
      </w:tr>
      <w:tr w:rsidR="004921FF" w:rsidRPr="00402F25" w14:paraId="65630373" w14:textId="77777777" w:rsidTr="00E05B71">
        <w:trPr>
          <w:trHeight w:val="105"/>
          <w:tblHeader/>
          <w:jc w:val="center"/>
        </w:trPr>
        <w:tc>
          <w:tcPr>
            <w:tcW w:w="1838" w:type="dxa"/>
            <w:vMerge/>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0C9347E9" w14:textId="77777777" w:rsidR="00404C0D" w:rsidRPr="00402F25" w:rsidRDefault="00404C0D" w:rsidP="00402F25">
            <w:pPr>
              <w:spacing w:after="0" w:line="240" w:lineRule="auto"/>
              <w:rPr>
                <w:rFonts w:eastAsia="Times New Roman"/>
                <w:b/>
                <w:bCs/>
                <w:spacing w:val="0"/>
                <w:lang w:val="es-DO" w:eastAsia="es-DO"/>
              </w:rPr>
            </w:pPr>
          </w:p>
        </w:tc>
        <w:tc>
          <w:tcPr>
            <w:tcW w:w="1564" w:type="dxa"/>
            <w:tcBorders>
              <w:top w:val="nil"/>
              <w:left w:val="nil"/>
              <w:bottom w:val="single" w:sz="4" w:space="0" w:color="767171"/>
              <w:right w:val="single" w:sz="4" w:space="0" w:color="767171"/>
            </w:tcBorders>
            <w:shd w:val="clear" w:color="auto" w:fill="011C50"/>
            <w:vAlign w:val="center"/>
            <w:hideMark/>
          </w:tcPr>
          <w:p w14:paraId="093A6527" w14:textId="77777777"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Contributivo</w:t>
            </w:r>
          </w:p>
        </w:tc>
        <w:tc>
          <w:tcPr>
            <w:tcW w:w="1384" w:type="dxa"/>
            <w:tcBorders>
              <w:top w:val="nil"/>
              <w:left w:val="nil"/>
              <w:bottom w:val="single" w:sz="4" w:space="0" w:color="767171"/>
              <w:right w:val="single" w:sz="4" w:space="0" w:color="767171"/>
            </w:tcBorders>
            <w:shd w:val="clear" w:color="auto" w:fill="011C50"/>
            <w:vAlign w:val="center"/>
            <w:hideMark/>
          </w:tcPr>
          <w:p w14:paraId="204742CA" w14:textId="77777777"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Subsidiado</w:t>
            </w:r>
          </w:p>
        </w:tc>
        <w:tc>
          <w:tcPr>
            <w:tcW w:w="1526" w:type="dxa"/>
            <w:tcBorders>
              <w:top w:val="nil"/>
              <w:left w:val="nil"/>
              <w:bottom w:val="single" w:sz="4" w:space="0" w:color="767171"/>
              <w:right w:val="single" w:sz="4" w:space="0" w:color="767171"/>
            </w:tcBorders>
            <w:shd w:val="clear" w:color="auto" w:fill="011C50"/>
            <w:vAlign w:val="center"/>
            <w:hideMark/>
          </w:tcPr>
          <w:p w14:paraId="68DA0D02" w14:textId="77777777" w:rsidR="00404C0D" w:rsidRPr="00402F25" w:rsidRDefault="00404C0D"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Otros Planes</w:t>
            </w:r>
          </w:p>
        </w:tc>
        <w:tc>
          <w:tcPr>
            <w:tcW w:w="1598" w:type="dxa"/>
            <w:vMerge/>
            <w:tcBorders>
              <w:left w:val="nil"/>
              <w:bottom w:val="single" w:sz="4" w:space="0" w:color="767171"/>
              <w:right w:val="single" w:sz="4" w:space="0" w:color="767171"/>
            </w:tcBorders>
            <w:shd w:val="clear" w:color="auto" w:fill="011C50"/>
            <w:noWrap/>
            <w:vAlign w:val="center"/>
            <w:hideMark/>
          </w:tcPr>
          <w:p w14:paraId="1031E676" w14:textId="354B9007" w:rsidR="00404C0D" w:rsidRPr="00402F25" w:rsidRDefault="00404C0D" w:rsidP="00402F25">
            <w:pPr>
              <w:spacing w:after="0" w:line="240" w:lineRule="auto"/>
              <w:jc w:val="center"/>
              <w:rPr>
                <w:rFonts w:eastAsia="Times New Roman"/>
                <w:b/>
                <w:bCs/>
                <w:spacing w:val="0"/>
                <w:lang w:val="es-DO" w:eastAsia="es-DO"/>
              </w:rPr>
            </w:pPr>
          </w:p>
        </w:tc>
      </w:tr>
      <w:tr w:rsidR="004921FF" w:rsidRPr="00402F25" w14:paraId="0D27683B"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228830AA"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Ingresos en Salud</w:t>
            </w:r>
          </w:p>
        </w:tc>
        <w:tc>
          <w:tcPr>
            <w:tcW w:w="1564" w:type="dxa"/>
            <w:tcBorders>
              <w:top w:val="nil"/>
              <w:left w:val="nil"/>
              <w:bottom w:val="single" w:sz="4" w:space="0" w:color="767171"/>
              <w:right w:val="single" w:sz="4" w:space="0" w:color="767171"/>
            </w:tcBorders>
            <w:noWrap/>
            <w:vAlign w:val="center"/>
            <w:hideMark/>
          </w:tcPr>
          <w:p w14:paraId="5DBFB416"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35,927,416,201 </w:t>
            </w:r>
          </w:p>
        </w:tc>
        <w:tc>
          <w:tcPr>
            <w:tcW w:w="1384" w:type="dxa"/>
            <w:tcBorders>
              <w:top w:val="nil"/>
              <w:left w:val="nil"/>
              <w:bottom w:val="single" w:sz="4" w:space="0" w:color="767171"/>
              <w:right w:val="single" w:sz="4" w:space="0" w:color="767171"/>
            </w:tcBorders>
            <w:noWrap/>
            <w:vAlign w:val="center"/>
            <w:hideMark/>
          </w:tcPr>
          <w:p w14:paraId="1E6C910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460475A3"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7,167,475,862 </w:t>
            </w:r>
          </w:p>
        </w:tc>
        <w:tc>
          <w:tcPr>
            <w:tcW w:w="1598" w:type="dxa"/>
            <w:tcBorders>
              <w:top w:val="nil"/>
              <w:left w:val="nil"/>
              <w:bottom w:val="single" w:sz="4" w:space="0" w:color="767171"/>
              <w:right w:val="single" w:sz="4" w:space="0" w:color="767171"/>
            </w:tcBorders>
            <w:noWrap/>
            <w:vAlign w:val="center"/>
            <w:hideMark/>
          </w:tcPr>
          <w:p w14:paraId="3421BB9E"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43,094,892,063 </w:t>
            </w:r>
          </w:p>
        </w:tc>
      </w:tr>
      <w:tr w:rsidR="004921FF" w:rsidRPr="00402F25" w14:paraId="2647C752"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3BD64C04"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Ingresos</w:t>
            </w:r>
          </w:p>
        </w:tc>
        <w:tc>
          <w:tcPr>
            <w:tcW w:w="1564" w:type="dxa"/>
            <w:tcBorders>
              <w:top w:val="nil"/>
              <w:left w:val="nil"/>
              <w:bottom w:val="single" w:sz="4" w:space="0" w:color="767171"/>
              <w:right w:val="single" w:sz="4" w:space="0" w:color="767171"/>
            </w:tcBorders>
            <w:noWrap/>
            <w:vAlign w:val="center"/>
            <w:hideMark/>
          </w:tcPr>
          <w:p w14:paraId="272F123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1,861,264,789 </w:t>
            </w:r>
          </w:p>
        </w:tc>
        <w:tc>
          <w:tcPr>
            <w:tcW w:w="1384" w:type="dxa"/>
            <w:tcBorders>
              <w:top w:val="nil"/>
              <w:left w:val="nil"/>
              <w:bottom w:val="single" w:sz="4" w:space="0" w:color="767171"/>
              <w:right w:val="single" w:sz="4" w:space="0" w:color="767171"/>
            </w:tcBorders>
            <w:noWrap/>
            <w:vAlign w:val="center"/>
            <w:hideMark/>
          </w:tcPr>
          <w:p w14:paraId="53DA9CE0"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04C10F80"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358,487,574 </w:t>
            </w:r>
          </w:p>
        </w:tc>
        <w:tc>
          <w:tcPr>
            <w:tcW w:w="1598" w:type="dxa"/>
            <w:tcBorders>
              <w:top w:val="nil"/>
              <w:left w:val="nil"/>
              <w:bottom w:val="single" w:sz="4" w:space="0" w:color="767171"/>
              <w:right w:val="single" w:sz="4" w:space="0" w:color="767171"/>
            </w:tcBorders>
            <w:noWrap/>
            <w:vAlign w:val="center"/>
            <w:hideMark/>
          </w:tcPr>
          <w:p w14:paraId="7D7C57F8"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2,219,752,363 </w:t>
            </w:r>
          </w:p>
        </w:tc>
      </w:tr>
      <w:tr w:rsidR="004921FF" w:rsidRPr="00402F25" w14:paraId="559BD6A6"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2AB662F1"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Gastos en Salud</w:t>
            </w:r>
          </w:p>
        </w:tc>
        <w:tc>
          <w:tcPr>
            <w:tcW w:w="1564" w:type="dxa"/>
            <w:tcBorders>
              <w:top w:val="nil"/>
              <w:left w:val="nil"/>
              <w:bottom w:val="single" w:sz="4" w:space="0" w:color="767171"/>
              <w:right w:val="single" w:sz="4" w:space="0" w:color="767171"/>
            </w:tcBorders>
            <w:noWrap/>
            <w:vAlign w:val="center"/>
            <w:hideMark/>
          </w:tcPr>
          <w:p w14:paraId="31FE7C56"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31,731,168,959 </w:t>
            </w:r>
          </w:p>
        </w:tc>
        <w:tc>
          <w:tcPr>
            <w:tcW w:w="1384" w:type="dxa"/>
            <w:tcBorders>
              <w:top w:val="nil"/>
              <w:left w:val="nil"/>
              <w:bottom w:val="single" w:sz="4" w:space="0" w:color="767171"/>
              <w:right w:val="single" w:sz="4" w:space="0" w:color="767171"/>
            </w:tcBorders>
            <w:noWrap/>
            <w:vAlign w:val="center"/>
            <w:hideMark/>
          </w:tcPr>
          <w:p w14:paraId="0AF4BF58"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6A5D4D1C"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5,459,002,935 </w:t>
            </w:r>
          </w:p>
        </w:tc>
        <w:tc>
          <w:tcPr>
            <w:tcW w:w="1598" w:type="dxa"/>
            <w:tcBorders>
              <w:top w:val="nil"/>
              <w:left w:val="nil"/>
              <w:bottom w:val="single" w:sz="4" w:space="0" w:color="767171"/>
              <w:right w:val="single" w:sz="4" w:space="0" w:color="767171"/>
            </w:tcBorders>
            <w:noWrap/>
            <w:vAlign w:val="center"/>
            <w:hideMark/>
          </w:tcPr>
          <w:p w14:paraId="18642994"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37,190,171,894 </w:t>
            </w:r>
          </w:p>
        </w:tc>
      </w:tr>
      <w:tr w:rsidR="004921FF" w:rsidRPr="00402F25" w14:paraId="4D849E6C" w14:textId="77777777" w:rsidTr="00E05B71">
        <w:trPr>
          <w:trHeight w:val="420"/>
          <w:jc w:val="center"/>
        </w:trPr>
        <w:tc>
          <w:tcPr>
            <w:tcW w:w="1838" w:type="dxa"/>
            <w:tcBorders>
              <w:top w:val="nil"/>
              <w:left w:val="single" w:sz="4" w:space="0" w:color="767171"/>
              <w:bottom w:val="single" w:sz="4" w:space="0" w:color="767171"/>
              <w:right w:val="single" w:sz="4" w:space="0" w:color="767171"/>
            </w:tcBorders>
            <w:noWrap/>
            <w:vAlign w:val="center"/>
            <w:hideMark/>
          </w:tcPr>
          <w:p w14:paraId="56868DDF"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Gastos</w:t>
            </w:r>
          </w:p>
        </w:tc>
        <w:tc>
          <w:tcPr>
            <w:tcW w:w="1564" w:type="dxa"/>
            <w:tcBorders>
              <w:top w:val="nil"/>
              <w:left w:val="nil"/>
              <w:bottom w:val="single" w:sz="4" w:space="0" w:color="767171"/>
              <w:right w:val="single" w:sz="4" w:space="0" w:color="767171"/>
            </w:tcBorders>
            <w:noWrap/>
            <w:vAlign w:val="center"/>
            <w:hideMark/>
          </w:tcPr>
          <w:p w14:paraId="02FD8F9D"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925,288,515 </w:t>
            </w:r>
          </w:p>
        </w:tc>
        <w:tc>
          <w:tcPr>
            <w:tcW w:w="1384" w:type="dxa"/>
            <w:tcBorders>
              <w:top w:val="nil"/>
              <w:left w:val="nil"/>
              <w:bottom w:val="single" w:sz="4" w:space="0" w:color="767171"/>
              <w:right w:val="single" w:sz="4" w:space="0" w:color="767171"/>
            </w:tcBorders>
            <w:noWrap/>
            <w:vAlign w:val="center"/>
            <w:hideMark/>
          </w:tcPr>
          <w:p w14:paraId="547B273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139C5721"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428,108,556 </w:t>
            </w:r>
          </w:p>
        </w:tc>
        <w:tc>
          <w:tcPr>
            <w:tcW w:w="1598" w:type="dxa"/>
            <w:tcBorders>
              <w:top w:val="nil"/>
              <w:left w:val="nil"/>
              <w:bottom w:val="single" w:sz="4" w:space="0" w:color="767171"/>
              <w:right w:val="single" w:sz="4" w:space="0" w:color="767171"/>
            </w:tcBorders>
            <w:noWrap/>
            <w:vAlign w:val="center"/>
            <w:hideMark/>
          </w:tcPr>
          <w:p w14:paraId="6FC757EA"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1,353,397,071 </w:t>
            </w:r>
          </w:p>
        </w:tc>
      </w:tr>
      <w:tr w:rsidR="004921FF" w:rsidRPr="00402F25" w14:paraId="501CEA4D"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73BE7D28"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Gastos Administrativos</w:t>
            </w:r>
          </w:p>
        </w:tc>
        <w:tc>
          <w:tcPr>
            <w:tcW w:w="1564" w:type="dxa"/>
            <w:tcBorders>
              <w:top w:val="nil"/>
              <w:left w:val="nil"/>
              <w:bottom w:val="single" w:sz="4" w:space="0" w:color="767171"/>
              <w:right w:val="single" w:sz="4" w:space="0" w:color="767171"/>
            </w:tcBorders>
            <w:noWrap/>
            <w:vAlign w:val="center"/>
            <w:hideMark/>
          </w:tcPr>
          <w:p w14:paraId="6DD46542"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3,867,515,561 </w:t>
            </w:r>
          </w:p>
        </w:tc>
        <w:tc>
          <w:tcPr>
            <w:tcW w:w="1384" w:type="dxa"/>
            <w:tcBorders>
              <w:top w:val="nil"/>
              <w:left w:val="nil"/>
              <w:bottom w:val="single" w:sz="4" w:space="0" w:color="767171"/>
              <w:right w:val="single" w:sz="4" w:space="0" w:color="767171"/>
            </w:tcBorders>
            <w:noWrap/>
            <w:vAlign w:val="center"/>
            <w:hideMark/>
          </w:tcPr>
          <w:p w14:paraId="083D8D64"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3C65E4E8"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788,263,192 </w:t>
            </w:r>
          </w:p>
        </w:tc>
        <w:tc>
          <w:tcPr>
            <w:tcW w:w="1598" w:type="dxa"/>
            <w:tcBorders>
              <w:top w:val="nil"/>
              <w:left w:val="nil"/>
              <w:bottom w:val="single" w:sz="4" w:space="0" w:color="767171"/>
              <w:right w:val="single" w:sz="4" w:space="0" w:color="767171"/>
            </w:tcBorders>
            <w:noWrap/>
            <w:vAlign w:val="center"/>
            <w:hideMark/>
          </w:tcPr>
          <w:p w14:paraId="2C0B7F3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4,655,778,753 </w:t>
            </w:r>
          </w:p>
        </w:tc>
      </w:tr>
      <w:tr w:rsidR="004921FF" w:rsidRPr="00402F25" w14:paraId="0A219B73"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00556D15"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Ingresos (Gastos)</w:t>
            </w:r>
          </w:p>
        </w:tc>
        <w:tc>
          <w:tcPr>
            <w:tcW w:w="1564" w:type="dxa"/>
            <w:tcBorders>
              <w:top w:val="nil"/>
              <w:left w:val="nil"/>
              <w:bottom w:val="single" w:sz="4" w:space="0" w:color="767171"/>
              <w:right w:val="single" w:sz="4" w:space="0" w:color="767171"/>
            </w:tcBorders>
            <w:noWrap/>
            <w:vAlign w:val="center"/>
            <w:hideMark/>
          </w:tcPr>
          <w:p w14:paraId="684681B0"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323,841,762 </w:t>
            </w:r>
          </w:p>
        </w:tc>
        <w:tc>
          <w:tcPr>
            <w:tcW w:w="1384" w:type="dxa"/>
            <w:tcBorders>
              <w:top w:val="nil"/>
              <w:left w:val="nil"/>
              <w:bottom w:val="single" w:sz="4" w:space="0" w:color="767171"/>
              <w:right w:val="single" w:sz="4" w:space="0" w:color="767171"/>
            </w:tcBorders>
            <w:noWrap/>
            <w:vAlign w:val="center"/>
            <w:hideMark/>
          </w:tcPr>
          <w:p w14:paraId="73EA2C94"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79BD2AB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64,065,406 </w:t>
            </w:r>
          </w:p>
        </w:tc>
        <w:tc>
          <w:tcPr>
            <w:tcW w:w="1598" w:type="dxa"/>
            <w:tcBorders>
              <w:top w:val="nil"/>
              <w:left w:val="nil"/>
              <w:bottom w:val="single" w:sz="4" w:space="0" w:color="767171"/>
              <w:right w:val="single" w:sz="4" w:space="0" w:color="767171"/>
            </w:tcBorders>
            <w:noWrap/>
            <w:vAlign w:val="center"/>
            <w:hideMark/>
          </w:tcPr>
          <w:p w14:paraId="691C9F8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387,907,168 </w:t>
            </w:r>
          </w:p>
        </w:tc>
      </w:tr>
      <w:tr w:rsidR="004921FF" w:rsidRPr="00402F25" w14:paraId="7268D072" w14:textId="77777777" w:rsidTr="00E05B71">
        <w:trPr>
          <w:trHeight w:val="435"/>
          <w:jc w:val="center"/>
        </w:trPr>
        <w:tc>
          <w:tcPr>
            <w:tcW w:w="1838" w:type="dxa"/>
            <w:tcBorders>
              <w:top w:val="nil"/>
              <w:left w:val="single" w:sz="4" w:space="0" w:color="767171"/>
              <w:bottom w:val="single" w:sz="4" w:space="0" w:color="767171"/>
              <w:right w:val="single" w:sz="4" w:space="0" w:color="767171"/>
            </w:tcBorders>
            <w:noWrap/>
            <w:vAlign w:val="center"/>
            <w:hideMark/>
          </w:tcPr>
          <w:p w14:paraId="4655393C" w14:textId="08914E82"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Beneficios/ Pérdidas Brutos del periodo</w:t>
            </w:r>
          </w:p>
        </w:tc>
        <w:tc>
          <w:tcPr>
            <w:tcW w:w="1564" w:type="dxa"/>
            <w:tcBorders>
              <w:top w:val="nil"/>
              <w:left w:val="nil"/>
              <w:bottom w:val="single" w:sz="4" w:space="0" w:color="767171"/>
              <w:right w:val="single" w:sz="4" w:space="0" w:color="767171"/>
            </w:tcBorders>
            <w:noWrap/>
            <w:vAlign w:val="center"/>
            <w:hideMark/>
          </w:tcPr>
          <w:p w14:paraId="4E817DF3"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940,866,193 </w:t>
            </w:r>
          </w:p>
        </w:tc>
        <w:tc>
          <w:tcPr>
            <w:tcW w:w="1384" w:type="dxa"/>
            <w:tcBorders>
              <w:top w:val="nil"/>
              <w:left w:val="nil"/>
              <w:bottom w:val="single" w:sz="4" w:space="0" w:color="767171"/>
              <w:right w:val="single" w:sz="4" w:space="0" w:color="767171"/>
            </w:tcBorders>
            <w:noWrap/>
            <w:vAlign w:val="center"/>
            <w:hideMark/>
          </w:tcPr>
          <w:p w14:paraId="58C9B43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4D143D49"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786,523,347 </w:t>
            </w:r>
          </w:p>
        </w:tc>
        <w:tc>
          <w:tcPr>
            <w:tcW w:w="1598" w:type="dxa"/>
            <w:tcBorders>
              <w:top w:val="nil"/>
              <w:left w:val="nil"/>
              <w:bottom w:val="single" w:sz="4" w:space="0" w:color="767171"/>
              <w:right w:val="single" w:sz="4" w:space="0" w:color="767171"/>
            </w:tcBorders>
            <w:noWrap/>
            <w:vAlign w:val="center"/>
            <w:hideMark/>
          </w:tcPr>
          <w:p w14:paraId="1C7FEB0B"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1,727,389,540 </w:t>
            </w:r>
          </w:p>
        </w:tc>
      </w:tr>
      <w:tr w:rsidR="004921FF" w:rsidRPr="00402F25" w14:paraId="17FE3C3B"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3A11A23F"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Impuestos y Reservas</w:t>
            </w:r>
          </w:p>
        </w:tc>
        <w:tc>
          <w:tcPr>
            <w:tcW w:w="1564" w:type="dxa"/>
            <w:tcBorders>
              <w:top w:val="nil"/>
              <w:left w:val="nil"/>
              <w:bottom w:val="single" w:sz="4" w:space="0" w:color="767171"/>
              <w:right w:val="single" w:sz="4" w:space="0" w:color="767171"/>
            </w:tcBorders>
            <w:noWrap/>
            <w:vAlign w:val="center"/>
            <w:hideMark/>
          </w:tcPr>
          <w:p w14:paraId="518A160A"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695,023,097 </w:t>
            </w:r>
          </w:p>
        </w:tc>
        <w:tc>
          <w:tcPr>
            <w:tcW w:w="1384" w:type="dxa"/>
            <w:tcBorders>
              <w:top w:val="nil"/>
              <w:left w:val="nil"/>
              <w:bottom w:val="single" w:sz="4" w:space="0" w:color="767171"/>
              <w:right w:val="single" w:sz="4" w:space="0" w:color="767171"/>
            </w:tcBorders>
            <w:noWrap/>
            <w:vAlign w:val="center"/>
            <w:hideMark/>
          </w:tcPr>
          <w:p w14:paraId="397C5E9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7345A257" w14:textId="77777777" w:rsidR="00EE4B58" w:rsidRPr="00402F25" w:rsidRDefault="00EE4B58"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31,499,102 </w:t>
            </w:r>
          </w:p>
        </w:tc>
        <w:tc>
          <w:tcPr>
            <w:tcW w:w="1598" w:type="dxa"/>
            <w:tcBorders>
              <w:top w:val="nil"/>
              <w:left w:val="nil"/>
              <w:bottom w:val="single" w:sz="4" w:space="0" w:color="767171"/>
              <w:right w:val="single" w:sz="4" w:space="0" w:color="767171"/>
            </w:tcBorders>
            <w:noWrap/>
            <w:vAlign w:val="center"/>
            <w:hideMark/>
          </w:tcPr>
          <w:p w14:paraId="5171DB7D"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726,522,199 </w:t>
            </w:r>
          </w:p>
        </w:tc>
      </w:tr>
      <w:tr w:rsidR="004921FF" w:rsidRPr="00402F25" w14:paraId="3048C3EC"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0F59538A" w14:textId="6F501F73"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 xml:space="preserve">Beneficios/ Pérdidas Netos del Periodo </w:t>
            </w:r>
          </w:p>
        </w:tc>
        <w:tc>
          <w:tcPr>
            <w:tcW w:w="1564" w:type="dxa"/>
            <w:tcBorders>
              <w:top w:val="nil"/>
              <w:left w:val="nil"/>
              <w:bottom w:val="single" w:sz="4" w:space="0" w:color="767171"/>
              <w:right w:val="single" w:sz="4" w:space="0" w:color="767171"/>
            </w:tcBorders>
            <w:noWrap/>
            <w:vAlign w:val="center"/>
            <w:hideMark/>
          </w:tcPr>
          <w:p w14:paraId="70E6A022"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245,843,096 </w:t>
            </w:r>
          </w:p>
        </w:tc>
        <w:tc>
          <w:tcPr>
            <w:tcW w:w="1384" w:type="dxa"/>
            <w:tcBorders>
              <w:top w:val="nil"/>
              <w:left w:val="nil"/>
              <w:bottom w:val="single" w:sz="4" w:space="0" w:color="767171"/>
              <w:right w:val="single" w:sz="4" w:space="0" w:color="767171"/>
            </w:tcBorders>
            <w:noWrap/>
            <w:vAlign w:val="center"/>
            <w:hideMark/>
          </w:tcPr>
          <w:p w14:paraId="5A9A31B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526" w:type="dxa"/>
            <w:tcBorders>
              <w:top w:val="nil"/>
              <w:left w:val="nil"/>
              <w:bottom w:val="single" w:sz="4" w:space="0" w:color="767171"/>
              <w:right w:val="single" w:sz="4" w:space="0" w:color="767171"/>
            </w:tcBorders>
            <w:noWrap/>
            <w:vAlign w:val="center"/>
            <w:hideMark/>
          </w:tcPr>
          <w:p w14:paraId="6872DD06"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755,024,245 </w:t>
            </w:r>
          </w:p>
        </w:tc>
        <w:tc>
          <w:tcPr>
            <w:tcW w:w="1598" w:type="dxa"/>
            <w:tcBorders>
              <w:top w:val="nil"/>
              <w:left w:val="nil"/>
              <w:bottom w:val="single" w:sz="4" w:space="0" w:color="767171"/>
              <w:right w:val="single" w:sz="4" w:space="0" w:color="767171"/>
            </w:tcBorders>
            <w:noWrap/>
            <w:vAlign w:val="center"/>
            <w:hideMark/>
          </w:tcPr>
          <w:p w14:paraId="19962651"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1,000,867,341 </w:t>
            </w:r>
          </w:p>
        </w:tc>
      </w:tr>
      <w:tr w:rsidR="004921FF" w:rsidRPr="00402F25" w14:paraId="37C4E2F4"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72910E0C"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 de Beneficios</w:t>
            </w:r>
          </w:p>
        </w:tc>
        <w:tc>
          <w:tcPr>
            <w:tcW w:w="1564" w:type="dxa"/>
            <w:tcBorders>
              <w:top w:val="nil"/>
              <w:left w:val="nil"/>
              <w:bottom w:val="single" w:sz="4" w:space="0" w:color="767171"/>
              <w:right w:val="single" w:sz="4" w:space="0" w:color="767171"/>
            </w:tcBorders>
            <w:noWrap/>
            <w:vAlign w:val="center"/>
            <w:hideMark/>
          </w:tcPr>
          <w:p w14:paraId="41D4CFFB"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2.6%</w:t>
            </w:r>
          </w:p>
        </w:tc>
        <w:tc>
          <w:tcPr>
            <w:tcW w:w="1384" w:type="dxa"/>
            <w:tcBorders>
              <w:top w:val="nil"/>
              <w:left w:val="nil"/>
              <w:bottom w:val="single" w:sz="4" w:space="0" w:color="767171"/>
              <w:right w:val="single" w:sz="4" w:space="0" w:color="767171"/>
            </w:tcBorders>
            <w:noWrap/>
            <w:vAlign w:val="center"/>
            <w:hideMark/>
          </w:tcPr>
          <w:p w14:paraId="1C3BA022"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0.0%</w:t>
            </w:r>
          </w:p>
        </w:tc>
        <w:tc>
          <w:tcPr>
            <w:tcW w:w="1526" w:type="dxa"/>
            <w:tcBorders>
              <w:top w:val="nil"/>
              <w:left w:val="nil"/>
              <w:bottom w:val="single" w:sz="4" w:space="0" w:color="767171"/>
              <w:right w:val="single" w:sz="4" w:space="0" w:color="767171"/>
            </w:tcBorders>
            <w:noWrap/>
            <w:vAlign w:val="center"/>
            <w:hideMark/>
          </w:tcPr>
          <w:p w14:paraId="367B0AE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11.0%</w:t>
            </w:r>
          </w:p>
        </w:tc>
        <w:tc>
          <w:tcPr>
            <w:tcW w:w="1598" w:type="dxa"/>
            <w:tcBorders>
              <w:top w:val="nil"/>
              <w:left w:val="nil"/>
              <w:bottom w:val="single" w:sz="4" w:space="0" w:color="767171"/>
              <w:right w:val="single" w:sz="4" w:space="0" w:color="767171"/>
            </w:tcBorders>
            <w:noWrap/>
            <w:vAlign w:val="center"/>
            <w:hideMark/>
          </w:tcPr>
          <w:p w14:paraId="295EE005"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4.0%</w:t>
            </w:r>
          </w:p>
        </w:tc>
      </w:tr>
      <w:tr w:rsidR="004921FF" w:rsidRPr="00402F25" w14:paraId="0FA07ADB" w14:textId="77777777" w:rsidTr="00E05B71">
        <w:trPr>
          <w:trHeight w:val="375"/>
          <w:jc w:val="center"/>
        </w:trPr>
        <w:tc>
          <w:tcPr>
            <w:tcW w:w="1838" w:type="dxa"/>
            <w:tcBorders>
              <w:top w:val="nil"/>
              <w:left w:val="single" w:sz="4" w:space="0" w:color="767171"/>
              <w:bottom w:val="single" w:sz="4" w:space="0" w:color="767171"/>
              <w:right w:val="single" w:sz="4" w:space="0" w:color="767171"/>
            </w:tcBorders>
            <w:noWrap/>
            <w:vAlign w:val="center"/>
            <w:hideMark/>
          </w:tcPr>
          <w:p w14:paraId="17437AE4"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 de Siniestralidad</w:t>
            </w:r>
          </w:p>
        </w:tc>
        <w:tc>
          <w:tcPr>
            <w:tcW w:w="1564" w:type="dxa"/>
            <w:tcBorders>
              <w:top w:val="nil"/>
              <w:left w:val="nil"/>
              <w:bottom w:val="single" w:sz="4" w:space="0" w:color="767171"/>
              <w:right w:val="single" w:sz="4" w:space="0" w:color="767171"/>
            </w:tcBorders>
            <w:noWrap/>
            <w:vAlign w:val="center"/>
            <w:hideMark/>
          </w:tcPr>
          <w:p w14:paraId="12CE44EA"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88.3%</w:t>
            </w:r>
          </w:p>
        </w:tc>
        <w:tc>
          <w:tcPr>
            <w:tcW w:w="1384" w:type="dxa"/>
            <w:tcBorders>
              <w:top w:val="nil"/>
              <w:left w:val="nil"/>
              <w:bottom w:val="single" w:sz="4" w:space="0" w:color="767171"/>
              <w:right w:val="single" w:sz="4" w:space="0" w:color="767171"/>
            </w:tcBorders>
            <w:noWrap/>
            <w:vAlign w:val="center"/>
            <w:hideMark/>
          </w:tcPr>
          <w:p w14:paraId="0E366E72"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0.0%</w:t>
            </w:r>
          </w:p>
        </w:tc>
        <w:tc>
          <w:tcPr>
            <w:tcW w:w="1526" w:type="dxa"/>
            <w:tcBorders>
              <w:top w:val="nil"/>
              <w:left w:val="nil"/>
              <w:bottom w:val="single" w:sz="4" w:space="0" w:color="767171"/>
              <w:right w:val="single" w:sz="4" w:space="0" w:color="767171"/>
            </w:tcBorders>
            <w:noWrap/>
            <w:vAlign w:val="center"/>
            <w:hideMark/>
          </w:tcPr>
          <w:p w14:paraId="5937D00C"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76.2%</w:t>
            </w:r>
          </w:p>
        </w:tc>
        <w:tc>
          <w:tcPr>
            <w:tcW w:w="1598" w:type="dxa"/>
            <w:tcBorders>
              <w:top w:val="nil"/>
              <w:left w:val="nil"/>
              <w:bottom w:val="single" w:sz="4" w:space="0" w:color="767171"/>
              <w:right w:val="single" w:sz="4" w:space="0" w:color="767171"/>
            </w:tcBorders>
            <w:noWrap/>
            <w:vAlign w:val="center"/>
            <w:hideMark/>
          </w:tcPr>
          <w:p w14:paraId="4D3544E2"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86.3%</w:t>
            </w:r>
          </w:p>
        </w:tc>
      </w:tr>
      <w:tr w:rsidR="004921FF" w:rsidRPr="00402F25" w14:paraId="593F8DBB" w14:textId="77777777" w:rsidTr="00E05B71">
        <w:trPr>
          <w:trHeight w:val="510"/>
          <w:jc w:val="center"/>
        </w:trPr>
        <w:tc>
          <w:tcPr>
            <w:tcW w:w="1838" w:type="dxa"/>
            <w:tcBorders>
              <w:top w:val="nil"/>
              <w:left w:val="single" w:sz="4" w:space="0" w:color="767171"/>
              <w:bottom w:val="single" w:sz="4" w:space="0" w:color="767171"/>
              <w:right w:val="single" w:sz="4" w:space="0" w:color="767171"/>
            </w:tcBorders>
            <w:noWrap/>
            <w:vAlign w:val="center"/>
            <w:hideMark/>
          </w:tcPr>
          <w:p w14:paraId="1A95D47D" w14:textId="77777777" w:rsidR="00EE4B58" w:rsidRPr="00402F25" w:rsidRDefault="00EE4B58" w:rsidP="00402F25">
            <w:pPr>
              <w:spacing w:after="0" w:line="240" w:lineRule="auto"/>
              <w:rPr>
                <w:rFonts w:eastAsia="Times New Roman"/>
                <w:b/>
                <w:bCs/>
                <w:spacing w:val="0"/>
                <w:lang w:val="es-DO" w:eastAsia="es-DO"/>
              </w:rPr>
            </w:pPr>
            <w:r w:rsidRPr="00402F25">
              <w:rPr>
                <w:rFonts w:eastAsia="Times New Roman"/>
                <w:b/>
                <w:bCs/>
                <w:spacing w:val="0"/>
                <w:lang w:val="es-DO" w:eastAsia="es-DO"/>
              </w:rPr>
              <w:t>% de Gastos Administrativos</w:t>
            </w:r>
          </w:p>
        </w:tc>
        <w:tc>
          <w:tcPr>
            <w:tcW w:w="1564" w:type="dxa"/>
            <w:tcBorders>
              <w:top w:val="nil"/>
              <w:left w:val="nil"/>
              <w:bottom w:val="single" w:sz="4" w:space="0" w:color="767171"/>
              <w:right w:val="single" w:sz="4" w:space="0" w:color="767171"/>
            </w:tcBorders>
            <w:noWrap/>
            <w:vAlign w:val="center"/>
            <w:hideMark/>
          </w:tcPr>
          <w:p w14:paraId="01058A58"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10.8%</w:t>
            </w:r>
          </w:p>
        </w:tc>
        <w:tc>
          <w:tcPr>
            <w:tcW w:w="1384" w:type="dxa"/>
            <w:tcBorders>
              <w:top w:val="nil"/>
              <w:left w:val="nil"/>
              <w:bottom w:val="single" w:sz="4" w:space="0" w:color="767171"/>
              <w:right w:val="single" w:sz="4" w:space="0" w:color="767171"/>
            </w:tcBorders>
            <w:noWrap/>
            <w:vAlign w:val="center"/>
            <w:hideMark/>
          </w:tcPr>
          <w:p w14:paraId="4C98F7A8"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0.0%</w:t>
            </w:r>
          </w:p>
        </w:tc>
        <w:tc>
          <w:tcPr>
            <w:tcW w:w="1526" w:type="dxa"/>
            <w:tcBorders>
              <w:top w:val="nil"/>
              <w:left w:val="nil"/>
              <w:bottom w:val="single" w:sz="4" w:space="0" w:color="767171"/>
              <w:right w:val="single" w:sz="4" w:space="0" w:color="767171"/>
            </w:tcBorders>
            <w:noWrap/>
            <w:vAlign w:val="center"/>
            <w:hideMark/>
          </w:tcPr>
          <w:p w14:paraId="2361CFE3"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11.0%</w:t>
            </w:r>
          </w:p>
        </w:tc>
        <w:tc>
          <w:tcPr>
            <w:tcW w:w="1598" w:type="dxa"/>
            <w:tcBorders>
              <w:top w:val="nil"/>
              <w:left w:val="nil"/>
              <w:bottom w:val="single" w:sz="4" w:space="0" w:color="767171"/>
              <w:right w:val="single" w:sz="4" w:space="0" w:color="767171"/>
            </w:tcBorders>
            <w:noWrap/>
            <w:vAlign w:val="center"/>
            <w:hideMark/>
          </w:tcPr>
          <w:p w14:paraId="7A70ECF6" w14:textId="77777777" w:rsidR="00EE4B58" w:rsidRPr="00402F25" w:rsidRDefault="00EE4B58"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10.8%</w:t>
            </w:r>
          </w:p>
        </w:tc>
      </w:tr>
      <w:tr w:rsidR="004921FF" w:rsidRPr="00CD02F5" w14:paraId="3BA06FA7" w14:textId="77777777" w:rsidTr="00E05B71">
        <w:trPr>
          <w:trHeight w:val="355"/>
          <w:jc w:val="center"/>
        </w:trPr>
        <w:tc>
          <w:tcPr>
            <w:tcW w:w="0" w:type="auto"/>
            <w:gridSpan w:val="5"/>
            <w:tcBorders>
              <w:top w:val="single" w:sz="4" w:space="0" w:color="767171"/>
              <w:left w:val="single" w:sz="4" w:space="0" w:color="767171"/>
              <w:bottom w:val="single" w:sz="4" w:space="0" w:color="767171"/>
              <w:right w:val="single" w:sz="4" w:space="0" w:color="767171"/>
            </w:tcBorders>
            <w:vAlign w:val="center"/>
            <w:hideMark/>
          </w:tcPr>
          <w:p w14:paraId="762D1C37" w14:textId="7B7B9F40" w:rsidR="00EE4B58" w:rsidRPr="00AC2DB2" w:rsidRDefault="00EE4B58" w:rsidP="00402F25">
            <w:pPr>
              <w:spacing w:after="0" w:line="240" w:lineRule="auto"/>
              <w:jc w:val="both"/>
              <w:rPr>
                <w:rFonts w:eastAsia="Times New Roman"/>
                <w:spacing w:val="0"/>
                <w:sz w:val="18"/>
                <w:szCs w:val="18"/>
                <w:lang w:val="es-DO" w:eastAsia="es-DO"/>
              </w:rPr>
            </w:pPr>
            <w:r w:rsidRPr="00AC2DB2">
              <w:rPr>
                <w:rFonts w:eastAsia="Times New Roman"/>
                <w:spacing w:val="0"/>
                <w:sz w:val="18"/>
                <w:szCs w:val="18"/>
                <w:lang w:val="es-DO" w:eastAsia="es-DO"/>
              </w:rPr>
              <w:t xml:space="preserve">Nota:  </w:t>
            </w:r>
            <w:r w:rsidR="001C27DE" w:rsidRPr="00AC2DB2">
              <w:rPr>
                <w:rFonts w:eastAsia="Times New Roman"/>
                <w:spacing w:val="0"/>
                <w:sz w:val="18"/>
                <w:szCs w:val="18"/>
                <w:lang w:val="es-DO" w:eastAsia="es-DO"/>
              </w:rPr>
              <w:t xml:space="preserve">En el periodo Enero – Septiembre no se incluyen las informaciones de la ARS SeNaSa, debido a que esta </w:t>
            </w:r>
            <w:r w:rsidR="0043146B" w:rsidRPr="00AC2DB2">
              <w:rPr>
                <w:rFonts w:eastAsia="Times New Roman"/>
                <w:spacing w:val="0"/>
                <w:sz w:val="18"/>
                <w:szCs w:val="18"/>
                <w:lang w:val="es-DO" w:eastAsia="es-DO"/>
              </w:rPr>
              <w:t xml:space="preserve">ARS </w:t>
            </w:r>
            <w:r w:rsidR="001C27DE" w:rsidRPr="00AC2DB2">
              <w:rPr>
                <w:rFonts w:eastAsia="Times New Roman"/>
                <w:spacing w:val="0"/>
                <w:sz w:val="18"/>
                <w:szCs w:val="18"/>
                <w:lang w:val="es-DO" w:eastAsia="es-DO"/>
              </w:rPr>
              <w:t>se encuentra en proceso de correcciones de sus informaciones financieras.</w:t>
            </w:r>
          </w:p>
        </w:tc>
      </w:tr>
    </w:tbl>
    <w:p w14:paraId="3B74F6D6" w14:textId="4EC7EF03" w:rsidR="000B3524" w:rsidRDefault="004E28FA" w:rsidP="00402F25">
      <w:pPr>
        <w:autoSpaceDE w:val="0"/>
        <w:autoSpaceDN w:val="0"/>
        <w:adjustRightInd w:val="0"/>
        <w:spacing w:after="0" w:line="240" w:lineRule="auto"/>
        <w:rPr>
          <w:sz w:val="18"/>
          <w:szCs w:val="18"/>
          <w:lang w:val="es-DO"/>
        </w:rPr>
      </w:pPr>
      <w:r w:rsidRPr="00AC2DB2">
        <w:rPr>
          <w:sz w:val="18"/>
          <w:szCs w:val="18"/>
          <w:lang w:val="es-DO"/>
        </w:rPr>
        <w:t>Fuente: Estados financieros de las ARS – SIE (SIMON)</w:t>
      </w:r>
    </w:p>
    <w:p w14:paraId="32BA3C9B" w14:textId="77777777" w:rsidR="00402F25" w:rsidRPr="00402F25" w:rsidRDefault="00402F25" w:rsidP="00402F25">
      <w:pPr>
        <w:autoSpaceDE w:val="0"/>
        <w:autoSpaceDN w:val="0"/>
        <w:adjustRightInd w:val="0"/>
        <w:spacing w:after="0" w:line="240" w:lineRule="auto"/>
        <w:rPr>
          <w:sz w:val="18"/>
          <w:szCs w:val="18"/>
          <w:lang w:val="es-DO"/>
        </w:rPr>
      </w:pPr>
    </w:p>
    <w:p w14:paraId="6265DFBF" w14:textId="60755A76" w:rsidR="0085140B" w:rsidRDefault="000B3524" w:rsidP="005C133F">
      <w:pPr>
        <w:autoSpaceDE w:val="0"/>
        <w:autoSpaceDN w:val="0"/>
        <w:adjustRightInd w:val="0"/>
        <w:spacing w:before="120" w:after="0" w:line="360" w:lineRule="auto"/>
        <w:jc w:val="both"/>
        <w:rPr>
          <w:lang w:val="es-DO"/>
        </w:rPr>
      </w:pPr>
      <w:r w:rsidRPr="005C133F">
        <w:rPr>
          <w:lang w:val="es-DO"/>
        </w:rPr>
        <w:t xml:space="preserve">En cuanto a la siniestralidad, </w:t>
      </w:r>
      <w:r w:rsidR="00F73696" w:rsidRPr="005C133F">
        <w:rPr>
          <w:lang w:val="es-DO"/>
        </w:rPr>
        <w:t>el</w:t>
      </w:r>
      <w:r w:rsidRPr="005C133F">
        <w:rPr>
          <w:lang w:val="es-DO"/>
        </w:rPr>
        <w:t xml:space="preserve"> indicador que muestra la proporción entre el importe total de las primas o ingresos en salud recaudados </w:t>
      </w:r>
      <w:r w:rsidRPr="005C133F">
        <w:rPr>
          <w:lang w:val="es-DO"/>
        </w:rPr>
        <w:lastRenderedPageBreak/>
        <w:t>por las entidades y el importe total de los costos por los servicios en salud que se otorgan a los afiliados de las ARS, por cada tipo de plan de salud</w:t>
      </w:r>
      <w:r w:rsidR="00002FC6" w:rsidRPr="005C133F">
        <w:rPr>
          <w:lang w:val="es-DO"/>
        </w:rPr>
        <w:t xml:space="preserve">; </w:t>
      </w:r>
      <w:r w:rsidR="00A130AA" w:rsidRPr="005C133F">
        <w:rPr>
          <w:lang w:val="es-DO"/>
        </w:rPr>
        <w:t>en el período enero – septiembre 2025</w:t>
      </w:r>
      <w:r w:rsidR="00A2358E" w:rsidRPr="005C133F">
        <w:rPr>
          <w:lang w:val="es-DO"/>
        </w:rPr>
        <w:t xml:space="preserve"> fue de un 83.3%</w:t>
      </w:r>
      <w:r w:rsidR="003A7ECC" w:rsidRPr="005C133F">
        <w:rPr>
          <w:lang w:val="es-DO"/>
        </w:rPr>
        <w:t>, distribuido</w:t>
      </w:r>
      <w:r w:rsidR="00767AAA" w:rsidRPr="005C133F">
        <w:rPr>
          <w:lang w:val="es-DO"/>
        </w:rPr>
        <w:t xml:space="preserve"> </w:t>
      </w:r>
      <w:r w:rsidR="008A2C88" w:rsidRPr="005C133F">
        <w:rPr>
          <w:lang w:val="es-DO"/>
        </w:rPr>
        <w:t xml:space="preserve">en </w:t>
      </w:r>
      <w:r w:rsidRPr="005C133F">
        <w:rPr>
          <w:lang w:val="es-DO"/>
        </w:rPr>
        <w:t xml:space="preserve">88.3% para el Régimen Contributivo, un 0.0% para el Régimen Subsidiado y un 76.2% para Otros Planes. </w:t>
      </w:r>
    </w:p>
    <w:p w14:paraId="64AE7163" w14:textId="77777777" w:rsidR="00402F25" w:rsidRPr="005C133F" w:rsidRDefault="00402F25" w:rsidP="005C133F">
      <w:pPr>
        <w:autoSpaceDE w:val="0"/>
        <w:autoSpaceDN w:val="0"/>
        <w:adjustRightInd w:val="0"/>
        <w:spacing w:before="120" w:after="0" w:line="360" w:lineRule="auto"/>
        <w:jc w:val="both"/>
        <w:rPr>
          <w:lang w:val="es-DO"/>
        </w:rPr>
      </w:pPr>
    </w:p>
    <w:p w14:paraId="17F17A55" w14:textId="5BBFF7F4" w:rsidR="0085140B" w:rsidRPr="005C133F" w:rsidRDefault="0085140B" w:rsidP="005C133F">
      <w:pPr>
        <w:spacing w:after="0" w:line="360" w:lineRule="auto"/>
        <w:jc w:val="both"/>
        <w:rPr>
          <w:b/>
          <w:bCs/>
          <w:lang w:val="es-DO"/>
        </w:rPr>
      </w:pPr>
      <w:bookmarkStart w:id="46" w:name="_Toc120118261"/>
      <w:bookmarkStart w:id="47" w:name="_Toc170482675"/>
      <w:r w:rsidRPr="005C133F">
        <w:rPr>
          <w:b/>
          <w:bCs/>
          <w:lang w:val="es-DO"/>
        </w:rPr>
        <w:t>Estados de Resultados e Indicadores por tipo de ARS y por Planes de Salud</w:t>
      </w:r>
      <w:bookmarkEnd w:id="46"/>
      <w:r w:rsidRPr="005C133F">
        <w:rPr>
          <w:b/>
          <w:bCs/>
          <w:lang w:val="es-DO"/>
        </w:rPr>
        <w:t>:</w:t>
      </w:r>
      <w:bookmarkEnd w:id="47"/>
      <w:r w:rsidRPr="005C133F">
        <w:rPr>
          <w:b/>
          <w:bCs/>
          <w:lang w:val="es-DO"/>
        </w:rPr>
        <w:t xml:space="preserve"> </w:t>
      </w:r>
    </w:p>
    <w:p w14:paraId="18497B70" w14:textId="1340C187" w:rsidR="00A16E30" w:rsidRDefault="00D2530B" w:rsidP="005C133F">
      <w:pPr>
        <w:autoSpaceDE w:val="0"/>
        <w:autoSpaceDN w:val="0"/>
        <w:adjustRightInd w:val="0"/>
        <w:spacing w:before="120" w:after="0" w:line="360" w:lineRule="auto"/>
        <w:jc w:val="both"/>
        <w:rPr>
          <w:lang w:val="es-DO"/>
        </w:rPr>
      </w:pPr>
      <w:r w:rsidRPr="005C133F">
        <w:rPr>
          <w:lang w:val="es-DO"/>
        </w:rPr>
        <w:t>Como se indicó anteriormente, para el período enero – septiembre 2025, las ARS registran un total de Beneficios/Pérdidas Brutos por un monto de RD$1,727,389,540.00</w:t>
      </w:r>
      <w:r w:rsidR="0097421C" w:rsidRPr="005C133F">
        <w:rPr>
          <w:lang w:val="es-DO"/>
        </w:rPr>
        <w:t xml:space="preserve">. </w:t>
      </w:r>
      <w:r w:rsidR="0065488E" w:rsidRPr="005C133F">
        <w:rPr>
          <w:lang w:val="es-DO"/>
        </w:rPr>
        <w:t>En relación con el</w:t>
      </w:r>
      <w:r w:rsidR="0097421C" w:rsidRPr="005C133F">
        <w:rPr>
          <w:lang w:val="es-DO"/>
        </w:rPr>
        <w:t xml:space="preserve"> monto anterior</w:t>
      </w:r>
      <w:r w:rsidR="0085035B" w:rsidRPr="005C133F">
        <w:rPr>
          <w:lang w:val="es-DO"/>
        </w:rPr>
        <w:t xml:space="preserve"> y </w:t>
      </w:r>
      <w:r w:rsidR="00F4159C" w:rsidRPr="005C133F">
        <w:rPr>
          <w:lang w:val="es-DO"/>
        </w:rPr>
        <w:t>s</w:t>
      </w:r>
      <w:r w:rsidRPr="005C133F">
        <w:rPr>
          <w:lang w:val="es-DO"/>
        </w:rPr>
        <w:t>egún se muestra en los cuadros siguientes, las ARS Privadas registr</w:t>
      </w:r>
      <w:r w:rsidR="00F4159C" w:rsidRPr="005C133F">
        <w:rPr>
          <w:lang w:val="es-DO"/>
        </w:rPr>
        <w:t>aron</w:t>
      </w:r>
      <w:r w:rsidRPr="005C133F">
        <w:rPr>
          <w:lang w:val="es-DO"/>
        </w:rPr>
        <w:t xml:space="preserve"> beneficios brutos por un monto de RD$1,863,318,247.00, </w:t>
      </w:r>
      <w:r w:rsidR="00F4159C" w:rsidRPr="005C133F">
        <w:rPr>
          <w:lang w:val="es-DO"/>
        </w:rPr>
        <w:t xml:space="preserve">sin embargo, </w:t>
      </w:r>
      <w:r w:rsidRPr="005C133F">
        <w:rPr>
          <w:lang w:val="es-DO"/>
        </w:rPr>
        <w:t xml:space="preserve">las ARS Públicas </w:t>
      </w:r>
      <w:r w:rsidR="0085035B" w:rsidRPr="005C133F">
        <w:rPr>
          <w:lang w:val="es-DO"/>
        </w:rPr>
        <w:t xml:space="preserve">registraron </w:t>
      </w:r>
      <w:r w:rsidRPr="005C133F">
        <w:rPr>
          <w:lang w:val="es-DO"/>
        </w:rPr>
        <w:t xml:space="preserve">pérdidas brutas por RD$8,946,661.00 y las de Autogestión, pérdidas brutas por RD$126,982,046.00. </w:t>
      </w:r>
    </w:p>
    <w:p w14:paraId="4612EFBA" w14:textId="77777777" w:rsidR="00402F25" w:rsidRPr="005C133F" w:rsidRDefault="00402F25" w:rsidP="005C133F">
      <w:pPr>
        <w:autoSpaceDE w:val="0"/>
        <w:autoSpaceDN w:val="0"/>
        <w:adjustRightInd w:val="0"/>
        <w:spacing w:before="120" w:after="0" w:line="360" w:lineRule="auto"/>
        <w:jc w:val="both"/>
        <w:rPr>
          <w:lang w:val="es-DO"/>
        </w:rPr>
      </w:pPr>
    </w:p>
    <w:p w14:paraId="272D8BA7" w14:textId="77777777" w:rsidR="008944FB" w:rsidRPr="005C133F" w:rsidRDefault="008944FB">
      <w:pPr>
        <w:pStyle w:val="Prrafodelista"/>
        <w:numPr>
          <w:ilvl w:val="0"/>
          <w:numId w:val="167"/>
        </w:numPr>
        <w:spacing w:after="0" w:line="360" w:lineRule="auto"/>
        <w:jc w:val="both"/>
        <w:rPr>
          <w:b/>
          <w:bCs/>
          <w:lang w:val="es-DO"/>
        </w:rPr>
      </w:pPr>
      <w:bookmarkStart w:id="48" w:name="_Toc170482676"/>
      <w:r w:rsidRPr="005C133F">
        <w:rPr>
          <w:b/>
          <w:bCs/>
          <w:lang w:val="es-DO"/>
        </w:rPr>
        <w:t>ARS Privadas:</w:t>
      </w:r>
      <w:bookmarkEnd w:id="48"/>
    </w:p>
    <w:p w14:paraId="18FF1EE7" w14:textId="77777777" w:rsidR="00140789" w:rsidRPr="005C133F" w:rsidRDefault="00140789" w:rsidP="005C133F">
      <w:pPr>
        <w:pStyle w:val="Prrafodelista"/>
        <w:spacing w:after="0" w:line="360" w:lineRule="auto"/>
        <w:ind w:left="1800"/>
        <w:jc w:val="both"/>
        <w:rPr>
          <w:b/>
          <w:bCs/>
          <w:lang w:val="es-DO"/>
        </w:rPr>
      </w:pPr>
    </w:p>
    <w:p w14:paraId="16A00289" w14:textId="28214912" w:rsidR="00B5353A" w:rsidRPr="005C133F" w:rsidRDefault="00140789" w:rsidP="005C133F">
      <w:pPr>
        <w:spacing w:after="0" w:line="360" w:lineRule="auto"/>
        <w:jc w:val="both"/>
        <w:rPr>
          <w:lang w:val="es-DO"/>
        </w:rPr>
      </w:pPr>
      <w:r w:rsidRPr="005C133F">
        <w:rPr>
          <w:lang w:val="es-DO"/>
        </w:rPr>
        <w:t>Según se muestra en el cuadro siguiente, para las ARS Privadas, a los beneficios brutos por RD$</w:t>
      </w:r>
      <w:r w:rsidR="00941442" w:rsidRPr="005C133F">
        <w:rPr>
          <w:lang w:val="es-DO"/>
        </w:rPr>
        <w:t>1,863,318,247</w:t>
      </w:r>
      <w:r w:rsidRPr="005C133F">
        <w:rPr>
          <w:lang w:val="es-DO"/>
        </w:rPr>
        <w:t>, se le deducen los impuestos y reservas por RD$ 721,195,093.00, arrojando un Beneficio Neto de RD$1,142,123,154.00.</w:t>
      </w:r>
      <w:r w:rsidR="00E66CDA" w:rsidRPr="005C133F">
        <w:rPr>
          <w:lang w:val="es-DO"/>
        </w:rPr>
        <w:t xml:space="preserve"> Además, las ARS privadas presentan una siniestralidad total de un 84.9%, de los cuales, en el PBS Contributivo es de un 86.6% y en otros planes un 73.8%.</w:t>
      </w:r>
    </w:p>
    <w:p w14:paraId="50CFCF59" w14:textId="2B73FDA6" w:rsidR="008A6DA8" w:rsidRPr="005C133F" w:rsidRDefault="008A6DA8" w:rsidP="005C133F">
      <w:pPr>
        <w:spacing w:after="0" w:line="360" w:lineRule="auto"/>
        <w:jc w:val="both"/>
        <w:rPr>
          <w:b/>
          <w:lang w:val="es-DO"/>
        </w:rPr>
      </w:pPr>
    </w:p>
    <w:p w14:paraId="5BEF411A" w14:textId="55C30671" w:rsidR="00B234FC" w:rsidRPr="005C133F" w:rsidRDefault="00B234FC" w:rsidP="00402F25">
      <w:pPr>
        <w:pStyle w:val="Descripcin"/>
        <w:keepNext/>
        <w:spacing w:after="0"/>
        <w:jc w:val="center"/>
        <w:rPr>
          <w:b/>
          <w:bCs/>
          <w:i w:val="0"/>
          <w:iCs w:val="0"/>
          <w:color w:val="767171"/>
          <w:sz w:val="24"/>
          <w:szCs w:val="24"/>
          <w:lang w:val="es-DO"/>
        </w:rPr>
      </w:pPr>
      <w:bookmarkStart w:id="49" w:name="_Toc218784150"/>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18</w:t>
      </w:r>
      <w:r w:rsidRPr="005C133F">
        <w:rPr>
          <w:b/>
          <w:bCs/>
          <w:i w:val="0"/>
          <w:iCs w:val="0"/>
          <w:color w:val="767171"/>
          <w:sz w:val="24"/>
          <w:szCs w:val="24"/>
          <w:lang w:val="es-DO"/>
        </w:rPr>
        <w:fldChar w:fldCharType="end"/>
      </w:r>
      <w:r w:rsidRPr="005C133F">
        <w:rPr>
          <w:b/>
          <w:bCs/>
          <w:i w:val="0"/>
          <w:iCs w:val="0"/>
          <w:color w:val="767171"/>
          <w:sz w:val="24"/>
          <w:szCs w:val="24"/>
          <w:lang w:val="es-DO"/>
        </w:rPr>
        <w:t>. Resultados de las ARS privadas, período enero-septiembre 2025</w:t>
      </w:r>
      <w:bookmarkEnd w:id="49"/>
    </w:p>
    <w:tbl>
      <w:tblPr>
        <w:tblW w:w="0" w:type="auto"/>
        <w:tblCellMar>
          <w:left w:w="70" w:type="dxa"/>
          <w:right w:w="70" w:type="dxa"/>
        </w:tblCellMar>
        <w:tblLook w:val="04A0" w:firstRow="1" w:lastRow="0" w:firstColumn="1" w:lastColumn="0" w:noHBand="0" w:noVBand="1"/>
      </w:tblPr>
      <w:tblGrid>
        <w:gridCol w:w="1980"/>
        <w:gridCol w:w="1830"/>
        <w:gridCol w:w="2050"/>
        <w:gridCol w:w="2050"/>
      </w:tblGrid>
      <w:tr w:rsidR="00AC2DB2" w:rsidRPr="00AC2DB2" w14:paraId="5F2D8486" w14:textId="77777777" w:rsidTr="006A7520">
        <w:trPr>
          <w:trHeight w:val="274"/>
          <w:tblHeader/>
        </w:trPr>
        <w:tc>
          <w:tcPr>
            <w:tcW w:w="0" w:type="auto"/>
            <w:vMerge w:val="restart"/>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1EFB5F0B" w14:textId="77777777" w:rsidR="008A6DA8" w:rsidRPr="00AC2DB2" w:rsidRDefault="008A6DA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Detalle</w:t>
            </w:r>
          </w:p>
        </w:tc>
        <w:tc>
          <w:tcPr>
            <w:tcW w:w="0" w:type="auto"/>
            <w:gridSpan w:val="3"/>
            <w:tcBorders>
              <w:top w:val="single" w:sz="4" w:space="0" w:color="767171"/>
              <w:left w:val="nil"/>
              <w:bottom w:val="single" w:sz="4" w:space="0" w:color="767171"/>
              <w:right w:val="single" w:sz="4" w:space="0" w:color="767171"/>
            </w:tcBorders>
            <w:shd w:val="clear" w:color="auto" w:fill="011C50"/>
            <w:vAlign w:val="center"/>
            <w:hideMark/>
          </w:tcPr>
          <w:p w14:paraId="2C79FEB7" w14:textId="77777777" w:rsidR="008A6DA8" w:rsidRPr="00AC2DB2" w:rsidRDefault="008A6DA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ARS Privadas</w:t>
            </w:r>
          </w:p>
        </w:tc>
      </w:tr>
      <w:tr w:rsidR="00AC2DB2" w:rsidRPr="00AC2DB2" w14:paraId="240A508B" w14:textId="77777777" w:rsidTr="006A7520">
        <w:trPr>
          <w:trHeight w:val="405"/>
          <w:tblHeader/>
        </w:trPr>
        <w:tc>
          <w:tcPr>
            <w:tcW w:w="0" w:type="auto"/>
            <w:vMerge/>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704204E8" w14:textId="77777777" w:rsidR="008A6DA8" w:rsidRPr="00AC2DB2" w:rsidRDefault="008A6DA8" w:rsidP="00402F25">
            <w:pPr>
              <w:spacing w:after="0" w:line="240" w:lineRule="auto"/>
              <w:rPr>
                <w:rFonts w:eastAsia="Times New Roman"/>
                <w:b/>
                <w:bCs/>
                <w:color w:val="FFFFFF" w:themeColor="background1"/>
                <w:spacing w:val="0"/>
                <w:lang w:val="es-DO" w:eastAsia="es-DO"/>
              </w:rPr>
            </w:pPr>
          </w:p>
        </w:tc>
        <w:tc>
          <w:tcPr>
            <w:tcW w:w="0" w:type="auto"/>
            <w:tcBorders>
              <w:top w:val="nil"/>
              <w:left w:val="nil"/>
              <w:bottom w:val="single" w:sz="4" w:space="0" w:color="767171"/>
              <w:right w:val="single" w:sz="4" w:space="0" w:color="767171"/>
            </w:tcBorders>
            <w:shd w:val="clear" w:color="auto" w:fill="011C50"/>
            <w:vAlign w:val="center"/>
            <w:hideMark/>
          </w:tcPr>
          <w:p w14:paraId="2FC33EA1" w14:textId="77777777" w:rsidR="008A6DA8" w:rsidRPr="00AC2DB2" w:rsidRDefault="008A6DA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Contributivo</w:t>
            </w:r>
          </w:p>
        </w:tc>
        <w:tc>
          <w:tcPr>
            <w:tcW w:w="0" w:type="auto"/>
            <w:tcBorders>
              <w:top w:val="nil"/>
              <w:left w:val="nil"/>
              <w:bottom w:val="single" w:sz="4" w:space="0" w:color="767171"/>
              <w:right w:val="single" w:sz="4" w:space="0" w:color="767171"/>
            </w:tcBorders>
            <w:shd w:val="clear" w:color="auto" w:fill="011C50"/>
            <w:vAlign w:val="center"/>
            <w:hideMark/>
          </w:tcPr>
          <w:p w14:paraId="70467430" w14:textId="77777777" w:rsidR="008A6DA8" w:rsidRPr="00AC2DB2" w:rsidRDefault="008A6DA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Otros Planes</w:t>
            </w:r>
          </w:p>
        </w:tc>
        <w:tc>
          <w:tcPr>
            <w:tcW w:w="0" w:type="auto"/>
            <w:tcBorders>
              <w:top w:val="nil"/>
              <w:left w:val="nil"/>
              <w:bottom w:val="single" w:sz="4" w:space="0" w:color="767171"/>
              <w:right w:val="single" w:sz="4" w:space="0" w:color="767171"/>
            </w:tcBorders>
            <w:shd w:val="clear" w:color="auto" w:fill="011C50"/>
            <w:vAlign w:val="center"/>
            <w:hideMark/>
          </w:tcPr>
          <w:p w14:paraId="59E43D23" w14:textId="77777777" w:rsidR="008A6DA8" w:rsidRPr="00AC2DB2" w:rsidRDefault="008A6DA8" w:rsidP="00402F25">
            <w:pPr>
              <w:spacing w:after="0" w:line="240" w:lineRule="auto"/>
              <w:jc w:val="right"/>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Total</w:t>
            </w:r>
          </w:p>
        </w:tc>
      </w:tr>
      <w:tr w:rsidR="004921FF" w:rsidRPr="005C133F" w14:paraId="6F6732C0"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3AC09C65"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Ingresos en Salud</w:t>
            </w:r>
          </w:p>
        </w:tc>
        <w:tc>
          <w:tcPr>
            <w:tcW w:w="0" w:type="auto"/>
            <w:tcBorders>
              <w:top w:val="nil"/>
              <w:left w:val="nil"/>
              <w:bottom w:val="single" w:sz="4" w:space="0" w:color="767171"/>
              <w:right w:val="single" w:sz="4" w:space="0" w:color="767171"/>
            </w:tcBorders>
            <w:shd w:val="clear" w:color="000000" w:fill="FFFFFF"/>
            <w:noWrap/>
            <w:vAlign w:val="center"/>
            <w:hideMark/>
          </w:tcPr>
          <w:p w14:paraId="0A3C9581"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32,751,174,309 </w:t>
            </w:r>
          </w:p>
        </w:tc>
        <w:tc>
          <w:tcPr>
            <w:tcW w:w="0" w:type="auto"/>
            <w:tcBorders>
              <w:top w:val="nil"/>
              <w:left w:val="nil"/>
              <w:bottom w:val="single" w:sz="4" w:space="0" w:color="767171"/>
              <w:right w:val="single" w:sz="4" w:space="0" w:color="767171"/>
            </w:tcBorders>
            <w:shd w:val="clear" w:color="000000" w:fill="FFFFFF"/>
            <w:noWrap/>
            <w:vAlign w:val="center"/>
            <w:hideMark/>
          </w:tcPr>
          <w:p w14:paraId="51401BED"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4,799,588,086 </w:t>
            </w:r>
          </w:p>
        </w:tc>
        <w:tc>
          <w:tcPr>
            <w:tcW w:w="0" w:type="auto"/>
            <w:tcBorders>
              <w:top w:val="nil"/>
              <w:left w:val="nil"/>
              <w:bottom w:val="single" w:sz="4" w:space="0" w:color="767171"/>
              <w:right w:val="single" w:sz="4" w:space="0" w:color="767171"/>
            </w:tcBorders>
            <w:shd w:val="clear" w:color="000000" w:fill="FFFFFF"/>
            <w:noWrap/>
            <w:vAlign w:val="center"/>
            <w:hideMark/>
          </w:tcPr>
          <w:p w14:paraId="237C376E"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37,550,762,395 </w:t>
            </w:r>
          </w:p>
        </w:tc>
      </w:tr>
      <w:tr w:rsidR="004921FF" w:rsidRPr="005C133F" w14:paraId="72CBD182"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6512EE01"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Ingresos</w:t>
            </w:r>
          </w:p>
        </w:tc>
        <w:tc>
          <w:tcPr>
            <w:tcW w:w="0" w:type="auto"/>
            <w:tcBorders>
              <w:top w:val="nil"/>
              <w:left w:val="nil"/>
              <w:bottom w:val="single" w:sz="4" w:space="0" w:color="767171"/>
              <w:right w:val="single" w:sz="4" w:space="0" w:color="767171"/>
            </w:tcBorders>
            <w:shd w:val="clear" w:color="000000" w:fill="FFFFFF"/>
            <w:noWrap/>
            <w:vAlign w:val="center"/>
            <w:hideMark/>
          </w:tcPr>
          <w:p w14:paraId="224178C1"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1,684,961,123 </w:t>
            </w:r>
          </w:p>
        </w:tc>
        <w:tc>
          <w:tcPr>
            <w:tcW w:w="0" w:type="auto"/>
            <w:tcBorders>
              <w:top w:val="nil"/>
              <w:left w:val="nil"/>
              <w:bottom w:val="single" w:sz="4" w:space="0" w:color="767171"/>
              <w:right w:val="single" w:sz="4" w:space="0" w:color="767171"/>
            </w:tcBorders>
            <w:shd w:val="clear" w:color="000000" w:fill="FFFFFF"/>
            <w:noWrap/>
            <w:vAlign w:val="center"/>
            <w:hideMark/>
          </w:tcPr>
          <w:p w14:paraId="44C2362A"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228,582,121 </w:t>
            </w:r>
          </w:p>
        </w:tc>
        <w:tc>
          <w:tcPr>
            <w:tcW w:w="0" w:type="auto"/>
            <w:tcBorders>
              <w:top w:val="nil"/>
              <w:left w:val="nil"/>
              <w:bottom w:val="single" w:sz="4" w:space="0" w:color="767171"/>
              <w:right w:val="single" w:sz="4" w:space="0" w:color="767171"/>
            </w:tcBorders>
            <w:shd w:val="clear" w:color="000000" w:fill="FFFFFF"/>
            <w:noWrap/>
            <w:vAlign w:val="center"/>
            <w:hideMark/>
          </w:tcPr>
          <w:p w14:paraId="69A4CFFB"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1,913,543,244 </w:t>
            </w:r>
          </w:p>
        </w:tc>
      </w:tr>
      <w:tr w:rsidR="004921FF" w:rsidRPr="005C133F" w14:paraId="58A8D075"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103155B3"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en Salud</w:t>
            </w:r>
          </w:p>
        </w:tc>
        <w:tc>
          <w:tcPr>
            <w:tcW w:w="0" w:type="auto"/>
            <w:tcBorders>
              <w:top w:val="nil"/>
              <w:left w:val="nil"/>
              <w:bottom w:val="single" w:sz="4" w:space="0" w:color="767171"/>
              <w:right w:val="single" w:sz="4" w:space="0" w:color="767171"/>
            </w:tcBorders>
            <w:shd w:val="clear" w:color="000000" w:fill="FFFFFF"/>
            <w:noWrap/>
            <w:vAlign w:val="center"/>
            <w:hideMark/>
          </w:tcPr>
          <w:p w14:paraId="4FB1760A"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28,350,818,139 </w:t>
            </w:r>
          </w:p>
        </w:tc>
        <w:tc>
          <w:tcPr>
            <w:tcW w:w="0" w:type="auto"/>
            <w:tcBorders>
              <w:top w:val="nil"/>
              <w:left w:val="nil"/>
              <w:bottom w:val="single" w:sz="4" w:space="0" w:color="767171"/>
              <w:right w:val="single" w:sz="4" w:space="0" w:color="767171"/>
            </w:tcBorders>
            <w:shd w:val="clear" w:color="000000" w:fill="FFFFFF"/>
            <w:noWrap/>
            <w:vAlign w:val="center"/>
            <w:hideMark/>
          </w:tcPr>
          <w:p w14:paraId="660A3872"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3,542,925,838 </w:t>
            </w:r>
          </w:p>
        </w:tc>
        <w:tc>
          <w:tcPr>
            <w:tcW w:w="0" w:type="auto"/>
            <w:tcBorders>
              <w:top w:val="nil"/>
              <w:left w:val="nil"/>
              <w:bottom w:val="single" w:sz="4" w:space="0" w:color="767171"/>
              <w:right w:val="single" w:sz="4" w:space="0" w:color="767171"/>
            </w:tcBorders>
            <w:shd w:val="clear" w:color="000000" w:fill="FFFFFF"/>
            <w:noWrap/>
            <w:vAlign w:val="center"/>
            <w:hideMark/>
          </w:tcPr>
          <w:p w14:paraId="31244CF3"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31,893,743,977 </w:t>
            </w:r>
          </w:p>
        </w:tc>
      </w:tr>
      <w:tr w:rsidR="004921FF" w:rsidRPr="005C133F" w14:paraId="4D30D97B"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5F51EB99"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Gastos</w:t>
            </w:r>
          </w:p>
        </w:tc>
        <w:tc>
          <w:tcPr>
            <w:tcW w:w="0" w:type="auto"/>
            <w:tcBorders>
              <w:top w:val="nil"/>
              <w:left w:val="nil"/>
              <w:bottom w:val="single" w:sz="4" w:space="0" w:color="767171"/>
              <w:right w:val="single" w:sz="4" w:space="0" w:color="767171"/>
            </w:tcBorders>
            <w:shd w:val="clear" w:color="000000" w:fill="FFFFFF"/>
            <w:noWrap/>
            <w:vAlign w:val="center"/>
            <w:hideMark/>
          </w:tcPr>
          <w:p w14:paraId="64C83747"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881,775,093 </w:t>
            </w:r>
          </w:p>
        </w:tc>
        <w:tc>
          <w:tcPr>
            <w:tcW w:w="0" w:type="auto"/>
            <w:tcBorders>
              <w:top w:val="nil"/>
              <w:left w:val="nil"/>
              <w:bottom w:val="single" w:sz="4" w:space="0" w:color="767171"/>
              <w:right w:val="single" w:sz="4" w:space="0" w:color="767171"/>
            </w:tcBorders>
            <w:shd w:val="clear" w:color="000000" w:fill="FFFFFF"/>
            <w:noWrap/>
            <w:vAlign w:val="center"/>
            <w:hideMark/>
          </w:tcPr>
          <w:p w14:paraId="6FFD91CE"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422,239,937 </w:t>
            </w:r>
          </w:p>
        </w:tc>
        <w:tc>
          <w:tcPr>
            <w:tcW w:w="0" w:type="auto"/>
            <w:tcBorders>
              <w:top w:val="nil"/>
              <w:left w:val="nil"/>
              <w:bottom w:val="single" w:sz="4" w:space="0" w:color="767171"/>
              <w:right w:val="single" w:sz="4" w:space="0" w:color="767171"/>
            </w:tcBorders>
            <w:shd w:val="clear" w:color="000000" w:fill="FFFFFF"/>
            <w:noWrap/>
            <w:vAlign w:val="center"/>
            <w:hideMark/>
          </w:tcPr>
          <w:p w14:paraId="6DCF8511"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1,304,015,030 </w:t>
            </w:r>
          </w:p>
        </w:tc>
      </w:tr>
      <w:tr w:rsidR="004921FF" w:rsidRPr="005C133F" w14:paraId="20F5640B"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66142AB5"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Administrativos</w:t>
            </w:r>
          </w:p>
        </w:tc>
        <w:tc>
          <w:tcPr>
            <w:tcW w:w="0" w:type="auto"/>
            <w:tcBorders>
              <w:top w:val="nil"/>
              <w:left w:val="nil"/>
              <w:bottom w:val="single" w:sz="4" w:space="0" w:color="767171"/>
              <w:right w:val="single" w:sz="4" w:space="0" w:color="767171"/>
            </w:tcBorders>
            <w:shd w:val="clear" w:color="000000" w:fill="FFFFFF"/>
            <w:noWrap/>
            <w:vAlign w:val="center"/>
            <w:hideMark/>
          </w:tcPr>
          <w:p w14:paraId="2EB75897"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3,518,337,445 </w:t>
            </w:r>
          </w:p>
        </w:tc>
        <w:tc>
          <w:tcPr>
            <w:tcW w:w="0" w:type="auto"/>
            <w:tcBorders>
              <w:top w:val="nil"/>
              <w:left w:val="nil"/>
              <w:bottom w:val="single" w:sz="4" w:space="0" w:color="767171"/>
              <w:right w:val="single" w:sz="4" w:space="0" w:color="767171"/>
            </w:tcBorders>
            <w:shd w:val="clear" w:color="000000" w:fill="FFFFFF"/>
            <w:noWrap/>
            <w:vAlign w:val="center"/>
            <w:hideMark/>
          </w:tcPr>
          <w:p w14:paraId="4ACE75D7"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515,179,164 </w:t>
            </w:r>
          </w:p>
        </w:tc>
        <w:tc>
          <w:tcPr>
            <w:tcW w:w="0" w:type="auto"/>
            <w:tcBorders>
              <w:top w:val="nil"/>
              <w:left w:val="nil"/>
              <w:bottom w:val="single" w:sz="4" w:space="0" w:color="767171"/>
              <w:right w:val="single" w:sz="4" w:space="0" w:color="767171"/>
            </w:tcBorders>
            <w:shd w:val="clear" w:color="000000" w:fill="FFFFFF"/>
            <w:noWrap/>
            <w:vAlign w:val="center"/>
            <w:hideMark/>
          </w:tcPr>
          <w:p w14:paraId="6D8BA2E7"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4,033,516,609 </w:t>
            </w:r>
          </w:p>
        </w:tc>
      </w:tr>
      <w:tr w:rsidR="004921FF" w:rsidRPr="005C133F" w14:paraId="662F865C"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010BB1AC"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Ingresos / Gastos</w:t>
            </w:r>
          </w:p>
        </w:tc>
        <w:tc>
          <w:tcPr>
            <w:tcW w:w="0" w:type="auto"/>
            <w:tcBorders>
              <w:top w:val="nil"/>
              <w:left w:val="nil"/>
              <w:bottom w:val="single" w:sz="4" w:space="0" w:color="767171"/>
              <w:right w:val="single" w:sz="4" w:space="0" w:color="767171"/>
            </w:tcBorders>
            <w:shd w:val="clear" w:color="000000" w:fill="FFFFFF"/>
            <w:noWrap/>
            <w:vAlign w:val="center"/>
            <w:hideMark/>
          </w:tcPr>
          <w:p w14:paraId="38ABC563"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314,317,986 </w:t>
            </w:r>
          </w:p>
        </w:tc>
        <w:tc>
          <w:tcPr>
            <w:tcW w:w="0" w:type="auto"/>
            <w:tcBorders>
              <w:top w:val="nil"/>
              <w:left w:val="nil"/>
              <w:bottom w:val="single" w:sz="4" w:space="0" w:color="767171"/>
              <w:right w:val="single" w:sz="4" w:space="0" w:color="767171"/>
            </w:tcBorders>
            <w:shd w:val="clear" w:color="000000" w:fill="FFFFFF"/>
            <w:noWrap/>
            <w:vAlign w:val="center"/>
            <w:hideMark/>
          </w:tcPr>
          <w:p w14:paraId="30C03FC2" w14:textId="77777777" w:rsidR="008A6DA8" w:rsidRPr="005C133F" w:rsidRDefault="008A6DA8"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55,393,790 </w:t>
            </w:r>
          </w:p>
        </w:tc>
        <w:tc>
          <w:tcPr>
            <w:tcW w:w="0" w:type="auto"/>
            <w:tcBorders>
              <w:top w:val="nil"/>
              <w:left w:val="nil"/>
              <w:bottom w:val="single" w:sz="4" w:space="0" w:color="767171"/>
              <w:right w:val="single" w:sz="4" w:space="0" w:color="767171"/>
            </w:tcBorders>
            <w:shd w:val="clear" w:color="000000" w:fill="FFFFFF"/>
            <w:noWrap/>
            <w:vAlign w:val="center"/>
            <w:hideMark/>
          </w:tcPr>
          <w:p w14:paraId="5A5ABDC8"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369,711,776 </w:t>
            </w:r>
          </w:p>
        </w:tc>
      </w:tr>
      <w:tr w:rsidR="004921FF" w:rsidRPr="005C133F" w14:paraId="07407304" w14:textId="77777777" w:rsidTr="008A6DA8">
        <w:trPr>
          <w:trHeight w:val="396"/>
        </w:trPr>
        <w:tc>
          <w:tcPr>
            <w:tcW w:w="0" w:type="auto"/>
            <w:tcBorders>
              <w:top w:val="nil"/>
              <w:left w:val="single" w:sz="4" w:space="0" w:color="767171"/>
              <w:bottom w:val="single" w:sz="4" w:space="0" w:color="767171"/>
              <w:right w:val="single" w:sz="4" w:space="0" w:color="767171"/>
            </w:tcBorders>
            <w:noWrap/>
            <w:vAlign w:val="center"/>
            <w:hideMark/>
          </w:tcPr>
          <w:p w14:paraId="4842560E"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Beneficios/ Pérdidas  Brutos</w:t>
            </w:r>
          </w:p>
        </w:tc>
        <w:tc>
          <w:tcPr>
            <w:tcW w:w="0" w:type="auto"/>
            <w:tcBorders>
              <w:top w:val="nil"/>
              <w:left w:val="nil"/>
              <w:bottom w:val="single" w:sz="4" w:space="0" w:color="767171"/>
              <w:right w:val="single" w:sz="4" w:space="0" w:color="767171"/>
            </w:tcBorders>
            <w:noWrap/>
            <w:vAlign w:val="center"/>
            <w:hideMark/>
          </w:tcPr>
          <w:p w14:paraId="33EC40B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1,370,886,769 </w:t>
            </w:r>
          </w:p>
        </w:tc>
        <w:tc>
          <w:tcPr>
            <w:tcW w:w="0" w:type="auto"/>
            <w:tcBorders>
              <w:top w:val="nil"/>
              <w:left w:val="nil"/>
              <w:bottom w:val="single" w:sz="4" w:space="0" w:color="767171"/>
              <w:right w:val="single" w:sz="4" w:space="0" w:color="767171"/>
            </w:tcBorders>
            <w:noWrap/>
            <w:vAlign w:val="center"/>
            <w:hideMark/>
          </w:tcPr>
          <w:p w14:paraId="097C4A7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492,431,478 </w:t>
            </w:r>
          </w:p>
        </w:tc>
        <w:tc>
          <w:tcPr>
            <w:tcW w:w="0" w:type="auto"/>
            <w:tcBorders>
              <w:top w:val="nil"/>
              <w:left w:val="nil"/>
              <w:bottom w:val="single" w:sz="4" w:space="0" w:color="767171"/>
              <w:right w:val="single" w:sz="4" w:space="0" w:color="767171"/>
            </w:tcBorders>
            <w:noWrap/>
            <w:vAlign w:val="center"/>
            <w:hideMark/>
          </w:tcPr>
          <w:p w14:paraId="004236E4"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1,863,318,247 </w:t>
            </w:r>
          </w:p>
        </w:tc>
      </w:tr>
      <w:tr w:rsidR="004921FF" w:rsidRPr="005C133F" w14:paraId="284C1E04" w14:textId="77777777" w:rsidTr="008A6DA8">
        <w:trPr>
          <w:trHeight w:val="288"/>
        </w:trPr>
        <w:tc>
          <w:tcPr>
            <w:tcW w:w="0" w:type="auto"/>
            <w:tcBorders>
              <w:top w:val="nil"/>
              <w:left w:val="single" w:sz="4" w:space="0" w:color="767171"/>
              <w:bottom w:val="single" w:sz="4" w:space="0" w:color="767171"/>
              <w:right w:val="single" w:sz="4" w:space="0" w:color="767171"/>
            </w:tcBorders>
            <w:noWrap/>
            <w:vAlign w:val="center"/>
            <w:hideMark/>
          </w:tcPr>
          <w:p w14:paraId="4E891E0C"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Impuestos y Reservas </w:t>
            </w:r>
          </w:p>
        </w:tc>
        <w:tc>
          <w:tcPr>
            <w:tcW w:w="0" w:type="auto"/>
            <w:tcBorders>
              <w:top w:val="nil"/>
              <w:left w:val="nil"/>
              <w:bottom w:val="single" w:sz="4" w:space="0" w:color="767171"/>
              <w:right w:val="single" w:sz="4" w:space="0" w:color="767171"/>
            </w:tcBorders>
            <w:noWrap/>
            <w:vAlign w:val="center"/>
            <w:hideMark/>
          </w:tcPr>
          <w:p w14:paraId="7D52800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692,406,111 </w:t>
            </w:r>
          </w:p>
        </w:tc>
        <w:tc>
          <w:tcPr>
            <w:tcW w:w="0" w:type="auto"/>
            <w:tcBorders>
              <w:top w:val="nil"/>
              <w:left w:val="nil"/>
              <w:bottom w:val="single" w:sz="4" w:space="0" w:color="767171"/>
              <w:right w:val="single" w:sz="4" w:space="0" w:color="767171"/>
            </w:tcBorders>
            <w:noWrap/>
            <w:vAlign w:val="center"/>
            <w:hideMark/>
          </w:tcPr>
          <w:p w14:paraId="61074B23"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28,788,982 </w:t>
            </w:r>
          </w:p>
        </w:tc>
        <w:tc>
          <w:tcPr>
            <w:tcW w:w="0" w:type="auto"/>
            <w:tcBorders>
              <w:top w:val="nil"/>
              <w:left w:val="nil"/>
              <w:bottom w:val="single" w:sz="4" w:space="0" w:color="767171"/>
              <w:right w:val="single" w:sz="4" w:space="0" w:color="767171"/>
            </w:tcBorders>
            <w:noWrap/>
            <w:vAlign w:val="center"/>
            <w:hideMark/>
          </w:tcPr>
          <w:p w14:paraId="6FDA6470"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721,195,093 </w:t>
            </w:r>
          </w:p>
        </w:tc>
      </w:tr>
      <w:tr w:rsidR="004921FF" w:rsidRPr="005C133F" w14:paraId="6341BE6A" w14:textId="77777777" w:rsidTr="008A6DA8">
        <w:trPr>
          <w:trHeight w:val="420"/>
        </w:trPr>
        <w:tc>
          <w:tcPr>
            <w:tcW w:w="0" w:type="auto"/>
            <w:tcBorders>
              <w:top w:val="nil"/>
              <w:left w:val="single" w:sz="4" w:space="0" w:color="767171"/>
              <w:bottom w:val="single" w:sz="4" w:space="0" w:color="767171"/>
              <w:right w:val="single" w:sz="4" w:space="0" w:color="767171"/>
            </w:tcBorders>
            <w:noWrap/>
            <w:vAlign w:val="center"/>
            <w:hideMark/>
          </w:tcPr>
          <w:p w14:paraId="0B2846B7"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Beneficios / Pérdidas Netos </w:t>
            </w:r>
          </w:p>
        </w:tc>
        <w:tc>
          <w:tcPr>
            <w:tcW w:w="0" w:type="auto"/>
            <w:tcBorders>
              <w:top w:val="nil"/>
              <w:left w:val="nil"/>
              <w:bottom w:val="single" w:sz="4" w:space="0" w:color="767171"/>
              <w:right w:val="single" w:sz="4" w:space="0" w:color="767171"/>
            </w:tcBorders>
            <w:noWrap/>
            <w:vAlign w:val="center"/>
            <w:hideMark/>
          </w:tcPr>
          <w:p w14:paraId="232D83FE"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678,480,658 </w:t>
            </w:r>
          </w:p>
        </w:tc>
        <w:tc>
          <w:tcPr>
            <w:tcW w:w="0" w:type="auto"/>
            <w:tcBorders>
              <w:top w:val="nil"/>
              <w:left w:val="nil"/>
              <w:bottom w:val="single" w:sz="4" w:space="0" w:color="767171"/>
              <w:right w:val="single" w:sz="4" w:space="0" w:color="767171"/>
            </w:tcBorders>
            <w:noWrap/>
            <w:vAlign w:val="center"/>
            <w:hideMark/>
          </w:tcPr>
          <w:p w14:paraId="242D72E1"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463,642,496 </w:t>
            </w:r>
          </w:p>
        </w:tc>
        <w:tc>
          <w:tcPr>
            <w:tcW w:w="0" w:type="auto"/>
            <w:tcBorders>
              <w:top w:val="nil"/>
              <w:left w:val="nil"/>
              <w:bottom w:val="single" w:sz="4" w:space="0" w:color="767171"/>
              <w:right w:val="single" w:sz="4" w:space="0" w:color="767171"/>
            </w:tcBorders>
            <w:noWrap/>
            <w:vAlign w:val="center"/>
            <w:hideMark/>
          </w:tcPr>
          <w:p w14:paraId="7E9CDFC7"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1,142,123,154 </w:t>
            </w:r>
          </w:p>
        </w:tc>
      </w:tr>
      <w:tr w:rsidR="004921FF" w:rsidRPr="005C133F" w14:paraId="3D91EB6B"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6C32E2B7"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Beneficios</w:t>
            </w:r>
          </w:p>
        </w:tc>
        <w:tc>
          <w:tcPr>
            <w:tcW w:w="0" w:type="auto"/>
            <w:tcBorders>
              <w:top w:val="nil"/>
              <w:left w:val="nil"/>
              <w:bottom w:val="single" w:sz="4" w:space="0" w:color="767171"/>
              <w:right w:val="single" w:sz="4" w:space="0" w:color="767171"/>
            </w:tcBorders>
            <w:shd w:val="clear" w:color="000000" w:fill="FFFFFF"/>
            <w:noWrap/>
            <w:vAlign w:val="center"/>
            <w:hideMark/>
          </w:tcPr>
          <w:p w14:paraId="77306A22"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4.2%</w:t>
            </w:r>
          </w:p>
        </w:tc>
        <w:tc>
          <w:tcPr>
            <w:tcW w:w="0" w:type="auto"/>
            <w:tcBorders>
              <w:top w:val="nil"/>
              <w:left w:val="nil"/>
              <w:bottom w:val="single" w:sz="4" w:space="0" w:color="767171"/>
              <w:right w:val="single" w:sz="4" w:space="0" w:color="767171"/>
            </w:tcBorders>
            <w:shd w:val="clear" w:color="000000" w:fill="FFFFFF"/>
            <w:noWrap/>
            <w:vAlign w:val="center"/>
            <w:hideMark/>
          </w:tcPr>
          <w:p w14:paraId="17648AA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10.3%</w:t>
            </w:r>
          </w:p>
        </w:tc>
        <w:tc>
          <w:tcPr>
            <w:tcW w:w="0" w:type="auto"/>
            <w:tcBorders>
              <w:top w:val="nil"/>
              <w:left w:val="nil"/>
              <w:bottom w:val="single" w:sz="4" w:space="0" w:color="767171"/>
              <w:right w:val="single" w:sz="4" w:space="0" w:color="767171"/>
            </w:tcBorders>
            <w:shd w:val="clear" w:color="000000" w:fill="FFFFFF"/>
            <w:noWrap/>
            <w:vAlign w:val="center"/>
            <w:hideMark/>
          </w:tcPr>
          <w:p w14:paraId="0728A6C1"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5.0%</w:t>
            </w:r>
          </w:p>
        </w:tc>
      </w:tr>
      <w:tr w:rsidR="004921FF" w:rsidRPr="005C133F" w14:paraId="27FC3983"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22012F48"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Siniestralidad</w:t>
            </w:r>
          </w:p>
        </w:tc>
        <w:tc>
          <w:tcPr>
            <w:tcW w:w="0" w:type="auto"/>
            <w:tcBorders>
              <w:top w:val="nil"/>
              <w:left w:val="nil"/>
              <w:bottom w:val="single" w:sz="4" w:space="0" w:color="767171"/>
              <w:right w:val="single" w:sz="4" w:space="0" w:color="767171"/>
            </w:tcBorders>
            <w:shd w:val="clear" w:color="000000" w:fill="FFFFFF"/>
            <w:noWrap/>
            <w:vAlign w:val="center"/>
            <w:hideMark/>
          </w:tcPr>
          <w:p w14:paraId="227F949B"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86.6%</w:t>
            </w:r>
          </w:p>
        </w:tc>
        <w:tc>
          <w:tcPr>
            <w:tcW w:w="0" w:type="auto"/>
            <w:tcBorders>
              <w:top w:val="nil"/>
              <w:left w:val="nil"/>
              <w:bottom w:val="single" w:sz="4" w:space="0" w:color="767171"/>
              <w:right w:val="single" w:sz="4" w:space="0" w:color="767171"/>
            </w:tcBorders>
            <w:shd w:val="clear" w:color="000000" w:fill="FFFFFF"/>
            <w:noWrap/>
            <w:vAlign w:val="center"/>
            <w:hideMark/>
          </w:tcPr>
          <w:p w14:paraId="1374C1A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73.8%</w:t>
            </w:r>
          </w:p>
        </w:tc>
        <w:tc>
          <w:tcPr>
            <w:tcW w:w="0" w:type="auto"/>
            <w:tcBorders>
              <w:top w:val="nil"/>
              <w:left w:val="nil"/>
              <w:bottom w:val="single" w:sz="4" w:space="0" w:color="767171"/>
              <w:right w:val="single" w:sz="4" w:space="0" w:color="767171"/>
            </w:tcBorders>
            <w:shd w:val="clear" w:color="000000" w:fill="FFFFFF"/>
            <w:noWrap/>
            <w:vAlign w:val="center"/>
            <w:hideMark/>
          </w:tcPr>
          <w:p w14:paraId="0136A247"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84.9%</w:t>
            </w:r>
          </w:p>
        </w:tc>
      </w:tr>
      <w:tr w:rsidR="004921FF" w:rsidRPr="005C133F" w14:paraId="6E1BA4C7" w14:textId="77777777" w:rsidTr="008A6DA8">
        <w:trPr>
          <w:trHeight w:val="288"/>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12372784" w14:textId="77777777" w:rsidR="008A6DA8" w:rsidRPr="005C133F" w:rsidRDefault="008A6DA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Gastos Administrativos</w:t>
            </w:r>
          </w:p>
        </w:tc>
        <w:tc>
          <w:tcPr>
            <w:tcW w:w="0" w:type="auto"/>
            <w:tcBorders>
              <w:top w:val="nil"/>
              <w:left w:val="nil"/>
              <w:bottom w:val="single" w:sz="4" w:space="0" w:color="767171"/>
              <w:right w:val="single" w:sz="4" w:space="0" w:color="767171"/>
            </w:tcBorders>
            <w:shd w:val="clear" w:color="000000" w:fill="FFFFFF"/>
            <w:noWrap/>
            <w:vAlign w:val="center"/>
            <w:hideMark/>
          </w:tcPr>
          <w:p w14:paraId="68F3B886"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10.7%</w:t>
            </w:r>
          </w:p>
        </w:tc>
        <w:tc>
          <w:tcPr>
            <w:tcW w:w="0" w:type="auto"/>
            <w:tcBorders>
              <w:top w:val="nil"/>
              <w:left w:val="nil"/>
              <w:bottom w:val="single" w:sz="4" w:space="0" w:color="767171"/>
              <w:right w:val="single" w:sz="4" w:space="0" w:color="767171"/>
            </w:tcBorders>
            <w:shd w:val="clear" w:color="000000" w:fill="FFFFFF"/>
            <w:noWrap/>
            <w:vAlign w:val="center"/>
            <w:hideMark/>
          </w:tcPr>
          <w:p w14:paraId="68FACC66"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10.7%</w:t>
            </w:r>
          </w:p>
        </w:tc>
        <w:tc>
          <w:tcPr>
            <w:tcW w:w="0" w:type="auto"/>
            <w:tcBorders>
              <w:top w:val="nil"/>
              <w:left w:val="nil"/>
              <w:bottom w:val="single" w:sz="4" w:space="0" w:color="767171"/>
              <w:right w:val="single" w:sz="4" w:space="0" w:color="767171"/>
            </w:tcBorders>
            <w:shd w:val="clear" w:color="000000" w:fill="FFFFFF"/>
            <w:noWrap/>
            <w:vAlign w:val="center"/>
            <w:hideMark/>
          </w:tcPr>
          <w:p w14:paraId="788053CC" w14:textId="77777777" w:rsidR="008A6DA8" w:rsidRPr="005C133F" w:rsidRDefault="008A6DA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10.7%</w:t>
            </w:r>
          </w:p>
        </w:tc>
      </w:tr>
    </w:tbl>
    <w:p w14:paraId="5B7C7487" w14:textId="2D018973" w:rsidR="00402F25" w:rsidRPr="00402F25" w:rsidRDefault="00077891" w:rsidP="00402F25">
      <w:pPr>
        <w:autoSpaceDE w:val="0"/>
        <w:autoSpaceDN w:val="0"/>
        <w:adjustRightInd w:val="0"/>
        <w:spacing w:after="0" w:line="240" w:lineRule="auto"/>
        <w:rPr>
          <w:sz w:val="18"/>
          <w:szCs w:val="18"/>
          <w:lang w:val="es-DO"/>
        </w:rPr>
      </w:pPr>
      <w:r w:rsidRPr="00AC2DB2">
        <w:rPr>
          <w:sz w:val="18"/>
          <w:szCs w:val="18"/>
          <w:lang w:val="es-DO"/>
        </w:rPr>
        <w:t>Fuente: Estados financieros de las ARS – SIE (SIMON)</w:t>
      </w:r>
    </w:p>
    <w:p w14:paraId="262F091C" w14:textId="77777777" w:rsidR="00402F25" w:rsidRPr="005C133F" w:rsidRDefault="00402F25" w:rsidP="005C133F">
      <w:pPr>
        <w:spacing w:after="0" w:line="360" w:lineRule="auto"/>
        <w:jc w:val="both"/>
        <w:rPr>
          <w:lang w:val="es-DO"/>
        </w:rPr>
      </w:pPr>
    </w:p>
    <w:p w14:paraId="6A997754" w14:textId="5C897527" w:rsidR="00C527D8" w:rsidRPr="005C133F" w:rsidRDefault="00C527D8">
      <w:pPr>
        <w:pStyle w:val="Prrafodelista"/>
        <w:numPr>
          <w:ilvl w:val="0"/>
          <w:numId w:val="167"/>
        </w:numPr>
        <w:spacing w:after="0" w:line="360" w:lineRule="auto"/>
        <w:jc w:val="both"/>
        <w:rPr>
          <w:b/>
          <w:bCs/>
          <w:lang w:val="es-DO"/>
        </w:rPr>
      </w:pPr>
      <w:r w:rsidRPr="005C133F">
        <w:rPr>
          <w:b/>
          <w:bCs/>
          <w:lang w:val="es-DO"/>
        </w:rPr>
        <w:t xml:space="preserve">ARS </w:t>
      </w:r>
      <w:r w:rsidR="00751778" w:rsidRPr="005C133F">
        <w:rPr>
          <w:b/>
          <w:bCs/>
          <w:lang w:val="es-DO"/>
        </w:rPr>
        <w:t>de Autogestión</w:t>
      </w:r>
      <w:r w:rsidRPr="005C133F">
        <w:rPr>
          <w:b/>
          <w:bCs/>
          <w:lang w:val="es-DO"/>
        </w:rPr>
        <w:t>:</w:t>
      </w:r>
    </w:p>
    <w:p w14:paraId="2BD5132E" w14:textId="77777777" w:rsidR="002D2D95" w:rsidRPr="005C133F" w:rsidRDefault="002D2D95" w:rsidP="005C133F">
      <w:pPr>
        <w:spacing w:after="0" w:line="360" w:lineRule="auto"/>
        <w:jc w:val="both"/>
        <w:rPr>
          <w:b/>
          <w:bCs/>
          <w:lang w:val="es-DO"/>
        </w:rPr>
      </w:pPr>
    </w:p>
    <w:p w14:paraId="519429DE" w14:textId="7FE25497" w:rsidR="002D2D95" w:rsidRPr="005C133F" w:rsidRDefault="002D2D95" w:rsidP="005C133F">
      <w:pPr>
        <w:spacing w:after="0" w:line="360" w:lineRule="auto"/>
        <w:jc w:val="both"/>
        <w:rPr>
          <w:lang w:val="es-DO"/>
        </w:rPr>
      </w:pPr>
      <w:r w:rsidRPr="005C133F">
        <w:rPr>
          <w:lang w:val="es-DO"/>
        </w:rPr>
        <w:t xml:space="preserve">En el cuadro siguiente se muestra que las ARS de Autogestión presentan pérdidas netas por RD$126.982.046.00. Por su naturaleza, éstas no conllevan registros de impuestos y reservas, por lo que los beneficios o pérdidas netas resultan iguales a los beneficios o pérdidas brutas.  </w:t>
      </w:r>
      <w:r w:rsidR="00FB3289" w:rsidRPr="005C133F">
        <w:rPr>
          <w:lang w:val="es-DO"/>
        </w:rPr>
        <w:t xml:space="preserve">Las ARS de autogestión presentan una siniestralidad </w:t>
      </w:r>
      <w:r w:rsidR="00FB3289" w:rsidRPr="005C133F">
        <w:rPr>
          <w:lang w:val="es-DO"/>
        </w:rPr>
        <w:lastRenderedPageBreak/>
        <w:t>total de un 97.4%; en el PBS Contributivo la siniestralidad es de un 101.3% y en otros planes un 91.6%.</w:t>
      </w:r>
    </w:p>
    <w:p w14:paraId="40A99B96" w14:textId="6DD54D52" w:rsidR="00F52A79" w:rsidRPr="005C133F" w:rsidRDefault="00F52A79" w:rsidP="00402F25">
      <w:pPr>
        <w:spacing w:after="0" w:line="240" w:lineRule="auto"/>
        <w:jc w:val="both"/>
        <w:rPr>
          <w:b/>
          <w:bCs/>
          <w:lang w:val="es-DO"/>
        </w:rPr>
      </w:pPr>
    </w:p>
    <w:p w14:paraId="796BAF35" w14:textId="08D23051" w:rsidR="00C60558" w:rsidRPr="005C133F" w:rsidRDefault="00C60558" w:rsidP="00E05B71">
      <w:pPr>
        <w:pStyle w:val="Descripcin"/>
        <w:keepNext/>
        <w:spacing w:after="0"/>
        <w:jc w:val="center"/>
        <w:rPr>
          <w:b/>
          <w:bCs/>
          <w:i w:val="0"/>
          <w:iCs w:val="0"/>
          <w:color w:val="767171"/>
          <w:sz w:val="24"/>
          <w:szCs w:val="24"/>
          <w:lang w:val="es-DO"/>
        </w:rPr>
      </w:pPr>
      <w:bookmarkStart w:id="50" w:name="_Toc218784151"/>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19</w:t>
      </w:r>
      <w:r w:rsidRPr="005C133F">
        <w:rPr>
          <w:b/>
          <w:bCs/>
          <w:i w:val="0"/>
          <w:iCs w:val="0"/>
          <w:color w:val="767171"/>
          <w:sz w:val="24"/>
          <w:szCs w:val="24"/>
          <w:lang w:val="es-DO"/>
        </w:rPr>
        <w:fldChar w:fldCharType="end"/>
      </w:r>
      <w:r w:rsidRPr="005C133F">
        <w:rPr>
          <w:b/>
          <w:bCs/>
          <w:i w:val="0"/>
          <w:iCs w:val="0"/>
          <w:color w:val="767171"/>
          <w:sz w:val="24"/>
          <w:szCs w:val="24"/>
          <w:lang w:val="es-DO"/>
        </w:rPr>
        <w:t>. Resultados de las ARS Autogestión, período enero-septiembre 2025</w:t>
      </w:r>
      <w:bookmarkEnd w:id="50"/>
    </w:p>
    <w:tbl>
      <w:tblPr>
        <w:tblW w:w="0" w:type="auto"/>
        <w:tblCellMar>
          <w:left w:w="70" w:type="dxa"/>
          <w:right w:w="70" w:type="dxa"/>
        </w:tblCellMar>
        <w:tblLook w:val="04A0" w:firstRow="1" w:lastRow="0" w:firstColumn="1" w:lastColumn="0" w:noHBand="0" w:noVBand="1"/>
      </w:tblPr>
      <w:tblGrid>
        <w:gridCol w:w="2450"/>
        <w:gridCol w:w="2061"/>
        <w:gridCol w:w="1707"/>
        <w:gridCol w:w="1692"/>
      </w:tblGrid>
      <w:tr w:rsidR="00AC2DB2" w:rsidRPr="00AC2DB2" w14:paraId="1910B287" w14:textId="77777777" w:rsidTr="00E05B71">
        <w:trPr>
          <w:trHeight w:val="216"/>
          <w:tblHeader/>
        </w:trPr>
        <w:tc>
          <w:tcPr>
            <w:tcW w:w="0" w:type="auto"/>
            <w:vMerge w:val="restart"/>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670CBE08" w14:textId="77777777" w:rsidR="00077891" w:rsidRPr="00AC2DB2" w:rsidRDefault="00077891"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Detalle</w:t>
            </w:r>
          </w:p>
        </w:tc>
        <w:tc>
          <w:tcPr>
            <w:tcW w:w="0" w:type="auto"/>
            <w:gridSpan w:val="3"/>
            <w:tcBorders>
              <w:top w:val="single" w:sz="4" w:space="0" w:color="767171"/>
              <w:left w:val="nil"/>
              <w:bottom w:val="single" w:sz="4" w:space="0" w:color="767171"/>
              <w:right w:val="single" w:sz="4" w:space="0" w:color="767171"/>
            </w:tcBorders>
            <w:shd w:val="clear" w:color="auto" w:fill="011C50"/>
            <w:vAlign w:val="center"/>
            <w:hideMark/>
          </w:tcPr>
          <w:p w14:paraId="6EE317B0" w14:textId="77777777" w:rsidR="00077891" w:rsidRPr="00AC2DB2" w:rsidRDefault="00077891"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ARS Autogestión</w:t>
            </w:r>
          </w:p>
        </w:tc>
      </w:tr>
      <w:tr w:rsidR="00AC2DB2" w:rsidRPr="00AC2DB2" w14:paraId="2BCF9718" w14:textId="77777777" w:rsidTr="00E05B71">
        <w:trPr>
          <w:trHeight w:val="361"/>
          <w:tblHeader/>
        </w:trPr>
        <w:tc>
          <w:tcPr>
            <w:tcW w:w="0" w:type="auto"/>
            <w:vMerge/>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309D94A0" w14:textId="77777777" w:rsidR="00077891" w:rsidRPr="00AC2DB2" w:rsidRDefault="00077891" w:rsidP="00402F25">
            <w:pPr>
              <w:spacing w:after="0" w:line="240" w:lineRule="auto"/>
              <w:rPr>
                <w:rFonts w:eastAsia="Times New Roman"/>
                <w:b/>
                <w:bCs/>
                <w:color w:val="FFFFFF" w:themeColor="background1"/>
                <w:spacing w:val="0"/>
                <w:lang w:val="es-DO" w:eastAsia="es-DO"/>
              </w:rPr>
            </w:pPr>
          </w:p>
        </w:tc>
        <w:tc>
          <w:tcPr>
            <w:tcW w:w="0" w:type="auto"/>
            <w:tcBorders>
              <w:top w:val="nil"/>
              <w:left w:val="nil"/>
              <w:bottom w:val="single" w:sz="4" w:space="0" w:color="767171"/>
              <w:right w:val="single" w:sz="4" w:space="0" w:color="767171"/>
            </w:tcBorders>
            <w:shd w:val="clear" w:color="auto" w:fill="011C50"/>
            <w:vAlign w:val="center"/>
            <w:hideMark/>
          </w:tcPr>
          <w:p w14:paraId="285B7EB7" w14:textId="77777777" w:rsidR="00077891" w:rsidRPr="00AC2DB2" w:rsidRDefault="00077891"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Contributivo</w:t>
            </w:r>
          </w:p>
        </w:tc>
        <w:tc>
          <w:tcPr>
            <w:tcW w:w="0" w:type="auto"/>
            <w:tcBorders>
              <w:top w:val="nil"/>
              <w:left w:val="nil"/>
              <w:bottom w:val="single" w:sz="4" w:space="0" w:color="767171"/>
              <w:right w:val="single" w:sz="4" w:space="0" w:color="767171"/>
            </w:tcBorders>
            <w:shd w:val="clear" w:color="auto" w:fill="011C50"/>
            <w:vAlign w:val="center"/>
            <w:hideMark/>
          </w:tcPr>
          <w:p w14:paraId="5918FBFC" w14:textId="77777777" w:rsidR="00077891" w:rsidRPr="00AC2DB2" w:rsidRDefault="00077891"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Otros Planes</w:t>
            </w:r>
          </w:p>
        </w:tc>
        <w:tc>
          <w:tcPr>
            <w:tcW w:w="0" w:type="auto"/>
            <w:tcBorders>
              <w:top w:val="nil"/>
              <w:left w:val="nil"/>
              <w:bottom w:val="single" w:sz="4" w:space="0" w:color="767171"/>
              <w:right w:val="single" w:sz="4" w:space="0" w:color="767171"/>
            </w:tcBorders>
            <w:shd w:val="clear" w:color="auto" w:fill="011C50"/>
            <w:vAlign w:val="center"/>
            <w:hideMark/>
          </w:tcPr>
          <w:p w14:paraId="2E87D3A8" w14:textId="77777777" w:rsidR="00077891" w:rsidRPr="00AC2DB2" w:rsidRDefault="00077891" w:rsidP="00402F25">
            <w:pPr>
              <w:spacing w:after="0" w:line="240" w:lineRule="auto"/>
              <w:jc w:val="right"/>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Total</w:t>
            </w:r>
          </w:p>
        </w:tc>
      </w:tr>
      <w:tr w:rsidR="004921FF" w:rsidRPr="005C133F" w14:paraId="43723CE5"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55E43CFF"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Ingresos en Salud</w:t>
            </w:r>
          </w:p>
        </w:tc>
        <w:tc>
          <w:tcPr>
            <w:tcW w:w="0" w:type="auto"/>
            <w:tcBorders>
              <w:top w:val="nil"/>
              <w:left w:val="nil"/>
              <w:bottom w:val="single" w:sz="4" w:space="0" w:color="767171"/>
              <w:right w:val="single" w:sz="4" w:space="0" w:color="767171"/>
            </w:tcBorders>
            <w:shd w:val="clear" w:color="000000" w:fill="FFFFFF"/>
            <w:noWrap/>
            <w:vAlign w:val="center"/>
            <w:hideMark/>
          </w:tcPr>
          <w:p w14:paraId="3004F534"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2,576,354,310 </w:t>
            </w:r>
          </w:p>
        </w:tc>
        <w:tc>
          <w:tcPr>
            <w:tcW w:w="0" w:type="auto"/>
            <w:tcBorders>
              <w:top w:val="nil"/>
              <w:left w:val="nil"/>
              <w:bottom w:val="single" w:sz="4" w:space="0" w:color="767171"/>
              <w:right w:val="single" w:sz="4" w:space="0" w:color="767171"/>
            </w:tcBorders>
            <w:shd w:val="clear" w:color="000000" w:fill="FFFFFF"/>
            <w:noWrap/>
            <w:vAlign w:val="center"/>
            <w:hideMark/>
          </w:tcPr>
          <w:p w14:paraId="493F9B50"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1,745,572,791 </w:t>
            </w:r>
          </w:p>
        </w:tc>
        <w:tc>
          <w:tcPr>
            <w:tcW w:w="0" w:type="auto"/>
            <w:tcBorders>
              <w:top w:val="nil"/>
              <w:left w:val="nil"/>
              <w:bottom w:val="single" w:sz="4" w:space="0" w:color="767171"/>
              <w:right w:val="single" w:sz="4" w:space="0" w:color="767171"/>
            </w:tcBorders>
            <w:noWrap/>
            <w:vAlign w:val="center"/>
            <w:hideMark/>
          </w:tcPr>
          <w:p w14:paraId="28363A95"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4,321,927,101 </w:t>
            </w:r>
          </w:p>
        </w:tc>
      </w:tr>
      <w:tr w:rsidR="004921FF" w:rsidRPr="005C133F" w14:paraId="0F4A9670"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10970412"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Ingresos</w:t>
            </w:r>
          </w:p>
        </w:tc>
        <w:tc>
          <w:tcPr>
            <w:tcW w:w="0" w:type="auto"/>
            <w:tcBorders>
              <w:top w:val="nil"/>
              <w:left w:val="nil"/>
              <w:bottom w:val="single" w:sz="4" w:space="0" w:color="767171"/>
              <w:right w:val="single" w:sz="4" w:space="0" w:color="767171"/>
            </w:tcBorders>
            <w:shd w:val="clear" w:color="000000" w:fill="FFFFFF"/>
            <w:noWrap/>
            <w:vAlign w:val="center"/>
            <w:hideMark/>
          </w:tcPr>
          <w:p w14:paraId="0C83E914"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91,337,033 </w:t>
            </w:r>
          </w:p>
        </w:tc>
        <w:tc>
          <w:tcPr>
            <w:tcW w:w="0" w:type="auto"/>
            <w:tcBorders>
              <w:top w:val="nil"/>
              <w:left w:val="nil"/>
              <w:bottom w:val="single" w:sz="4" w:space="0" w:color="767171"/>
              <w:right w:val="single" w:sz="4" w:space="0" w:color="767171"/>
            </w:tcBorders>
            <w:shd w:val="clear" w:color="000000" w:fill="FFFFFF"/>
            <w:noWrap/>
            <w:vAlign w:val="center"/>
            <w:hideMark/>
          </w:tcPr>
          <w:p w14:paraId="3B916322"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64,318,649 </w:t>
            </w:r>
          </w:p>
        </w:tc>
        <w:tc>
          <w:tcPr>
            <w:tcW w:w="0" w:type="auto"/>
            <w:tcBorders>
              <w:top w:val="nil"/>
              <w:left w:val="nil"/>
              <w:bottom w:val="single" w:sz="4" w:space="0" w:color="767171"/>
              <w:right w:val="single" w:sz="4" w:space="0" w:color="767171"/>
            </w:tcBorders>
            <w:noWrap/>
            <w:vAlign w:val="center"/>
            <w:hideMark/>
          </w:tcPr>
          <w:p w14:paraId="5394D209"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155,655,682 </w:t>
            </w:r>
          </w:p>
        </w:tc>
      </w:tr>
      <w:tr w:rsidR="004921FF" w:rsidRPr="005C133F" w14:paraId="753EAE4D"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3B7A0122"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en Salud</w:t>
            </w:r>
          </w:p>
        </w:tc>
        <w:tc>
          <w:tcPr>
            <w:tcW w:w="0" w:type="auto"/>
            <w:tcBorders>
              <w:top w:val="nil"/>
              <w:left w:val="nil"/>
              <w:bottom w:val="single" w:sz="4" w:space="0" w:color="767171"/>
              <w:right w:val="single" w:sz="4" w:space="0" w:color="767171"/>
            </w:tcBorders>
            <w:shd w:val="clear" w:color="000000" w:fill="FFFFFF"/>
            <w:noWrap/>
            <w:vAlign w:val="center"/>
            <w:hideMark/>
          </w:tcPr>
          <w:p w14:paraId="528A42E7"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2,610,313,731 </w:t>
            </w:r>
          </w:p>
        </w:tc>
        <w:tc>
          <w:tcPr>
            <w:tcW w:w="0" w:type="auto"/>
            <w:tcBorders>
              <w:top w:val="nil"/>
              <w:left w:val="nil"/>
              <w:bottom w:val="single" w:sz="4" w:space="0" w:color="767171"/>
              <w:right w:val="single" w:sz="4" w:space="0" w:color="767171"/>
            </w:tcBorders>
            <w:shd w:val="clear" w:color="000000" w:fill="FFFFFF"/>
            <w:noWrap/>
            <w:vAlign w:val="center"/>
            <w:hideMark/>
          </w:tcPr>
          <w:p w14:paraId="1D3571AF"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1,598,506,035 </w:t>
            </w:r>
          </w:p>
        </w:tc>
        <w:tc>
          <w:tcPr>
            <w:tcW w:w="0" w:type="auto"/>
            <w:tcBorders>
              <w:top w:val="nil"/>
              <w:left w:val="nil"/>
              <w:bottom w:val="single" w:sz="4" w:space="0" w:color="767171"/>
              <w:right w:val="single" w:sz="4" w:space="0" w:color="767171"/>
            </w:tcBorders>
            <w:noWrap/>
            <w:vAlign w:val="center"/>
            <w:hideMark/>
          </w:tcPr>
          <w:p w14:paraId="26571148"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4,208,819,766 </w:t>
            </w:r>
          </w:p>
        </w:tc>
      </w:tr>
      <w:tr w:rsidR="004921FF" w:rsidRPr="005C133F" w14:paraId="6A61CFF6"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00B1B431"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Gastos</w:t>
            </w:r>
          </w:p>
        </w:tc>
        <w:tc>
          <w:tcPr>
            <w:tcW w:w="0" w:type="auto"/>
            <w:tcBorders>
              <w:top w:val="nil"/>
              <w:left w:val="nil"/>
              <w:bottom w:val="single" w:sz="4" w:space="0" w:color="767171"/>
              <w:right w:val="single" w:sz="4" w:space="0" w:color="767171"/>
            </w:tcBorders>
            <w:shd w:val="clear" w:color="000000" w:fill="FFFFFF"/>
            <w:noWrap/>
            <w:vAlign w:val="center"/>
            <w:hideMark/>
          </w:tcPr>
          <w:p w14:paraId="3C5A64CA"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33,233,896 </w:t>
            </w:r>
          </w:p>
        </w:tc>
        <w:tc>
          <w:tcPr>
            <w:tcW w:w="0" w:type="auto"/>
            <w:tcBorders>
              <w:top w:val="nil"/>
              <w:left w:val="nil"/>
              <w:bottom w:val="single" w:sz="4" w:space="0" w:color="767171"/>
              <w:right w:val="single" w:sz="4" w:space="0" w:color="767171"/>
            </w:tcBorders>
            <w:shd w:val="clear" w:color="000000" w:fill="FFFFFF"/>
            <w:noWrap/>
            <w:vAlign w:val="center"/>
            <w:hideMark/>
          </w:tcPr>
          <w:p w14:paraId="72D95A92"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   </w:t>
            </w:r>
          </w:p>
        </w:tc>
        <w:tc>
          <w:tcPr>
            <w:tcW w:w="0" w:type="auto"/>
            <w:tcBorders>
              <w:top w:val="nil"/>
              <w:left w:val="nil"/>
              <w:bottom w:val="single" w:sz="4" w:space="0" w:color="767171"/>
              <w:right w:val="single" w:sz="4" w:space="0" w:color="767171"/>
            </w:tcBorders>
            <w:noWrap/>
            <w:vAlign w:val="center"/>
            <w:hideMark/>
          </w:tcPr>
          <w:p w14:paraId="17747965"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33,233,896 </w:t>
            </w:r>
          </w:p>
        </w:tc>
      </w:tr>
      <w:tr w:rsidR="004921FF" w:rsidRPr="005C133F" w14:paraId="46E359D3"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4573FA04"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Administrativos</w:t>
            </w:r>
          </w:p>
        </w:tc>
        <w:tc>
          <w:tcPr>
            <w:tcW w:w="0" w:type="auto"/>
            <w:tcBorders>
              <w:top w:val="nil"/>
              <w:left w:val="nil"/>
              <w:bottom w:val="single" w:sz="4" w:space="0" w:color="767171"/>
              <w:right w:val="single" w:sz="4" w:space="0" w:color="767171"/>
            </w:tcBorders>
            <w:shd w:val="clear" w:color="000000" w:fill="FFFFFF"/>
            <w:noWrap/>
            <w:vAlign w:val="center"/>
            <w:hideMark/>
          </w:tcPr>
          <w:p w14:paraId="0D4B49A4"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220,614,248 </w:t>
            </w:r>
          </w:p>
        </w:tc>
        <w:tc>
          <w:tcPr>
            <w:tcW w:w="0" w:type="auto"/>
            <w:tcBorders>
              <w:top w:val="nil"/>
              <w:left w:val="nil"/>
              <w:bottom w:val="single" w:sz="4" w:space="0" w:color="767171"/>
              <w:right w:val="single" w:sz="4" w:space="0" w:color="767171"/>
            </w:tcBorders>
            <w:shd w:val="clear" w:color="000000" w:fill="FFFFFF"/>
            <w:noWrap/>
            <w:vAlign w:val="center"/>
            <w:hideMark/>
          </w:tcPr>
          <w:p w14:paraId="1C54D86B"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139,944,818 </w:t>
            </w:r>
          </w:p>
        </w:tc>
        <w:tc>
          <w:tcPr>
            <w:tcW w:w="0" w:type="auto"/>
            <w:tcBorders>
              <w:top w:val="nil"/>
              <w:left w:val="nil"/>
              <w:bottom w:val="single" w:sz="4" w:space="0" w:color="767171"/>
              <w:right w:val="single" w:sz="4" w:space="0" w:color="767171"/>
            </w:tcBorders>
            <w:noWrap/>
            <w:vAlign w:val="center"/>
            <w:hideMark/>
          </w:tcPr>
          <w:p w14:paraId="7DFF516A"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360,559,066 </w:t>
            </w:r>
          </w:p>
        </w:tc>
      </w:tr>
      <w:tr w:rsidR="004921FF" w:rsidRPr="005C133F" w14:paraId="0B3C3F7B"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1AF9D97C"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Ingresos / Gastos</w:t>
            </w:r>
          </w:p>
        </w:tc>
        <w:tc>
          <w:tcPr>
            <w:tcW w:w="0" w:type="auto"/>
            <w:tcBorders>
              <w:top w:val="nil"/>
              <w:left w:val="nil"/>
              <w:bottom w:val="single" w:sz="4" w:space="0" w:color="767171"/>
              <w:right w:val="single" w:sz="4" w:space="0" w:color="767171"/>
            </w:tcBorders>
            <w:shd w:val="clear" w:color="000000" w:fill="FFFFFF"/>
            <w:noWrap/>
            <w:vAlign w:val="center"/>
            <w:hideMark/>
          </w:tcPr>
          <w:p w14:paraId="7E1917C0"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1,544,121 </w:t>
            </w:r>
          </w:p>
        </w:tc>
        <w:tc>
          <w:tcPr>
            <w:tcW w:w="0" w:type="auto"/>
            <w:tcBorders>
              <w:top w:val="nil"/>
              <w:left w:val="nil"/>
              <w:bottom w:val="single" w:sz="4" w:space="0" w:color="767171"/>
              <w:right w:val="single" w:sz="4" w:space="0" w:color="767171"/>
            </w:tcBorders>
            <w:shd w:val="clear" w:color="000000" w:fill="FFFFFF"/>
            <w:noWrap/>
            <w:vAlign w:val="center"/>
            <w:hideMark/>
          </w:tcPr>
          <w:p w14:paraId="23B11950" w14:textId="77777777" w:rsidR="00077891" w:rsidRPr="005C133F" w:rsidRDefault="00077891"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407,980 </w:t>
            </w:r>
          </w:p>
        </w:tc>
        <w:tc>
          <w:tcPr>
            <w:tcW w:w="0" w:type="auto"/>
            <w:tcBorders>
              <w:top w:val="nil"/>
              <w:left w:val="nil"/>
              <w:bottom w:val="single" w:sz="4" w:space="0" w:color="767171"/>
              <w:right w:val="single" w:sz="4" w:space="0" w:color="767171"/>
            </w:tcBorders>
            <w:noWrap/>
            <w:vAlign w:val="center"/>
            <w:hideMark/>
          </w:tcPr>
          <w:p w14:paraId="5C24CF94"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1,952,101 </w:t>
            </w:r>
          </w:p>
        </w:tc>
      </w:tr>
      <w:tr w:rsidR="004921FF" w:rsidRPr="005C133F" w14:paraId="1179076C" w14:textId="77777777" w:rsidTr="00E05B71">
        <w:trPr>
          <w:trHeight w:val="396"/>
        </w:trPr>
        <w:tc>
          <w:tcPr>
            <w:tcW w:w="0" w:type="auto"/>
            <w:tcBorders>
              <w:top w:val="nil"/>
              <w:left w:val="single" w:sz="4" w:space="0" w:color="767171"/>
              <w:bottom w:val="single" w:sz="4" w:space="0" w:color="767171"/>
              <w:right w:val="single" w:sz="4" w:space="0" w:color="767171"/>
            </w:tcBorders>
            <w:noWrap/>
            <w:vAlign w:val="center"/>
            <w:hideMark/>
          </w:tcPr>
          <w:p w14:paraId="215BF594" w14:textId="64B9BAA6"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Beneficios/ </w:t>
            </w:r>
            <w:r w:rsidR="00D972FA" w:rsidRPr="005C133F">
              <w:rPr>
                <w:rFonts w:eastAsia="Times New Roman"/>
                <w:b/>
                <w:bCs/>
                <w:spacing w:val="0"/>
                <w:lang w:val="es-DO" w:eastAsia="es-DO"/>
              </w:rPr>
              <w:t>Pérdidas Brutas</w:t>
            </w:r>
          </w:p>
        </w:tc>
        <w:tc>
          <w:tcPr>
            <w:tcW w:w="0" w:type="auto"/>
            <w:tcBorders>
              <w:top w:val="single" w:sz="4" w:space="0" w:color="767171"/>
              <w:left w:val="single" w:sz="4" w:space="0" w:color="767171"/>
              <w:bottom w:val="single" w:sz="4" w:space="0" w:color="767171"/>
              <w:right w:val="single" w:sz="4" w:space="0" w:color="767171"/>
            </w:tcBorders>
            <w:noWrap/>
            <w:vAlign w:val="center"/>
            <w:hideMark/>
          </w:tcPr>
          <w:p w14:paraId="5FE8E277"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(198,014,653)</w:t>
            </w:r>
          </w:p>
        </w:tc>
        <w:tc>
          <w:tcPr>
            <w:tcW w:w="0" w:type="auto"/>
            <w:tcBorders>
              <w:top w:val="nil"/>
              <w:left w:val="nil"/>
              <w:bottom w:val="single" w:sz="4" w:space="0" w:color="767171"/>
              <w:right w:val="single" w:sz="4" w:space="0" w:color="767171"/>
            </w:tcBorders>
            <w:noWrap/>
            <w:vAlign w:val="center"/>
            <w:hideMark/>
          </w:tcPr>
          <w:p w14:paraId="0444D5D0"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71,032,607 </w:t>
            </w:r>
          </w:p>
        </w:tc>
        <w:tc>
          <w:tcPr>
            <w:tcW w:w="0" w:type="auto"/>
            <w:tcBorders>
              <w:top w:val="single" w:sz="4" w:space="0" w:color="767171"/>
              <w:left w:val="single" w:sz="4" w:space="0" w:color="767171"/>
              <w:bottom w:val="single" w:sz="4" w:space="0" w:color="767171"/>
              <w:right w:val="single" w:sz="4" w:space="0" w:color="767171"/>
            </w:tcBorders>
            <w:noWrap/>
            <w:vAlign w:val="center"/>
            <w:hideMark/>
          </w:tcPr>
          <w:p w14:paraId="5FCB3339"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(126,982,046)</w:t>
            </w:r>
          </w:p>
        </w:tc>
      </w:tr>
      <w:tr w:rsidR="004921FF" w:rsidRPr="005C133F" w14:paraId="1F5078B4" w14:textId="77777777" w:rsidTr="00E05B71">
        <w:trPr>
          <w:trHeight w:val="312"/>
        </w:trPr>
        <w:tc>
          <w:tcPr>
            <w:tcW w:w="0" w:type="auto"/>
            <w:tcBorders>
              <w:top w:val="nil"/>
              <w:left w:val="single" w:sz="4" w:space="0" w:color="767171"/>
              <w:bottom w:val="single" w:sz="4" w:space="0" w:color="767171"/>
              <w:right w:val="single" w:sz="4" w:space="0" w:color="767171"/>
            </w:tcBorders>
            <w:noWrap/>
            <w:vAlign w:val="center"/>
            <w:hideMark/>
          </w:tcPr>
          <w:p w14:paraId="6B1E7B6B"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Impuestos y Reservas </w:t>
            </w:r>
          </w:p>
        </w:tc>
        <w:tc>
          <w:tcPr>
            <w:tcW w:w="0" w:type="auto"/>
            <w:tcBorders>
              <w:top w:val="nil"/>
              <w:left w:val="nil"/>
              <w:bottom w:val="single" w:sz="4" w:space="0" w:color="767171"/>
              <w:right w:val="single" w:sz="4" w:space="0" w:color="767171"/>
            </w:tcBorders>
            <w:noWrap/>
            <w:vAlign w:val="center"/>
            <w:hideMark/>
          </w:tcPr>
          <w:p w14:paraId="0B71B920"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   </w:t>
            </w:r>
          </w:p>
        </w:tc>
        <w:tc>
          <w:tcPr>
            <w:tcW w:w="0" w:type="auto"/>
            <w:tcBorders>
              <w:top w:val="nil"/>
              <w:left w:val="nil"/>
              <w:bottom w:val="single" w:sz="4" w:space="0" w:color="767171"/>
              <w:right w:val="single" w:sz="4" w:space="0" w:color="767171"/>
            </w:tcBorders>
            <w:noWrap/>
            <w:vAlign w:val="center"/>
            <w:hideMark/>
          </w:tcPr>
          <w:p w14:paraId="24D7C0D7"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   </w:t>
            </w:r>
          </w:p>
        </w:tc>
        <w:tc>
          <w:tcPr>
            <w:tcW w:w="0" w:type="auto"/>
            <w:tcBorders>
              <w:top w:val="nil"/>
              <w:left w:val="nil"/>
              <w:bottom w:val="single" w:sz="4" w:space="0" w:color="767171"/>
              <w:right w:val="single" w:sz="4" w:space="0" w:color="767171"/>
            </w:tcBorders>
            <w:noWrap/>
            <w:vAlign w:val="center"/>
            <w:hideMark/>
          </w:tcPr>
          <w:p w14:paraId="040DC523"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   </w:t>
            </w:r>
          </w:p>
        </w:tc>
      </w:tr>
      <w:tr w:rsidR="004921FF" w:rsidRPr="005C133F" w14:paraId="6DE5385B" w14:textId="77777777" w:rsidTr="00E05B71">
        <w:trPr>
          <w:trHeight w:val="420"/>
        </w:trPr>
        <w:tc>
          <w:tcPr>
            <w:tcW w:w="0" w:type="auto"/>
            <w:tcBorders>
              <w:top w:val="nil"/>
              <w:left w:val="single" w:sz="4" w:space="0" w:color="767171"/>
              <w:bottom w:val="single" w:sz="4" w:space="0" w:color="767171"/>
              <w:right w:val="single" w:sz="4" w:space="0" w:color="767171"/>
            </w:tcBorders>
            <w:noWrap/>
            <w:vAlign w:val="center"/>
            <w:hideMark/>
          </w:tcPr>
          <w:p w14:paraId="6D335293"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Beneficios / Pérdidas Netos </w:t>
            </w:r>
          </w:p>
        </w:tc>
        <w:tc>
          <w:tcPr>
            <w:tcW w:w="0" w:type="auto"/>
            <w:tcBorders>
              <w:top w:val="single" w:sz="4" w:space="0" w:color="767171"/>
              <w:left w:val="single" w:sz="4" w:space="0" w:color="767171"/>
              <w:bottom w:val="single" w:sz="4" w:space="0" w:color="767171"/>
              <w:right w:val="single" w:sz="4" w:space="0" w:color="767171"/>
            </w:tcBorders>
            <w:noWrap/>
            <w:vAlign w:val="center"/>
            <w:hideMark/>
          </w:tcPr>
          <w:p w14:paraId="64F3D2A7"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(198,014,653)</w:t>
            </w:r>
          </w:p>
        </w:tc>
        <w:tc>
          <w:tcPr>
            <w:tcW w:w="0" w:type="auto"/>
            <w:tcBorders>
              <w:top w:val="nil"/>
              <w:left w:val="nil"/>
              <w:bottom w:val="single" w:sz="4" w:space="0" w:color="767171"/>
              <w:right w:val="single" w:sz="4" w:space="0" w:color="767171"/>
            </w:tcBorders>
            <w:noWrap/>
            <w:vAlign w:val="center"/>
            <w:hideMark/>
          </w:tcPr>
          <w:p w14:paraId="78E5373E"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71,032,607 </w:t>
            </w:r>
          </w:p>
        </w:tc>
        <w:tc>
          <w:tcPr>
            <w:tcW w:w="0" w:type="auto"/>
            <w:tcBorders>
              <w:top w:val="nil"/>
              <w:left w:val="nil"/>
              <w:bottom w:val="single" w:sz="4" w:space="0" w:color="767171"/>
              <w:right w:val="single" w:sz="4" w:space="0" w:color="767171"/>
            </w:tcBorders>
            <w:noWrap/>
            <w:vAlign w:val="center"/>
            <w:hideMark/>
          </w:tcPr>
          <w:p w14:paraId="0C8538EB"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   </w:t>
            </w:r>
          </w:p>
        </w:tc>
      </w:tr>
      <w:tr w:rsidR="004921FF" w:rsidRPr="005C133F" w14:paraId="6EDC3D67"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0DAFE29D"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Beneficios</w:t>
            </w:r>
          </w:p>
        </w:tc>
        <w:tc>
          <w:tcPr>
            <w:tcW w:w="0" w:type="auto"/>
            <w:tcBorders>
              <w:top w:val="single" w:sz="4" w:space="0" w:color="767171"/>
              <w:left w:val="single" w:sz="4" w:space="0" w:color="767171"/>
              <w:bottom w:val="single" w:sz="4" w:space="0" w:color="767171"/>
              <w:right w:val="single" w:sz="4" w:space="0" w:color="767171"/>
            </w:tcBorders>
            <w:shd w:val="clear" w:color="000000" w:fill="FFFFFF"/>
            <w:noWrap/>
            <w:vAlign w:val="center"/>
            <w:hideMark/>
          </w:tcPr>
          <w:p w14:paraId="2F9555B6"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-7.7%</w:t>
            </w:r>
          </w:p>
        </w:tc>
        <w:tc>
          <w:tcPr>
            <w:tcW w:w="0" w:type="auto"/>
            <w:tcBorders>
              <w:top w:val="nil"/>
              <w:left w:val="nil"/>
              <w:bottom w:val="single" w:sz="4" w:space="0" w:color="767171"/>
              <w:right w:val="single" w:sz="4" w:space="0" w:color="767171"/>
            </w:tcBorders>
            <w:shd w:val="clear" w:color="000000" w:fill="FFFFFF"/>
            <w:noWrap/>
            <w:vAlign w:val="center"/>
            <w:hideMark/>
          </w:tcPr>
          <w:p w14:paraId="0F05F532"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4.1%</w:t>
            </w:r>
          </w:p>
        </w:tc>
        <w:tc>
          <w:tcPr>
            <w:tcW w:w="0" w:type="auto"/>
            <w:tcBorders>
              <w:top w:val="single" w:sz="4" w:space="0" w:color="767171"/>
              <w:left w:val="single" w:sz="4" w:space="0" w:color="767171"/>
              <w:bottom w:val="single" w:sz="4" w:space="0" w:color="767171"/>
              <w:right w:val="single" w:sz="4" w:space="0" w:color="767171"/>
            </w:tcBorders>
            <w:shd w:val="clear" w:color="000000" w:fill="FFFFFF"/>
            <w:noWrap/>
            <w:vAlign w:val="center"/>
            <w:hideMark/>
          </w:tcPr>
          <w:p w14:paraId="729C3CFA"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-2.9%</w:t>
            </w:r>
          </w:p>
        </w:tc>
      </w:tr>
      <w:tr w:rsidR="004921FF" w:rsidRPr="005C133F" w14:paraId="21E91FC8"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122C788E"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Siniestralidad</w:t>
            </w:r>
          </w:p>
        </w:tc>
        <w:tc>
          <w:tcPr>
            <w:tcW w:w="0" w:type="auto"/>
            <w:tcBorders>
              <w:top w:val="nil"/>
              <w:left w:val="nil"/>
              <w:bottom w:val="single" w:sz="4" w:space="0" w:color="767171"/>
              <w:right w:val="single" w:sz="4" w:space="0" w:color="767171"/>
            </w:tcBorders>
            <w:shd w:val="clear" w:color="000000" w:fill="FFFFFF"/>
            <w:noWrap/>
            <w:vAlign w:val="center"/>
            <w:hideMark/>
          </w:tcPr>
          <w:p w14:paraId="4F1994DC"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101.3%</w:t>
            </w:r>
          </w:p>
        </w:tc>
        <w:tc>
          <w:tcPr>
            <w:tcW w:w="0" w:type="auto"/>
            <w:tcBorders>
              <w:top w:val="nil"/>
              <w:left w:val="nil"/>
              <w:bottom w:val="single" w:sz="4" w:space="0" w:color="767171"/>
              <w:right w:val="single" w:sz="4" w:space="0" w:color="767171"/>
            </w:tcBorders>
            <w:shd w:val="clear" w:color="000000" w:fill="FFFFFF"/>
            <w:noWrap/>
            <w:vAlign w:val="center"/>
            <w:hideMark/>
          </w:tcPr>
          <w:p w14:paraId="23709B62"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91.6%</w:t>
            </w:r>
          </w:p>
        </w:tc>
        <w:tc>
          <w:tcPr>
            <w:tcW w:w="0" w:type="auto"/>
            <w:tcBorders>
              <w:top w:val="nil"/>
              <w:left w:val="nil"/>
              <w:bottom w:val="single" w:sz="4" w:space="0" w:color="767171"/>
              <w:right w:val="single" w:sz="4" w:space="0" w:color="767171"/>
            </w:tcBorders>
            <w:shd w:val="clear" w:color="000000" w:fill="FFFFFF"/>
            <w:noWrap/>
            <w:vAlign w:val="center"/>
            <w:hideMark/>
          </w:tcPr>
          <w:p w14:paraId="3205C1D0"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97.4%</w:t>
            </w:r>
          </w:p>
        </w:tc>
      </w:tr>
      <w:tr w:rsidR="004921FF" w:rsidRPr="005C133F" w14:paraId="1A7B4CA3" w14:textId="77777777" w:rsidTr="00E05B71">
        <w:trPr>
          <w:trHeight w:val="312"/>
        </w:trPr>
        <w:tc>
          <w:tcPr>
            <w:tcW w:w="0" w:type="auto"/>
            <w:tcBorders>
              <w:top w:val="nil"/>
              <w:left w:val="single" w:sz="4" w:space="0" w:color="767171"/>
              <w:bottom w:val="single" w:sz="4" w:space="0" w:color="767171"/>
              <w:right w:val="single" w:sz="4" w:space="0" w:color="767171"/>
            </w:tcBorders>
            <w:shd w:val="clear" w:color="000000" w:fill="FFFFFF"/>
            <w:noWrap/>
            <w:vAlign w:val="center"/>
            <w:hideMark/>
          </w:tcPr>
          <w:p w14:paraId="0774FF9F" w14:textId="77777777" w:rsidR="00077891" w:rsidRPr="005C133F" w:rsidRDefault="00077891" w:rsidP="00402F25">
            <w:pPr>
              <w:spacing w:after="0" w:line="240" w:lineRule="auto"/>
              <w:rPr>
                <w:rFonts w:eastAsia="Times New Roman"/>
                <w:b/>
                <w:bCs/>
                <w:spacing w:val="0"/>
                <w:lang w:val="es-DO" w:eastAsia="es-DO"/>
              </w:rPr>
            </w:pPr>
            <w:r w:rsidRPr="005C133F">
              <w:rPr>
                <w:rFonts w:eastAsia="Times New Roman"/>
                <w:b/>
                <w:bCs/>
                <w:spacing w:val="0"/>
                <w:lang w:val="es-DO" w:eastAsia="es-DO"/>
              </w:rPr>
              <w:t>% de Gastos Administrativos</w:t>
            </w:r>
          </w:p>
        </w:tc>
        <w:tc>
          <w:tcPr>
            <w:tcW w:w="0" w:type="auto"/>
            <w:tcBorders>
              <w:top w:val="nil"/>
              <w:left w:val="nil"/>
              <w:bottom w:val="single" w:sz="4" w:space="0" w:color="767171"/>
              <w:right w:val="single" w:sz="4" w:space="0" w:color="767171"/>
            </w:tcBorders>
            <w:shd w:val="clear" w:color="000000" w:fill="FFFFFF"/>
            <w:noWrap/>
            <w:vAlign w:val="center"/>
            <w:hideMark/>
          </w:tcPr>
          <w:p w14:paraId="2E7F2093"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8.6%</w:t>
            </w:r>
          </w:p>
        </w:tc>
        <w:tc>
          <w:tcPr>
            <w:tcW w:w="0" w:type="auto"/>
            <w:tcBorders>
              <w:top w:val="nil"/>
              <w:left w:val="nil"/>
              <w:bottom w:val="single" w:sz="4" w:space="0" w:color="767171"/>
              <w:right w:val="single" w:sz="4" w:space="0" w:color="767171"/>
            </w:tcBorders>
            <w:shd w:val="clear" w:color="000000" w:fill="FFFFFF"/>
            <w:noWrap/>
            <w:vAlign w:val="center"/>
            <w:hideMark/>
          </w:tcPr>
          <w:p w14:paraId="5E116883"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8.0%</w:t>
            </w:r>
          </w:p>
        </w:tc>
        <w:tc>
          <w:tcPr>
            <w:tcW w:w="0" w:type="auto"/>
            <w:tcBorders>
              <w:top w:val="nil"/>
              <w:left w:val="nil"/>
              <w:bottom w:val="single" w:sz="4" w:space="0" w:color="767171"/>
              <w:right w:val="single" w:sz="4" w:space="0" w:color="767171"/>
            </w:tcBorders>
            <w:shd w:val="clear" w:color="000000" w:fill="FFFFFF"/>
            <w:noWrap/>
            <w:vAlign w:val="center"/>
            <w:hideMark/>
          </w:tcPr>
          <w:p w14:paraId="5CE363DF" w14:textId="77777777" w:rsidR="00077891" w:rsidRPr="005C133F" w:rsidRDefault="00077891"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8.3%</w:t>
            </w:r>
          </w:p>
        </w:tc>
      </w:tr>
    </w:tbl>
    <w:p w14:paraId="00D213C9" w14:textId="77777777" w:rsidR="00077891" w:rsidRDefault="00077891" w:rsidP="00402F25">
      <w:pPr>
        <w:autoSpaceDE w:val="0"/>
        <w:autoSpaceDN w:val="0"/>
        <w:adjustRightInd w:val="0"/>
        <w:spacing w:after="0" w:line="240" w:lineRule="auto"/>
        <w:rPr>
          <w:sz w:val="18"/>
          <w:szCs w:val="18"/>
          <w:lang w:val="es-DO"/>
        </w:rPr>
      </w:pPr>
      <w:r w:rsidRPr="00AC2DB2">
        <w:rPr>
          <w:sz w:val="18"/>
          <w:szCs w:val="18"/>
          <w:lang w:val="es-DO"/>
        </w:rPr>
        <w:t>Fuente: Estados financieros de las ARS – SIE (SIMON)</w:t>
      </w:r>
    </w:p>
    <w:p w14:paraId="22B8F7A7" w14:textId="77777777" w:rsidR="00402F25" w:rsidRPr="00AC2DB2" w:rsidRDefault="00402F25" w:rsidP="00402F25">
      <w:pPr>
        <w:autoSpaceDE w:val="0"/>
        <w:autoSpaceDN w:val="0"/>
        <w:adjustRightInd w:val="0"/>
        <w:spacing w:after="0" w:line="240" w:lineRule="auto"/>
        <w:rPr>
          <w:sz w:val="18"/>
          <w:szCs w:val="18"/>
          <w:lang w:val="es-DO"/>
        </w:rPr>
      </w:pPr>
    </w:p>
    <w:p w14:paraId="6E231FC3" w14:textId="77777777" w:rsidR="00E631BC" w:rsidRPr="005C133F" w:rsidRDefault="00E631BC" w:rsidP="00402F25">
      <w:pPr>
        <w:spacing w:after="0" w:line="240" w:lineRule="auto"/>
        <w:jc w:val="both"/>
        <w:rPr>
          <w:lang w:val="es-DO"/>
        </w:rPr>
      </w:pPr>
    </w:p>
    <w:p w14:paraId="7B419ABF" w14:textId="763B9C3C" w:rsidR="001C21CC" w:rsidRPr="005C133F" w:rsidRDefault="001C21CC">
      <w:pPr>
        <w:pStyle w:val="Prrafodelista"/>
        <w:numPr>
          <w:ilvl w:val="0"/>
          <w:numId w:val="167"/>
        </w:numPr>
        <w:spacing w:after="0" w:line="360" w:lineRule="auto"/>
        <w:jc w:val="both"/>
        <w:rPr>
          <w:b/>
          <w:bCs/>
          <w:lang w:val="es-DO"/>
        </w:rPr>
      </w:pPr>
      <w:r w:rsidRPr="005C133F">
        <w:rPr>
          <w:b/>
          <w:bCs/>
          <w:lang w:val="es-DO"/>
        </w:rPr>
        <w:t>ARS de Autogestión:</w:t>
      </w:r>
    </w:p>
    <w:p w14:paraId="26857A3B" w14:textId="77777777" w:rsidR="00736F35" w:rsidRPr="005C133F" w:rsidRDefault="00736F35" w:rsidP="005C133F">
      <w:pPr>
        <w:spacing w:after="0" w:line="360" w:lineRule="auto"/>
        <w:jc w:val="both"/>
        <w:rPr>
          <w:b/>
          <w:bCs/>
          <w:lang w:val="es-DO"/>
        </w:rPr>
      </w:pPr>
    </w:p>
    <w:p w14:paraId="1A7EAEDF" w14:textId="767003E5" w:rsidR="00736F35" w:rsidRPr="005C133F" w:rsidRDefault="00736F35" w:rsidP="005C133F">
      <w:pPr>
        <w:spacing w:after="0" w:line="360" w:lineRule="auto"/>
        <w:jc w:val="both"/>
        <w:rPr>
          <w:lang w:val="es-DO"/>
        </w:rPr>
      </w:pPr>
      <w:r w:rsidRPr="005C133F">
        <w:rPr>
          <w:lang w:val="es-DO"/>
        </w:rPr>
        <w:t>Dentro de las ARS Públicas se encuentran las ARS SENASA y RESERVAS.  Esta última, por su condición de tener un capital proveniente de una institución pública (Banco de Reservas)</w:t>
      </w:r>
      <w:r w:rsidR="00C062F1" w:rsidRPr="005C133F">
        <w:rPr>
          <w:lang w:val="es-DO"/>
        </w:rPr>
        <w:t xml:space="preserve"> </w:t>
      </w:r>
      <w:r w:rsidRPr="005C133F">
        <w:rPr>
          <w:lang w:val="es-DO"/>
        </w:rPr>
        <w:t xml:space="preserve">pasó de ser una ARS de Autogestión a una ARS Pública, mediante la </w:t>
      </w:r>
      <w:r w:rsidRPr="005C133F">
        <w:rPr>
          <w:lang w:val="es-DO"/>
        </w:rPr>
        <w:lastRenderedPageBreak/>
        <w:t>Resolución SISALRIL No. 00242-2022 del 24-02-2022, que autoriza a dicha ARS a cambiar su condición de ARS de autogestión de tipo institucional a una ARS abierta al público.</w:t>
      </w:r>
    </w:p>
    <w:p w14:paraId="002008B5" w14:textId="77777777" w:rsidR="00C762C8" w:rsidRPr="005C133F" w:rsidRDefault="00C762C8" w:rsidP="005C133F">
      <w:pPr>
        <w:spacing w:after="0" w:line="360" w:lineRule="auto"/>
        <w:jc w:val="both"/>
        <w:rPr>
          <w:lang w:val="es-DO"/>
        </w:rPr>
      </w:pPr>
    </w:p>
    <w:p w14:paraId="7D24C5BA" w14:textId="20A1BF9E" w:rsidR="003D4D4B" w:rsidRDefault="00C762C8" w:rsidP="005C133F">
      <w:pPr>
        <w:spacing w:after="0" w:line="360" w:lineRule="auto"/>
        <w:jc w:val="both"/>
        <w:rPr>
          <w:lang w:val="es-DO"/>
        </w:rPr>
      </w:pPr>
      <w:r w:rsidRPr="005C133F">
        <w:rPr>
          <w:lang w:val="es-DO"/>
        </w:rPr>
        <w:t>En el período evaluado, enero-septiembre 2025</w:t>
      </w:r>
      <w:r w:rsidR="00291DF7" w:rsidRPr="005C133F">
        <w:rPr>
          <w:lang w:val="es-DO"/>
        </w:rPr>
        <w:t xml:space="preserve">, sólo </w:t>
      </w:r>
      <w:r w:rsidR="00222694" w:rsidRPr="005C133F">
        <w:rPr>
          <w:lang w:val="es-DO"/>
        </w:rPr>
        <w:t>estamos considerando las informaciones</w:t>
      </w:r>
      <w:r w:rsidRPr="005C133F">
        <w:rPr>
          <w:lang w:val="es-DO"/>
        </w:rPr>
        <w:t xml:space="preserve"> </w:t>
      </w:r>
      <w:r w:rsidR="002D24D6" w:rsidRPr="005C133F">
        <w:rPr>
          <w:lang w:val="es-DO"/>
        </w:rPr>
        <w:t>de</w:t>
      </w:r>
      <w:r w:rsidRPr="005C133F">
        <w:rPr>
          <w:lang w:val="es-DO"/>
        </w:rPr>
        <w:t xml:space="preserve"> ARS Reservas, la cual presenta pérdidas brutas por un monto total de RD$8,946,661.00, monto que está conformado por pérdidas en el PDSS- Contributivo por RD$232,005,923.00 y beneficios de RD$223,059,262.00 en otros planes. Ver detalle en el cuadro siguiente: </w:t>
      </w:r>
    </w:p>
    <w:p w14:paraId="6B86ED6D" w14:textId="77777777" w:rsidR="00656342" w:rsidRPr="00656342" w:rsidRDefault="00656342" w:rsidP="005C133F">
      <w:pPr>
        <w:spacing w:after="0" w:line="360" w:lineRule="auto"/>
        <w:jc w:val="both"/>
        <w:rPr>
          <w:lang w:val="es-DO"/>
        </w:rPr>
      </w:pPr>
    </w:p>
    <w:p w14:paraId="3E427440" w14:textId="20AB52CE" w:rsidR="00BE21DC" w:rsidRPr="00402F25" w:rsidRDefault="00BE21DC" w:rsidP="00E05B71">
      <w:pPr>
        <w:pStyle w:val="Descripcin"/>
        <w:keepNext/>
        <w:spacing w:after="0"/>
        <w:jc w:val="center"/>
        <w:rPr>
          <w:b/>
          <w:bCs/>
          <w:i w:val="0"/>
          <w:iCs w:val="0"/>
          <w:color w:val="767171"/>
          <w:sz w:val="24"/>
          <w:szCs w:val="24"/>
          <w:lang w:val="es-DO"/>
        </w:rPr>
      </w:pPr>
      <w:bookmarkStart w:id="51" w:name="_Toc218784152"/>
      <w:r w:rsidRPr="00402F25">
        <w:rPr>
          <w:b/>
          <w:bCs/>
          <w:i w:val="0"/>
          <w:iCs w:val="0"/>
          <w:color w:val="767171"/>
          <w:sz w:val="24"/>
          <w:szCs w:val="24"/>
          <w:lang w:val="es-DO"/>
        </w:rPr>
        <w:t xml:space="preserve">Tabla </w:t>
      </w:r>
      <w:r w:rsidRPr="00402F25">
        <w:rPr>
          <w:b/>
          <w:bCs/>
          <w:i w:val="0"/>
          <w:iCs w:val="0"/>
          <w:color w:val="767171"/>
          <w:sz w:val="24"/>
          <w:szCs w:val="24"/>
          <w:lang w:val="es-DO"/>
        </w:rPr>
        <w:fldChar w:fldCharType="begin"/>
      </w:r>
      <w:r w:rsidRPr="00402F25">
        <w:rPr>
          <w:b/>
          <w:bCs/>
          <w:i w:val="0"/>
          <w:iCs w:val="0"/>
          <w:color w:val="767171"/>
          <w:sz w:val="24"/>
          <w:szCs w:val="24"/>
          <w:lang w:val="es-DO"/>
        </w:rPr>
        <w:instrText xml:space="preserve"> SEQ Tabla \* ARABIC </w:instrText>
      </w:r>
      <w:r w:rsidRPr="00402F25">
        <w:rPr>
          <w:b/>
          <w:bCs/>
          <w:i w:val="0"/>
          <w:iCs w:val="0"/>
          <w:color w:val="767171"/>
          <w:sz w:val="24"/>
          <w:szCs w:val="24"/>
          <w:lang w:val="es-DO"/>
        </w:rPr>
        <w:fldChar w:fldCharType="separate"/>
      </w:r>
      <w:r w:rsidR="00814341">
        <w:rPr>
          <w:b/>
          <w:bCs/>
          <w:i w:val="0"/>
          <w:iCs w:val="0"/>
          <w:noProof/>
          <w:color w:val="767171"/>
          <w:sz w:val="24"/>
          <w:szCs w:val="24"/>
          <w:lang w:val="es-DO"/>
        </w:rPr>
        <w:t>20</w:t>
      </w:r>
      <w:r w:rsidRPr="00402F25">
        <w:rPr>
          <w:b/>
          <w:bCs/>
          <w:i w:val="0"/>
          <w:iCs w:val="0"/>
          <w:color w:val="767171"/>
          <w:sz w:val="24"/>
          <w:szCs w:val="24"/>
          <w:lang w:val="es-DO"/>
        </w:rPr>
        <w:fldChar w:fldCharType="end"/>
      </w:r>
      <w:r w:rsidRPr="00402F25">
        <w:rPr>
          <w:b/>
          <w:bCs/>
          <w:i w:val="0"/>
          <w:iCs w:val="0"/>
          <w:color w:val="767171"/>
          <w:sz w:val="24"/>
          <w:szCs w:val="24"/>
          <w:lang w:val="es-DO"/>
        </w:rPr>
        <w:t>. Resultados de las ARS Públicas, período enero-septiembre 2025</w:t>
      </w:r>
      <w:bookmarkEnd w:id="51"/>
    </w:p>
    <w:tbl>
      <w:tblPr>
        <w:tblW w:w="0" w:type="auto"/>
        <w:jc w:val="center"/>
        <w:tblCellMar>
          <w:left w:w="70" w:type="dxa"/>
          <w:right w:w="70" w:type="dxa"/>
        </w:tblCellMar>
        <w:tblLook w:val="04A0" w:firstRow="1" w:lastRow="0" w:firstColumn="1" w:lastColumn="0" w:noHBand="0" w:noVBand="1"/>
      </w:tblPr>
      <w:tblGrid>
        <w:gridCol w:w="1766"/>
        <w:gridCol w:w="1722"/>
        <w:gridCol w:w="1256"/>
        <w:gridCol w:w="1376"/>
        <w:gridCol w:w="1790"/>
      </w:tblGrid>
      <w:tr w:rsidR="00AC2DB2" w:rsidRPr="00402F25" w14:paraId="58B8737D" w14:textId="77777777" w:rsidTr="00E05B71">
        <w:trPr>
          <w:trHeight w:val="410"/>
          <w:tblHeader/>
          <w:jc w:val="center"/>
        </w:trPr>
        <w:tc>
          <w:tcPr>
            <w:tcW w:w="1727" w:type="dxa"/>
            <w:vMerge w:val="restart"/>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38C1DA61" w14:textId="77777777" w:rsidR="00156B7C" w:rsidRPr="00402F25" w:rsidRDefault="00156B7C"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Detalle</w:t>
            </w:r>
          </w:p>
        </w:tc>
        <w:tc>
          <w:tcPr>
            <w:tcW w:w="6183" w:type="dxa"/>
            <w:gridSpan w:val="4"/>
            <w:tcBorders>
              <w:top w:val="single" w:sz="4" w:space="0" w:color="767171"/>
              <w:left w:val="nil"/>
              <w:bottom w:val="single" w:sz="4" w:space="0" w:color="767171"/>
              <w:right w:val="single" w:sz="4" w:space="0" w:color="767171"/>
            </w:tcBorders>
            <w:shd w:val="clear" w:color="auto" w:fill="011C50"/>
            <w:vAlign w:val="center"/>
            <w:hideMark/>
          </w:tcPr>
          <w:p w14:paraId="7FE3942D" w14:textId="77777777" w:rsidR="00156B7C" w:rsidRPr="00402F25" w:rsidRDefault="00156B7C"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ARS Públicas- (ARS RESERVAS)</w:t>
            </w:r>
          </w:p>
        </w:tc>
      </w:tr>
      <w:tr w:rsidR="00402F25" w:rsidRPr="00402F25" w14:paraId="5CACFEDB" w14:textId="77777777" w:rsidTr="00E05B71">
        <w:trPr>
          <w:trHeight w:val="540"/>
          <w:tblHeader/>
          <w:jc w:val="center"/>
        </w:trPr>
        <w:tc>
          <w:tcPr>
            <w:tcW w:w="1727" w:type="dxa"/>
            <w:vMerge/>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3733670A" w14:textId="77777777" w:rsidR="00156B7C" w:rsidRPr="00402F25" w:rsidRDefault="00156B7C" w:rsidP="00402F25">
            <w:pPr>
              <w:spacing w:after="0" w:line="240" w:lineRule="auto"/>
              <w:rPr>
                <w:rFonts w:eastAsia="Times New Roman"/>
                <w:b/>
                <w:bCs/>
                <w:color w:val="FFFFFF" w:themeColor="background1"/>
                <w:spacing w:val="0"/>
                <w:lang w:val="es-DO" w:eastAsia="es-DO"/>
              </w:rPr>
            </w:pPr>
          </w:p>
        </w:tc>
        <w:tc>
          <w:tcPr>
            <w:tcW w:w="1750" w:type="dxa"/>
            <w:tcBorders>
              <w:top w:val="nil"/>
              <w:left w:val="nil"/>
              <w:bottom w:val="single" w:sz="4" w:space="0" w:color="767171"/>
              <w:right w:val="single" w:sz="4" w:space="0" w:color="767171"/>
            </w:tcBorders>
            <w:shd w:val="clear" w:color="auto" w:fill="011C50"/>
            <w:vAlign w:val="center"/>
            <w:hideMark/>
          </w:tcPr>
          <w:p w14:paraId="4A04C24C" w14:textId="77777777" w:rsidR="00156B7C" w:rsidRPr="00402F25" w:rsidRDefault="00156B7C"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Contributivo</w:t>
            </w:r>
          </w:p>
        </w:tc>
        <w:tc>
          <w:tcPr>
            <w:tcW w:w="1216" w:type="dxa"/>
            <w:tcBorders>
              <w:top w:val="nil"/>
              <w:left w:val="nil"/>
              <w:bottom w:val="single" w:sz="4" w:space="0" w:color="767171"/>
              <w:right w:val="single" w:sz="4" w:space="0" w:color="767171"/>
            </w:tcBorders>
            <w:shd w:val="clear" w:color="auto" w:fill="011C50"/>
            <w:vAlign w:val="center"/>
            <w:hideMark/>
          </w:tcPr>
          <w:p w14:paraId="339ECB61" w14:textId="77777777" w:rsidR="00156B7C" w:rsidRPr="00402F25" w:rsidRDefault="00156B7C"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Subsidiado</w:t>
            </w:r>
          </w:p>
        </w:tc>
        <w:tc>
          <w:tcPr>
            <w:tcW w:w="1398" w:type="dxa"/>
            <w:tcBorders>
              <w:top w:val="nil"/>
              <w:left w:val="nil"/>
              <w:bottom w:val="single" w:sz="4" w:space="0" w:color="767171"/>
              <w:right w:val="single" w:sz="4" w:space="0" w:color="767171"/>
            </w:tcBorders>
            <w:shd w:val="clear" w:color="auto" w:fill="011C50"/>
            <w:vAlign w:val="center"/>
            <w:hideMark/>
          </w:tcPr>
          <w:p w14:paraId="6DED260C" w14:textId="77777777" w:rsidR="00156B7C" w:rsidRPr="00402F25" w:rsidRDefault="00156B7C" w:rsidP="00402F25">
            <w:pPr>
              <w:spacing w:after="0" w:line="240" w:lineRule="auto"/>
              <w:jc w:val="center"/>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Otros Planes</w:t>
            </w:r>
          </w:p>
        </w:tc>
        <w:tc>
          <w:tcPr>
            <w:tcW w:w="1819" w:type="dxa"/>
            <w:tcBorders>
              <w:top w:val="nil"/>
              <w:left w:val="nil"/>
              <w:bottom w:val="single" w:sz="4" w:space="0" w:color="767171"/>
              <w:right w:val="single" w:sz="4" w:space="0" w:color="767171"/>
            </w:tcBorders>
            <w:shd w:val="clear" w:color="auto" w:fill="011C50"/>
            <w:vAlign w:val="center"/>
            <w:hideMark/>
          </w:tcPr>
          <w:p w14:paraId="3DD98415" w14:textId="77777777" w:rsidR="00156B7C" w:rsidRPr="00402F25" w:rsidRDefault="00156B7C" w:rsidP="00402F25">
            <w:pPr>
              <w:spacing w:after="0" w:line="240" w:lineRule="auto"/>
              <w:jc w:val="right"/>
              <w:rPr>
                <w:rFonts w:eastAsia="Times New Roman"/>
                <w:b/>
                <w:bCs/>
                <w:color w:val="FFFFFF" w:themeColor="background1"/>
                <w:spacing w:val="0"/>
                <w:lang w:val="es-DO" w:eastAsia="es-DO"/>
              </w:rPr>
            </w:pPr>
            <w:r w:rsidRPr="00402F25">
              <w:rPr>
                <w:rFonts w:eastAsia="Times New Roman"/>
                <w:b/>
                <w:bCs/>
                <w:color w:val="FFFFFF" w:themeColor="background1"/>
                <w:spacing w:val="0"/>
                <w:lang w:val="es-DO" w:eastAsia="es-DO"/>
              </w:rPr>
              <w:t>Total</w:t>
            </w:r>
          </w:p>
        </w:tc>
      </w:tr>
      <w:tr w:rsidR="00402F25" w:rsidRPr="00402F25" w14:paraId="737EB6A4"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73BA009B"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Ingresos en Salud</w:t>
            </w:r>
          </w:p>
        </w:tc>
        <w:tc>
          <w:tcPr>
            <w:tcW w:w="1750" w:type="dxa"/>
            <w:tcBorders>
              <w:top w:val="nil"/>
              <w:left w:val="nil"/>
              <w:bottom w:val="single" w:sz="4" w:space="0" w:color="767171"/>
              <w:right w:val="single" w:sz="4" w:space="0" w:color="767171"/>
            </w:tcBorders>
            <w:shd w:val="clear" w:color="000000" w:fill="FFFFFF"/>
            <w:noWrap/>
            <w:vAlign w:val="center"/>
            <w:hideMark/>
          </w:tcPr>
          <w:p w14:paraId="41B62D79"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599,887,582 </w:t>
            </w:r>
          </w:p>
        </w:tc>
        <w:tc>
          <w:tcPr>
            <w:tcW w:w="1216" w:type="dxa"/>
            <w:tcBorders>
              <w:top w:val="nil"/>
              <w:left w:val="nil"/>
              <w:bottom w:val="single" w:sz="4" w:space="0" w:color="767171"/>
              <w:right w:val="single" w:sz="4" w:space="0" w:color="767171"/>
            </w:tcBorders>
            <w:shd w:val="clear" w:color="000000" w:fill="FFFFFF"/>
            <w:noWrap/>
            <w:vAlign w:val="center"/>
            <w:hideMark/>
          </w:tcPr>
          <w:p w14:paraId="04FB5BD8"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39FF1BA0"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622,314,985 </w:t>
            </w:r>
          </w:p>
        </w:tc>
        <w:tc>
          <w:tcPr>
            <w:tcW w:w="1819" w:type="dxa"/>
            <w:tcBorders>
              <w:top w:val="nil"/>
              <w:left w:val="nil"/>
              <w:bottom w:val="single" w:sz="4" w:space="0" w:color="767171"/>
              <w:right w:val="single" w:sz="4" w:space="0" w:color="767171"/>
            </w:tcBorders>
            <w:noWrap/>
            <w:vAlign w:val="center"/>
            <w:hideMark/>
          </w:tcPr>
          <w:p w14:paraId="0AD39EC6"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1,222,202,567 </w:t>
            </w:r>
          </w:p>
        </w:tc>
      </w:tr>
      <w:tr w:rsidR="00402F25" w:rsidRPr="00402F25" w14:paraId="3249C858"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5F31B1EE"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Ingresos</w:t>
            </w:r>
          </w:p>
        </w:tc>
        <w:tc>
          <w:tcPr>
            <w:tcW w:w="1750" w:type="dxa"/>
            <w:tcBorders>
              <w:top w:val="nil"/>
              <w:left w:val="nil"/>
              <w:bottom w:val="single" w:sz="4" w:space="0" w:color="767171"/>
              <w:right w:val="single" w:sz="4" w:space="0" w:color="767171"/>
            </w:tcBorders>
            <w:shd w:val="clear" w:color="000000" w:fill="FFFFFF"/>
            <w:noWrap/>
            <w:vAlign w:val="center"/>
            <w:hideMark/>
          </w:tcPr>
          <w:p w14:paraId="1083D726"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84,966,633 </w:t>
            </w:r>
          </w:p>
        </w:tc>
        <w:tc>
          <w:tcPr>
            <w:tcW w:w="1216" w:type="dxa"/>
            <w:tcBorders>
              <w:top w:val="nil"/>
              <w:left w:val="nil"/>
              <w:bottom w:val="single" w:sz="4" w:space="0" w:color="767171"/>
              <w:right w:val="single" w:sz="4" w:space="0" w:color="767171"/>
            </w:tcBorders>
            <w:shd w:val="clear" w:color="000000" w:fill="FFFFFF"/>
            <w:noWrap/>
            <w:vAlign w:val="center"/>
            <w:hideMark/>
          </w:tcPr>
          <w:p w14:paraId="2CE17E8F"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61C0FECD"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65,586,804 </w:t>
            </w:r>
          </w:p>
        </w:tc>
        <w:tc>
          <w:tcPr>
            <w:tcW w:w="1819" w:type="dxa"/>
            <w:tcBorders>
              <w:top w:val="nil"/>
              <w:left w:val="nil"/>
              <w:bottom w:val="single" w:sz="4" w:space="0" w:color="767171"/>
              <w:right w:val="single" w:sz="4" w:space="0" w:color="767171"/>
            </w:tcBorders>
            <w:noWrap/>
            <w:vAlign w:val="center"/>
            <w:hideMark/>
          </w:tcPr>
          <w:p w14:paraId="43FBE9EB"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150,553,437 </w:t>
            </w:r>
          </w:p>
        </w:tc>
      </w:tr>
      <w:tr w:rsidR="00402F25" w:rsidRPr="00402F25" w14:paraId="614A2CAD"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5397A7FE"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Gastos en Salud</w:t>
            </w:r>
          </w:p>
        </w:tc>
        <w:tc>
          <w:tcPr>
            <w:tcW w:w="1750" w:type="dxa"/>
            <w:tcBorders>
              <w:top w:val="nil"/>
              <w:left w:val="nil"/>
              <w:bottom w:val="single" w:sz="4" w:space="0" w:color="767171"/>
              <w:right w:val="single" w:sz="4" w:space="0" w:color="767171"/>
            </w:tcBorders>
            <w:shd w:val="clear" w:color="000000" w:fill="FFFFFF"/>
            <w:noWrap/>
            <w:vAlign w:val="center"/>
            <w:hideMark/>
          </w:tcPr>
          <w:p w14:paraId="7C1494CF"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770,037,089 </w:t>
            </w:r>
          </w:p>
        </w:tc>
        <w:tc>
          <w:tcPr>
            <w:tcW w:w="1216" w:type="dxa"/>
            <w:tcBorders>
              <w:top w:val="nil"/>
              <w:left w:val="nil"/>
              <w:bottom w:val="single" w:sz="4" w:space="0" w:color="767171"/>
              <w:right w:val="single" w:sz="4" w:space="0" w:color="767171"/>
            </w:tcBorders>
            <w:shd w:val="clear" w:color="000000" w:fill="FFFFFF"/>
            <w:noWrap/>
            <w:vAlign w:val="center"/>
            <w:hideMark/>
          </w:tcPr>
          <w:p w14:paraId="3C9DCBBA"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0C9D623C"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317,571,062 </w:t>
            </w:r>
          </w:p>
        </w:tc>
        <w:tc>
          <w:tcPr>
            <w:tcW w:w="1819" w:type="dxa"/>
            <w:tcBorders>
              <w:top w:val="nil"/>
              <w:left w:val="nil"/>
              <w:bottom w:val="single" w:sz="4" w:space="0" w:color="767171"/>
              <w:right w:val="single" w:sz="4" w:space="0" w:color="767171"/>
            </w:tcBorders>
            <w:noWrap/>
            <w:vAlign w:val="center"/>
            <w:hideMark/>
          </w:tcPr>
          <w:p w14:paraId="0CCE4C1A"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1,087,608,151 </w:t>
            </w:r>
          </w:p>
        </w:tc>
      </w:tr>
      <w:tr w:rsidR="00402F25" w:rsidRPr="00402F25" w14:paraId="26157240"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75A0E1A1"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Gastos</w:t>
            </w:r>
          </w:p>
        </w:tc>
        <w:tc>
          <w:tcPr>
            <w:tcW w:w="1750" w:type="dxa"/>
            <w:tcBorders>
              <w:top w:val="nil"/>
              <w:left w:val="nil"/>
              <w:bottom w:val="single" w:sz="4" w:space="0" w:color="767171"/>
              <w:right w:val="single" w:sz="4" w:space="0" w:color="767171"/>
            </w:tcBorders>
            <w:shd w:val="clear" w:color="000000" w:fill="FFFFFF"/>
            <w:noWrap/>
            <w:vAlign w:val="center"/>
            <w:hideMark/>
          </w:tcPr>
          <w:p w14:paraId="37FCD633"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10,279,526 </w:t>
            </w:r>
          </w:p>
        </w:tc>
        <w:tc>
          <w:tcPr>
            <w:tcW w:w="1216" w:type="dxa"/>
            <w:tcBorders>
              <w:top w:val="nil"/>
              <w:left w:val="nil"/>
              <w:bottom w:val="single" w:sz="4" w:space="0" w:color="767171"/>
              <w:right w:val="single" w:sz="4" w:space="0" w:color="767171"/>
            </w:tcBorders>
            <w:shd w:val="clear" w:color="000000" w:fill="FFFFFF"/>
            <w:noWrap/>
            <w:vAlign w:val="center"/>
            <w:hideMark/>
          </w:tcPr>
          <w:p w14:paraId="79B22DFA"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439ACCA7"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5,868,619 </w:t>
            </w:r>
          </w:p>
        </w:tc>
        <w:tc>
          <w:tcPr>
            <w:tcW w:w="1819" w:type="dxa"/>
            <w:tcBorders>
              <w:top w:val="nil"/>
              <w:left w:val="nil"/>
              <w:bottom w:val="single" w:sz="4" w:space="0" w:color="767171"/>
              <w:right w:val="single" w:sz="4" w:space="0" w:color="767171"/>
            </w:tcBorders>
            <w:noWrap/>
            <w:vAlign w:val="center"/>
            <w:hideMark/>
          </w:tcPr>
          <w:p w14:paraId="24A9EDD3"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16,148,145 </w:t>
            </w:r>
          </w:p>
        </w:tc>
      </w:tr>
      <w:tr w:rsidR="00402F25" w:rsidRPr="00402F25" w14:paraId="6BCD9D24"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1FCCB660"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Gastos Administrativos</w:t>
            </w:r>
          </w:p>
        </w:tc>
        <w:tc>
          <w:tcPr>
            <w:tcW w:w="1750" w:type="dxa"/>
            <w:tcBorders>
              <w:top w:val="nil"/>
              <w:left w:val="nil"/>
              <w:bottom w:val="single" w:sz="4" w:space="0" w:color="767171"/>
              <w:right w:val="single" w:sz="4" w:space="0" w:color="767171"/>
            </w:tcBorders>
            <w:shd w:val="clear" w:color="000000" w:fill="FFFFFF"/>
            <w:noWrap/>
            <w:vAlign w:val="center"/>
            <w:hideMark/>
          </w:tcPr>
          <w:p w14:paraId="0B7D5267"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128,563,868 </w:t>
            </w:r>
          </w:p>
        </w:tc>
        <w:tc>
          <w:tcPr>
            <w:tcW w:w="1216" w:type="dxa"/>
            <w:tcBorders>
              <w:top w:val="nil"/>
              <w:left w:val="nil"/>
              <w:bottom w:val="single" w:sz="4" w:space="0" w:color="767171"/>
              <w:right w:val="single" w:sz="4" w:space="0" w:color="767171"/>
            </w:tcBorders>
            <w:shd w:val="clear" w:color="000000" w:fill="FFFFFF"/>
            <w:noWrap/>
            <w:vAlign w:val="center"/>
            <w:hideMark/>
          </w:tcPr>
          <w:p w14:paraId="61CEDE81"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583AF7B1"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133,139,210 </w:t>
            </w:r>
          </w:p>
        </w:tc>
        <w:tc>
          <w:tcPr>
            <w:tcW w:w="1819" w:type="dxa"/>
            <w:tcBorders>
              <w:top w:val="nil"/>
              <w:left w:val="nil"/>
              <w:bottom w:val="single" w:sz="4" w:space="0" w:color="767171"/>
              <w:right w:val="single" w:sz="4" w:space="0" w:color="767171"/>
            </w:tcBorders>
            <w:noWrap/>
            <w:vAlign w:val="center"/>
            <w:hideMark/>
          </w:tcPr>
          <w:p w14:paraId="693D32AA"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261,703,078 </w:t>
            </w:r>
          </w:p>
        </w:tc>
      </w:tr>
      <w:tr w:rsidR="00402F25" w:rsidRPr="00402F25" w14:paraId="452E7495"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4A1251CF"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Otros Ingresos / Gastos</w:t>
            </w:r>
          </w:p>
        </w:tc>
        <w:tc>
          <w:tcPr>
            <w:tcW w:w="1750" w:type="dxa"/>
            <w:tcBorders>
              <w:top w:val="nil"/>
              <w:left w:val="nil"/>
              <w:bottom w:val="single" w:sz="4" w:space="0" w:color="767171"/>
              <w:right w:val="single" w:sz="4" w:space="0" w:color="767171"/>
            </w:tcBorders>
            <w:shd w:val="clear" w:color="000000" w:fill="FFFFFF"/>
            <w:noWrap/>
            <w:vAlign w:val="center"/>
            <w:hideMark/>
          </w:tcPr>
          <w:p w14:paraId="3BD9430C"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7,979,655 </w:t>
            </w:r>
          </w:p>
        </w:tc>
        <w:tc>
          <w:tcPr>
            <w:tcW w:w="1216" w:type="dxa"/>
            <w:tcBorders>
              <w:top w:val="nil"/>
              <w:left w:val="nil"/>
              <w:bottom w:val="single" w:sz="4" w:space="0" w:color="767171"/>
              <w:right w:val="single" w:sz="4" w:space="0" w:color="767171"/>
            </w:tcBorders>
            <w:shd w:val="clear" w:color="000000" w:fill="FFFFFF"/>
            <w:noWrap/>
            <w:vAlign w:val="center"/>
            <w:hideMark/>
          </w:tcPr>
          <w:p w14:paraId="18EDFCD4"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7D08FFD8" w14:textId="77777777" w:rsidR="00156B7C" w:rsidRPr="00402F25" w:rsidRDefault="00156B7C" w:rsidP="00402F25">
            <w:pPr>
              <w:spacing w:after="0" w:line="240" w:lineRule="auto"/>
              <w:jc w:val="right"/>
              <w:rPr>
                <w:rFonts w:eastAsia="Times New Roman"/>
                <w:spacing w:val="0"/>
                <w:lang w:val="es-DO" w:eastAsia="es-DO"/>
              </w:rPr>
            </w:pPr>
            <w:r w:rsidRPr="00402F25">
              <w:rPr>
                <w:rFonts w:eastAsia="Times New Roman"/>
                <w:spacing w:val="0"/>
                <w:lang w:val="es-DO" w:eastAsia="es-DO"/>
              </w:rPr>
              <w:t xml:space="preserve">             8,263,636 </w:t>
            </w:r>
          </w:p>
        </w:tc>
        <w:tc>
          <w:tcPr>
            <w:tcW w:w="1819" w:type="dxa"/>
            <w:tcBorders>
              <w:top w:val="nil"/>
              <w:left w:val="nil"/>
              <w:bottom w:val="single" w:sz="4" w:space="0" w:color="767171"/>
              <w:right w:val="single" w:sz="4" w:space="0" w:color="767171"/>
            </w:tcBorders>
            <w:noWrap/>
            <w:vAlign w:val="center"/>
            <w:hideMark/>
          </w:tcPr>
          <w:p w14:paraId="5D4BEF76"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16,243,291 </w:t>
            </w:r>
          </w:p>
        </w:tc>
      </w:tr>
      <w:tr w:rsidR="00402F25" w:rsidRPr="00402F25" w14:paraId="17CF4034" w14:textId="77777777" w:rsidTr="00E05B71">
        <w:trPr>
          <w:trHeight w:val="396"/>
          <w:jc w:val="center"/>
        </w:trPr>
        <w:tc>
          <w:tcPr>
            <w:tcW w:w="1727" w:type="dxa"/>
            <w:tcBorders>
              <w:top w:val="nil"/>
              <w:left w:val="single" w:sz="4" w:space="0" w:color="767171"/>
              <w:bottom w:val="single" w:sz="4" w:space="0" w:color="767171"/>
              <w:right w:val="single" w:sz="4" w:space="0" w:color="767171"/>
            </w:tcBorders>
            <w:noWrap/>
            <w:vAlign w:val="center"/>
            <w:hideMark/>
          </w:tcPr>
          <w:p w14:paraId="223B557E" w14:textId="4404061F"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 xml:space="preserve">Beneficios/ </w:t>
            </w:r>
            <w:r w:rsidR="00D972FA" w:rsidRPr="00402F25">
              <w:rPr>
                <w:rFonts w:eastAsia="Times New Roman"/>
                <w:b/>
                <w:bCs/>
                <w:spacing w:val="0"/>
                <w:lang w:val="es-DO" w:eastAsia="es-DO"/>
              </w:rPr>
              <w:t>Pérdidas Brutas</w:t>
            </w:r>
          </w:p>
        </w:tc>
        <w:tc>
          <w:tcPr>
            <w:tcW w:w="1750" w:type="dxa"/>
            <w:tcBorders>
              <w:top w:val="single" w:sz="4" w:space="0" w:color="767171"/>
              <w:left w:val="single" w:sz="4" w:space="0" w:color="767171"/>
              <w:bottom w:val="single" w:sz="4" w:space="0" w:color="767171"/>
              <w:right w:val="single" w:sz="4" w:space="0" w:color="767171"/>
            </w:tcBorders>
            <w:noWrap/>
            <w:vAlign w:val="center"/>
            <w:hideMark/>
          </w:tcPr>
          <w:p w14:paraId="594B82B0"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(232,005,923)</w:t>
            </w:r>
          </w:p>
        </w:tc>
        <w:tc>
          <w:tcPr>
            <w:tcW w:w="1216" w:type="dxa"/>
            <w:tcBorders>
              <w:top w:val="nil"/>
              <w:left w:val="nil"/>
              <w:bottom w:val="single" w:sz="4" w:space="0" w:color="767171"/>
              <w:right w:val="single" w:sz="4" w:space="0" w:color="767171"/>
            </w:tcBorders>
            <w:noWrap/>
            <w:vAlign w:val="center"/>
            <w:hideMark/>
          </w:tcPr>
          <w:p w14:paraId="40E17174"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noWrap/>
            <w:vAlign w:val="center"/>
            <w:hideMark/>
          </w:tcPr>
          <w:p w14:paraId="23CA4EFA"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223,059,262 </w:t>
            </w:r>
          </w:p>
        </w:tc>
        <w:tc>
          <w:tcPr>
            <w:tcW w:w="1819" w:type="dxa"/>
            <w:tcBorders>
              <w:top w:val="single" w:sz="4" w:space="0" w:color="767171"/>
              <w:left w:val="single" w:sz="4" w:space="0" w:color="767171"/>
              <w:bottom w:val="single" w:sz="4" w:space="0" w:color="767171"/>
              <w:right w:val="single" w:sz="4" w:space="0" w:color="767171"/>
            </w:tcBorders>
            <w:noWrap/>
            <w:vAlign w:val="center"/>
            <w:hideMark/>
          </w:tcPr>
          <w:p w14:paraId="23448C83"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(8,946,661)</w:t>
            </w:r>
          </w:p>
        </w:tc>
      </w:tr>
      <w:tr w:rsidR="00402F25" w:rsidRPr="00402F25" w14:paraId="5BAE2CE4" w14:textId="77777777" w:rsidTr="00E05B71">
        <w:trPr>
          <w:trHeight w:val="312"/>
          <w:jc w:val="center"/>
        </w:trPr>
        <w:tc>
          <w:tcPr>
            <w:tcW w:w="1727" w:type="dxa"/>
            <w:tcBorders>
              <w:top w:val="nil"/>
              <w:left w:val="single" w:sz="4" w:space="0" w:color="767171"/>
              <w:bottom w:val="single" w:sz="4" w:space="0" w:color="767171"/>
              <w:right w:val="single" w:sz="4" w:space="0" w:color="767171"/>
            </w:tcBorders>
            <w:noWrap/>
            <w:vAlign w:val="center"/>
            <w:hideMark/>
          </w:tcPr>
          <w:p w14:paraId="04DED0BA"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 xml:space="preserve">Impuestos y Reservas </w:t>
            </w:r>
          </w:p>
        </w:tc>
        <w:tc>
          <w:tcPr>
            <w:tcW w:w="1750" w:type="dxa"/>
            <w:tcBorders>
              <w:top w:val="nil"/>
              <w:left w:val="nil"/>
              <w:bottom w:val="single" w:sz="4" w:space="0" w:color="767171"/>
              <w:right w:val="single" w:sz="4" w:space="0" w:color="767171"/>
            </w:tcBorders>
            <w:noWrap/>
            <w:vAlign w:val="center"/>
            <w:hideMark/>
          </w:tcPr>
          <w:p w14:paraId="72FA2E22"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2,616,986 </w:t>
            </w:r>
          </w:p>
        </w:tc>
        <w:tc>
          <w:tcPr>
            <w:tcW w:w="1216" w:type="dxa"/>
            <w:tcBorders>
              <w:top w:val="nil"/>
              <w:left w:val="nil"/>
              <w:bottom w:val="single" w:sz="4" w:space="0" w:color="767171"/>
              <w:right w:val="single" w:sz="4" w:space="0" w:color="767171"/>
            </w:tcBorders>
            <w:noWrap/>
            <w:vAlign w:val="center"/>
            <w:hideMark/>
          </w:tcPr>
          <w:p w14:paraId="02C8C1E5"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noWrap/>
            <w:vAlign w:val="center"/>
            <w:hideMark/>
          </w:tcPr>
          <w:p w14:paraId="6AC32543"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2,710,120 </w:t>
            </w:r>
          </w:p>
        </w:tc>
        <w:tc>
          <w:tcPr>
            <w:tcW w:w="1819" w:type="dxa"/>
            <w:tcBorders>
              <w:top w:val="nil"/>
              <w:left w:val="nil"/>
              <w:bottom w:val="single" w:sz="4" w:space="0" w:color="767171"/>
              <w:right w:val="single" w:sz="4" w:space="0" w:color="767171"/>
            </w:tcBorders>
            <w:noWrap/>
            <w:vAlign w:val="center"/>
            <w:hideMark/>
          </w:tcPr>
          <w:p w14:paraId="5B796896"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5,327,106 </w:t>
            </w:r>
          </w:p>
        </w:tc>
      </w:tr>
      <w:tr w:rsidR="00402F25" w:rsidRPr="00402F25" w14:paraId="4BEBBEC2" w14:textId="77777777" w:rsidTr="00E05B71">
        <w:trPr>
          <w:trHeight w:val="420"/>
          <w:jc w:val="center"/>
        </w:trPr>
        <w:tc>
          <w:tcPr>
            <w:tcW w:w="1727" w:type="dxa"/>
            <w:tcBorders>
              <w:top w:val="nil"/>
              <w:left w:val="single" w:sz="4" w:space="0" w:color="767171"/>
              <w:bottom w:val="single" w:sz="4" w:space="0" w:color="767171"/>
              <w:right w:val="single" w:sz="4" w:space="0" w:color="767171"/>
            </w:tcBorders>
            <w:noWrap/>
            <w:vAlign w:val="center"/>
            <w:hideMark/>
          </w:tcPr>
          <w:p w14:paraId="43FCFDF8"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 xml:space="preserve">Beneficios / Pérdidas Netos </w:t>
            </w:r>
          </w:p>
        </w:tc>
        <w:tc>
          <w:tcPr>
            <w:tcW w:w="1750" w:type="dxa"/>
            <w:tcBorders>
              <w:top w:val="single" w:sz="4" w:space="0" w:color="767171"/>
              <w:left w:val="single" w:sz="4" w:space="0" w:color="767171"/>
              <w:bottom w:val="single" w:sz="4" w:space="0" w:color="767171"/>
              <w:right w:val="single" w:sz="4" w:space="0" w:color="767171"/>
            </w:tcBorders>
            <w:noWrap/>
            <w:vAlign w:val="center"/>
            <w:hideMark/>
          </w:tcPr>
          <w:p w14:paraId="5BA7F673"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(234,622,909)</w:t>
            </w:r>
          </w:p>
        </w:tc>
        <w:tc>
          <w:tcPr>
            <w:tcW w:w="1216" w:type="dxa"/>
            <w:tcBorders>
              <w:top w:val="nil"/>
              <w:left w:val="nil"/>
              <w:bottom w:val="single" w:sz="4" w:space="0" w:color="767171"/>
              <w:right w:val="single" w:sz="4" w:space="0" w:color="767171"/>
            </w:tcBorders>
            <w:noWrap/>
            <w:vAlign w:val="center"/>
            <w:hideMark/>
          </w:tcPr>
          <w:p w14:paraId="55A66E12"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noWrap/>
            <w:vAlign w:val="center"/>
            <w:hideMark/>
          </w:tcPr>
          <w:p w14:paraId="6CD98FA3"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220,349,142 </w:t>
            </w:r>
          </w:p>
        </w:tc>
        <w:tc>
          <w:tcPr>
            <w:tcW w:w="1819" w:type="dxa"/>
            <w:tcBorders>
              <w:top w:val="single" w:sz="4" w:space="0" w:color="767171"/>
              <w:left w:val="single" w:sz="4" w:space="0" w:color="767171"/>
              <w:bottom w:val="single" w:sz="4" w:space="0" w:color="767171"/>
              <w:right w:val="single" w:sz="4" w:space="0" w:color="767171"/>
            </w:tcBorders>
            <w:noWrap/>
            <w:vAlign w:val="center"/>
            <w:hideMark/>
          </w:tcPr>
          <w:p w14:paraId="71685E04"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(14,273,767)</w:t>
            </w:r>
          </w:p>
        </w:tc>
      </w:tr>
      <w:tr w:rsidR="00402F25" w:rsidRPr="00402F25" w14:paraId="174680B5"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2E01E355"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lastRenderedPageBreak/>
              <w:t>% de Beneficios</w:t>
            </w:r>
          </w:p>
        </w:tc>
        <w:tc>
          <w:tcPr>
            <w:tcW w:w="1750" w:type="dxa"/>
            <w:tcBorders>
              <w:top w:val="single" w:sz="4" w:space="0" w:color="767171"/>
              <w:left w:val="single" w:sz="4" w:space="0" w:color="767171"/>
              <w:bottom w:val="single" w:sz="4" w:space="0" w:color="767171"/>
              <w:right w:val="single" w:sz="4" w:space="0" w:color="767171"/>
            </w:tcBorders>
            <w:shd w:val="clear" w:color="000000" w:fill="FFFFFF"/>
            <w:noWrap/>
            <w:vAlign w:val="center"/>
            <w:hideMark/>
          </w:tcPr>
          <w:p w14:paraId="197AF8F7"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-38.7%</w:t>
            </w:r>
          </w:p>
        </w:tc>
        <w:tc>
          <w:tcPr>
            <w:tcW w:w="1216" w:type="dxa"/>
            <w:tcBorders>
              <w:top w:val="nil"/>
              <w:left w:val="nil"/>
              <w:bottom w:val="single" w:sz="4" w:space="0" w:color="767171"/>
              <w:right w:val="single" w:sz="4" w:space="0" w:color="767171"/>
            </w:tcBorders>
            <w:noWrap/>
            <w:vAlign w:val="center"/>
            <w:hideMark/>
          </w:tcPr>
          <w:p w14:paraId="1DADE157"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32AA96A1"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35.8%</w:t>
            </w:r>
          </w:p>
        </w:tc>
        <w:tc>
          <w:tcPr>
            <w:tcW w:w="1819" w:type="dxa"/>
            <w:tcBorders>
              <w:top w:val="single" w:sz="4" w:space="0" w:color="767171"/>
              <w:left w:val="single" w:sz="4" w:space="0" w:color="767171"/>
              <w:bottom w:val="single" w:sz="4" w:space="0" w:color="767171"/>
              <w:right w:val="single" w:sz="4" w:space="0" w:color="767171"/>
            </w:tcBorders>
            <w:shd w:val="clear" w:color="000000" w:fill="FFFFFF"/>
            <w:noWrap/>
            <w:vAlign w:val="center"/>
            <w:hideMark/>
          </w:tcPr>
          <w:p w14:paraId="55617807"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-0.7%</w:t>
            </w:r>
          </w:p>
        </w:tc>
      </w:tr>
      <w:tr w:rsidR="00402F25" w:rsidRPr="00402F25" w14:paraId="60D244AD"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06C46345"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 de Siniestralidad</w:t>
            </w:r>
          </w:p>
        </w:tc>
        <w:tc>
          <w:tcPr>
            <w:tcW w:w="1750" w:type="dxa"/>
            <w:tcBorders>
              <w:top w:val="nil"/>
              <w:left w:val="nil"/>
              <w:bottom w:val="single" w:sz="4" w:space="0" w:color="767171"/>
              <w:right w:val="single" w:sz="4" w:space="0" w:color="767171"/>
            </w:tcBorders>
            <w:shd w:val="clear" w:color="000000" w:fill="FFFFFF"/>
            <w:noWrap/>
            <w:vAlign w:val="center"/>
            <w:hideMark/>
          </w:tcPr>
          <w:p w14:paraId="3720F46E"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128.4%</w:t>
            </w:r>
          </w:p>
        </w:tc>
        <w:tc>
          <w:tcPr>
            <w:tcW w:w="1216" w:type="dxa"/>
            <w:tcBorders>
              <w:top w:val="nil"/>
              <w:left w:val="nil"/>
              <w:bottom w:val="single" w:sz="4" w:space="0" w:color="767171"/>
              <w:right w:val="single" w:sz="4" w:space="0" w:color="767171"/>
            </w:tcBorders>
            <w:noWrap/>
            <w:vAlign w:val="center"/>
            <w:hideMark/>
          </w:tcPr>
          <w:p w14:paraId="064DF9CE"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7874FF24"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51.0%</w:t>
            </w:r>
          </w:p>
        </w:tc>
        <w:tc>
          <w:tcPr>
            <w:tcW w:w="1819" w:type="dxa"/>
            <w:tcBorders>
              <w:top w:val="nil"/>
              <w:left w:val="nil"/>
              <w:bottom w:val="single" w:sz="4" w:space="0" w:color="767171"/>
              <w:right w:val="single" w:sz="4" w:space="0" w:color="767171"/>
            </w:tcBorders>
            <w:shd w:val="clear" w:color="000000" w:fill="FFFFFF"/>
            <w:noWrap/>
            <w:vAlign w:val="center"/>
            <w:hideMark/>
          </w:tcPr>
          <w:p w14:paraId="3B6D07D5"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89.0%</w:t>
            </w:r>
          </w:p>
        </w:tc>
      </w:tr>
      <w:tr w:rsidR="00402F25" w:rsidRPr="00402F25" w14:paraId="47731621" w14:textId="77777777" w:rsidTr="00E05B71">
        <w:trPr>
          <w:trHeight w:val="312"/>
          <w:jc w:val="center"/>
        </w:trPr>
        <w:tc>
          <w:tcPr>
            <w:tcW w:w="1727" w:type="dxa"/>
            <w:tcBorders>
              <w:top w:val="nil"/>
              <w:left w:val="single" w:sz="4" w:space="0" w:color="767171"/>
              <w:bottom w:val="single" w:sz="4" w:space="0" w:color="767171"/>
              <w:right w:val="single" w:sz="4" w:space="0" w:color="767171"/>
            </w:tcBorders>
            <w:shd w:val="clear" w:color="000000" w:fill="FFFFFF"/>
            <w:noWrap/>
            <w:vAlign w:val="center"/>
            <w:hideMark/>
          </w:tcPr>
          <w:p w14:paraId="7DA199EE" w14:textId="77777777" w:rsidR="00156B7C" w:rsidRPr="00402F25" w:rsidRDefault="00156B7C" w:rsidP="00402F25">
            <w:pPr>
              <w:spacing w:after="0" w:line="240" w:lineRule="auto"/>
              <w:rPr>
                <w:rFonts w:eastAsia="Times New Roman"/>
                <w:b/>
                <w:bCs/>
                <w:spacing w:val="0"/>
                <w:lang w:val="es-DO" w:eastAsia="es-DO"/>
              </w:rPr>
            </w:pPr>
            <w:r w:rsidRPr="00402F25">
              <w:rPr>
                <w:rFonts w:eastAsia="Times New Roman"/>
                <w:b/>
                <w:bCs/>
                <w:spacing w:val="0"/>
                <w:lang w:val="es-DO" w:eastAsia="es-DO"/>
              </w:rPr>
              <w:t>% de Gastos Administrativos</w:t>
            </w:r>
          </w:p>
        </w:tc>
        <w:tc>
          <w:tcPr>
            <w:tcW w:w="1750" w:type="dxa"/>
            <w:tcBorders>
              <w:top w:val="nil"/>
              <w:left w:val="nil"/>
              <w:bottom w:val="single" w:sz="4" w:space="0" w:color="767171"/>
              <w:right w:val="single" w:sz="4" w:space="0" w:color="767171"/>
            </w:tcBorders>
            <w:shd w:val="clear" w:color="000000" w:fill="FFFFFF"/>
            <w:noWrap/>
            <w:vAlign w:val="center"/>
            <w:hideMark/>
          </w:tcPr>
          <w:p w14:paraId="3B9B2DAE"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21.4%</w:t>
            </w:r>
          </w:p>
        </w:tc>
        <w:tc>
          <w:tcPr>
            <w:tcW w:w="1216" w:type="dxa"/>
            <w:tcBorders>
              <w:top w:val="nil"/>
              <w:left w:val="nil"/>
              <w:bottom w:val="single" w:sz="4" w:space="0" w:color="767171"/>
              <w:right w:val="single" w:sz="4" w:space="0" w:color="767171"/>
            </w:tcBorders>
            <w:noWrap/>
            <w:vAlign w:val="center"/>
            <w:hideMark/>
          </w:tcPr>
          <w:p w14:paraId="4B344D8B"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 xml:space="preserve">                               -   </w:t>
            </w:r>
          </w:p>
        </w:tc>
        <w:tc>
          <w:tcPr>
            <w:tcW w:w="1398" w:type="dxa"/>
            <w:tcBorders>
              <w:top w:val="nil"/>
              <w:left w:val="nil"/>
              <w:bottom w:val="single" w:sz="4" w:space="0" w:color="767171"/>
              <w:right w:val="single" w:sz="4" w:space="0" w:color="767171"/>
            </w:tcBorders>
            <w:shd w:val="clear" w:color="000000" w:fill="FFFFFF"/>
            <w:noWrap/>
            <w:vAlign w:val="center"/>
            <w:hideMark/>
          </w:tcPr>
          <w:p w14:paraId="308FA577"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21.4%</w:t>
            </w:r>
          </w:p>
        </w:tc>
        <w:tc>
          <w:tcPr>
            <w:tcW w:w="1819" w:type="dxa"/>
            <w:tcBorders>
              <w:top w:val="nil"/>
              <w:left w:val="nil"/>
              <w:bottom w:val="single" w:sz="4" w:space="0" w:color="767171"/>
              <w:right w:val="single" w:sz="4" w:space="0" w:color="767171"/>
            </w:tcBorders>
            <w:shd w:val="clear" w:color="000000" w:fill="FFFFFF"/>
            <w:noWrap/>
            <w:vAlign w:val="center"/>
            <w:hideMark/>
          </w:tcPr>
          <w:p w14:paraId="11CB8326" w14:textId="77777777" w:rsidR="00156B7C" w:rsidRPr="00402F25" w:rsidRDefault="00156B7C" w:rsidP="00402F25">
            <w:pPr>
              <w:spacing w:after="0" w:line="240" w:lineRule="auto"/>
              <w:jc w:val="right"/>
              <w:rPr>
                <w:rFonts w:eastAsia="Times New Roman"/>
                <w:b/>
                <w:bCs/>
                <w:spacing w:val="0"/>
                <w:lang w:val="es-DO" w:eastAsia="es-DO"/>
              </w:rPr>
            </w:pPr>
            <w:r w:rsidRPr="00402F25">
              <w:rPr>
                <w:rFonts w:eastAsia="Times New Roman"/>
                <w:b/>
                <w:bCs/>
                <w:spacing w:val="0"/>
                <w:lang w:val="es-DO" w:eastAsia="es-DO"/>
              </w:rPr>
              <w:t>21.4%</w:t>
            </w:r>
          </w:p>
        </w:tc>
      </w:tr>
    </w:tbl>
    <w:p w14:paraId="7F8F35CB" w14:textId="77777777" w:rsidR="00156B7C" w:rsidRPr="00402F25" w:rsidRDefault="00156B7C" w:rsidP="00402F25">
      <w:pPr>
        <w:autoSpaceDE w:val="0"/>
        <w:autoSpaceDN w:val="0"/>
        <w:adjustRightInd w:val="0"/>
        <w:spacing w:after="0" w:line="240" w:lineRule="auto"/>
        <w:rPr>
          <w:sz w:val="18"/>
          <w:szCs w:val="18"/>
          <w:lang w:val="es-DO"/>
        </w:rPr>
      </w:pPr>
      <w:r w:rsidRPr="00402F25">
        <w:rPr>
          <w:sz w:val="18"/>
          <w:szCs w:val="18"/>
          <w:lang w:val="es-DO"/>
        </w:rPr>
        <w:t>Fuente: Estados financieros de las ARS – SIE (SIMON)</w:t>
      </w:r>
    </w:p>
    <w:p w14:paraId="46DEBA7C" w14:textId="77777777" w:rsidR="00402F25" w:rsidRPr="005C133F" w:rsidRDefault="00402F25" w:rsidP="005C133F">
      <w:pPr>
        <w:spacing w:after="0" w:line="360" w:lineRule="auto"/>
        <w:jc w:val="both"/>
        <w:rPr>
          <w:lang w:val="es-DO"/>
        </w:rPr>
      </w:pPr>
    </w:p>
    <w:p w14:paraId="2DCFFFD6" w14:textId="5596145B" w:rsidR="00125641" w:rsidRPr="005C133F" w:rsidRDefault="00125641" w:rsidP="005C133F">
      <w:pPr>
        <w:spacing w:after="0" w:line="360" w:lineRule="auto"/>
        <w:jc w:val="both"/>
        <w:rPr>
          <w:b/>
          <w:bCs/>
          <w:lang w:val="es-DO"/>
        </w:rPr>
      </w:pPr>
      <w:bookmarkStart w:id="52" w:name="_Toc120118265"/>
      <w:bookmarkStart w:id="53" w:name="_Toc170482679"/>
      <w:r w:rsidRPr="005C133F">
        <w:rPr>
          <w:b/>
          <w:bCs/>
          <w:lang w:val="es-DO"/>
        </w:rPr>
        <w:t xml:space="preserve">Estadísticas financieras e indicadores Instituto Dominicano </w:t>
      </w:r>
      <w:r w:rsidR="00446F5D" w:rsidRPr="005C133F">
        <w:rPr>
          <w:b/>
          <w:bCs/>
          <w:lang w:val="es-DO"/>
        </w:rPr>
        <w:t>d</w:t>
      </w:r>
      <w:r w:rsidRPr="005C133F">
        <w:rPr>
          <w:b/>
          <w:bCs/>
          <w:lang w:val="es-DO"/>
        </w:rPr>
        <w:t xml:space="preserve">e Prevención </w:t>
      </w:r>
      <w:r w:rsidR="00446F5D" w:rsidRPr="005C133F">
        <w:rPr>
          <w:b/>
          <w:bCs/>
          <w:lang w:val="es-DO"/>
        </w:rPr>
        <w:t>y</w:t>
      </w:r>
      <w:r w:rsidRPr="005C133F">
        <w:rPr>
          <w:b/>
          <w:bCs/>
          <w:lang w:val="es-DO"/>
        </w:rPr>
        <w:t xml:space="preserve"> Protección </w:t>
      </w:r>
      <w:r w:rsidR="00446F5D" w:rsidRPr="005C133F">
        <w:rPr>
          <w:b/>
          <w:bCs/>
          <w:lang w:val="es-DO"/>
        </w:rPr>
        <w:t>d</w:t>
      </w:r>
      <w:r w:rsidRPr="005C133F">
        <w:rPr>
          <w:b/>
          <w:bCs/>
          <w:lang w:val="es-DO"/>
        </w:rPr>
        <w:t xml:space="preserve">e Riesgos Laborales (IDOPPRIL) </w:t>
      </w:r>
      <w:bookmarkEnd w:id="52"/>
      <w:bookmarkEnd w:id="53"/>
    </w:p>
    <w:p w14:paraId="61B151BC" w14:textId="77777777" w:rsidR="00C527D8" w:rsidRPr="005C133F" w:rsidRDefault="00C527D8" w:rsidP="005C133F">
      <w:pPr>
        <w:spacing w:after="0" w:line="360" w:lineRule="auto"/>
        <w:jc w:val="both"/>
        <w:rPr>
          <w:lang w:val="es-DO"/>
        </w:rPr>
      </w:pPr>
    </w:p>
    <w:p w14:paraId="01BC9ED5" w14:textId="77777777" w:rsidR="00E637B0" w:rsidRDefault="00472CED">
      <w:pPr>
        <w:pStyle w:val="Prrafodelista"/>
        <w:numPr>
          <w:ilvl w:val="1"/>
          <w:numId w:val="144"/>
        </w:numPr>
        <w:spacing w:after="0" w:line="360" w:lineRule="auto"/>
        <w:rPr>
          <w:b/>
          <w:bCs/>
          <w:lang w:val="es-DO"/>
        </w:rPr>
      </w:pPr>
      <w:bookmarkStart w:id="54" w:name="_Toc120118266"/>
      <w:bookmarkStart w:id="55" w:name="_Toc170482680"/>
      <w:r w:rsidRPr="005C133F">
        <w:rPr>
          <w:b/>
          <w:bCs/>
          <w:lang w:val="es-DO"/>
        </w:rPr>
        <w:t>Reservas Técnicas Vs.  Inversiones de las Reservas Técnicas</w:t>
      </w:r>
      <w:bookmarkEnd w:id="54"/>
      <w:bookmarkEnd w:id="55"/>
      <w:r w:rsidRPr="005C133F">
        <w:rPr>
          <w:b/>
          <w:bCs/>
          <w:lang w:val="es-DO"/>
        </w:rPr>
        <w:t xml:space="preserve"> </w:t>
      </w:r>
      <w:bookmarkStart w:id="56" w:name="_Toc120118267"/>
      <w:bookmarkStart w:id="57" w:name="_Toc170482681"/>
    </w:p>
    <w:p w14:paraId="2991DD2A" w14:textId="77777777" w:rsidR="00402F25" w:rsidRPr="005C133F" w:rsidRDefault="00402F25" w:rsidP="00402F25">
      <w:pPr>
        <w:pStyle w:val="Prrafodelista"/>
        <w:spacing w:after="0" w:line="360" w:lineRule="auto"/>
        <w:ind w:left="1440"/>
        <w:rPr>
          <w:b/>
          <w:bCs/>
          <w:lang w:val="es-DO"/>
        </w:rPr>
      </w:pPr>
    </w:p>
    <w:p w14:paraId="464E0980" w14:textId="38B0F520" w:rsidR="003B558E" w:rsidRPr="005C133F" w:rsidRDefault="0009143D" w:rsidP="005C133F">
      <w:pPr>
        <w:spacing w:after="0" w:line="360" w:lineRule="auto"/>
        <w:jc w:val="both"/>
        <w:rPr>
          <w:lang w:val="es-DO"/>
        </w:rPr>
      </w:pPr>
      <w:r w:rsidRPr="005C133F">
        <w:rPr>
          <w:lang w:val="es-DO"/>
        </w:rPr>
        <w:t xml:space="preserve">En </w:t>
      </w:r>
      <w:r w:rsidR="00BB7A69" w:rsidRPr="005C133F">
        <w:rPr>
          <w:lang w:val="es-DO"/>
        </w:rPr>
        <w:t>la tabla</w:t>
      </w:r>
      <w:r w:rsidRPr="005C133F">
        <w:rPr>
          <w:lang w:val="es-DO"/>
        </w:rPr>
        <w:t xml:space="preserve"> siguiente, se presenta la relación entre las Reservas Técnicas por RD$49,808,440,554.13 y las Inversiones realizadas por RD$64,949,414,897.57 para avalar las mismas, correspondientes al período enero–septiembre 2025, observándose un excedente de </w:t>
      </w:r>
      <w:r w:rsidRPr="005C133F">
        <w:rPr>
          <w:b/>
          <w:bCs/>
          <w:lang w:val="es-DO"/>
        </w:rPr>
        <w:t>RD$15,140,974,343.44</w:t>
      </w:r>
      <w:r w:rsidRPr="005C133F">
        <w:rPr>
          <w:lang w:val="es-DO"/>
        </w:rPr>
        <w:t xml:space="preserve"> en las inversiones de las Reservas Técnicas.</w:t>
      </w:r>
    </w:p>
    <w:p w14:paraId="080C8B92" w14:textId="77777777" w:rsidR="00BE21DC" w:rsidRPr="005C133F" w:rsidRDefault="00BE21DC" w:rsidP="00402F25">
      <w:pPr>
        <w:spacing w:after="0" w:line="360" w:lineRule="auto"/>
        <w:rPr>
          <w:b/>
          <w:bCs/>
          <w:lang w:val="es-DO"/>
        </w:rPr>
      </w:pPr>
    </w:p>
    <w:p w14:paraId="43DB5835" w14:textId="46141E13" w:rsidR="00BE21DC" w:rsidRPr="005C133F" w:rsidRDefault="00BE21DC" w:rsidP="00402F25">
      <w:pPr>
        <w:pStyle w:val="Descripcin"/>
        <w:keepNext/>
        <w:spacing w:after="0"/>
        <w:jc w:val="center"/>
        <w:rPr>
          <w:b/>
          <w:bCs/>
          <w:i w:val="0"/>
          <w:iCs w:val="0"/>
          <w:color w:val="767171"/>
          <w:sz w:val="24"/>
          <w:szCs w:val="24"/>
          <w:lang w:val="es-DO"/>
        </w:rPr>
      </w:pPr>
      <w:bookmarkStart w:id="58" w:name="_Toc218784153"/>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21</w:t>
      </w:r>
      <w:r w:rsidRPr="005C133F">
        <w:rPr>
          <w:b/>
          <w:bCs/>
          <w:i w:val="0"/>
          <w:iCs w:val="0"/>
          <w:color w:val="767171"/>
          <w:sz w:val="24"/>
          <w:szCs w:val="24"/>
          <w:lang w:val="es-DO"/>
        </w:rPr>
        <w:fldChar w:fldCharType="end"/>
      </w:r>
      <w:r w:rsidRPr="005C133F">
        <w:rPr>
          <w:b/>
          <w:bCs/>
          <w:i w:val="0"/>
          <w:iCs w:val="0"/>
          <w:color w:val="767171"/>
          <w:sz w:val="24"/>
          <w:szCs w:val="24"/>
          <w:lang w:val="es-DO"/>
        </w:rPr>
        <w:t>. Reservas Técnicas vs. Inversión de las Reservas Técnicas del IDOPPRIL, enero - septiembre 2025</w:t>
      </w:r>
      <w:bookmarkEnd w:id="58"/>
    </w:p>
    <w:tbl>
      <w:tblPr>
        <w:tblW w:w="7955" w:type="dxa"/>
        <w:tblCellMar>
          <w:left w:w="70" w:type="dxa"/>
          <w:right w:w="70" w:type="dxa"/>
        </w:tblCellMar>
        <w:tblLook w:val="04A0" w:firstRow="1" w:lastRow="0" w:firstColumn="1" w:lastColumn="0" w:noHBand="0" w:noVBand="1"/>
      </w:tblPr>
      <w:tblGrid>
        <w:gridCol w:w="4700"/>
        <w:gridCol w:w="3255"/>
      </w:tblGrid>
      <w:tr w:rsidR="00AC2DB2" w:rsidRPr="00AC2DB2" w14:paraId="2A7FB020" w14:textId="77777777" w:rsidTr="000049FB">
        <w:trPr>
          <w:trHeight w:val="514"/>
          <w:tblHeader/>
        </w:trPr>
        <w:tc>
          <w:tcPr>
            <w:tcW w:w="0" w:type="auto"/>
            <w:tcBorders>
              <w:top w:val="single" w:sz="4" w:space="0" w:color="767171"/>
              <w:left w:val="single" w:sz="4" w:space="0" w:color="767171"/>
              <w:bottom w:val="single" w:sz="4" w:space="0" w:color="767171"/>
              <w:right w:val="single" w:sz="4" w:space="0" w:color="767171"/>
            </w:tcBorders>
            <w:shd w:val="clear" w:color="000000" w:fill="002060"/>
            <w:vAlign w:val="center"/>
            <w:hideMark/>
          </w:tcPr>
          <w:p w14:paraId="0AE2EDAF" w14:textId="77777777" w:rsidR="00860B7A" w:rsidRPr="00AC2DB2" w:rsidRDefault="00860B7A"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Detalle</w:t>
            </w:r>
          </w:p>
        </w:tc>
        <w:tc>
          <w:tcPr>
            <w:tcW w:w="0" w:type="auto"/>
            <w:tcBorders>
              <w:top w:val="single" w:sz="4" w:space="0" w:color="767171"/>
              <w:left w:val="nil"/>
              <w:bottom w:val="single" w:sz="4" w:space="0" w:color="767171"/>
              <w:right w:val="single" w:sz="4" w:space="0" w:color="767171"/>
            </w:tcBorders>
            <w:shd w:val="clear" w:color="000000" w:fill="002060"/>
            <w:vAlign w:val="center"/>
            <w:hideMark/>
          </w:tcPr>
          <w:p w14:paraId="3EC519E8" w14:textId="77777777" w:rsidR="00860B7A" w:rsidRPr="00AC2DB2" w:rsidRDefault="00860B7A"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Valor</w:t>
            </w:r>
          </w:p>
        </w:tc>
      </w:tr>
      <w:tr w:rsidR="004921FF" w:rsidRPr="005C133F" w14:paraId="013C6B2D" w14:textId="77777777" w:rsidTr="000049FB">
        <w:trPr>
          <w:trHeight w:val="619"/>
        </w:trPr>
        <w:tc>
          <w:tcPr>
            <w:tcW w:w="0" w:type="auto"/>
            <w:tcBorders>
              <w:top w:val="nil"/>
              <w:left w:val="single" w:sz="4" w:space="0" w:color="767171"/>
              <w:bottom w:val="single" w:sz="4" w:space="0" w:color="767171"/>
              <w:right w:val="single" w:sz="4" w:space="0" w:color="767171"/>
            </w:tcBorders>
            <w:vAlign w:val="center"/>
            <w:hideMark/>
          </w:tcPr>
          <w:p w14:paraId="7F94831A" w14:textId="77777777" w:rsidR="00860B7A" w:rsidRPr="005C133F" w:rsidRDefault="00860B7A" w:rsidP="00402F25">
            <w:pPr>
              <w:spacing w:after="0" w:line="240" w:lineRule="auto"/>
              <w:rPr>
                <w:rFonts w:eastAsia="Times New Roman"/>
                <w:spacing w:val="0"/>
                <w:lang w:val="es-DO" w:eastAsia="es-DO"/>
              </w:rPr>
            </w:pPr>
            <w:r w:rsidRPr="005C133F">
              <w:rPr>
                <w:rFonts w:eastAsia="Times New Roman"/>
                <w:spacing w:val="0"/>
                <w:lang w:val="es-DO" w:eastAsia="es-DO"/>
              </w:rPr>
              <w:t>Reservas Técnicas (RT)</w:t>
            </w:r>
          </w:p>
        </w:tc>
        <w:tc>
          <w:tcPr>
            <w:tcW w:w="0" w:type="auto"/>
            <w:tcBorders>
              <w:top w:val="nil"/>
              <w:left w:val="nil"/>
              <w:bottom w:val="single" w:sz="4" w:space="0" w:color="767171"/>
              <w:right w:val="single" w:sz="4" w:space="0" w:color="767171"/>
            </w:tcBorders>
            <w:vAlign w:val="center"/>
            <w:hideMark/>
          </w:tcPr>
          <w:p w14:paraId="7F768795" w14:textId="77777777" w:rsidR="00860B7A" w:rsidRPr="005C133F" w:rsidRDefault="00860B7A"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49,808,440,554.13 </w:t>
            </w:r>
          </w:p>
        </w:tc>
      </w:tr>
      <w:tr w:rsidR="004921FF" w:rsidRPr="005C133F" w14:paraId="0D4475B0" w14:textId="77777777" w:rsidTr="00656342">
        <w:trPr>
          <w:trHeight w:val="391"/>
        </w:trPr>
        <w:tc>
          <w:tcPr>
            <w:tcW w:w="0" w:type="auto"/>
            <w:tcBorders>
              <w:top w:val="nil"/>
              <w:left w:val="single" w:sz="4" w:space="0" w:color="767171"/>
              <w:bottom w:val="single" w:sz="4" w:space="0" w:color="767171"/>
              <w:right w:val="single" w:sz="4" w:space="0" w:color="767171"/>
            </w:tcBorders>
            <w:vAlign w:val="center"/>
            <w:hideMark/>
          </w:tcPr>
          <w:p w14:paraId="05E83D32" w14:textId="77777777" w:rsidR="00860B7A" w:rsidRPr="005C133F" w:rsidRDefault="00860B7A" w:rsidP="00402F25">
            <w:pPr>
              <w:spacing w:after="0" w:line="240" w:lineRule="auto"/>
              <w:rPr>
                <w:rFonts w:eastAsia="Times New Roman"/>
                <w:spacing w:val="0"/>
                <w:lang w:val="es-DO" w:eastAsia="es-DO"/>
              </w:rPr>
            </w:pPr>
            <w:r w:rsidRPr="005C133F">
              <w:rPr>
                <w:rFonts w:eastAsia="Times New Roman"/>
                <w:spacing w:val="0"/>
                <w:lang w:val="es-DO" w:eastAsia="es-DO"/>
              </w:rPr>
              <w:t>Inversiones de las Reservas Técnicas</w:t>
            </w:r>
          </w:p>
        </w:tc>
        <w:tc>
          <w:tcPr>
            <w:tcW w:w="0" w:type="auto"/>
            <w:tcBorders>
              <w:top w:val="nil"/>
              <w:left w:val="nil"/>
              <w:bottom w:val="single" w:sz="4" w:space="0" w:color="767171"/>
              <w:right w:val="single" w:sz="4" w:space="0" w:color="767171"/>
            </w:tcBorders>
            <w:vAlign w:val="center"/>
            <w:hideMark/>
          </w:tcPr>
          <w:p w14:paraId="39806236" w14:textId="77777777" w:rsidR="00860B7A" w:rsidRPr="005C133F" w:rsidRDefault="00860B7A" w:rsidP="00402F25">
            <w:pPr>
              <w:spacing w:after="0" w:line="240" w:lineRule="auto"/>
              <w:jc w:val="right"/>
              <w:rPr>
                <w:rFonts w:eastAsia="Times New Roman"/>
                <w:spacing w:val="0"/>
                <w:lang w:val="es-DO" w:eastAsia="es-DO"/>
              </w:rPr>
            </w:pPr>
            <w:r w:rsidRPr="005C133F">
              <w:rPr>
                <w:rFonts w:eastAsia="Times New Roman"/>
                <w:spacing w:val="0"/>
                <w:lang w:val="es-DO" w:eastAsia="es-DO"/>
              </w:rPr>
              <w:t xml:space="preserve">               64,949,414,897.57 </w:t>
            </w:r>
          </w:p>
        </w:tc>
      </w:tr>
      <w:tr w:rsidR="004921FF" w:rsidRPr="005C133F" w14:paraId="4F0E960F" w14:textId="77777777" w:rsidTr="00656342">
        <w:trPr>
          <w:trHeight w:val="539"/>
        </w:trPr>
        <w:tc>
          <w:tcPr>
            <w:tcW w:w="0" w:type="auto"/>
            <w:tcBorders>
              <w:top w:val="nil"/>
              <w:left w:val="single" w:sz="4" w:space="0" w:color="767171"/>
              <w:bottom w:val="single" w:sz="4" w:space="0" w:color="767171"/>
              <w:right w:val="single" w:sz="4" w:space="0" w:color="767171"/>
            </w:tcBorders>
            <w:vAlign w:val="center"/>
            <w:hideMark/>
          </w:tcPr>
          <w:p w14:paraId="1663A0C7" w14:textId="77777777" w:rsidR="00860B7A" w:rsidRPr="005C133F" w:rsidRDefault="00860B7A" w:rsidP="00402F25">
            <w:pPr>
              <w:spacing w:after="0" w:line="240" w:lineRule="auto"/>
              <w:rPr>
                <w:rFonts w:eastAsia="Times New Roman"/>
                <w:b/>
                <w:bCs/>
                <w:spacing w:val="0"/>
                <w:lang w:val="es-DO" w:eastAsia="es-DO"/>
              </w:rPr>
            </w:pPr>
            <w:r w:rsidRPr="005C133F">
              <w:rPr>
                <w:rFonts w:eastAsia="Times New Roman"/>
                <w:b/>
                <w:bCs/>
                <w:spacing w:val="0"/>
                <w:lang w:val="es-DO" w:eastAsia="es-DO"/>
              </w:rPr>
              <w:t>Excedente en las Inversiones de las RT</w:t>
            </w:r>
          </w:p>
        </w:tc>
        <w:tc>
          <w:tcPr>
            <w:tcW w:w="0" w:type="auto"/>
            <w:tcBorders>
              <w:top w:val="nil"/>
              <w:left w:val="nil"/>
              <w:bottom w:val="single" w:sz="4" w:space="0" w:color="767171"/>
              <w:right w:val="single" w:sz="4" w:space="0" w:color="767171"/>
            </w:tcBorders>
            <w:noWrap/>
            <w:vAlign w:val="center"/>
            <w:hideMark/>
          </w:tcPr>
          <w:p w14:paraId="071BC2D8" w14:textId="77777777" w:rsidR="00860B7A" w:rsidRPr="005C133F" w:rsidRDefault="00860B7A"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15,140,974,343.44 </w:t>
            </w:r>
          </w:p>
        </w:tc>
      </w:tr>
    </w:tbl>
    <w:p w14:paraId="23AC8CFA" w14:textId="30C95DBD" w:rsidR="0009143D" w:rsidRPr="00AC2DB2" w:rsidRDefault="0077159F" w:rsidP="005C133F">
      <w:pPr>
        <w:autoSpaceDE w:val="0"/>
        <w:autoSpaceDN w:val="0"/>
        <w:adjustRightInd w:val="0"/>
        <w:spacing w:after="0" w:line="360" w:lineRule="auto"/>
        <w:rPr>
          <w:sz w:val="18"/>
          <w:szCs w:val="18"/>
          <w:lang w:val="es-DO"/>
        </w:rPr>
      </w:pPr>
      <w:r w:rsidRPr="00AC2DB2">
        <w:rPr>
          <w:sz w:val="18"/>
          <w:szCs w:val="18"/>
          <w:lang w:val="es-DO"/>
        </w:rPr>
        <w:t>Fuente: Estados financieros del IDOP</w:t>
      </w:r>
      <w:r w:rsidR="005E01F3" w:rsidRPr="00AC2DB2">
        <w:rPr>
          <w:sz w:val="18"/>
          <w:szCs w:val="18"/>
          <w:lang w:val="es-DO"/>
        </w:rPr>
        <w:t>PRIL</w:t>
      </w:r>
      <w:r w:rsidRPr="00AC2DB2">
        <w:rPr>
          <w:sz w:val="18"/>
          <w:szCs w:val="18"/>
          <w:lang w:val="es-DO"/>
        </w:rPr>
        <w:t xml:space="preserve"> – SIE (SIMON)</w:t>
      </w:r>
    </w:p>
    <w:p w14:paraId="09DFFCEA" w14:textId="77777777" w:rsidR="00E637B0" w:rsidRPr="005C133F" w:rsidRDefault="00E637B0" w:rsidP="005C133F">
      <w:pPr>
        <w:pStyle w:val="Prrafodelista"/>
        <w:spacing w:after="0" w:line="360" w:lineRule="auto"/>
        <w:ind w:left="1440"/>
        <w:rPr>
          <w:b/>
          <w:bCs/>
          <w:lang w:val="es-DO"/>
        </w:rPr>
      </w:pPr>
    </w:p>
    <w:p w14:paraId="17828D1A" w14:textId="0F2B0DC9" w:rsidR="00E637B0" w:rsidRPr="005C133F" w:rsidRDefault="00E637B0">
      <w:pPr>
        <w:pStyle w:val="Prrafodelista"/>
        <w:numPr>
          <w:ilvl w:val="1"/>
          <w:numId w:val="144"/>
        </w:numPr>
        <w:spacing w:after="0" w:line="360" w:lineRule="auto"/>
        <w:rPr>
          <w:b/>
          <w:bCs/>
          <w:lang w:val="es-DO"/>
        </w:rPr>
      </w:pPr>
      <w:r w:rsidRPr="005C133F">
        <w:rPr>
          <w:rFonts w:eastAsia="Times New Roman"/>
          <w:b/>
          <w:bCs/>
          <w:iCs/>
          <w:lang w:val="es-DO"/>
        </w:rPr>
        <w:lastRenderedPageBreak/>
        <w:t>Estados de Resultados e Indicadores Financieros del IDOPPRIL</w:t>
      </w:r>
      <w:bookmarkEnd w:id="56"/>
      <w:bookmarkEnd w:id="57"/>
    </w:p>
    <w:p w14:paraId="2AA4E193" w14:textId="3491F20C" w:rsidR="00B900BB" w:rsidRPr="005C133F" w:rsidRDefault="00B900BB" w:rsidP="005C133F">
      <w:pPr>
        <w:pStyle w:val="Prrafodelista"/>
        <w:spacing w:after="0" w:line="360" w:lineRule="auto"/>
        <w:ind w:left="1440"/>
        <w:rPr>
          <w:b/>
          <w:bCs/>
          <w:lang w:val="es-DO"/>
        </w:rPr>
      </w:pPr>
    </w:p>
    <w:p w14:paraId="50A2631F" w14:textId="554D0AD4" w:rsidR="00B900BB" w:rsidRPr="005C133F" w:rsidRDefault="00B900BB" w:rsidP="005C133F">
      <w:pPr>
        <w:pStyle w:val="Prrafodelista"/>
        <w:spacing w:before="120" w:after="0" w:line="360" w:lineRule="auto"/>
        <w:ind w:left="0"/>
        <w:jc w:val="both"/>
        <w:rPr>
          <w:lang w:val="es-DO"/>
        </w:rPr>
      </w:pPr>
      <w:r w:rsidRPr="005C133F">
        <w:rPr>
          <w:lang w:val="es-DO"/>
        </w:rPr>
        <w:t>En la tabla siguiente se presenta el Estado de Resultados o Estado de Beneficios consolidado del Instituto Dominicano De Prevención y Protección de Riesgos Laborales (IDOPPRIL) para el periodo enero – septiembre 2025, como resultado de los ingresos recibidos, menos los costos o prestaciones del Seguro de Riesgos Laborales y de los gastos incurridos por la institución en el per</w:t>
      </w:r>
      <w:r w:rsidR="003F3C56" w:rsidRPr="005C133F">
        <w:rPr>
          <w:lang w:val="es-DO"/>
        </w:rPr>
        <w:t>í</w:t>
      </w:r>
      <w:r w:rsidRPr="005C133F">
        <w:rPr>
          <w:lang w:val="es-DO"/>
        </w:rPr>
        <w:t>odo evaluado.</w:t>
      </w:r>
    </w:p>
    <w:p w14:paraId="6D593954" w14:textId="77777777" w:rsidR="003F3C56" w:rsidRPr="005C133F" w:rsidRDefault="003F3C56" w:rsidP="005C133F">
      <w:pPr>
        <w:pStyle w:val="Prrafodelista"/>
        <w:spacing w:before="120" w:after="0" w:line="360" w:lineRule="auto"/>
        <w:ind w:left="0"/>
        <w:jc w:val="both"/>
        <w:rPr>
          <w:lang w:val="es-DO"/>
        </w:rPr>
      </w:pPr>
    </w:p>
    <w:p w14:paraId="43B16F8F" w14:textId="62F9B137" w:rsidR="00701791" w:rsidRPr="005C133F" w:rsidRDefault="003F3C56" w:rsidP="005C133F">
      <w:pPr>
        <w:pStyle w:val="Prrafodelista"/>
        <w:spacing w:before="120" w:after="0" w:line="360" w:lineRule="auto"/>
        <w:ind w:left="0"/>
        <w:jc w:val="both"/>
        <w:rPr>
          <w:lang w:val="es-DO"/>
        </w:rPr>
      </w:pPr>
      <w:r w:rsidRPr="005C133F">
        <w:rPr>
          <w:lang w:val="es-DO"/>
        </w:rPr>
        <w:t>E</w:t>
      </w:r>
      <w:r w:rsidR="00B900BB" w:rsidRPr="005C133F">
        <w:rPr>
          <w:lang w:val="es-DO"/>
        </w:rPr>
        <w:t>l IDOPPRIL regist</w:t>
      </w:r>
      <w:r w:rsidR="00B4750C" w:rsidRPr="005C133F">
        <w:rPr>
          <w:lang w:val="es-DO"/>
        </w:rPr>
        <w:t>ró</w:t>
      </w:r>
      <w:r w:rsidR="00B900BB" w:rsidRPr="005C133F">
        <w:rPr>
          <w:lang w:val="es-DO"/>
        </w:rPr>
        <w:t xml:space="preserve"> unas pérdidas por un monto de RD$1,558,406,414.66, el cual se produce por los ajustes mensuales que se realizan en el cálculo de las Reservas técnicas, basado en los requerimientos del Artículo No. 19 del Reglamento de Riesgos Laborales, que establece la distribución de los ingresos mensuales recibidos por esa institución, aplicando el 75% para el pago de reclamaciones por Prestaciones Económicas, el 15% para las Prestaciones en Especie y el 10% para los Gastos Generales y Administrativos.    </w:t>
      </w:r>
    </w:p>
    <w:p w14:paraId="6834D912" w14:textId="77777777" w:rsidR="00246DA5" w:rsidRPr="005C133F" w:rsidRDefault="00246DA5" w:rsidP="005C133F">
      <w:pPr>
        <w:pStyle w:val="Prrafodelista"/>
        <w:spacing w:before="120" w:after="0" w:line="360" w:lineRule="auto"/>
        <w:ind w:left="0"/>
        <w:jc w:val="both"/>
        <w:rPr>
          <w:lang w:val="es-DO"/>
        </w:rPr>
      </w:pPr>
    </w:p>
    <w:p w14:paraId="599F96FE" w14:textId="148762D5" w:rsidR="00701791" w:rsidRPr="005C133F" w:rsidRDefault="004D0235" w:rsidP="00402F25">
      <w:pPr>
        <w:pStyle w:val="Descripcin"/>
        <w:spacing w:after="0"/>
        <w:jc w:val="center"/>
        <w:rPr>
          <w:b/>
          <w:i w:val="0"/>
          <w:color w:val="767171"/>
          <w:sz w:val="24"/>
          <w:szCs w:val="24"/>
          <w:lang w:val="es-DO"/>
        </w:rPr>
      </w:pPr>
      <w:bookmarkStart w:id="59" w:name="_Toc218784154"/>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22</w:t>
      </w:r>
      <w:r w:rsidRPr="005C133F">
        <w:rPr>
          <w:b/>
          <w:bCs/>
          <w:i w:val="0"/>
          <w:iCs w:val="0"/>
          <w:color w:val="767171"/>
          <w:sz w:val="24"/>
          <w:szCs w:val="24"/>
          <w:lang w:val="es-DO"/>
        </w:rPr>
        <w:fldChar w:fldCharType="end"/>
      </w:r>
      <w:r w:rsidRPr="005C133F">
        <w:rPr>
          <w:b/>
          <w:bCs/>
          <w:i w:val="0"/>
          <w:iCs w:val="0"/>
          <w:color w:val="767171"/>
          <w:sz w:val="24"/>
          <w:szCs w:val="24"/>
          <w:lang w:val="es-DO"/>
        </w:rPr>
        <w:t xml:space="preserve">. </w:t>
      </w:r>
      <w:r w:rsidR="002E0DA4" w:rsidRPr="005C133F">
        <w:rPr>
          <w:b/>
          <w:i w:val="0"/>
          <w:color w:val="767171"/>
          <w:sz w:val="24"/>
          <w:szCs w:val="24"/>
          <w:lang w:val="es-DO"/>
        </w:rPr>
        <w:t xml:space="preserve">Estados de Resultados </w:t>
      </w:r>
      <w:r w:rsidR="00701791" w:rsidRPr="005C133F">
        <w:rPr>
          <w:b/>
          <w:i w:val="0"/>
          <w:color w:val="767171"/>
          <w:sz w:val="24"/>
          <w:szCs w:val="24"/>
          <w:lang w:val="es-DO"/>
        </w:rPr>
        <w:t xml:space="preserve">Instituto Dominicano de Prevención y Protección de Riegos </w:t>
      </w:r>
      <w:r w:rsidR="002E0DA4" w:rsidRPr="005C133F">
        <w:rPr>
          <w:b/>
          <w:i w:val="0"/>
          <w:color w:val="767171"/>
          <w:sz w:val="24"/>
          <w:szCs w:val="24"/>
          <w:lang w:val="es-DO"/>
        </w:rPr>
        <w:t>Laborales</w:t>
      </w:r>
      <w:r w:rsidR="0011510C" w:rsidRPr="005C133F">
        <w:rPr>
          <w:b/>
          <w:i w:val="0"/>
          <w:color w:val="767171"/>
          <w:sz w:val="24"/>
          <w:szCs w:val="24"/>
          <w:lang w:val="es-DO"/>
        </w:rPr>
        <w:t xml:space="preserve">, </w:t>
      </w:r>
      <w:r w:rsidR="002E0DA4" w:rsidRPr="005C133F">
        <w:rPr>
          <w:b/>
          <w:i w:val="0"/>
          <w:color w:val="767171"/>
          <w:sz w:val="24"/>
          <w:szCs w:val="24"/>
          <w:lang w:val="es-DO"/>
        </w:rPr>
        <w:t>e</w:t>
      </w:r>
      <w:r w:rsidR="00701791" w:rsidRPr="005C133F">
        <w:rPr>
          <w:b/>
          <w:i w:val="0"/>
          <w:color w:val="767171"/>
          <w:sz w:val="24"/>
          <w:szCs w:val="24"/>
          <w:lang w:val="es-DO"/>
        </w:rPr>
        <w:t xml:space="preserve">nero- </w:t>
      </w:r>
      <w:r w:rsidR="002E0DA4" w:rsidRPr="005C133F">
        <w:rPr>
          <w:b/>
          <w:i w:val="0"/>
          <w:color w:val="767171"/>
          <w:sz w:val="24"/>
          <w:szCs w:val="24"/>
          <w:lang w:val="es-DO"/>
        </w:rPr>
        <w:t>septiembre</w:t>
      </w:r>
      <w:r w:rsidR="00701791" w:rsidRPr="005C133F">
        <w:rPr>
          <w:b/>
          <w:i w:val="0"/>
          <w:color w:val="767171"/>
          <w:sz w:val="24"/>
          <w:szCs w:val="24"/>
          <w:lang w:val="es-DO"/>
        </w:rPr>
        <w:t xml:space="preserve"> 2025</w:t>
      </w:r>
      <w:bookmarkEnd w:id="59"/>
    </w:p>
    <w:tbl>
      <w:tblPr>
        <w:tblW w:w="0" w:type="auto"/>
        <w:tblCellMar>
          <w:left w:w="70" w:type="dxa"/>
          <w:right w:w="70" w:type="dxa"/>
        </w:tblCellMar>
        <w:tblLook w:val="04A0" w:firstRow="1" w:lastRow="0" w:firstColumn="1" w:lastColumn="0" w:noHBand="0" w:noVBand="1"/>
      </w:tblPr>
      <w:tblGrid>
        <w:gridCol w:w="4227"/>
        <w:gridCol w:w="3660"/>
      </w:tblGrid>
      <w:tr w:rsidR="00AC2DB2" w:rsidRPr="00AC2DB2" w14:paraId="2ECC72E7" w14:textId="77777777" w:rsidTr="006A7520">
        <w:trPr>
          <w:trHeight w:val="480"/>
          <w:tblHeader/>
        </w:trPr>
        <w:tc>
          <w:tcPr>
            <w:tcW w:w="0" w:type="auto"/>
            <w:tcBorders>
              <w:top w:val="single" w:sz="4" w:space="0" w:color="767171"/>
              <w:left w:val="single" w:sz="4" w:space="0" w:color="767171"/>
              <w:bottom w:val="single" w:sz="4" w:space="0" w:color="767171"/>
              <w:right w:val="single" w:sz="4" w:space="0" w:color="767171"/>
            </w:tcBorders>
            <w:shd w:val="clear" w:color="000000" w:fill="002060"/>
            <w:vAlign w:val="center"/>
            <w:hideMark/>
          </w:tcPr>
          <w:p w14:paraId="0BA9CB28" w14:textId="77777777" w:rsidR="00CA73F8" w:rsidRPr="00AC2DB2" w:rsidRDefault="00CA73F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Detalle</w:t>
            </w:r>
          </w:p>
        </w:tc>
        <w:tc>
          <w:tcPr>
            <w:tcW w:w="0" w:type="auto"/>
            <w:tcBorders>
              <w:top w:val="single" w:sz="4" w:space="0" w:color="767171"/>
              <w:left w:val="nil"/>
              <w:bottom w:val="single" w:sz="4" w:space="0" w:color="767171"/>
              <w:right w:val="single" w:sz="4" w:space="0" w:color="767171"/>
            </w:tcBorders>
            <w:shd w:val="clear" w:color="000000" w:fill="002060"/>
            <w:vAlign w:val="center"/>
            <w:hideMark/>
          </w:tcPr>
          <w:p w14:paraId="0BE36CAA" w14:textId="77777777" w:rsidR="00CA73F8" w:rsidRPr="00AC2DB2" w:rsidRDefault="00CA73F8"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Monto</w:t>
            </w:r>
          </w:p>
        </w:tc>
      </w:tr>
      <w:tr w:rsidR="004921FF" w:rsidRPr="005C133F" w14:paraId="284A9415"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7460C3C8"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Ingresos Riesgos Laborales</w:t>
            </w:r>
          </w:p>
        </w:tc>
        <w:tc>
          <w:tcPr>
            <w:tcW w:w="0" w:type="auto"/>
            <w:tcBorders>
              <w:top w:val="nil"/>
              <w:left w:val="nil"/>
              <w:bottom w:val="single" w:sz="4" w:space="0" w:color="767171"/>
              <w:right w:val="single" w:sz="4" w:space="0" w:color="767171"/>
            </w:tcBorders>
            <w:noWrap/>
            <w:vAlign w:val="bottom"/>
            <w:hideMark/>
          </w:tcPr>
          <w:p w14:paraId="3F43D4E1"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7,911,982,944.28 </w:t>
            </w:r>
          </w:p>
        </w:tc>
      </w:tr>
      <w:tr w:rsidR="004921FF" w:rsidRPr="005C133F" w14:paraId="5B83836F"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501FA306"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Ingresos</w:t>
            </w:r>
          </w:p>
        </w:tc>
        <w:tc>
          <w:tcPr>
            <w:tcW w:w="0" w:type="auto"/>
            <w:tcBorders>
              <w:top w:val="nil"/>
              <w:left w:val="nil"/>
              <w:bottom w:val="single" w:sz="4" w:space="0" w:color="767171"/>
              <w:right w:val="single" w:sz="4" w:space="0" w:color="767171"/>
            </w:tcBorders>
            <w:noWrap/>
            <w:vAlign w:val="bottom"/>
            <w:hideMark/>
          </w:tcPr>
          <w:p w14:paraId="68BDFC43"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4,676,859,575.50 </w:t>
            </w:r>
          </w:p>
        </w:tc>
      </w:tr>
      <w:tr w:rsidR="004921FF" w:rsidRPr="005C133F" w14:paraId="3CE8E09C"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5F562525"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Total Ingresos</w:t>
            </w:r>
          </w:p>
        </w:tc>
        <w:tc>
          <w:tcPr>
            <w:tcW w:w="0" w:type="auto"/>
            <w:tcBorders>
              <w:top w:val="nil"/>
              <w:left w:val="nil"/>
              <w:bottom w:val="single" w:sz="4" w:space="0" w:color="767171"/>
              <w:right w:val="single" w:sz="4" w:space="0" w:color="767171"/>
            </w:tcBorders>
            <w:noWrap/>
            <w:vAlign w:val="bottom"/>
            <w:hideMark/>
          </w:tcPr>
          <w:p w14:paraId="06DBE4E5"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                            12,588,842,519.78 </w:t>
            </w:r>
          </w:p>
        </w:tc>
      </w:tr>
      <w:tr w:rsidR="004921FF" w:rsidRPr="005C133F" w14:paraId="6689446E"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4CFD9C15"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en Prestaciones</w:t>
            </w:r>
          </w:p>
        </w:tc>
        <w:tc>
          <w:tcPr>
            <w:tcW w:w="0" w:type="auto"/>
            <w:tcBorders>
              <w:top w:val="nil"/>
              <w:left w:val="nil"/>
              <w:bottom w:val="single" w:sz="4" w:space="0" w:color="767171"/>
              <w:right w:val="single" w:sz="4" w:space="0" w:color="767171"/>
            </w:tcBorders>
            <w:noWrap/>
            <w:vAlign w:val="bottom"/>
            <w:hideMark/>
          </w:tcPr>
          <w:p w14:paraId="3859C28C"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11,962,884,114.04 </w:t>
            </w:r>
          </w:p>
        </w:tc>
      </w:tr>
      <w:tr w:rsidR="004921FF" w:rsidRPr="005C133F" w14:paraId="1A09B152"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3B132C6B"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Otros Gastos</w:t>
            </w:r>
          </w:p>
        </w:tc>
        <w:tc>
          <w:tcPr>
            <w:tcW w:w="0" w:type="auto"/>
            <w:tcBorders>
              <w:top w:val="nil"/>
              <w:left w:val="nil"/>
              <w:bottom w:val="single" w:sz="4" w:space="0" w:color="767171"/>
              <w:right w:val="single" w:sz="4" w:space="0" w:color="767171"/>
            </w:tcBorders>
            <w:noWrap/>
            <w:vAlign w:val="bottom"/>
            <w:hideMark/>
          </w:tcPr>
          <w:p w14:paraId="699BD365"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810,474,116.56 </w:t>
            </w:r>
          </w:p>
        </w:tc>
      </w:tr>
      <w:tr w:rsidR="004921FF" w:rsidRPr="005C133F" w14:paraId="68115291" w14:textId="77777777" w:rsidTr="006A7520">
        <w:trPr>
          <w:trHeight w:val="435"/>
        </w:trPr>
        <w:tc>
          <w:tcPr>
            <w:tcW w:w="0" w:type="auto"/>
            <w:tcBorders>
              <w:top w:val="nil"/>
              <w:left w:val="single" w:sz="4" w:space="0" w:color="767171"/>
              <w:bottom w:val="single" w:sz="4" w:space="0" w:color="767171"/>
              <w:right w:val="single" w:sz="4" w:space="0" w:color="767171"/>
            </w:tcBorders>
            <w:vAlign w:val="center"/>
            <w:hideMark/>
          </w:tcPr>
          <w:p w14:paraId="00E45249"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lastRenderedPageBreak/>
              <w:t>Reservas para Contingencias Especiales</w:t>
            </w:r>
          </w:p>
        </w:tc>
        <w:tc>
          <w:tcPr>
            <w:tcW w:w="0" w:type="auto"/>
            <w:tcBorders>
              <w:top w:val="nil"/>
              <w:left w:val="nil"/>
              <w:bottom w:val="single" w:sz="4" w:space="0" w:color="767171"/>
              <w:right w:val="single" w:sz="4" w:space="0" w:color="767171"/>
            </w:tcBorders>
            <w:noWrap/>
            <w:vAlign w:val="bottom"/>
            <w:hideMark/>
          </w:tcPr>
          <w:p w14:paraId="52357689"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395,599,147.21 </w:t>
            </w:r>
          </w:p>
        </w:tc>
      </w:tr>
      <w:tr w:rsidR="004921FF" w:rsidRPr="005C133F" w14:paraId="4049E64B"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7B996016"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Gastos Administrativos</w:t>
            </w:r>
          </w:p>
        </w:tc>
        <w:tc>
          <w:tcPr>
            <w:tcW w:w="0" w:type="auto"/>
            <w:tcBorders>
              <w:top w:val="nil"/>
              <w:left w:val="nil"/>
              <w:bottom w:val="single" w:sz="4" w:space="0" w:color="767171"/>
              <w:right w:val="single" w:sz="4" w:space="0" w:color="767171"/>
            </w:tcBorders>
            <w:noWrap/>
            <w:vAlign w:val="bottom"/>
            <w:hideMark/>
          </w:tcPr>
          <w:p w14:paraId="46081CE9" w14:textId="77777777" w:rsidR="00CA73F8" w:rsidRPr="005C133F" w:rsidRDefault="00CA73F8" w:rsidP="00402F25">
            <w:pPr>
              <w:spacing w:after="0" w:line="240" w:lineRule="auto"/>
              <w:rPr>
                <w:rFonts w:eastAsia="Times New Roman"/>
                <w:spacing w:val="0"/>
                <w:lang w:val="es-DO" w:eastAsia="es-DO"/>
              </w:rPr>
            </w:pPr>
            <w:r w:rsidRPr="005C133F">
              <w:rPr>
                <w:rFonts w:eastAsia="Times New Roman"/>
                <w:spacing w:val="0"/>
                <w:lang w:val="es-DO" w:eastAsia="es-DO"/>
              </w:rPr>
              <w:t xml:space="preserve">                                 978,291,556.63 </w:t>
            </w:r>
          </w:p>
        </w:tc>
      </w:tr>
      <w:tr w:rsidR="004921FF" w:rsidRPr="005C133F" w14:paraId="21293286"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6E14A84E"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Total Gastos</w:t>
            </w:r>
          </w:p>
        </w:tc>
        <w:tc>
          <w:tcPr>
            <w:tcW w:w="0" w:type="auto"/>
            <w:tcBorders>
              <w:top w:val="nil"/>
              <w:left w:val="nil"/>
              <w:bottom w:val="single" w:sz="4" w:space="0" w:color="767171"/>
              <w:right w:val="single" w:sz="4" w:space="0" w:color="767171"/>
            </w:tcBorders>
            <w:noWrap/>
            <w:vAlign w:val="bottom"/>
            <w:hideMark/>
          </w:tcPr>
          <w:p w14:paraId="2989A91B"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xml:space="preserve">                            14,147,248,934.44 </w:t>
            </w:r>
          </w:p>
        </w:tc>
      </w:tr>
      <w:tr w:rsidR="004921FF" w:rsidRPr="005C133F" w14:paraId="67227F8D"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4483FD9F"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Beneficios (Pérdidas) del Periodo</w:t>
            </w:r>
          </w:p>
        </w:tc>
        <w:tc>
          <w:tcPr>
            <w:tcW w:w="0" w:type="auto"/>
            <w:tcBorders>
              <w:top w:val="nil"/>
              <w:left w:val="nil"/>
              <w:bottom w:val="single" w:sz="4" w:space="0" w:color="767171"/>
              <w:right w:val="single" w:sz="4" w:space="0" w:color="767171"/>
            </w:tcBorders>
            <w:noWrap/>
            <w:vAlign w:val="center"/>
            <w:hideMark/>
          </w:tcPr>
          <w:p w14:paraId="16A5866B" w14:textId="77777777" w:rsidR="00CA73F8" w:rsidRPr="005C133F" w:rsidRDefault="00CA73F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xml:space="preserve">                            (1,558,406,414.66)</w:t>
            </w:r>
          </w:p>
        </w:tc>
      </w:tr>
      <w:tr w:rsidR="004921FF" w:rsidRPr="005C133F" w14:paraId="35A680B9"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31842568"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Beneficios (Pérdidas)</w:t>
            </w:r>
          </w:p>
        </w:tc>
        <w:tc>
          <w:tcPr>
            <w:tcW w:w="0" w:type="auto"/>
            <w:tcBorders>
              <w:top w:val="nil"/>
              <w:left w:val="nil"/>
              <w:bottom w:val="single" w:sz="4" w:space="0" w:color="767171"/>
              <w:right w:val="single" w:sz="4" w:space="0" w:color="767171"/>
            </w:tcBorders>
            <w:noWrap/>
            <w:vAlign w:val="bottom"/>
            <w:hideMark/>
          </w:tcPr>
          <w:p w14:paraId="359BD0D0" w14:textId="77777777" w:rsidR="00CA73F8" w:rsidRPr="005C133F" w:rsidRDefault="00CA73F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-20%</w:t>
            </w:r>
          </w:p>
        </w:tc>
      </w:tr>
      <w:tr w:rsidR="004921FF" w:rsidRPr="005C133F" w14:paraId="70C526A5"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4FA505C8"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Siniestralidad</w:t>
            </w:r>
          </w:p>
        </w:tc>
        <w:tc>
          <w:tcPr>
            <w:tcW w:w="0" w:type="auto"/>
            <w:tcBorders>
              <w:top w:val="nil"/>
              <w:left w:val="nil"/>
              <w:bottom w:val="single" w:sz="4" w:space="0" w:color="767171"/>
              <w:right w:val="single" w:sz="4" w:space="0" w:color="767171"/>
            </w:tcBorders>
            <w:noWrap/>
            <w:vAlign w:val="bottom"/>
            <w:hideMark/>
          </w:tcPr>
          <w:p w14:paraId="08DBBBED" w14:textId="77777777" w:rsidR="00CA73F8" w:rsidRPr="005C133F" w:rsidRDefault="00CA73F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151%</w:t>
            </w:r>
          </w:p>
        </w:tc>
      </w:tr>
      <w:tr w:rsidR="004921FF" w:rsidRPr="005C133F" w14:paraId="42A2048B" w14:textId="77777777" w:rsidTr="006A7520">
        <w:trPr>
          <w:trHeight w:val="435"/>
        </w:trPr>
        <w:tc>
          <w:tcPr>
            <w:tcW w:w="0" w:type="auto"/>
            <w:tcBorders>
              <w:top w:val="nil"/>
              <w:left w:val="single" w:sz="4" w:space="0" w:color="767171"/>
              <w:bottom w:val="single" w:sz="4" w:space="0" w:color="767171"/>
              <w:right w:val="single" w:sz="4" w:space="0" w:color="767171"/>
            </w:tcBorders>
            <w:noWrap/>
            <w:vAlign w:val="center"/>
            <w:hideMark/>
          </w:tcPr>
          <w:p w14:paraId="566886F2" w14:textId="77777777" w:rsidR="00CA73F8" w:rsidRPr="005C133F" w:rsidRDefault="00CA73F8" w:rsidP="00402F25">
            <w:pPr>
              <w:spacing w:after="0" w:line="240" w:lineRule="auto"/>
              <w:rPr>
                <w:rFonts w:eastAsia="Times New Roman"/>
                <w:b/>
                <w:bCs/>
                <w:spacing w:val="0"/>
                <w:lang w:val="es-DO" w:eastAsia="es-DO"/>
              </w:rPr>
            </w:pPr>
            <w:r w:rsidRPr="005C133F">
              <w:rPr>
                <w:rFonts w:eastAsia="Times New Roman"/>
                <w:b/>
                <w:bCs/>
                <w:spacing w:val="0"/>
                <w:lang w:val="es-DO" w:eastAsia="es-DO"/>
              </w:rPr>
              <w:t>% Gastos Administrativos</w:t>
            </w:r>
          </w:p>
        </w:tc>
        <w:tc>
          <w:tcPr>
            <w:tcW w:w="0" w:type="auto"/>
            <w:tcBorders>
              <w:top w:val="nil"/>
              <w:left w:val="nil"/>
              <w:bottom w:val="single" w:sz="4" w:space="0" w:color="767171"/>
              <w:right w:val="single" w:sz="4" w:space="0" w:color="767171"/>
            </w:tcBorders>
            <w:noWrap/>
            <w:vAlign w:val="bottom"/>
            <w:hideMark/>
          </w:tcPr>
          <w:p w14:paraId="030DC743" w14:textId="77777777" w:rsidR="00CA73F8" w:rsidRPr="005C133F" w:rsidRDefault="00CA73F8"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12.36%</w:t>
            </w:r>
          </w:p>
        </w:tc>
      </w:tr>
    </w:tbl>
    <w:p w14:paraId="51F51557" w14:textId="77777777" w:rsidR="00701791" w:rsidRPr="00AC2DB2" w:rsidRDefault="00B900BB" w:rsidP="005C133F">
      <w:pPr>
        <w:autoSpaceDE w:val="0"/>
        <w:autoSpaceDN w:val="0"/>
        <w:adjustRightInd w:val="0"/>
        <w:spacing w:after="0" w:line="360" w:lineRule="auto"/>
        <w:rPr>
          <w:sz w:val="18"/>
          <w:szCs w:val="18"/>
          <w:lang w:val="es-DO"/>
        </w:rPr>
      </w:pPr>
      <w:r w:rsidRPr="00AC2DB2">
        <w:rPr>
          <w:sz w:val="18"/>
          <w:szCs w:val="18"/>
          <w:lang w:val="es-DO"/>
        </w:rPr>
        <w:t xml:space="preserve">  </w:t>
      </w:r>
      <w:r w:rsidR="00701791" w:rsidRPr="00AC2DB2">
        <w:rPr>
          <w:sz w:val="18"/>
          <w:szCs w:val="18"/>
          <w:lang w:val="es-DO"/>
        </w:rPr>
        <w:t>Fuente: Estados financieros del IDOPPRIL – SIE (SIMON)</w:t>
      </w:r>
    </w:p>
    <w:p w14:paraId="02D0E9AD" w14:textId="77777777" w:rsidR="001C1043" w:rsidRPr="005C133F" w:rsidRDefault="001C1043" w:rsidP="005C133F">
      <w:pPr>
        <w:autoSpaceDE w:val="0"/>
        <w:autoSpaceDN w:val="0"/>
        <w:adjustRightInd w:val="0"/>
        <w:spacing w:before="120" w:after="0" w:line="360" w:lineRule="auto"/>
        <w:rPr>
          <w:lang w:val="es-DO"/>
        </w:rPr>
      </w:pPr>
    </w:p>
    <w:p w14:paraId="4BE798F1" w14:textId="77777777" w:rsidR="004C19CB" w:rsidRPr="005C133F" w:rsidRDefault="004C19CB" w:rsidP="00402F25">
      <w:pPr>
        <w:spacing w:after="0" w:line="360" w:lineRule="auto"/>
        <w:jc w:val="both"/>
        <w:rPr>
          <w:lang w:val="es-DO"/>
        </w:rPr>
      </w:pPr>
      <w:r w:rsidRPr="005C133F">
        <w:rPr>
          <w:lang w:val="es-DO"/>
        </w:rPr>
        <w:t xml:space="preserve">Las Reservas Técnicas registradas por el IDOPPRIL están actualizadas en base a las cifras del Estudio Actuarial realizado para el año 2024; además, estas contienen los ajustes mensuales del periodo enero – septiembre 2025, según los porcentajes establecidos y vigentes en el Reglamento de Riesgos Laborales, que requiere la aplicación del 75% de los ingresos para el pago de reclamaciones por Prestaciones Económicas, el 15% para las Prestaciones en Especie, y el 10% para cubrir los Gastos Generales y Administrativos.      </w:t>
      </w:r>
    </w:p>
    <w:p w14:paraId="0A467448" w14:textId="77777777" w:rsidR="004C19CB" w:rsidRPr="005C133F" w:rsidRDefault="004C19CB" w:rsidP="005C133F">
      <w:pPr>
        <w:autoSpaceDE w:val="0"/>
        <w:autoSpaceDN w:val="0"/>
        <w:adjustRightInd w:val="0"/>
        <w:spacing w:before="120" w:after="0" w:line="360" w:lineRule="auto"/>
        <w:rPr>
          <w:lang w:val="es-DO"/>
        </w:rPr>
      </w:pPr>
    </w:p>
    <w:p w14:paraId="7F766606" w14:textId="77777777" w:rsidR="00AE5EE6" w:rsidRDefault="00AE5EE6" w:rsidP="00402F25">
      <w:pPr>
        <w:spacing w:after="0" w:line="360" w:lineRule="auto"/>
        <w:jc w:val="both"/>
        <w:rPr>
          <w:b/>
          <w:bCs/>
          <w:lang w:val="es-DO"/>
        </w:rPr>
      </w:pPr>
      <w:r w:rsidRPr="005C133F">
        <w:rPr>
          <w:b/>
          <w:bCs/>
          <w:lang w:val="es-DO"/>
        </w:rPr>
        <w:t>Monitoreo y Seguimiento a las Cuentas de Recaudo</w:t>
      </w:r>
    </w:p>
    <w:p w14:paraId="1FDBD2BF" w14:textId="77777777" w:rsidR="00402F25" w:rsidRPr="005C133F" w:rsidRDefault="00402F25" w:rsidP="00402F25">
      <w:pPr>
        <w:spacing w:after="0" w:line="360" w:lineRule="auto"/>
        <w:jc w:val="both"/>
        <w:rPr>
          <w:b/>
          <w:bCs/>
          <w:lang w:val="es-DO"/>
        </w:rPr>
      </w:pPr>
    </w:p>
    <w:p w14:paraId="7C34F9EC" w14:textId="26B5D94C" w:rsidR="00AE5EE6" w:rsidRPr="005C133F" w:rsidRDefault="00AE5EE6" w:rsidP="005C133F">
      <w:pPr>
        <w:spacing w:before="120" w:after="0" w:line="360" w:lineRule="auto"/>
        <w:jc w:val="both"/>
        <w:rPr>
          <w:lang w:val="es-DO"/>
        </w:rPr>
      </w:pPr>
      <w:r w:rsidRPr="005C133F">
        <w:rPr>
          <w:lang w:val="es-DO"/>
        </w:rPr>
        <w:t xml:space="preserve">En el período enero – septiembre 2025 se </w:t>
      </w:r>
      <w:r w:rsidR="000452A3" w:rsidRPr="005C133F">
        <w:rPr>
          <w:lang w:val="es-DO"/>
        </w:rPr>
        <w:t>dio</w:t>
      </w:r>
      <w:r w:rsidRPr="005C133F">
        <w:rPr>
          <w:lang w:val="es-DO"/>
        </w:rPr>
        <w:t xml:space="preserve"> seguimiento a las cuentas de recaudo para los distintos regímenes de financiamiento y se hicieron diversos encuentros con los Ministerios de Trabajo y Hacienda, incluyendo la Dirección General de Presupuesto (DIGEPRES), para sensibilizar de la necesidad de aumentar la inversión pública en salud y avanzar en la implementación de la </w:t>
      </w:r>
      <w:r w:rsidRPr="005C133F">
        <w:rPr>
          <w:lang w:val="es-DO"/>
        </w:rPr>
        <w:lastRenderedPageBreak/>
        <w:t xml:space="preserve">transformación del flujo del financiamiento en salud y seguridad social. Igualmente, se </w:t>
      </w:r>
      <w:r w:rsidR="00F46BF0" w:rsidRPr="005C133F">
        <w:rPr>
          <w:lang w:val="es-DO"/>
        </w:rPr>
        <w:t>dio</w:t>
      </w:r>
      <w:r w:rsidRPr="005C133F">
        <w:rPr>
          <w:lang w:val="es-DO"/>
        </w:rPr>
        <w:t xml:space="preserve"> seguimiento a la dispersión que hace la Tesorería de la Seguridad Social a los diferentes entes del sistema. </w:t>
      </w:r>
    </w:p>
    <w:p w14:paraId="1764DBC8" w14:textId="6F371B29" w:rsidR="00AE5EE6" w:rsidRPr="005C133F" w:rsidRDefault="00AE5EE6" w:rsidP="005C133F">
      <w:pPr>
        <w:spacing w:before="120" w:after="0" w:line="360" w:lineRule="auto"/>
        <w:jc w:val="both"/>
        <w:rPr>
          <w:lang w:val="es-DO"/>
        </w:rPr>
      </w:pPr>
      <w:r w:rsidRPr="005C133F">
        <w:rPr>
          <w:lang w:val="es-DO"/>
        </w:rPr>
        <w:t>Se</w:t>
      </w:r>
      <w:r w:rsidR="00F46BF0" w:rsidRPr="005C133F">
        <w:rPr>
          <w:lang w:val="es-DO"/>
        </w:rPr>
        <w:t xml:space="preserve"> </w:t>
      </w:r>
      <w:r w:rsidRPr="005C133F">
        <w:rPr>
          <w:lang w:val="es-DO"/>
        </w:rPr>
        <w:t>monitore</w:t>
      </w:r>
      <w:r w:rsidR="00F46BF0" w:rsidRPr="005C133F">
        <w:rPr>
          <w:lang w:val="es-DO"/>
        </w:rPr>
        <w:t xml:space="preserve">ó </w:t>
      </w:r>
      <w:r w:rsidRPr="005C133F">
        <w:rPr>
          <w:lang w:val="es-DO"/>
        </w:rPr>
        <w:t xml:space="preserve">el flujo de inversiones de todas las cuentas vinculadas al Seguro Familiar de Salud y al Seguro de Riesgos Laborales en la Tesorería de la Seguridad Social. </w:t>
      </w:r>
    </w:p>
    <w:p w14:paraId="03F72B5B" w14:textId="77777777" w:rsidR="001F37A8" w:rsidRPr="005C133F" w:rsidRDefault="001F37A8" w:rsidP="005C133F">
      <w:pPr>
        <w:spacing w:after="0" w:line="360" w:lineRule="auto"/>
        <w:jc w:val="both"/>
        <w:rPr>
          <w:lang w:val="es-DO"/>
        </w:rPr>
      </w:pPr>
    </w:p>
    <w:p w14:paraId="2E01EDA5" w14:textId="77777777" w:rsidR="0066106A" w:rsidRPr="005C133F" w:rsidRDefault="001F37A8" w:rsidP="005C133F">
      <w:pPr>
        <w:spacing w:after="0" w:line="360" w:lineRule="auto"/>
        <w:jc w:val="both"/>
        <w:rPr>
          <w:b/>
          <w:bCs/>
          <w:lang w:val="es-DO"/>
        </w:rPr>
      </w:pPr>
      <w:bookmarkStart w:id="60" w:name="_Toc120118269"/>
      <w:bookmarkStart w:id="61" w:name="_Toc170482683"/>
      <w:r w:rsidRPr="005C133F">
        <w:rPr>
          <w:b/>
          <w:bCs/>
          <w:lang w:val="es-DO"/>
        </w:rPr>
        <w:t>Gestión para Mantenimiento del Equilibrio Financiero del Seguro Familiar de Salud</w:t>
      </w:r>
      <w:bookmarkEnd w:id="60"/>
      <w:bookmarkEnd w:id="61"/>
      <w:r w:rsidRPr="005C133F">
        <w:rPr>
          <w:b/>
          <w:bCs/>
          <w:lang w:val="es-DO"/>
        </w:rPr>
        <w:t xml:space="preserve"> </w:t>
      </w:r>
    </w:p>
    <w:p w14:paraId="4FC831F2" w14:textId="77777777" w:rsidR="00E72563" w:rsidRPr="005C133F" w:rsidRDefault="00E72563" w:rsidP="005C133F">
      <w:pPr>
        <w:spacing w:after="0" w:line="360" w:lineRule="auto"/>
        <w:jc w:val="both"/>
        <w:rPr>
          <w:b/>
          <w:bCs/>
          <w:lang w:val="es-DO"/>
        </w:rPr>
      </w:pPr>
    </w:p>
    <w:p w14:paraId="5949593E" w14:textId="66902EBD" w:rsidR="0066106A" w:rsidRPr="005C133F" w:rsidRDefault="0066106A">
      <w:pPr>
        <w:pStyle w:val="Prrafodelista"/>
        <w:numPr>
          <w:ilvl w:val="0"/>
          <w:numId w:val="156"/>
        </w:numPr>
        <w:spacing w:after="0" w:line="360" w:lineRule="auto"/>
        <w:jc w:val="both"/>
        <w:rPr>
          <w:b/>
          <w:bCs/>
          <w:lang w:val="es-DO"/>
        </w:rPr>
      </w:pPr>
      <w:bookmarkStart w:id="62" w:name="_Toc170482684"/>
      <w:bookmarkStart w:id="63" w:name="_Toc120118270"/>
      <w:r w:rsidRPr="005C133F">
        <w:rPr>
          <w:b/>
          <w:bCs/>
          <w:lang w:val="es-DO"/>
        </w:rPr>
        <w:t>Seguimiento al Financiamiento de la Ampliación de Coberturas en el SFS</w:t>
      </w:r>
      <w:bookmarkEnd w:id="62"/>
      <w:r w:rsidRPr="005C133F">
        <w:rPr>
          <w:b/>
          <w:bCs/>
          <w:lang w:val="es-DO"/>
        </w:rPr>
        <w:t xml:space="preserve"> </w:t>
      </w:r>
      <w:bookmarkEnd w:id="63"/>
    </w:p>
    <w:p w14:paraId="6BBC8AF9" w14:textId="77777777" w:rsidR="0066106A" w:rsidRPr="005C133F" w:rsidRDefault="0066106A" w:rsidP="005C133F">
      <w:pPr>
        <w:pStyle w:val="Prrafodelista"/>
        <w:spacing w:after="0" w:line="360" w:lineRule="auto"/>
        <w:ind w:left="360"/>
        <w:rPr>
          <w:b/>
          <w:bCs/>
          <w:lang w:val="es-DO"/>
        </w:rPr>
      </w:pPr>
    </w:p>
    <w:p w14:paraId="07A506E3" w14:textId="77777777" w:rsidR="00AE0C73" w:rsidRPr="005C133F" w:rsidRDefault="00676D54" w:rsidP="00CF647E">
      <w:pPr>
        <w:spacing w:after="0" w:line="360" w:lineRule="auto"/>
        <w:jc w:val="both"/>
        <w:rPr>
          <w:lang w:val="es-DO"/>
        </w:rPr>
      </w:pPr>
      <w:r w:rsidRPr="005C133F">
        <w:rPr>
          <w:lang w:val="es-DO"/>
        </w:rPr>
        <w:t>Se colaboró en la gestión de los recursos que permitan el equilibrio y sostenibilidad financiera tanto para la Cuenta de Cuidado de la Salud de las Personas del Régimen Subsidiado y como las de los planes especiales de salud de jubilados y pensionados para que se ejecuten del presupuesto del año 2024 unos RD$ 2,195 millones de pesos (RD$ 1,534 millones de pesos para RS y RD$ 883.9 millones de pesos para los planes especiales de jubilados y pensionados).</w:t>
      </w:r>
    </w:p>
    <w:p w14:paraId="1CCEEECC" w14:textId="77777777" w:rsidR="00AE0C73" w:rsidRPr="005C133F" w:rsidRDefault="00AE0C73" w:rsidP="005C133F">
      <w:pPr>
        <w:spacing w:before="120" w:after="0" w:line="360" w:lineRule="auto"/>
        <w:jc w:val="both"/>
        <w:rPr>
          <w:lang w:val="es-DO"/>
        </w:rPr>
      </w:pPr>
    </w:p>
    <w:p w14:paraId="0926BBDE" w14:textId="7D6B350E" w:rsidR="001F37A8" w:rsidRPr="005C133F" w:rsidRDefault="00AE0C73">
      <w:pPr>
        <w:pStyle w:val="Prrafodelista"/>
        <w:numPr>
          <w:ilvl w:val="0"/>
          <w:numId w:val="156"/>
        </w:numPr>
        <w:spacing w:after="0" w:line="360" w:lineRule="auto"/>
        <w:jc w:val="both"/>
        <w:rPr>
          <w:b/>
          <w:bCs/>
          <w:lang w:val="es-DO"/>
        </w:rPr>
      </w:pPr>
      <w:r w:rsidRPr="005C133F">
        <w:rPr>
          <w:b/>
          <w:bCs/>
          <w:lang w:val="es-DO"/>
        </w:rPr>
        <w:t>Gestión Financiamiento Gubernamental para el Fondo de Subsidios</w:t>
      </w:r>
    </w:p>
    <w:p w14:paraId="7CC7A5D3" w14:textId="77777777" w:rsidR="005D4F9E" w:rsidRPr="005C133F" w:rsidRDefault="005D4F9E" w:rsidP="005C133F">
      <w:pPr>
        <w:spacing w:before="120" w:after="0" w:line="360" w:lineRule="auto"/>
        <w:jc w:val="both"/>
        <w:rPr>
          <w:lang w:val="es-DO"/>
        </w:rPr>
      </w:pPr>
      <w:r w:rsidRPr="005C133F">
        <w:rPr>
          <w:lang w:val="es-DO"/>
        </w:rPr>
        <w:t xml:space="preserve">Para apoyar la sostenibilidad financiera del Seguro Familiar de Salud en la parte del Régimen Contributivo con las prestaciones económicas a través del Fondo de Subsidios se le dio seguimiento a la solicitud extraordinaria de alrededor de RD$ 1,000 millones de pesos desde el Gobierno Central mediante el Ministerio de Hacienda, esto así a </w:t>
      </w:r>
      <w:r w:rsidRPr="005C133F">
        <w:rPr>
          <w:lang w:val="es-DO"/>
        </w:rPr>
        <w:lastRenderedPageBreak/>
        <w:t>partir de los fondos que no fueron utilizados para la respuesta a la Covid-19.</w:t>
      </w:r>
    </w:p>
    <w:p w14:paraId="08830A07" w14:textId="3CDA0945" w:rsidR="00422EB3" w:rsidRPr="005C133F" w:rsidRDefault="005D4F9E" w:rsidP="005C133F">
      <w:pPr>
        <w:spacing w:before="120" w:after="0" w:line="360" w:lineRule="auto"/>
        <w:jc w:val="both"/>
        <w:rPr>
          <w:lang w:val="es-DO"/>
        </w:rPr>
      </w:pPr>
      <w:r w:rsidRPr="005C133F">
        <w:rPr>
          <w:lang w:val="es-DO"/>
        </w:rPr>
        <w:t>Esto con el objeto de reducir el déficit en el Fondo de Subsidios, y de esta manera cumplir con compromisos de los subsidios de maternidad, lactancia y enfermedad común.</w:t>
      </w:r>
    </w:p>
    <w:p w14:paraId="5C66A1DF" w14:textId="77777777" w:rsidR="00E72563" w:rsidRPr="005C133F" w:rsidRDefault="00E72563" w:rsidP="005C133F">
      <w:pPr>
        <w:spacing w:after="0" w:line="360" w:lineRule="auto"/>
        <w:jc w:val="both"/>
        <w:rPr>
          <w:lang w:val="es-DO"/>
        </w:rPr>
      </w:pPr>
    </w:p>
    <w:p w14:paraId="4B9A9650" w14:textId="77777777" w:rsidR="000F18CC" w:rsidRPr="005C133F" w:rsidRDefault="000F18CC">
      <w:pPr>
        <w:pStyle w:val="Prrafodelista"/>
        <w:numPr>
          <w:ilvl w:val="0"/>
          <w:numId w:val="156"/>
        </w:numPr>
        <w:spacing w:after="0" w:line="360" w:lineRule="auto"/>
        <w:rPr>
          <w:b/>
          <w:bCs/>
          <w:lang w:val="es-DO"/>
        </w:rPr>
      </w:pPr>
      <w:r w:rsidRPr="005C133F">
        <w:rPr>
          <w:b/>
          <w:bCs/>
          <w:lang w:val="es-DO"/>
        </w:rPr>
        <w:t xml:space="preserve">Tramitación de Formularios de Investigación a los Entes Regulados  </w:t>
      </w:r>
    </w:p>
    <w:p w14:paraId="6BF9FA65" w14:textId="77777777" w:rsidR="001B6BA9" w:rsidRPr="005C133F" w:rsidRDefault="001B6BA9" w:rsidP="005C133F">
      <w:pPr>
        <w:pStyle w:val="Prrafodelista"/>
        <w:spacing w:after="0" w:line="360" w:lineRule="auto"/>
        <w:ind w:left="360"/>
        <w:rPr>
          <w:b/>
          <w:bCs/>
          <w:lang w:val="es-DO"/>
        </w:rPr>
      </w:pPr>
    </w:p>
    <w:p w14:paraId="7EB14F1C" w14:textId="5BC1B459" w:rsidR="003A08F2" w:rsidRPr="005C133F" w:rsidRDefault="001C1364" w:rsidP="005C133F">
      <w:pPr>
        <w:spacing w:after="0" w:line="360" w:lineRule="auto"/>
        <w:jc w:val="both"/>
        <w:rPr>
          <w:lang w:val="es-DO"/>
        </w:rPr>
      </w:pPr>
      <w:r w:rsidRPr="005C133F">
        <w:rPr>
          <w:lang w:val="es-DO"/>
        </w:rPr>
        <w:t xml:space="preserve">Se sometieron once (11) formularios de investigación de sanciones, </w:t>
      </w:r>
      <w:r w:rsidR="001A0F4C" w:rsidRPr="005C133F">
        <w:rPr>
          <w:lang w:val="es-DO"/>
        </w:rPr>
        <w:t>p</w:t>
      </w:r>
      <w:r w:rsidR="0091797E" w:rsidRPr="005C133F">
        <w:rPr>
          <w:lang w:val="es-DO"/>
        </w:rPr>
        <w:t xml:space="preserve">roducto del monitoreo y supervisión que se realizan a las entidades supervisadas, se determinan las violaciones que deben ser sometidas para la evaluación del área jurídica, a los fines de determinar la aplicación de las sanciones correspondientes.  </w:t>
      </w:r>
    </w:p>
    <w:p w14:paraId="7CA1030E" w14:textId="77777777" w:rsidR="001B6BA9" w:rsidRPr="005C133F" w:rsidRDefault="001B6BA9" w:rsidP="005C133F">
      <w:pPr>
        <w:spacing w:after="0" w:line="360" w:lineRule="auto"/>
        <w:jc w:val="both"/>
        <w:rPr>
          <w:lang w:val="es-DO"/>
        </w:rPr>
      </w:pPr>
    </w:p>
    <w:p w14:paraId="2870C500" w14:textId="00D82287" w:rsidR="001C1364" w:rsidRPr="005C133F" w:rsidRDefault="003A08F2" w:rsidP="005C133F">
      <w:pPr>
        <w:pStyle w:val="Textoindependiente"/>
        <w:spacing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t>Recaudo, Dispersión e Inversión del SFS y SRL</w:t>
      </w:r>
    </w:p>
    <w:p w14:paraId="6607D06E" w14:textId="77777777" w:rsidR="001B6BA9" w:rsidRPr="005C133F" w:rsidRDefault="001B6BA9" w:rsidP="005C133F">
      <w:pPr>
        <w:pStyle w:val="Textoindependiente"/>
        <w:spacing w:line="360" w:lineRule="auto"/>
        <w:jc w:val="both"/>
        <w:rPr>
          <w:i w:val="0"/>
          <w:iCs w:val="0"/>
          <w:color w:val="767171"/>
          <w:spacing w:val="20"/>
          <w:sz w:val="24"/>
          <w:szCs w:val="24"/>
          <w:lang w:val="es-DO" w:eastAsia="es-DO"/>
        </w:rPr>
      </w:pPr>
    </w:p>
    <w:p w14:paraId="13AA3CCD" w14:textId="12D92568" w:rsidR="00D75EEC" w:rsidRPr="00CF647E" w:rsidRDefault="00181AAE" w:rsidP="005C133F">
      <w:pPr>
        <w:spacing w:after="0" w:line="360" w:lineRule="auto"/>
        <w:jc w:val="both"/>
        <w:rPr>
          <w:lang w:val="es-DO"/>
        </w:rPr>
      </w:pPr>
      <w:r w:rsidRPr="005C133F">
        <w:rPr>
          <w:lang w:val="es-DO"/>
        </w:rPr>
        <w:t>Durante el período Enero - agosto 2025 (8 meses), los dos (2) componentes del Seguro Familiar de Salud —Régimen Contributivo (RC) con Planes Especiales a Pensionados y Jubilados (PEPJ) y Régimen Subsidiado (RS)— registraron movimientos importantes en sus fondos destinados al cuidado de la salud. Como se puede ver en la tabla siguiente:</w:t>
      </w:r>
    </w:p>
    <w:p w14:paraId="52324FE4" w14:textId="7920794D" w:rsidR="001A5129" w:rsidRDefault="001A5129">
      <w:pPr>
        <w:rPr>
          <w:b/>
          <w:bCs/>
          <w:lang w:val="es-DO"/>
        </w:rPr>
      </w:pPr>
      <w:r>
        <w:rPr>
          <w:b/>
          <w:bCs/>
          <w:lang w:val="es-DO"/>
        </w:rPr>
        <w:br w:type="page"/>
      </w:r>
    </w:p>
    <w:p w14:paraId="3AEB4859" w14:textId="65D16F4E" w:rsidR="00D30FD0" w:rsidRPr="005C133F" w:rsidRDefault="00D30FD0" w:rsidP="006F1955">
      <w:pPr>
        <w:spacing w:after="0" w:line="240" w:lineRule="auto"/>
        <w:jc w:val="center"/>
        <w:rPr>
          <w:b/>
          <w:bCs/>
          <w:i/>
          <w:iCs/>
          <w:lang w:val="es-DO"/>
        </w:rPr>
      </w:pPr>
      <w:bookmarkStart w:id="64" w:name="_Toc218784155"/>
      <w:r w:rsidRPr="005C133F">
        <w:rPr>
          <w:b/>
          <w:bCs/>
          <w:lang w:val="es-DO"/>
        </w:rPr>
        <w:lastRenderedPageBreak/>
        <w:t xml:space="preserve">Tabla </w:t>
      </w:r>
      <w:r w:rsidRPr="005C133F">
        <w:rPr>
          <w:b/>
          <w:bCs/>
          <w:i/>
          <w:iCs/>
          <w:lang w:val="es-DO"/>
        </w:rPr>
        <w:fldChar w:fldCharType="begin"/>
      </w:r>
      <w:r w:rsidRPr="005C133F">
        <w:rPr>
          <w:b/>
          <w:bCs/>
          <w:lang w:val="es-DO"/>
        </w:rPr>
        <w:instrText xml:space="preserve"> SEQ Tabla \* ARABIC </w:instrText>
      </w:r>
      <w:r w:rsidRPr="005C133F">
        <w:rPr>
          <w:b/>
          <w:bCs/>
          <w:i/>
          <w:iCs/>
          <w:lang w:val="es-DO"/>
        </w:rPr>
        <w:fldChar w:fldCharType="separate"/>
      </w:r>
      <w:r w:rsidR="00814341">
        <w:rPr>
          <w:b/>
          <w:bCs/>
          <w:noProof/>
          <w:lang w:val="es-DO"/>
        </w:rPr>
        <w:t>23</w:t>
      </w:r>
      <w:r w:rsidRPr="005C133F">
        <w:rPr>
          <w:b/>
          <w:bCs/>
          <w:i/>
          <w:iCs/>
          <w:lang w:val="es-DO"/>
        </w:rPr>
        <w:fldChar w:fldCharType="end"/>
      </w:r>
      <w:r w:rsidRPr="005C133F">
        <w:rPr>
          <w:b/>
          <w:bCs/>
          <w:lang w:val="es-DO"/>
        </w:rPr>
        <w:t>. Resumen de Movimientos de la Cuenta de Cuidado de la Salud de las Personas, enero-agosto 2025</w:t>
      </w:r>
      <w:bookmarkEnd w:id="64"/>
    </w:p>
    <w:tbl>
      <w:tblPr>
        <w:tblW w:w="0" w:type="auto"/>
        <w:jc w:val="center"/>
        <w:tblCellMar>
          <w:left w:w="70" w:type="dxa"/>
          <w:right w:w="70" w:type="dxa"/>
        </w:tblCellMar>
        <w:tblLook w:val="04A0" w:firstRow="1" w:lastRow="0" w:firstColumn="1" w:lastColumn="0" w:noHBand="0" w:noVBand="1"/>
      </w:tblPr>
      <w:tblGrid>
        <w:gridCol w:w="1452"/>
        <w:gridCol w:w="2666"/>
        <w:gridCol w:w="2147"/>
        <w:gridCol w:w="1645"/>
      </w:tblGrid>
      <w:tr w:rsidR="00AC2DB2" w:rsidRPr="00AC2DB2" w14:paraId="40233B03" w14:textId="77777777" w:rsidTr="006F1955">
        <w:trPr>
          <w:trHeight w:val="555"/>
          <w:tblHeader/>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44F29E0E" w14:textId="77777777" w:rsidR="00844852" w:rsidRPr="00AC2DB2" w:rsidRDefault="00844852"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Detalle</w:t>
            </w:r>
            <w:r w:rsidRPr="00AC2DB2">
              <w:rPr>
                <w:rFonts w:eastAsia="Times New Roman"/>
                <w:color w:val="FFFFFF" w:themeColor="background1"/>
                <w:spacing w:val="0"/>
                <w:lang w:val="es-DO" w:eastAsia="es-DO"/>
              </w:rPr>
              <w:t> </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2AA668BD" w14:textId="77777777" w:rsidR="00844852" w:rsidRPr="00AC2DB2" w:rsidRDefault="00844852"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RS</w:t>
            </w:r>
            <w:r w:rsidRPr="00AC2DB2">
              <w:rPr>
                <w:rFonts w:eastAsia="Times New Roman"/>
                <w:color w:val="FFFFFF" w:themeColor="background1"/>
                <w:spacing w:val="0"/>
                <w:lang w:val="es-DO" w:eastAsia="es-DO"/>
              </w:rPr>
              <w:t> </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4D0CD27B" w14:textId="77777777" w:rsidR="00844852" w:rsidRPr="00AC2DB2" w:rsidRDefault="00844852"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PEPJ</w:t>
            </w:r>
            <w:r w:rsidRPr="00AC2DB2">
              <w:rPr>
                <w:rFonts w:eastAsia="Times New Roman"/>
                <w:color w:val="FFFFFF" w:themeColor="background1"/>
                <w:spacing w:val="0"/>
                <w:lang w:val="es-DO" w:eastAsia="es-DO"/>
              </w:rPr>
              <w:t> </w:t>
            </w:r>
          </w:p>
        </w:tc>
        <w:tc>
          <w:tcPr>
            <w:tcW w:w="0" w:type="auto"/>
            <w:tcBorders>
              <w:top w:val="single" w:sz="4" w:space="0" w:color="808080"/>
              <w:left w:val="nil"/>
              <w:bottom w:val="single" w:sz="4" w:space="0" w:color="808080"/>
              <w:right w:val="single" w:sz="4" w:space="0" w:color="808080"/>
            </w:tcBorders>
            <w:shd w:val="clear" w:color="000000" w:fill="011C50"/>
            <w:vAlign w:val="center"/>
            <w:hideMark/>
          </w:tcPr>
          <w:p w14:paraId="7FF39EE2" w14:textId="77777777" w:rsidR="00844852" w:rsidRPr="00AC2DB2" w:rsidRDefault="00844852" w:rsidP="00402F25">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RC</w:t>
            </w:r>
            <w:r w:rsidRPr="00AC2DB2">
              <w:rPr>
                <w:rFonts w:eastAsia="Times New Roman"/>
                <w:color w:val="FFFFFF" w:themeColor="background1"/>
                <w:spacing w:val="0"/>
                <w:lang w:val="es-DO" w:eastAsia="es-DO"/>
              </w:rPr>
              <w:t> </w:t>
            </w:r>
          </w:p>
        </w:tc>
      </w:tr>
      <w:tr w:rsidR="004921FF" w:rsidRPr="005C133F" w14:paraId="5447E82F" w14:textId="77777777" w:rsidTr="006F1955">
        <w:trPr>
          <w:trHeight w:val="552"/>
          <w:jc w:val="center"/>
        </w:trPr>
        <w:tc>
          <w:tcPr>
            <w:tcW w:w="0" w:type="auto"/>
            <w:tcBorders>
              <w:top w:val="nil"/>
              <w:left w:val="single" w:sz="4" w:space="0" w:color="808080"/>
              <w:bottom w:val="single" w:sz="4" w:space="0" w:color="808080"/>
              <w:right w:val="single" w:sz="4" w:space="0" w:color="808080"/>
            </w:tcBorders>
            <w:vAlign w:val="center"/>
            <w:hideMark/>
          </w:tcPr>
          <w:p w14:paraId="229BC61F" w14:textId="77777777" w:rsidR="00844852" w:rsidRPr="005C133F" w:rsidRDefault="00844852" w:rsidP="00402F25">
            <w:pPr>
              <w:spacing w:after="0" w:line="240" w:lineRule="auto"/>
              <w:rPr>
                <w:rFonts w:eastAsia="Times New Roman"/>
                <w:b/>
                <w:bCs/>
                <w:spacing w:val="0"/>
                <w:lang w:val="es-DO" w:eastAsia="es-DO"/>
              </w:rPr>
            </w:pPr>
            <w:r w:rsidRPr="005C133F">
              <w:rPr>
                <w:rFonts w:eastAsia="Times New Roman"/>
                <w:b/>
                <w:bCs/>
                <w:spacing w:val="0"/>
                <w:lang w:val="es-DO" w:eastAsia="es-DO"/>
              </w:rPr>
              <w:t>Balance Inicial Según Banco</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4D0C598B" w14:textId="77777777" w:rsidR="00844852" w:rsidRPr="005C133F" w:rsidRDefault="00844852"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                                             -   </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6DD411DE" w14:textId="77777777" w:rsidR="00844852" w:rsidRPr="005C133F" w:rsidRDefault="00844852" w:rsidP="00402F25">
            <w:pPr>
              <w:spacing w:after="0" w:line="240" w:lineRule="auto"/>
              <w:jc w:val="center"/>
              <w:rPr>
                <w:rFonts w:eastAsia="Times New Roman"/>
                <w:b/>
                <w:bCs/>
                <w:spacing w:val="0"/>
                <w:lang w:val="es-DO" w:eastAsia="es-DO"/>
              </w:rPr>
            </w:pPr>
            <w:r w:rsidRPr="005C133F">
              <w:rPr>
                <w:rFonts w:eastAsia="Times New Roman"/>
                <w:b/>
                <w:bCs/>
                <w:spacing w:val="0"/>
                <w:lang w:val="es-DO" w:eastAsia="es-DO"/>
              </w:rPr>
              <w:t>17,387.46</w:t>
            </w:r>
          </w:p>
        </w:tc>
        <w:tc>
          <w:tcPr>
            <w:tcW w:w="0" w:type="auto"/>
            <w:tcBorders>
              <w:top w:val="nil"/>
              <w:left w:val="nil"/>
              <w:bottom w:val="single" w:sz="4" w:space="0" w:color="808080"/>
              <w:right w:val="single" w:sz="4" w:space="0" w:color="808080"/>
            </w:tcBorders>
            <w:vAlign w:val="center"/>
            <w:hideMark/>
          </w:tcPr>
          <w:p w14:paraId="7BBE72D2" w14:textId="77777777" w:rsidR="00844852" w:rsidRPr="005C133F" w:rsidRDefault="00844852"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550,551,254.35</w:t>
            </w:r>
          </w:p>
        </w:tc>
      </w:tr>
      <w:tr w:rsidR="004921FF" w:rsidRPr="005C133F" w14:paraId="22DDDFEA"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65A343B1" w14:textId="77777777" w:rsidR="00844852" w:rsidRPr="005C133F" w:rsidRDefault="00844852" w:rsidP="00402F25">
            <w:pPr>
              <w:spacing w:after="0" w:line="240" w:lineRule="auto"/>
              <w:rPr>
                <w:rFonts w:eastAsia="Times New Roman"/>
                <w:b/>
                <w:bCs/>
                <w:spacing w:val="0"/>
                <w:lang w:val="es-DO" w:eastAsia="es-DO"/>
              </w:rPr>
            </w:pPr>
            <w:r w:rsidRPr="005C133F">
              <w:rPr>
                <w:rFonts w:eastAsia="Times New Roman"/>
                <w:b/>
                <w:bCs/>
                <w:spacing w:val="0"/>
                <w:lang w:val="es-DO" w:eastAsia="es-DO"/>
              </w:rPr>
              <w:t>Más:</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4368B75D"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234F515D"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34F129D0"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r>
      <w:tr w:rsidR="004921FF" w:rsidRPr="005C133F" w14:paraId="7E070374" w14:textId="77777777" w:rsidTr="006F1955">
        <w:trPr>
          <w:trHeight w:val="630"/>
          <w:jc w:val="center"/>
        </w:trPr>
        <w:tc>
          <w:tcPr>
            <w:tcW w:w="0" w:type="auto"/>
            <w:tcBorders>
              <w:top w:val="nil"/>
              <w:left w:val="single" w:sz="4" w:space="0" w:color="808080"/>
              <w:bottom w:val="single" w:sz="4" w:space="0" w:color="808080"/>
              <w:right w:val="single" w:sz="4" w:space="0" w:color="808080"/>
            </w:tcBorders>
            <w:vAlign w:val="center"/>
            <w:hideMark/>
          </w:tcPr>
          <w:p w14:paraId="34E3D532"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Aportes / Asignaciones / Recuado </w:t>
            </w:r>
          </w:p>
        </w:tc>
        <w:tc>
          <w:tcPr>
            <w:tcW w:w="0" w:type="auto"/>
            <w:tcBorders>
              <w:top w:val="nil"/>
              <w:left w:val="nil"/>
              <w:bottom w:val="single" w:sz="4" w:space="0" w:color="808080"/>
              <w:right w:val="single" w:sz="4" w:space="0" w:color="808080"/>
            </w:tcBorders>
            <w:vAlign w:val="center"/>
            <w:hideMark/>
          </w:tcPr>
          <w:p w14:paraId="2376BA0E"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15,511,822,236.15</w:t>
            </w:r>
          </w:p>
        </w:tc>
        <w:tc>
          <w:tcPr>
            <w:tcW w:w="0" w:type="auto"/>
            <w:tcBorders>
              <w:top w:val="nil"/>
              <w:left w:val="nil"/>
              <w:bottom w:val="single" w:sz="4" w:space="0" w:color="808080"/>
              <w:right w:val="single" w:sz="4" w:space="0" w:color="808080"/>
            </w:tcBorders>
            <w:vAlign w:val="center"/>
            <w:hideMark/>
          </w:tcPr>
          <w:p w14:paraId="1CCC6B3A"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2,689,665,526.91</w:t>
            </w:r>
          </w:p>
        </w:tc>
        <w:tc>
          <w:tcPr>
            <w:tcW w:w="0" w:type="auto"/>
            <w:tcBorders>
              <w:top w:val="nil"/>
              <w:left w:val="nil"/>
              <w:bottom w:val="single" w:sz="4" w:space="0" w:color="808080"/>
              <w:right w:val="single" w:sz="4" w:space="0" w:color="808080"/>
            </w:tcBorders>
            <w:vAlign w:val="center"/>
            <w:hideMark/>
          </w:tcPr>
          <w:p w14:paraId="693A5620"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64,980,402,753.89</w:t>
            </w:r>
          </w:p>
        </w:tc>
      </w:tr>
      <w:tr w:rsidR="004921FF" w:rsidRPr="005C133F" w14:paraId="1ECE4152"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6E1C86AD" w14:textId="77777777" w:rsidR="00844852" w:rsidRPr="005C133F" w:rsidRDefault="00844852" w:rsidP="00402F25">
            <w:pPr>
              <w:spacing w:after="0" w:line="240" w:lineRule="auto"/>
              <w:rPr>
                <w:rFonts w:eastAsia="Times New Roman"/>
                <w:spacing w:val="0"/>
                <w:lang w:val="es-DO" w:eastAsia="es-DO"/>
              </w:rPr>
            </w:pPr>
            <w:proofErr w:type="spellStart"/>
            <w:r w:rsidRPr="005C133F">
              <w:rPr>
                <w:rFonts w:eastAsia="Times New Roman"/>
                <w:spacing w:val="0"/>
                <w:lang w:val="es-DO" w:eastAsia="es-DO"/>
              </w:rPr>
              <w:t>Canc</w:t>
            </w:r>
            <w:proofErr w:type="spellEnd"/>
            <w:r w:rsidRPr="005C133F">
              <w:rPr>
                <w:rFonts w:eastAsia="Times New Roman"/>
                <w:spacing w:val="0"/>
                <w:lang w:val="es-DO" w:eastAsia="es-DO"/>
              </w:rPr>
              <w:t>. de Inversiones </w:t>
            </w:r>
          </w:p>
        </w:tc>
        <w:tc>
          <w:tcPr>
            <w:tcW w:w="0" w:type="auto"/>
            <w:tcBorders>
              <w:top w:val="nil"/>
              <w:left w:val="nil"/>
              <w:bottom w:val="single" w:sz="4" w:space="0" w:color="808080"/>
              <w:right w:val="single" w:sz="4" w:space="0" w:color="808080"/>
            </w:tcBorders>
            <w:vAlign w:val="center"/>
            <w:hideMark/>
          </w:tcPr>
          <w:p w14:paraId="57679FB2"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374,928,213.00</w:t>
            </w:r>
          </w:p>
        </w:tc>
        <w:tc>
          <w:tcPr>
            <w:tcW w:w="0" w:type="auto"/>
            <w:tcBorders>
              <w:top w:val="nil"/>
              <w:left w:val="nil"/>
              <w:bottom w:val="single" w:sz="4" w:space="0" w:color="808080"/>
              <w:right w:val="single" w:sz="4" w:space="0" w:color="808080"/>
            </w:tcBorders>
            <w:vAlign w:val="center"/>
            <w:hideMark/>
          </w:tcPr>
          <w:p w14:paraId="3D664B74"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4,783,719,652.95</w:t>
            </w:r>
          </w:p>
        </w:tc>
        <w:tc>
          <w:tcPr>
            <w:tcW w:w="0" w:type="auto"/>
            <w:tcBorders>
              <w:top w:val="nil"/>
              <w:left w:val="nil"/>
              <w:bottom w:val="single" w:sz="4" w:space="0" w:color="808080"/>
              <w:right w:val="single" w:sz="4" w:space="0" w:color="808080"/>
            </w:tcBorders>
            <w:vAlign w:val="center"/>
            <w:hideMark/>
          </w:tcPr>
          <w:p w14:paraId="1869682D"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5,476,787,262.24</w:t>
            </w:r>
          </w:p>
        </w:tc>
      </w:tr>
      <w:tr w:rsidR="004921FF" w:rsidRPr="005C133F" w14:paraId="7D1A93FC"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69AC9864"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Rendimiento de Inv. </w:t>
            </w:r>
          </w:p>
        </w:tc>
        <w:tc>
          <w:tcPr>
            <w:tcW w:w="0" w:type="auto"/>
            <w:tcBorders>
              <w:top w:val="nil"/>
              <w:left w:val="nil"/>
              <w:bottom w:val="single" w:sz="4" w:space="0" w:color="808080"/>
              <w:right w:val="single" w:sz="4" w:space="0" w:color="808080"/>
            </w:tcBorders>
            <w:vAlign w:val="center"/>
            <w:hideMark/>
          </w:tcPr>
          <w:p w14:paraId="1D5F179C"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2,114,497.00</w:t>
            </w:r>
          </w:p>
        </w:tc>
        <w:tc>
          <w:tcPr>
            <w:tcW w:w="0" w:type="auto"/>
            <w:tcBorders>
              <w:top w:val="nil"/>
              <w:left w:val="nil"/>
              <w:bottom w:val="single" w:sz="4" w:space="0" w:color="808080"/>
              <w:right w:val="single" w:sz="4" w:space="0" w:color="808080"/>
            </w:tcBorders>
            <w:vAlign w:val="center"/>
            <w:hideMark/>
          </w:tcPr>
          <w:p w14:paraId="641988FF"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25,099,986.40</w:t>
            </w:r>
          </w:p>
        </w:tc>
        <w:tc>
          <w:tcPr>
            <w:tcW w:w="0" w:type="auto"/>
            <w:tcBorders>
              <w:top w:val="nil"/>
              <w:left w:val="nil"/>
              <w:bottom w:val="single" w:sz="4" w:space="0" w:color="808080"/>
              <w:right w:val="single" w:sz="4" w:space="0" w:color="808080"/>
            </w:tcBorders>
            <w:vAlign w:val="center"/>
            <w:hideMark/>
          </w:tcPr>
          <w:p w14:paraId="42A989DC"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173,797,998.84</w:t>
            </w:r>
          </w:p>
        </w:tc>
      </w:tr>
      <w:tr w:rsidR="004921FF" w:rsidRPr="005C133F" w14:paraId="2C05CA17"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7FAC2D4B"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Otros Ingresos </w:t>
            </w:r>
          </w:p>
        </w:tc>
        <w:tc>
          <w:tcPr>
            <w:tcW w:w="0" w:type="auto"/>
            <w:tcBorders>
              <w:top w:val="nil"/>
              <w:left w:val="nil"/>
              <w:bottom w:val="single" w:sz="4" w:space="0" w:color="808080"/>
              <w:right w:val="single" w:sz="4" w:space="0" w:color="808080"/>
            </w:tcBorders>
            <w:vAlign w:val="center"/>
            <w:hideMark/>
          </w:tcPr>
          <w:p w14:paraId="0B52951A"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7A2ECDD9"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709C0201"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39,050.41</w:t>
            </w:r>
          </w:p>
        </w:tc>
      </w:tr>
      <w:tr w:rsidR="004921FF" w:rsidRPr="005C133F" w14:paraId="6E9C9A75"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75269338" w14:textId="77777777" w:rsidR="00844852" w:rsidRPr="005C133F" w:rsidRDefault="00844852" w:rsidP="00402F25">
            <w:pPr>
              <w:spacing w:after="0" w:line="240" w:lineRule="auto"/>
              <w:rPr>
                <w:rFonts w:eastAsia="Times New Roman"/>
                <w:b/>
                <w:bCs/>
                <w:spacing w:val="0"/>
                <w:lang w:val="es-DO" w:eastAsia="es-DO"/>
              </w:rPr>
            </w:pPr>
            <w:r w:rsidRPr="005C133F">
              <w:rPr>
                <w:rFonts w:eastAsia="Times New Roman"/>
                <w:b/>
                <w:bCs/>
                <w:spacing w:val="0"/>
                <w:lang w:val="es-DO" w:eastAsia="es-DO"/>
              </w:rPr>
              <w:t>Menos:</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63EAB464"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3E1753A5"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1FF0A953"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r>
      <w:tr w:rsidR="004921FF" w:rsidRPr="005C133F" w14:paraId="461CE1CA"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08DE7B62"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Pago a Salud </w:t>
            </w:r>
          </w:p>
        </w:tc>
        <w:tc>
          <w:tcPr>
            <w:tcW w:w="0" w:type="auto"/>
            <w:tcBorders>
              <w:top w:val="nil"/>
              <w:left w:val="nil"/>
              <w:bottom w:val="single" w:sz="4" w:space="0" w:color="808080"/>
              <w:right w:val="single" w:sz="4" w:space="0" w:color="808080"/>
            </w:tcBorders>
            <w:vAlign w:val="center"/>
            <w:hideMark/>
          </w:tcPr>
          <w:p w14:paraId="5A302243"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14,679,716,979.07</w:t>
            </w:r>
          </w:p>
        </w:tc>
        <w:tc>
          <w:tcPr>
            <w:tcW w:w="0" w:type="auto"/>
            <w:tcBorders>
              <w:top w:val="nil"/>
              <w:left w:val="nil"/>
              <w:bottom w:val="single" w:sz="4" w:space="0" w:color="808080"/>
              <w:right w:val="single" w:sz="4" w:space="0" w:color="808080"/>
            </w:tcBorders>
            <w:vAlign w:val="center"/>
            <w:hideMark/>
          </w:tcPr>
          <w:p w14:paraId="039F3F02"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2,101,601,540.80</w:t>
            </w:r>
          </w:p>
        </w:tc>
        <w:tc>
          <w:tcPr>
            <w:tcW w:w="0" w:type="auto"/>
            <w:tcBorders>
              <w:top w:val="nil"/>
              <w:left w:val="nil"/>
              <w:bottom w:val="single" w:sz="4" w:space="0" w:color="808080"/>
              <w:right w:val="single" w:sz="4" w:space="0" w:color="808080"/>
            </w:tcBorders>
            <w:vAlign w:val="center"/>
            <w:hideMark/>
          </w:tcPr>
          <w:p w14:paraId="0F40DAF7"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61,586,196,364.87</w:t>
            </w:r>
          </w:p>
        </w:tc>
      </w:tr>
      <w:tr w:rsidR="004921FF" w:rsidRPr="005C133F" w14:paraId="78DCE755" w14:textId="77777777" w:rsidTr="006F1955">
        <w:trPr>
          <w:trHeight w:val="555"/>
          <w:jc w:val="center"/>
        </w:trPr>
        <w:tc>
          <w:tcPr>
            <w:tcW w:w="0" w:type="auto"/>
            <w:tcBorders>
              <w:top w:val="nil"/>
              <w:left w:val="single" w:sz="4" w:space="0" w:color="808080"/>
              <w:bottom w:val="single" w:sz="4" w:space="0" w:color="808080"/>
              <w:right w:val="single" w:sz="4" w:space="0" w:color="808080"/>
            </w:tcBorders>
            <w:vAlign w:val="center"/>
            <w:hideMark/>
          </w:tcPr>
          <w:p w14:paraId="5D0ED4BA"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Pago al FONAMAT </w:t>
            </w:r>
          </w:p>
        </w:tc>
        <w:tc>
          <w:tcPr>
            <w:tcW w:w="0" w:type="auto"/>
            <w:tcBorders>
              <w:top w:val="nil"/>
              <w:left w:val="nil"/>
              <w:bottom w:val="single" w:sz="4" w:space="0" w:color="808080"/>
              <w:right w:val="single" w:sz="4" w:space="0" w:color="808080"/>
            </w:tcBorders>
            <w:vAlign w:val="center"/>
            <w:hideMark/>
          </w:tcPr>
          <w:p w14:paraId="1D03D550"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521,888,023.00</w:t>
            </w:r>
          </w:p>
        </w:tc>
        <w:tc>
          <w:tcPr>
            <w:tcW w:w="0" w:type="auto"/>
            <w:tcBorders>
              <w:top w:val="nil"/>
              <w:left w:val="nil"/>
              <w:bottom w:val="single" w:sz="4" w:space="0" w:color="808080"/>
              <w:right w:val="single" w:sz="4" w:space="0" w:color="808080"/>
            </w:tcBorders>
            <w:vAlign w:val="center"/>
            <w:hideMark/>
          </w:tcPr>
          <w:p w14:paraId="371B2D90"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28AFBC70"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1,176,659,552.02</w:t>
            </w:r>
          </w:p>
        </w:tc>
      </w:tr>
      <w:tr w:rsidR="004921FF" w:rsidRPr="005C133F" w14:paraId="48117572" w14:textId="77777777" w:rsidTr="006F1955">
        <w:trPr>
          <w:trHeight w:val="552"/>
          <w:jc w:val="center"/>
        </w:trPr>
        <w:tc>
          <w:tcPr>
            <w:tcW w:w="0" w:type="auto"/>
            <w:tcBorders>
              <w:top w:val="nil"/>
              <w:left w:val="single" w:sz="4" w:space="0" w:color="808080"/>
              <w:bottom w:val="single" w:sz="4" w:space="0" w:color="808080"/>
              <w:right w:val="single" w:sz="4" w:space="0" w:color="808080"/>
            </w:tcBorders>
            <w:vAlign w:val="center"/>
            <w:hideMark/>
          </w:tcPr>
          <w:p w14:paraId="4DA38F21"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Transferencia Proyecto SENASA Cuida de ti </w:t>
            </w:r>
          </w:p>
        </w:tc>
        <w:tc>
          <w:tcPr>
            <w:tcW w:w="0" w:type="auto"/>
            <w:tcBorders>
              <w:top w:val="nil"/>
              <w:left w:val="nil"/>
              <w:bottom w:val="single" w:sz="4" w:space="0" w:color="808080"/>
              <w:right w:val="single" w:sz="4" w:space="0" w:color="808080"/>
            </w:tcBorders>
            <w:vAlign w:val="center"/>
            <w:hideMark/>
          </w:tcPr>
          <w:p w14:paraId="16B6CA85"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133,333,333.36</w:t>
            </w:r>
          </w:p>
        </w:tc>
        <w:tc>
          <w:tcPr>
            <w:tcW w:w="0" w:type="auto"/>
            <w:tcBorders>
              <w:top w:val="nil"/>
              <w:left w:val="nil"/>
              <w:bottom w:val="single" w:sz="4" w:space="0" w:color="808080"/>
              <w:right w:val="single" w:sz="4" w:space="0" w:color="808080"/>
            </w:tcBorders>
            <w:vAlign w:val="center"/>
            <w:hideMark/>
          </w:tcPr>
          <w:p w14:paraId="7D840882"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4D476C45"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r>
      <w:tr w:rsidR="004921FF" w:rsidRPr="005C133F" w14:paraId="0CB1F333" w14:textId="77777777" w:rsidTr="006F1955">
        <w:trPr>
          <w:trHeight w:val="555"/>
          <w:jc w:val="center"/>
        </w:trPr>
        <w:tc>
          <w:tcPr>
            <w:tcW w:w="0" w:type="auto"/>
            <w:tcBorders>
              <w:top w:val="nil"/>
              <w:left w:val="single" w:sz="4" w:space="0" w:color="808080"/>
              <w:bottom w:val="single" w:sz="4" w:space="0" w:color="808080"/>
              <w:right w:val="single" w:sz="4" w:space="0" w:color="808080"/>
            </w:tcBorders>
            <w:vAlign w:val="center"/>
            <w:hideMark/>
          </w:tcPr>
          <w:p w14:paraId="60D38335"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Apertura de Inversiones </w:t>
            </w:r>
          </w:p>
        </w:tc>
        <w:tc>
          <w:tcPr>
            <w:tcW w:w="0" w:type="auto"/>
            <w:tcBorders>
              <w:top w:val="nil"/>
              <w:left w:val="nil"/>
              <w:bottom w:val="single" w:sz="4" w:space="0" w:color="808080"/>
              <w:right w:val="single" w:sz="4" w:space="0" w:color="808080"/>
            </w:tcBorders>
            <w:vAlign w:val="center"/>
            <w:hideMark/>
          </w:tcPr>
          <w:p w14:paraId="2D5D7E91"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553,926,611.46</w:t>
            </w:r>
          </w:p>
        </w:tc>
        <w:tc>
          <w:tcPr>
            <w:tcW w:w="0" w:type="auto"/>
            <w:tcBorders>
              <w:top w:val="nil"/>
              <w:left w:val="nil"/>
              <w:bottom w:val="single" w:sz="4" w:space="0" w:color="808080"/>
              <w:right w:val="single" w:sz="4" w:space="0" w:color="808080"/>
            </w:tcBorders>
            <w:vAlign w:val="center"/>
            <w:hideMark/>
          </w:tcPr>
          <w:p w14:paraId="76CD533E"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5,389,763,000.00</w:t>
            </w:r>
          </w:p>
        </w:tc>
        <w:tc>
          <w:tcPr>
            <w:tcW w:w="0" w:type="auto"/>
            <w:tcBorders>
              <w:top w:val="nil"/>
              <w:left w:val="nil"/>
              <w:bottom w:val="single" w:sz="4" w:space="0" w:color="808080"/>
              <w:right w:val="single" w:sz="4" w:space="0" w:color="808080"/>
            </w:tcBorders>
            <w:vAlign w:val="center"/>
            <w:hideMark/>
          </w:tcPr>
          <w:p w14:paraId="3DFF782C"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7,272,136,991.23</w:t>
            </w:r>
          </w:p>
        </w:tc>
      </w:tr>
      <w:tr w:rsidR="004921FF" w:rsidRPr="005C133F" w14:paraId="352D139A"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21CB9C62"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Devoluciones </w:t>
            </w:r>
          </w:p>
        </w:tc>
        <w:tc>
          <w:tcPr>
            <w:tcW w:w="0" w:type="auto"/>
            <w:tcBorders>
              <w:top w:val="nil"/>
              <w:left w:val="nil"/>
              <w:bottom w:val="single" w:sz="4" w:space="0" w:color="808080"/>
              <w:right w:val="single" w:sz="4" w:space="0" w:color="808080"/>
            </w:tcBorders>
            <w:vAlign w:val="center"/>
            <w:hideMark/>
          </w:tcPr>
          <w:p w14:paraId="1B3B1F90"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4636A77C"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7,136,029.14</w:t>
            </w:r>
          </w:p>
        </w:tc>
        <w:tc>
          <w:tcPr>
            <w:tcW w:w="0" w:type="auto"/>
            <w:tcBorders>
              <w:top w:val="nil"/>
              <w:left w:val="nil"/>
              <w:bottom w:val="single" w:sz="4" w:space="0" w:color="808080"/>
              <w:right w:val="single" w:sz="4" w:space="0" w:color="808080"/>
            </w:tcBorders>
            <w:vAlign w:val="center"/>
            <w:hideMark/>
          </w:tcPr>
          <w:p w14:paraId="39C42786"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231,478,492.79</w:t>
            </w:r>
          </w:p>
        </w:tc>
      </w:tr>
      <w:tr w:rsidR="004921FF" w:rsidRPr="005C133F" w14:paraId="7CB47B64" w14:textId="77777777" w:rsidTr="006F1955">
        <w:trPr>
          <w:trHeight w:val="552"/>
          <w:jc w:val="center"/>
        </w:trPr>
        <w:tc>
          <w:tcPr>
            <w:tcW w:w="0" w:type="auto"/>
            <w:tcBorders>
              <w:top w:val="nil"/>
              <w:left w:val="single" w:sz="4" w:space="0" w:color="808080"/>
              <w:bottom w:val="single" w:sz="4" w:space="0" w:color="808080"/>
              <w:right w:val="single" w:sz="4" w:space="0" w:color="808080"/>
            </w:tcBorders>
            <w:vAlign w:val="center"/>
            <w:hideMark/>
          </w:tcPr>
          <w:p w14:paraId="1D55BF35" w14:textId="77777777" w:rsidR="00844852" w:rsidRPr="005C133F" w:rsidRDefault="00844852" w:rsidP="00402F25">
            <w:pPr>
              <w:spacing w:after="0" w:line="240" w:lineRule="auto"/>
              <w:rPr>
                <w:rFonts w:eastAsia="Times New Roman"/>
                <w:b/>
                <w:bCs/>
                <w:spacing w:val="0"/>
                <w:lang w:val="es-DO" w:eastAsia="es-DO"/>
              </w:rPr>
            </w:pPr>
            <w:r w:rsidRPr="005C133F">
              <w:rPr>
                <w:rFonts w:eastAsia="Times New Roman"/>
                <w:b/>
                <w:bCs/>
                <w:spacing w:val="0"/>
                <w:lang w:val="es-DO" w:eastAsia="es-DO"/>
              </w:rPr>
              <w:t>Balance Final en Banco</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7D9519EF"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                                             -    </w:t>
            </w:r>
          </w:p>
        </w:tc>
        <w:tc>
          <w:tcPr>
            <w:tcW w:w="0" w:type="auto"/>
            <w:tcBorders>
              <w:top w:val="nil"/>
              <w:left w:val="nil"/>
              <w:bottom w:val="single" w:sz="4" w:space="0" w:color="808080"/>
              <w:right w:val="single" w:sz="4" w:space="0" w:color="808080"/>
            </w:tcBorders>
            <w:vAlign w:val="center"/>
            <w:hideMark/>
          </w:tcPr>
          <w:p w14:paraId="5C10E32E"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                        1,983.78  </w:t>
            </w:r>
          </w:p>
        </w:tc>
        <w:tc>
          <w:tcPr>
            <w:tcW w:w="0" w:type="auto"/>
            <w:tcBorders>
              <w:top w:val="nil"/>
              <w:left w:val="nil"/>
              <w:bottom w:val="single" w:sz="4" w:space="0" w:color="808080"/>
              <w:right w:val="single" w:sz="4" w:space="0" w:color="808080"/>
            </w:tcBorders>
            <w:vAlign w:val="center"/>
            <w:hideMark/>
          </w:tcPr>
          <w:p w14:paraId="0EE83135"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915,106,918.82</w:t>
            </w:r>
          </w:p>
        </w:tc>
      </w:tr>
      <w:tr w:rsidR="004921FF" w:rsidRPr="005C133F" w14:paraId="1ADC9A43"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32EEB3EC" w14:textId="77777777" w:rsidR="00844852" w:rsidRPr="005C133F" w:rsidRDefault="00844852" w:rsidP="00402F25">
            <w:pPr>
              <w:spacing w:after="0" w:line="240" w:lineRule="auto"/>
              <w:rPr>
                <w:rFonts w:eastAsia="Times New Roman"/>
                <w:spacing w:val="0"/>
                <w:lang w:val="es-DO" w:eastAsia="es-DO"/>
              </w:rPr>
            </w:pPr>
            <w:r w:rsidRPr="005C133F">
              <w:rPr>
                <w:rFonts w:eastAsia="Times New Roman"/>
                <w:spacing w:val="0"/>
                <w:lang w:val="es-DO" w:eastAsia="es-DO"/>
              </w:rPr>
              <w:t>Inversiones </w:t>
            </w:r>
          </w:p>
        </w:tc>
        <w:tc>
          <w:tcPr>
            <w:tcW w:w="0" w:type="auto"/>
            <w:tcBorders>
              <w:top w:val="nil"/>
              <w:left w:val="nil"/>
              <w:bottom w:val="single" w:sz="4" w:space="0" w:color="808080"/>
              <w:right w:val="single" w:sz="4" w:space="0" w:color="808080"/>
            </w:tcBorders>
            <w:vAlign w:val="center"/>
            <w:hideMark/>
          </w:tcPr>
          <w:p w14:paraId="0A7943AC"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433,528,493.04</w:t>
            </w:r>
          </w:p>
        </w:tc>
        <w:tc>
          <w:tcPr>
            <w:tcW w:w="0" w:type="auto"/>
            <w:tcBorders>
              <w:top w:val="nil"/>
              <w:left w:val="nil"/>
              <w:bottom w:val="single" w:sz="4" w:space="0" w:color="808080"/>
              <w:right w:val="single" w:sz="4" w:space="0" w:color="808080"/>
            </w:tcBorders>
            <w:vAlign w:val="center"/>
            <w:hideMark/>
          </w:tcPr>
          <w:p w14:paraId="6925D647" w14:textId="77777777" w:rsidR="00844852" w:rsidRPr="005C133F" w:rsidRDefault="00844852" w:rsidP="00402F25">
            <w:pPr>
              <w:spacing w:after="0" w:line="240" w:lineRule="auto"/>
              <w:jc w:val="center"/>
              <w:rPr>
                <w:rFonts w:eastAsia="Times New Roman"/>
                <w:spacing w:val="0"/>
                <w:lang w:val="es-DO" w:eastAsia="es-DO"/>
              </w:rPr>
            </w:pPr>
            <w:r w:rsidRPr="005C133F">
              <w:rPr>
                <w:rFonts w:eastAsia="Times New Roman"/>
                <w:spacing w:val="0"/>
                <w:lang w:val="es-DO" w:eastAsia="es-DO"/>
              </w:rPr>
              <w:t>2,472,266,062.49</w:t>
            </w:r>
          </w:p>
        </w:tc>
        <w:tc>
          <w:tcPr>
            <w:tcW w:w="0" w:type="auto"/>
            <w:tcBorders>
              <w:top w:val="nil"/>
              <w:left w:val="nil"/>
              <w:bottom w:val="single" w:sz="4" w:space="0" w:color="808080"/>
              <w:right w:val="single" w:sz="4" w:space="0" w:color="808080"/>
            </w:tcBorders>
            <w:vAlign w:val="center"/>
            <w:hideMark/>
          </w:tcPr>
          <w:p w14:paraId="6B9A55DB" w14:textId="77777777" w:rsidR="00844852" w:rsidRPr="005C133F" w:rsidRDefault="00844852" w:rsidP="00402F25">
            <w:pPr>
              <w:spacing w:after="0" w:line="240" w:lineRule="auto"/>
              <w:jc w:val="right"/>
              <w:rPr>
                <w:rFonts w:eastAsia="Times New Roman"/>
                <w:spacing w:val="0"/>
                <w:lang w:val="es-DO" w:eastAsia="es-DO"/>
              </w:rPr>
            </w:pPr>
            <w:r w:rsidRPr="005C133F">
              <w:rPr>
                <w:rFonts w:eastAsia="Times New Roman"/>
                <w:spacing w:val="0"/>
                <w:lang w:val="es-DO" w:eastAsia="es-DO"/>
              </w:rPr>
              <w:t>3,960,412,118.75</w:t>
            </w:r>
          </w:p>
        </w:tc>
      </w:tr>
      <w:tr w:rsidR="004921FF" w:rsidRPr="005C133F" w14:paraId="57DF3120" w14:textId="77777777" w:rsidTr="006F1955">
        <w:trPr>
          <w:trHeight w:val="276"/>
          <w:jc w:val="center"/>
        </w:trPr>
        <w:tc>
          <w:tcPr>
            <w:tcW w:w="0" w:type="auto"/>
            <w:tcBorders>
              <w:top w:val="nil"/>
              <w:left w:val="single" w:sz="4" w:space="0" w:color="808080"/>
              <w:bottom w:val="single" w:sz="4" w:space="0" w:color="808080"/>
              <w:right w:val="single" w:sz="4" w:space="0" w:color="808080"/>
            </w:tcBorders>
            <w:vAlign w:val="center"/>
            <w:hideMark/>
          </w:tcPr>
          <w:p w14:paraId="1C16BECE" w14:textId="77777777" w:rsidR="00844852" w:rsidRPr="005C133F" w:rsidRDefault="00844852" w:rsidP="00402F25">
            <w:pPr>
              <w:spacing w:after="0" w:line="240" w:lineRule="auto"/>
              <w:rPr>
                <w:rFonts w:eastAsia="Times New Roman"/>
                <w:b/>
                <w:bCs/>
                <w:spacing w:val="0"/>
                <w:lang w:val="es-DO" w:eastAsia="es-DO"/>
              </w:rPr>
            </w:pPr>
            <w:r w:rsidRPr="005C133F">
              <w:rPr>
                <w:rFonts w:eastAsia="Times New Roman"/>
                <w:b/>
                <w:bCs/>
                <w:spacing w:val="0"/>
                <w:lang w:val="es-DO" w:eastAsia="es-DO"/>
              </w:rPr>
              <w:t>Disponibilidad</w:t>
            </w:r>
            <w:r w:rsidRPr="005C133F">
              <w:rPr>
                <w:rFonts w:eastAsia="Times New Roman"/>
                <w:spacing w:val="0"/>
                <w:lang w:val="es-DO" w:eastAsia="es-DO"/>
              </w:rPr>
              <w:t> </w:t>
            </w:r>
          </w:p>
        </w:tc>
        <w:tc>
          <w:tcPr>
            <w:tcW w:w="0" w:type="auto"/>
            <w:tcBorders>
              <w:top w:val="nil"/>
              <w:left w:val="nil"/>
              <w:bottom w:val="single" w:sz="4" w:space="0" w:color="808080"/>
              <w:right w:val="single" w:sz="4" w:space="0" w:color="808080"/>
            </w:tcBorders>
            <w:vAlign w:val="center"/>
            <w:hideMark/>
          </w:tcPr>
          <w:p w14:paraId="2FA29CBC" w14:textId="77777777" w:rsidR="00844852" w:rsidRPr="005C133F" w:rsidRDefault="00844852"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433,528,493.04</w:t>
            </w:r>
          </w:p>
        </w:tc>
        <w:tc>
          <w:tcPr>
            <w:tcW w:w="0" w:type="auto"/>
            <w:tcBorders>
              <w:top w:val="nil"/>
              <w:left w:val="nil"/>
              <w:bottom w:val="single" w:sz="4" w:space="0" w:color="808080"/>
              <w:right w:val="single" w:sz="4" w:space="0" w:color="808080"/>
            </w:tcBorders>
            <w:vAlign w:val="center"/>
            <w:hideMark/>
          </w:tcPr>
          <w:p w14:paraId="0C639F1C" w14:textId="77777777" w:rsidR="00844852" w:rsidRPr="005C133F" w:rsidRDefault="00844852" w:rsidP="00402F25">
            <w:pPr>
              <w:spacing w:after="0" w:line="240" w:lineRule="auto"/>
              <w:jc w:val="center"/>
              <w:rPr>
                <w:rFonts w:eastAsia="Times New Roman"/>
                <w:b/>
                <w:bCs/>
                <w:spacing w:val="0"/>
                <w:lang w:val="es-DO" w:eastAsia="es-DO"/>
              </w:rPr>
            </w:pPr>
            <w:r w:rsidRPr="005C133F">
              <w:rPr>
                <w:rFonts w:eastAsia="Times New Roman"/>
                <w:b/>
                <w:bCs/>
                <w:spacing w:val="0"/>
                <w:lang w:val="es-DO" w:eastAsia="es-DO"/>
              </w:rPr>
              <w:t>2,472,268,046.27</w:t>
            </w:r>
          </w:p>
        </w:tc>
        <w:tc>
          <w:tcPr>
            <w:tcW w:w="0" w:type="auto"/>
            <w:tcBorders>
              <w:top w:val="nil"/>
              <w:left w:val="nil"/>
              <w:bottom w:val="single" w:sz="4" w:space="0" w:color="808080"/>
              <w:right w:val="single" w:sz="4" w:space="0" w:color="808080"/>
            </w:tcBorders>
            <w:vAlign w:val="center"/>
            <w:hideMark/>
          </w:tcPr>
          <w:p w14:paraId="64DB9B3C" w14:textId="77777777" w:rsidR="00844852" w:rsidRPr="005C133F" w:rsidRDefault="00844852" w:rsidP="00402F25">
            <w:pPr>
              <w:spacing w:after="0" w:line="240" w:lineRule="auto"/>
              <w:jc w:val="right"/>
              <w:rPr>
                <w:rFonts w:eastAsia="Times New Roman"/>
                <w:b/>
                <w:bCs/>
                <w:spacing w:val="0"/>
                <w:lang w:val="es-DO" w:eastAsia="es-DO"/>
              </w:rPr>
            </w:pPr>
            <w:r w:rsidRPr="005C133F">
              <w:rPr>
                <w:rFonts w:eastAsia="Times New Roman"/>
                <w:b/>
                <w:bCs/>
                <w:spacing w:val="0"/>
                <w:lang w:val="es-DO" w:eastAsia="es-DO"/>
              </w:rPr>
              <w:t>4,875,519,037.57</w:t>
            </w:r>
          </w:p>
        </w:tc>
      </w:tr>
    </w:tbl>
    <w:p w14:paraId="790AD1F8" w14:textId="77777777" w:rsidR="006F1955" w:rsidRPr="00656D91" w:rsidRDefault="006F1955" w:rsidP="006F1955">
      <w:pPr>
        <w:spacing w:after="0" w:line="240" w:lineRule="auto"/>
        <w:jc w:val="both"/>
        <w:rPr>
          <w:rFonts w:eastAsia="Times New Roman"/>
          <w:sz w:val="18"/>
          <w:szCs w:val="18"/>
          <w:lang w:val="es-DO" w:eastAsia="es-DO"/>
        </w:rPr>
      </w:pPr>
      <w:r w:rsidRPr="00AC2DB2">
        <w:rPr>
          <w:rFonts w:eastAsia="Times New Roman"/>
          <w:sz w:val="18"/>
          <w:szCs w:val="18"/>
          <w:lang w:val="es-DO" w:eastAsia="es-DO"/>
        </w:rPr>
        <w:t>Nota: En análisis de disponibilidad de RC de TSS, no se incluye dependientes adicionales. </w:t>
      </w:r>
    </w:p>
    <w:p w14:paraId="0DDD8A5F" w14:textId="77777777" w:rsidR="00246DA5" w:rsidRPr="00AC2DB2" w:rsidRDefault="00844852" w:rsidP="00656D91">
      <w:pPr>
        <w:spacing w:after="0" w:line="240" w:lineRule="auto"/>
        <w:jc w:val="both"/>
        <w:rPr>
          <w:sz w:val="18"/>
          <w:szCs w:val="18"/>
          <w:lang w:val="es-DO"/>
        </w:rPr>
      </w:pPr>
      <w:r w:rsidRPr="00AC2DB2">
        <w:rPr>
          <w:sz w:val="18"/>
          <w:szCs w:val="18"/>
          <w:lang w:val="es-DO"/>
        </w:rPr>
        <w:t xml:space="preserve">Fuente: </w:t>
      </w:r>
      <w:r w:rsidR="00F24B27" w:rsidRPr="00AC2DB2">
        <w:rPr>
          <w:sz w:val="18"/>
          <w:szCs w:val="18"/>
          <w:lang w:val="es-DO"/>
        </w:rPr>
        <w:t xml:space="preserve">Elaboración de </w:t>
      </w:r>
      <w:r w:rsidR="00E911C5" w:rsidRPr="00AC2DB2">
        <w:rPr>
          <w:sz w:val="18"/>
          <w:szCs w:val="18"/>
          <w:lang w:val="es-DO"/>
        </w:rPr>
        <w:t xml:space="preserve">Dirección de Monitoreo y Supervisión </w:t>
      </w:r>
      <w:r w:rsidR="00A97BDE" w:rsidRPr="00AC2DB2">
        <w:rPr>
          <w:sz w:val="18"/>
          <w:szCs w:val="18"/>
          <w:lang w:val="es-DO"/>
        </w:rPr>
        <w:t>de la Gestión de Riesgos, SISAL</w:t>
      </w:r>
    </w:p>
    <w:p w14:paraId="0B9D28B3" w14:textId="77777777" w:rsidR="00656D91" w:rsidRDefault="00656D91" w:rsidP="00656D91">
      <w:pPr>
        <w:spacing w:after="0" w:line="360" w:lineRule="auto"/>
        <w:jc w:val="both"/>
        <w:rPr>
          <w:lang w:val="es-DO"/>
        </w:rPr>
      </w:pPr>
    </w:p>
    <w:p w14:paraId="609D5527" w14:textId="77777777" w:rsidR="00CF647E" w:rsidRDefault="00CF647E" w:rsidP="00656D91">
      <w:pPr>
        <w:spacing w:after="0" w:line="360" w:lineRule="auto"/>
        <w:jc w:val="both"/>
        <w:rPr>
          <w:lang w:val="es-DO"/>
        </w:rPr>
      </w:pPr>
    </w:p>
    <w:p w14:paraId="4D058C1E" w14:textId="2985AA40" w:rsidR="0017690A" w:rsidRDefault="007C1821">
      <w:pPr>
        <w:pStyle w:val="Textoindependiente"/>
        <w:numPr>
          <w:ilvl w:val="0"/>
          <w:numId w:val="168"/>
        </w:numPr>
        <w:spacing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t>Régimen</w:t>
      </w:r>
      <w:r w:rsidR="0017690A" w:rsidRPr="005C133F">
        <w:rPr>
          <w:i w:val="0"/>
          <w:iCs w:val="0"/>
          <w:color w:val="767171"/>
          <w:spacing w:val="20"/>
          <w:sz w:val="24"/>
          <w:szCs w:val="24"/>
          <w:lang w:val="es-DO" w:eastAsia="es-DO"/>
        </w:rPr>
        <w:t xml:space="preserve"> </w:t>
      </w:r>
      <w:r w:rsidRPr="005C133F">
        <w:rPr>
          <w:i w:val="0"/>
          <w:iCs w:val="0"/>
          <w:color w:val="767171"/>
          <w:spacing w:val="20"/>
          <w:sz w:val="24"/>
          <w:szCs w:val="24"/>
          <w:lang w:val="es-DO" w:eastAsia="es-DO"/>
        </w:rPr>
        <w:t>Subsidiado</w:t>
      </w:r>
      <w:r w:rsidR="0017690A" w:rsidRPr="005C133F">
        <w:rPr>
          <w:i w:val="0"/>
          <w:iCs w:val="0"/>
          <w:color w:val="767171"/>
          <w:spacing w:val="20"/>
          <w:sz w:val="24"/>
          <w:szCs w:val="24"/>
          <w:lang w:val="es-DO" w:eastAsia="es-DO"/>
        </w:rPr>
        <w:t xml:space="preserve"> (RS) </w:t>
      </w:r>
    </w:p>
    <w:p w14:paraId="3A0E1C44" w14:textId="77777777" w:rsidR="00656D91" w:rsidRPr="005C133F" w:rsidRDefault="00656D91" w:rsidP="00656D91">
      <w:pPr>
        <w:pStyle w:val="Textoindependiente"/>
        <w:spacing w:line="360" w:lineRule="auto"/>
        <w:ind w:left="720"/>
        <w:jc w:val="both"/>
        <w:rPr>
          <w:i w:val="0"/>
          <w:iCs w:val="0"/>
          <w:color w:val="767171"/>
          <w:spacing w:val="20"/>
          <w:sz w:val="24"/>
          <w:szCs w:val="24"/>
          <w:lang w:val="es-DO" w:eastAsia="es-DO"/>
        </w:rPr>
      </w:pPr>
    </w:p>
    <w:p w14:paraId="04797D70" w14:textId="1302B739" w:rsidR="0017690A" w:rsidRPr="005C133F" w:rsidRDefault="0017690A" w:rsidP="00656D91">
      <w:pPr>
        <w:spacing w:after="0" w:line="360" w:lineRule="auto"/>
        <w:jc w:val="both"/>
        <w:rPr>
          <w:lang w:val="es-DO"/>
        </w:rPr>
      </w:pPr>
      <w:r w:rsidRPr="005C133F">
        <w:rPr>
          <w:lang w:val="es-DO"/>
        </w:rPr>
        <w:t xml:space="preserve">El Régimen Subsidiado inició el año 2025 con un presupuesto de RD$18,595,222,000.00, el cual fue reformulado en mayo a RD$23,271,216,146.71. A </w:t>
      </w:r>
      <w:r w:rsidR="009E2F99" w:rsidRPr="005C133F">
        <w:rPr>
          <w:lang w:val="es-DO"/>
        </w:rPr>
        <w:t>agosto de 2025 se había ejecutado</w:t>
      </w:r>
      <w:r w:rsidRPr="005C133F">
        <w:rPr>
          <w:lang w:val="es-DO"/>
        </w:rPr>
        <w:t xml:space="preserve"> 66.66% de esos recursos, quedando un 33.33% pendiente, equivalente a RD$7,759,393,911.56. Durante este período, el régimen mantiene un promedio de 5,699,179 afiliados. Entre los meses de enero a agosto, los aportes ascendieron a RD$15,511 millones, financiados mediante aportes estatales mensuales de RD$1,549,601,833.33 entre enero y abril. En abril se incorporó un aporte extraordinario de RD$1,554,020,992.31, aprobado por el Ministerio de Hacienda para cubrir el incremento del per cápita (de RD$259.43 a RD$321.97) y el ajuste al FONAMAT (de RD$5.45 a RD$11.45), conforme a la Resolución 610-04 del CNSS, emitida el 27 de marzo de 2025.</w:t>
      </w:r>
    </w:p>
    <w:p w14:paraId="543CF935" w14:textId="5317A9B4" w:rsidR="002E6A7F" w:rsidRPr="005C133F" w:rsidRDefault="00BC1238" w:rsidP="005C133F">
      <w:pPr>
        <w:spacing w:after="0" w:line="360" w:lineRule="auto"/>
        <w:jc w:val="both"/>
        <w:textAlignment w:val="baseline"/>
        <w:rPr>
          <w:lang w:val="es-DO"/>
        </w:rPr>
      </w:pPr>
      <w:r w:rsidRPr="005C133F">
        <w:rPr>
          <w:lang w:val="es-DO"/>
        </w:rPr>
        <w:t>En cuanto a los egresos, se pagaron RD$15,334,938,335.43, de los cuales el 95.73% corresponde a Salud, el 3.40% al FONAMAT y el 0.87% al proyecto “SENASA Cuida de Ti”. Es importante señalar que, debido al caso Jet Set, se incluyeron pagos específicos de RD$2,575.76 en Salud y RD$91.60 en FONAMAT. </w:t>
      </w:r>
    </w:p>
    <w:p w14:paraId="2FD5EE7C" w14:textId="77777777" w:rsidR="002E6A7F" w:rsidRPr="005C133F" w:rsidRDefault="002E6A7F" w:rsidP="005C133F">
      <w:pPr>
        <w:spacing w:after="0" w:line="360" w:lineRule="auto"/>
        <w:jc w:val="both"/>
        <w:textAlignment w:val="baseline"/>
        <w:rPr>
          <w:lang w:val="es-DO"/>
        </w:rPr>
      </w:pPr>
    </w:p>
    <w:p w14:paraId="65D263A1" w14:textId="45D0595A" w:rsidR="00656D91" w:rsidRDefault="002E6A7F" w:rsidP="00D75EEC">
      <w:pPr>
        <w:spacing w:after="0" w:line="360" w:lineRule="auto"/>
        <w:jc w:val="both"/>
        <w:textAlignment w:val="baseline"/>
        <w:rPr>
          <w:lang w:val="es-DO"/>
        </w:rPr>
      </w:pPr>
      <w:r w:rsidRPr="005C133F">
        <w:rPr>
          <w:lang w:val="es-DO"/>
        </w:rPr>
        <w:t xml:space="preserve">Respecto a las inversiones, estas registraron un crecimiento de 78.12%, pasando de RD$243,387,012.25 en enero a RD$433,528,493.04 en agosto. Este último valor representa la disponibilidad actual del CSP del Régimen Subsidiado, ya que los ingresos se utilizan para cubrir los pagos mensuales y el excedente se destina a la apertura de certificados financieros, que acumulan RD$553,926,611.46 al cierre de agosto de 2025. Como se puede ver </w:t>
      </w:r>
      <w:r w:rsidRPr="005C133F">
        <w:rPr>
          <w:lang w:val="es-DO"/>
        </w:rPr>
        <w:lastRenderedPageBreak/>
        <w:t>en el gr</w:t>
      </w:r>
      <w:r w:rsidR="001A5129">
        <w:rPr>
          <w:lang w:val="es-DO"/>
        </w:rPr>
        <w:t>á</w:t>
      </w:r>
      <w:r w:rsidRPr="005C133F">
        <w:rPr>
          <w:lang w:val="es-DO"/>
        </w:rPr>
        <w:t>fico a continuación, las inversiones han mostrado un crecimiento sostenido a lo largo del período, sin registrar disminuciones mensuales. El promedio mensual fue de aproximadamente RD$328,970,054.79.</w:t>
      </w:r>
    </w:p>
    <w:p w14:paraId="3435A2D7" w14:textId="77777777" w:rsidR="00656D91" w:rsidRPr="005C133F" w:rsidRDefault="00656D91" w:rsidP="005C133F">
      <w:pPr>
        <w:spacing w:after="0" w:line="360" w:lineRule="auto"/>
        <w:rPr>
          <w:lang w:val="es-DO"/>
        </w:rPr>
      </w:pPr>
    </w:p>
    <w:p w14:paraId="65079D17" w14:textId="6D03FF53" w:rsidR="00DF54FA" w:rsidRPr="005C133F" w:rsidRDefault="00DF54FA" w:rsidP="00656D91">
      <w:pPr>
        <w:pStyle w:val="Descripcin"/>
        <w:spacing w:after="0"/>
        <w:jc w:val="center"/>
        <w:rPr>
          <w:b/>
          <w:bCs/>
          <w:i w:val="0"/>
          <w:iCs w:val="0"/>
          <w:color w:val="767171"/>
          <w:sz w:val="24"/>
          <w:szCs w:val="24"/>
          <w:lang w:val="es-DO"/>
        </w:rPr>
      </w:pPr>
      <w:bookmarkStart w:id="65" w:name="_Toc217047804"/>
      <w:r w:rsidRPr="005C133F">
        <w:rPr>
          <w:b/>
          <w:bCs/>
          <w:i w:val="0"/>
          <w:iCs w:val="0"/>
          <w:color w:val="767171"/>
          <w:sz w:val="24"/>
          <w:szCs w:val="24"/>
          <w:lang w:val="es-DO"/>
        </w:rPr>
        <w:t xml:space="preserve">Gráfico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Ilustración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1</w:t>
      </w:r>
      <w:r w:rsidRPr="005C133F">
        <w:rPr>
          <w:b/>
          <w:bCs/>
          <w:i w:val="0"/>
          <w:iCs w:val="0"/>
          <w:color w:val="767171"/>
          <w:sz w:val="24"/>
          <w:szCs w:val="24"/>
          <w:lang w:val="es-DO"/>
        </w:rPr>
        <w:fldChar w:fldCharType="end"/>
      </w:r>
      <w:r w:rsidRPr="005C133F">
        <w:rPr>
          <w:b/>
          <w:bCs/>
          <w:i w:val="0"/>
          <w:iCs w:val="0"/>
          <w:color w:val="767171"/>
          <w:sz w:val="24"/>
          <w:szCs w:val="24"/>
          <w:lang w:val="es-DO"/>
        </w:rPr>
        <w:t>. Neto de Inversiones del Régimen Subsidiado, enero – agosto 2025</w:t>
      </w:r>
      <w:bookmarkEnd w:id="65"/>
    </w:p>
    <w:p w14:paraId="29170388" w14:textId="77777777" w:rsidR="00DF54FA" w:rsidRPr="005C133F" w:rsidRDefault="00CF6A6A" w:rsidP="00656D91">
      <w:pPr>
        <w:keepNext/>
        <w:spacing w:after="0" w:line="240" w:lineRule="auto"/>
        <w:jc w:val="both"/>
        <w:textAlignment w:val="baseline"/>
      </w:pPr>
      <w:r w:rsidRPr="005C133F">
        <w:rPr>
          <w:noProof/>
        </w:rPr>
        <w:drawing>
          <wp:inline distT="0" distB="0" distL="0" distR="0" wp14:anchorId="73E10A52" wp14:editId="0CB0DB23">
            <wp:extent cx="5029200" cy="2078355"/>
            <wp:effectExtent l="0" t="0" r="0" b="17145"/>
            <wp:docPr id="1117983591"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21239F3" w14:textId="6045DAB2" w:rsidR="00656D91" w:rsidRDefault="002E6A7F" w:rsidP="00656D91">
      <w:pPr>
        <w:spacing w:after="0" w:line="240" w:lineRule="auto"/>
        <w:jc w:val="both"/>
        <w:textAlignment w:val="baseline"/>
        <w:rPr>
          <w:sz w:val="18"/>
          <w:szCs w:val="18"/>
          <w:lang w:val="es-DO"/>
        </w:rPr>
      </w:pPr>
      <w:r w:rsidRPr="00AC2DB2">
        <w:rPr>
          <w:sz w:val="18"/>
          <w:szCs w:val="18"/>
          <w:lang w:val="es-DO"/>
        </w:rPr>
        <w:t> </w:t>
      </w:r>
      <w:r w:rsidR="002A4934" w:rsidRPr="00AC2DB2">
        <w:rPr>
          <w:sz w:val="18"/>
          <w:szCs w:val="18"/>
          <w:lang w:val="es-DO"/>
        </w:rPr>
        <w:t>Fuente: Comunicación TSS – Balances del RS.</w:t>
      </w:r>
    </w:p>
    <w:p w14:paraId="35A1D6AA" w14:textId="77777777" w:rsidR="00656D91" w:rsidRDefault="00656D91" w:rsidP="00656D91">
      <w:pPr>
        <w:spacing w:after="0" w:line="240" w:lineRule="auto"/>
        <w:jc w:val="both"/>
        <w:textAlignment w:val="baseline"/>
        <w:rPr>
          <w:sz w:val="18"/>
          <w:szCs w:val="18"/>
          <w:lang w:val="es-DO"/>
        </w:rPr>
      </w:pPr>
    </w:p>
    <w:p w14:paraId="6ABE5D40" w14:textId="77777777" w:rsidR="00656D91" w:rsidRDefault="00656D91" w:rsidP="00656D91">
      <w:pPr>
        <w:spacing w:after="0" w:line="240" w:lineRule="auto"/>
        <w:jc w:val="both"/>
        <w:textAlignment w:val="baseline"/>
        <w:rPr>
          <w:sz w:val="18"/>
          <w:szCs w:val="18"/>
          <w:lang w:val="es-DO"/>
        </w:rPr>
      </w:pPr>
    </w:p>
    <w:p w14:paraId="25665BD2" w14:textId="77777777" w:rsidR="00656D91" w:rsidRPr="00656D91" w:rsidRDefault="00656D91" w:rsidP="00656D91">
      <w:pPr>
        <w:spacing w:after="0" w:line="240" w:lineRule="auto"/>
        <w:jc w:val="both"/>
        <w:textAlignment w:val="baseline"/>
        <w:rPr>
          <w:sz w:val="18"/>
          <w:szCs w:val="18"/>
          <w:lang w:val="es-DO"/>
        </w:rPr>
      </w:pPr>
    </w:p>
    <w:p w14:paraId="701EEC98" w14:textId="3F9DC669" w:rsidR="00656D91" w:rsidRDefault="002D5662">
      <w:pPr>
        <w:pStyle w:val="Textoindependiente"/>
        <w:numPr>
          <w:ilvl w:val="0"/>
          <w:numId w:val="168"/>
        </w:numPr>
        <w:spacing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t>Régimen Contributivo (RC) </w:t>
      </w:r>
    </w:p>
    <w:p w14:paraId="0725731D" w14:textId="77777777" w:rsidR="00656D91" w:rsidRDefault="00656D91" w:rsidP="00656D91">
      <w:pPr>
        <w:spacing w:after="0" w:line="360" w:lineRule="auto"/>
        <w:jc w:val="both"/>
        <w:textAlignment w:val="baseline"/>
        <w:rPr>
          <w:lang w:val="es-DO"/>
        </w:rPr>
      </w:pPr>
    </w:p>
    <w:p w14:paraId="59D269E4" w14:textId="240C4E52" w:rsidR="00A36322" w:rsidRPr="005C133F" w:rsidRDefault="00FE475F" w:rsidP="00656D91">
      <w:pPr>
        <w:spacing w:after="0" w:line="360" w:lineRule="auto"/>
        <w:jc w:val="both"/>
        <w:textAlignment w:val="baseline"/>
        <w:rPr>
          <w:lang w:val="es-DO"/>
        </w:rPr>
      </w:pPr>
      <w:r w:rsidRPr="005C133F">
        <w:rPr>
          <w:lang w:val="es-DO"/>
        </w:rPr>
        <w:t>La disponibilidad de la Cuenta de Cuidado de la Salud del Régimen Contributivo mostró un crecimiento sostenido entre enero y agosto de 2025, pasando de RD$2,552,186,505.28 a RD$4,875,519,037.57, lo que representa un aumento acumulado cercano al 91%. Aunque en abril se registró una ligera caída de -2.53%, el comportamiento general fue de manera clara positivo, destacándose especialmente el mes de mayo con un incremento de 20.38%, el mayor del período. En conjunto, la evolución mensual refleja una tendencia de fortalecimiento continuo de los recursos disponibles para la cobertura de salud. </w:t>
      </w:r>
    </w:p>
    <w:p w14:paraId="1DBA2855" w14:textId="77777777" w:rsidR="001B6BA9" w:rsidRDefault="001B6BA9" w:rsidP="005C133F">
      <w:pPr>
        <w:spacing w:before="120" w:after="0" w:line="360" w:lineRule="auto"/>
        <w:jc w:val="both"/>
        <w:textAlignment w:val="baseline"/>
        <w:rPr>
          <w:lang w:val="es-DO"/>
        </w:rPr>
      </w:pPr>
    </w:p>
    <w:p w14:paraId="63AB0894" w14:textId="326AA825" w:rsidR="00DC2EC6" w:rsidRPr="005C133F" w:rsidRDefault="00DC2EC6" w:rsidP="00656D91">
      <w:pPr>
        <w:pStyle w:val="Descripcin"/>
        <w:spacing w:after="0"/>
        <w:jc w:val="center"/>
        <w:rPr>
          <w:b/>
          <w:bCs/>
          <w:i w:val="0"/>
          <w:iCs w:val="0"/>
          <w:color w:val="767171"/>
          <w:sz w:val="24"/>
          <w:szCs w:val="24"/>
          <w:lang w:val="es-DO"/>
        </w:rPr>
      </w:pPr>
      <w:bookmarkStart w:id="66" w:name="_Toc217047805"/>
      <w:r w:rsidRPr="005C133F">
        <w:rPr>
          <w:b/>
          <w:bCs/>
          <w:i w:val="0"/>
          <w:iCs w:val="0"/>
          <w:color w:val="767171"/>
          <w:sz w:val="24"/>
          <w:szCs w:val="24"/>
          <w:lang w:val="es-DO"/>
        </w:rPr>
        <w:t xml:space="preserve">Gráfico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Ilustración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w:t>
      </w:r>
      <w:r w:rsidRPr="005C133F">
        <w:rPr>
          <w:b/>
          <w:bCs/>
          <w:i w:val="0"/>
          <w:iCs w:val="0"/>
          <w:color w:val="767171"/>
          <w:sz w:val="24"/>
          <w:szCs w:val="24"/>
          <w:lang w:val="es-DO"/>
        </w:rPr>
        <w:fldChar w:fldCharType="end"/>
      </w:r>
      <w:r w:rsidRPr="005C133F">
        <w:rPr>
          <w:b/>
          <w:bCs/>
          <w:i w:val="0"/>
          <w:iCs w:val="0"/>
          <w:color w:val="767171"/>
          <w:sz w:val="24"/>
          <w:szCs w:val="24"/>
          <w:lang w:val="es-DO"/>
        </w:rPr>
        <w:t>. Disponibilidad de la Cuenta del Cuidado de la Salud del RC, enero – agosto 2025</w:t>
      </w:r>
      <w:bookmarkEnd w:id="66"/>
    </w:p>
    <w:p w14:paraId="4FDBB3D6" w14:textId="5063BB32" w:rsidR="00DC2EC6" w:rsidRPr="005C133F" w:rsidRDefault="00E91499" w:rsidP="00656D91">
      <w:pPr>
        <w:keepNext/>
        <w:spacing w:before="120" w:after="0" w:line="240" w:lineRule="auto"/>
        <w:jc w:val="both"/>
        <w:textAlignment w:val="baseline"/>
      </w:pPr>
      <w:r w:rsidRPr="005C133F">
        <w:rPr>
          <w:noProof/>
        </w:rPr>
        <w:drawing>
          <wp:inline distT="0" distB="0" distL="0" distR="0" wp14:anchorId="1D1155FE" wp14:editId="3E0A1F73">
            <wp:extent cx="5038725" cy="2657475"/>
            <wp:effectExtent l="0" t="0" r="9525" b="9525"/>
            <wp:docPr id="1873890973"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EAD64F5" w14:textId="3C217765" w:rsidR="00CB5779" w:rsidRPr="00AC2DB2" w:rsidRDefault="00CB5779" w:rsidP="00656D91">
      <w:pPr>
        <w:spacing w:after="0" w:line="240" w:lineRule="auto"/>
        <w:jc w:val="both"/>
        <w:textAlignment w:val="baseline"/>
        <w:rPr>
          <w:sz w:val="18"/>
          <w:szCs w:val="18"/>
          <w:lang w:val="es-DO"/>
        </w:rPr>
      </w:pPr>
      <w:r w:rsidRPr="00AC2DB2">
        <w:rPr>
          <w:sz w:val="18"/>
          <w:szCs w:val="18"/>
          <w:lang w:val="es-DO"/>
        </w:rPr>
        <w:t>Fuente: Disponibilidad de la Cuenta Cuidado de la Salud de las Personas.</w:t>
      </w:r>
    </w:p>
    <w:p w14:paraId="71A05250" w14:textId="77777777" w:rsidR="00635FFC" w:rsidRPr="005C133F" w:rsidRDefault="00635FFC" w:rsidP="005C133F">
      <w:pPr>
        <w:spacing w:after="0" w:line="360" w:lineRule="auto"/>
        <w:jc w:val="both"/>
        <w:textAlignment w:val="baseline"/>
        <w:rPr>
          <w:lang w:val="es-DO"/>
        </w:rPr>
      </w:pPr>
    </w:p>
    <w:p w14:paraId="02132D52" w14:textId="43382EC7" w:rsidR="00AC2DB2" w:rsidRDefault="004F0C37" w:rsidP="005C133F">
      <w:pPr>
        <w:spacing w:before="120" w:after="0" w:line="360" w:lineRule="auto"/>
        <w:jc w:val="both"/>
        <w:textAlignment w:val="baseline"/>
        <w:rPr>
          <w:lang w:val="es-DO"/>
        </w:rPr>
      </w:pPr>
      <w:r w:rsidRPr="005C133F">
        <w:rPr>
          <w:lang w:val="es-DO"/>
        </w:rPr>
        <w:t xml:space="preserve">El recaudo de la Cuenta de Salud del Régimen Contributivo (CSP-RC) entre enero y agosto de 2025 asciende a RD$64,980,402,753.89, con un promedio mensual de RD$8,122,550,344.24. además de este total, los dependientes adicionales aportan RD$3,656,953,843.54. El comportamiento de los ingresos es marcadamente creciente (ver gráfica siguiente), destacándose mayo y julio como los meses de mayor recaudación. Los pagos totales alcanzan RD$62,762,855,916.89 e incluyen: RD$61,585,652,684.81 en pagos de Salud a titulares y dependientes directos (promedio mensual de RD$7,698,206,585.60), RD$3,606,757,573.70 correspondientes a dependientes adicionales, RD$1,176,649,138.50 al FONAMAT (promedio mensual de RD$147,081,142.31 considerando solo titulares y dependientes directos), más RD$69,008,817.28 de FONAMAT por dependientes adicionales. Asimismo, se pagaron </w:t>
      </w:r>
      <w:r w:rsidRPr="005C133F">
        <w:rPr>
          <w:lang w:val="es-DO"/>
        </w:rPr>
        <w:lastRenderedPageBreak/>
        <w:t>RD$543,680.06 a las ARS por concepto del caso Jet Set y RD$10,413.52 al FONAMAT por ese mismo concepto. Estos montos están incorporados dentro del valor general de “Pagos” mostrado en la gráfica. Durante todo el período, los pagos se mantienen por debajo del recaudo, generando un margen financiero positivo cada mes. Mientras el recaudo exhibe variaciones más dinámicas, los pagos permanecen relativamente estables, moviéndose en un rango estrecho entre RD$7,700 millones y RD$7,800 millones, lo que evidencia una ejecución más predecible frente al comportamiento más variable de los ingresos. </w:t>
      </w:r>
    </w:p>
    <w:p w14:paraId="6379F505" w14:textId="77777777" w:rsidR="00CF647E" w:rsidRPr="005C133F" w:rsidRDefault="00CF647E" w:rsidP="005C133F">
      <w:pPr>
        <w:spacing w:before="120" w:after="0" w:line="360" w:lineRule="auto"/>
        <w:jc w:val="both"/>
        <w:textAlignment w:val="baseline"/>
        <w:rPr>
          <w:lang w:val="es-DO"/>
        </w:rPr>
      </w:pPr>
    </w:p>
    <w:p w14:paraId="1F6A6BE9" w14:textId="0F361E8A" w:rsidR="0085373E" w:rsidRPr="005C133F" w:rsidRDefault="0085373E" w:rsidP="00656D91">
      <w:pPr>
        <w:pStyle w:val="Descripcin"/>
        <w:spacing w:after="0"/>
        <w:jc w:val="center"/>
        <w:rPr>
          <w:b/>
          <w:bCs/>
          <w:i w:val="0"/>
          <w:iCs w:val="0"/>
          <w:color w:val="767171"/>
          <w:sz w:val="24"/>
          <w:szCs w:val="24"/>
          <w:lang w:val="es-DO"/>
        </w:rPr>
      </w:pPr>
      <w:bookmarkStart w:id="67" w:name="_Toc217047806"/>
      <w:r w:rsidRPr="005C133F">
        <w:rPr>
          <w:b/>
          <w:bCs/>
          <w:i w:val="0"/>
          <w:iCs w:val="0"/>
          <w:color w:val="767171"/>
          <w:sz w:val="24"/>
          <w:szCs w:val="24"/>
          <w:lang w:val="es-DO"/>
        </w:rPr>
        <w:t xml:space="preserve">Gráfico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Ilustración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w:t>
      </w:r>
      <w:r w:rsidRPr="005C133F">
        <w:rPr>
          <w:b/>
          <w:bCs/>
          <w:i w:val="0"/>
          <w:iCs w:val="0"/>
          <w:color w:val="767171"/>
          <w:sz w:val="24"/>
          <w:szCs w:val="24"/>
          <w:lang w:val="es-DO"/>
        </w:rPr>
        <w:fldChar w:fldCharType="end"/>
      </w:r>
      <w:r w:rsidRPr="005C133F">
        <w:rPr>
          <w:b/>
          <w:bCs/>
          <w:i w:val="0"/>
          <w:iCs w:val="0"/>
          <w:color w:val="767171"/>
          <w:sz w:val="24"/>
          <w:szCs w:val="24"/>
          <w:lang w:val="es-DO"/>
        </w:rPr>
        <w:t>. Recaudo Vs Pagos RC, enero – agosto 2025</w:t>
      </w:r>
      <w:bookmarkEnd w:id="67"/>
    </w:p>
    <w:p w14:paraId="4A685101" w14:textId="2D97FE1B" w:rsidR="0085373E" w:rsidRPr="005C133F" w:rsidRDefault="001000FF" w:rsidP="00656D91">
      <w:pPr>
        <w:spacing w:before="120" w:after="0" w:line="240" w:lineRule="auto"/>
        <w:jc w:val="both"/>
        <w:textAlignment w:val="baseline"/>
      </w:pPr>
      <w:r w:rsidRPr="005C133F">
        <w:rPr>
          <w:noProof/>
        </w:rPr>
        <w:drawing>
          <wp:inline distT="0" distB="0" distL="0" distR="0" wp14:anchorId="147BA842" wp14:editId="306D11D1">
            <wp:extent cx="5314950" cy="2847975"/>
            <wp:effectExtent l="0" t="0" r="0" b="9525"/>
            <wp:docPr id="2144493238"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F2E1B3F" w14:textId="6B161D20" w:rsidR="00DF205E" w:rsidRPr="00AC2DB2" w:rsidRDefault="00437C54" w:rsidP="00656D91">
      <w:pPr>
        <w:spacing w:after="0" w:line="240" w:lineRule="auto"/>
        <w:textAlignment w:val="baseline"/>
        <w:rPr>
          <w:sz w:val="18"/>
          <w:szCs w:val="18"/>
          <w:lang w:val="es-DO"/>
        </w:rPr>
      </w:pPr>
      <w:r w:rsidRPr="00AC2DB2">
        <w:rPr>
          <w:rFonts w:eastAsia="Times New Roman"/>
          <w:sz w:val="18"/>
          <w:szCs w:val="18"/>
          <w:lang w:val="es-419" w:eastAsia="es-DO"/>
        </w:rPr>
        <w:t>Fuente: Flujo Diario TSS - SFS.</w:t>
      </w:r>
    </w:p>
    <w:p w14:paraId="77187FF6" w14:textId="77777777" w:rsidR="00437C54" w:rsidRDefault="00437C54" w:rsidP="00656D91">
      <w:pPr>
        <w:spacing w:after="0" w:line="240" w:lineRule="auto"/>
        <w:jc w:val="both"/>
        <w:textAlignment w:val="baseline"/>
        <w:rPr>
          <w:lang w:val="es-DO"/>
        </w:rPr>
      </w:pPr>
    </w:p>
    <w:p w14:paraId="2B2A00F5" w14:textId="77777777" w:rsidR="00656D91" w:rsidRPr="005C133F" w:rsidRDefault="00656D91" w:rsidP="00656D91">
      <w:pPr>
        <w:spacing w:after="0" w:line="240" w:lineRule="auto"/>
        <w:jc w:val="both"/>
        <w:textAlignment w:val="baseline"/>
        <w:rPr>
          <w:lang w:val="es-DO"/>
        </w:rPr>
      </w:pPr>
    </w:p>
    <w:p w14:paraId="3DB4687B" w14:textId="072C08DA" w:rsidR="00871719" w:rsidRDefault="00DF205E" w:rsidP="005C133F">
      <w:pPr>
        <w:spacing w:after="0" w:line="360" w:lineRule="auto"/>
        <w:jc w:val="both"/>
        <w:textAlignment w:val="baseline"/>
        <w:rPr>
          <w:rFonts w:eastAsia="Times New Roman"/>
          <w:lang w:val="es-DO" w:eastAsia="es-DO"/>
        </w:rPr>
      </w:pPr>
      <w:r w:rsidRPr="005C133F">
        <w:rPr>
          <w:rFonts w:eastAsia="Times New Roman"/>
          <w:lang w:val="es-DO" w:eastAsia="es-DO"/>
        </w:rPr>
        <w:t>De los pagos realizados a las ARS y al FON</w:t>
      </w:r>
      <w:r w:rsidR="00871719" w:rsidRPr="005C133F">
        <w:rPr>
          <w:rFonts w:eastAsia="Times New Roman"/>
          <w:lang w:val="es-DO" w:eastAsia="es-DO"/>
        </w:rPr>
        <w:t>A</w:t>
      </w:r>
      <w:r w:rsidRPr="005C133F">
        <w:rPr>
          <w:rFonts w:eastAsia="Times New Roman"/>
          <w:lang w:val="es-DO" w:eastAsia="es-DO"/>
        </w:rPr>
        <w:t>MAT, que corresponden a un promedio mensual de RD$8,149,051,282.32 en servicios de salud y RD$155,707,244.47 al FON</w:t>
      </w:r>
      <w:r w:rsidR="007D4262" w:rsidRPr="005C133F">
        <w:rPr>
          <w:rFonts w:eastAsia="Times New Roman"/>
          <w:lang w:val="es-DO" w:eastAsia="es-DO"/>
        </w:rPr>
        <w:t>A</w:t>
      </w:r>
      <w:r w:rsidRPr="005C133F">
        <w:rPr>
          <w:rFonts w:eastAsia="Times New Roman"/>
          <w:lang w:val="es-DO" w:eastAsia="es-DO"/>
        </w:rPr>
        <w:t xml:space="preserve">MAT, considerando dependientes adicionales, la dispersión hacia las administradoras de riesgo de </w:t>
      </w:r>
      <w:r w:rsidRPr="005C133F">
        <w:rPr>
          <w:rFonts w:eastAsia="Times New Roman"/>
          <w:lang w:val="es-DO" w:eastAsia="es-DO"/>
        </w:rPr>
        <w:lastRenderedPageBreak/>
        <w:t>salud se distribuyó porcentualmente de manera muy similar entre ambos conceptos: </w:t>
      </w:r>
    </w:p>
    <w:p w14:paraId="3869BB1D" w14:textId="77777777" w:rsidR="00656D91" w:rsidRPr="005C133F" w:rsidRDefault="00656D91" w:rsidP="0067066E">
      <w:pPr>
        <w:spacing w:after="0" w:line="240" w:lineRule="auto"/>
        <w:jc w:val="center"/>
        <w:textAlignment w:val="baseline"/>
        <w:rPr>
          <w:rFonts w:eastAsia="Times New Roman"/>
          <w:lang w:val="es-DO" w:eastAsia="es-DO"/>
        </w:rPr>
      </w:pPr>
    </w:p>
    <w:p w14:paraId="655E4851" w14:textId="3FC9DE9E" w:rsidR="00653022" w:rsidRPr="005C133F" w:rsidRDefault="00653022" w:rsidP="0067066E">
      <w:pPr>
        <w:pStyle w:val="Descripcin"/>
        <w:keepNext/>
        <w:spacing w:after="0"/>
        <w:jc w:val="center"/>
        <w:rPr>
          <w:rFonts w:eastAsia="Times New Roman"/>
          <w:b/>
          <w:bCs/>
          <w:i w:val="0"/>
          <w:iCs w:val="0"/>
          <w:color w:val="767171"/>
          <w:sz w:val="24"/>
          <w:szCs w:val="24"/>
          <w:lang w:val="es-DO" w:eastAsia="es-DO"/>
        </w:rPr>
      </w:pPr>
      <w:bookmarkStart w:id="68" w:name="_Toc218784156"/>
      <w:r w:rsidRPr="005C133F">
        <w:rPr>
          <w:rFonts w:eastAsia="Times New Roman"/>
          <w:b/>
          <w:bCs/>
          <w:i w:val="0"/>
          <w:iCs w:val="0"/>
          <w:color w:val="767171"/>
          <w:sz w:val="24"/>
          <w:szCs w:val="24"/>
          <w:lang w:val="es-DO" w:eastAsia="es-DO"/>
        </w:rPr>
        <w:t xml:space="preserve">Tabla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Tabla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24</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Distribución porcentual de la dispersión a las ARS y al FONAMAT desde la  Cuenta de Cuidado de la Salud de las Personas, período enero – agosto 2025</w:t>
      </w:r>
      <w:bookmarkEnd w:id="68"/>
    </w:p>
    <w:tbl>
      <w:tblPr>
        <w:tblW w:w="695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0" w:type="dxa"/>
          <w:right w:w="0" w:type="dxa"/>
        </w:tblCellMar>
        <w:tblLook w:val="04A0" w:firstRow="1" w:lastRow="0" w:firstColumn="1" w:lastColumn="0" w:noHBand="0" w:noVBand="1"/>
      </w:tblPr>
      <w:tblGrid>
        <w:gridCol w:w="3429"/>
        <w:gridCol w:w="1382"/>
        <w:gridCol w:w="2139"/>
      </w:tblGrid>
      <w:tr w:rsidR="004921FF" w:rsidRPr="005C133F" w14:paraId="37B8F4FD" w14:textId="77777777" w:rsidTr="0067066E">
        <w:trPr>
          <w:trHeight w:val="176"/>
          <w:tblHeader/>
          <w:jc w:val="center"/>
        </w:trPr>
        <w:tc>
          <w:tcPr>
            <w:tcW w:w="0" w:type="auto"/>
            <w:shd w:val="clear" w:color="auto" w:fill="011C50"/>
            <w:vAlign w:val="bottom"/>
            <w:hideMark/>
          </w:tcPr>
          <w:p w14:paraId="4BC76341" w14:textId="77777777" w:rsidR="007F68AD" w:rsidRPr="005C133F" w:rsidRDefault="007F68AD" w:rsidP="00656D91">
            <w:pPr>
              <w:spacing w:before="120" w:after="0" w:line="240" w:lineRule="auto"/>
              <w:jc w:val="center"/>
              <w:textAlignment w:val="baseline"/>
              <w:rPr>
                <w:rFonts w:eastAsia="Times New Roman"/>
                <w:lang w:eastAsia="es-DO"/>
              </w:rPr>
            </w:pPr>
            <w:r w:rsidRPr="005C133F">
              <w:rPr>
                <w:rFonts w:eastAsia="Times New Roman"/>
                <w:b/>
                <w:lang w:val="es-419" w:eastAsia="es-DO"/>
              </w:rPr>
              <w:t>ARS</w:t>
            </w:r>
            <w:r w:rsidRPr="005C133F">
              <w:rPr>
                <w:rFonts w:eastAsia="Times New Roman"/>
                <w:lang w:eastAsia="es-DO"/>
              </w:rPr>
              <w:t> </w:t>
            </w:r>
          </w:p>
        </w:tc>
        <w:tc>
          <w:tcPr>
            <w:tcW w:w="0" w:type="auto"/>
            <w:shd w:val="clear" w:color="auto" w:fill="011C50"/>
            <w:vAlign w:val="bottom"/>
            <w:hideMark/>
          </w:tcPr>
          <w:p w14:paraId="3B379499" w14:textId="77777777" w:rsidR="007F68AD" w:rsidRPr="005C133F" w:rsidRDefault="007F68AD" w:rsidP="00656D91">
            <w:pPr>
              <w:spacing w:before="120" w:after="0" w:line="240" w:lineRule="auto"/>
              <w:jc w:val="center"/>
              <w:textAlignment w:val="baseline"/>
              <w:rPr>
                <w:rFonts w:eastAsia="Times New Roman"/>
                <w:lang w:eastAsia="es-DO"/>
              </w:rPr>
            </w:pPr>
            <w:r w:rsidRPr="005C133F">
              <w:rPr>
                <w:rFonts w:eastAsia="Times New Roman"/>
                <w:b/>
                <w:lang w:val="es-419" w:eastAsia="es-DO"/>
              </w:rPr>
              <w:t>Salud</w:t>
            </w:r>
            <w:r w:rsidRPr="005C133F">
              <w:rPr>
                <w:rFonts w:eastAsia="Times New Roman"/>
                <w:lang w:eastAsia="es-DO"/>
              </w:rPr>
              <w:t> </w:t>
            </w:r>
          </w:p>
        </w:tc>
        <w:tc>
          <w:tcPr>
            <w:tcW w:w="0" w:type="auto"/>
            <w:shd w:val="clear" w:color="auto" w:fill="011C50"/>
            <w:vAlign w:val="bottom"/>
            <w:hideMark/>
          </w:tcPr>
          <w:p w14:paraId="5E4C7F35" w14:textId="5634EC96" w:rsidR="007F68AD" w:rsidRPr="005C133F" w:rsidRDefault="007F68AD" w:rsidP="00656D91">
            <w:pPr>
              <w:spacing w:before="120" w:after="0" w:line="240" w:lineRule="auto"/>
              <w:jc w:val="center"/>
              <w:textAlignment w:val="baseline"/>
              <w:rPr>
                <w:rFonts w:eastAsia="Times New Roman"/>
                <w:lang w:eastAsia="es-DO"/>
              </w:rPr>
            </w:pPr>
            <w:r w:rsidRPr="005C133F">
              <w:rPr>
                <w:rFonts w:eastAsia="Times New Roman"/>
                <w:b/>
                <w:lang w:val="es-419" w:eastAsia="es-DO"/>
              </w:rPr>
              <w:t>FON</w:t>
            </w:r>
            <w:r w:rsidR="007D4262" w:rsidRPr="005C133F">
              <w:rPr>
                <w:rFonts w:eastAsia="Times New Roman"/>
                <w:b/>
                <w:lang w:val="es-419" w:eastAsia="es-DO"/>
              </w:rPr>
              <w:t>A</w:t>
            </w:r>
            <w:r w:rsidRPr="005C133F">
              <w:rPr>
                <w:rFonts w:eastAsia="Times New Roman"/>
                <w:b/>
                <w:lang w:val="es-419" w:eastAsia="es-DO"/>
              </w:rPr>
              <w:t>MAT</w:t>
            </w:r>
            <w:r w:rsidRPr="005C133F">
              <w:rPr>
                <w:rFonts w:eastAsia="Times New Roman"/>
                <w:lang w:eastAsia="es-DO"/>
              </w:rPr>
              <w:t> </w:t>
            </w:r>
          </w:p>
        </w:tc>
      </w:tr>
      <w:tr w:rsidR="004921FF" w:rsidRPr="005C133F" w14:paraId="76E7BE3C" w14:textId="77777777" w:rsidTr="0067066E">
        <w:trPr>
          <w:trHeight w:val="176"/>
          <w:jc w:val="center"/>
        </w:trPr>
        <w:tc>
          <w:tcPr>
            <w:tcW w:w="0" w:type="auto"/>
            <w:vAlign w:val="bottom"/>
            <w:hideMark/>
          </w:tcPr>
          <w:p w14:paraId="4D9B547E" w14:textId="0F10FAB8"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SENASA</w:t>
            </w:r>
          </w:p>
        </w:tc>
        <w:tc>
          <w:tcPr>
            <w:tcW w:w="0" w:type="auto"/>
            <w:vAlign w:val="bottom"/>
            <w:hideMark/>
          </w:tcPr>
          <w:p w14:paraId="5B0543A8"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36.99%</w:t>
            </w:r>
            <w:r w:rsidRPr="005C133F">
              <w:rPr>
                <w:rFonts w:eastAsia="Times New Roman"/>
                <w:lang w:eastAsia="es-DO"/>
              </w:rPr>
              <w:t> </w:t>
            </w:r>
          </w:p>
        </w:tc>
        <w:tc>
          <w:tcPr>
            <w:tcW w:w="0" w:type="auto"/>
            <w:vAlign w:val="bottom"/>
            <w:hideMark/>
          </w:tcPr>
          <w:p w14:paraId="740174B8"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37.01%</w:t>
            </w:r>
            <w:r w:rsidRPr="005C133F">
              <w:rPr>
                <w:rFonts w:eastAsia="Times New Roman"/>
                <w:lang w:eastAsia="es-DO"/>
              </w:rPr>
              <w:t> </w:t>
            </w:r>
          </w:p>
        </w:tc>
      </w:tr>
      <w:tr w:rsidR="004921FF" w:rsidRPr="005C133F" w14:paraId="638A1129" w14:textId="77777777" w:rsidTr="0067066E">
        <w:trPr>
          <w:trHeight w:val="176"/>
          <w:jc w:val="center"/>
        </w:trPr>
        <w:tc>
          <w:tcPr>
            <w:tcW w:w="0" w:type="auto"/>
            <w:vAlign w:val="bottom"/>
            <w:hideMark/>
          </w:tcPr>
          <w:p w14:paraId="337A0CB1"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PRIMERA</w:t>
            </w:r>
            <w:r w:rsidRPr="005C133F">
              <w:rPr>
                <w:rFonts w:eastAsia="Times New Roman"/>
                <w:lang w:eastAsia="es-DO"/>
              </w:rPr>
              <w:t> </w:t>
            </w:r>
          </w:p>
        </w:tc>
        <w:tc>
          <w:tcPr>
            <w:tcW w:w="0" w:type="auto"/>
            <w:vAlign w:val="bottom"/>
            <w:hideMark/>
          </w:tcPr>
          <w:p w14:paraId="6C45B6BE"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23.57%</w:t>
            </w:r>
            <w:r w:rsidRPr="005C133F">
              <w:rPr>
                <w:rFonts w:eastAsia="Times New Roman"/>
                <w:lang w:eastAsia="es-DO"/>
              </w:rPr>
              <w:t> </w:t>
            </w:r>
          </w:p>
        </w:tc>
        <w:tc>
          <w:tcPr>
            <w:tcW w:w="0" w:type="auto"/>
            <w:vAlign w:val="bottom"/>
            <w:hideMark/>
          </w:tcPr>
          <w:p w14:paraId="49808C10"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23.56%</w:t>
            </w:r>
            <w:r w:rsidRPr="005C133F">
              <w:rPr>
                <w:rFonts w:eastAsia="Times New Roman"/>
                <w:lang w:eastAsia="es-DO"/>
              </w:rPr>
              <w:t> </w:t>
            </w:r>
          </w:p>
        </w:tc>
      </w:tr>
      <w:tr w:rsidR="004921FF" w:rsidRPr="005C133F" w14:paraId="459F4B61" w14:textId="77777777" w:rsidTr="0067066E">
        <w:trPr>
          <w:trHeight w:val="176"/>
          <w:jc w:val="center"/>
        </w:trPr>
        <w:tc>
          <w:tcPr>
            <w:tcW w:w="0" w:type="auto"/>
            <w:vAlign w:val="bottom"/>
            <w:hideMark/>
          </w:tcPr>
          <w:p w14:paraId="42C13972"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MAPFRE-SALUD</w:t>
            </w:r>
            <w:r w:rsidRPr="005C133F">
              <w:rPr>
                <w:rFonts w:eastAsia="Times New Roman"/>
                <w:lang w:eastAsia="es-DO"/>
              </w:rPr>
              <w:t> </w:t>
            </w:r>
          </w:p>
        </w:tc>
        <w:tc>
          <w:tcPr>
            <w:tcW w:w="0" w:type="auto"/>
            <w:vAlign w:val="bottom"/>
            <w:hideMark/>
          </w:tcPr>
          <w:p w14:paraId="09C5A54E"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10.03%</w:t>
            </w:r>
            <w:r w:rsidRPr="005C133F">
              <w:rPr>
                <w:rFonts w:eastAsia="Times New Roman"/>
                <w:lang w:eastAsia="es-DO"/>
              </w:rPr>
              <w:t> </w:t>
            </w:r>
          </w:p>
        </w:tc>
        <w:tc>
          <w:tcPr>
            <w:tcW w:w="0" w:type="auto"/>
            <w:vAlign w:val="bottom"/>
            <w:hideMark/>
          </w:tcPr>
          <w:p w14:paraId="7E636179"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10.03%</w:t>
            </w:r>
            <w:r w:rsidRPr="005C133F">
              <w:rPr>
                <w:rFonts w:eastAsia="Times New Roman"/>
                <w:lang w:eastAsia="es-DO"/>
              </w:rPr>
              <w:t> </w:t>
            </w:r>
          </w:p>
        </w:tc>
      </w:tr>
      <w:tr w:rsidR="004921FF" w:rsidRPr="005C133F" w14:paraId="15C8B4F6" w14:textId="77777777" w:rsidTr="0067066E">
        <w:trPr>
          <w:trHeight w:val="176"/>
          <w:jc w:val="center"/>
        </w:trPr>
        <w:tc>
          <w:tcPr>
            <w:tcW w:w="0" w:type="auto"/>
            <w:vAlign w:val="bottom"/>
            <w:hideMark/>
          </w:tcPr>
          <w:p w14:paraId="0B1B9BC9"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FUTURO S. A.</w:t>
            </w:r>
            <w:r w:rsidRPr="005C133F">
              <w:rPr>
                <w:rFonts w:eastAsia="Times New Roman"/>
                <w:lang w:eastAsia="es-DO"/>
              </w:rPr>
              <w:t> </w:t>
            </w:r>
          </w:p>
        </w:tc>
        <w:tc>
          <w:tcPr>
            <w:tcW w:w="0" w:type="auto"/>
            <w:vAlign w:val="bottom"/>
            <w:hideMark/>
          </w:tcPr>
          <w:p w14:paraId="3D3435CD"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6.95%</w:t>
            </w:r>
            <w:r w:rsidRPr="005C133F">
              <w:rPr>
                <w:rFonts w:eastAsia="Times New Roman"/>
                <w:lang w:eastAsia="es-DO"/>
              </w:rPr>
              <w:t> </w:t>
            </w:r>
          </w:p>
        </w:tc>
        <w:tc>
          <w:tcPr>
            <w:tcW w:w="0" w:type="auto"/>
            <w:vAlign w:val="bottom"/>
            <w:hideMark/>
          </w:tcPr>
          <w:p w14:paraId="1700D3C4"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6.94%</w:t>
            </w:r>
            <w:r w:rsidRPr="005C133F">
              <w:rPr>
                <w:rFonts w:eastAsia="Times New Roman"/>
                <w:lang w:eastAsia="es-DO"/>
              </w:rPr>
              <w:t> </w:t>
            </w:r>
          </w:p>
        </w:tc>
      </w:tr>
      <w:tr w:rsidR="004921FF" w:rsidRPr="005C133F" w14:paraId="6713E794" w14:textId="77777777" w:rsidTr="0067066E">
        <w:trPr>
          <w:trHeight w:val="176"/>
          <w:jc w:val="center"/>
        </w:trPr>
        <w:tc>
          <w:tcPr>
            <w:tcW w:w="0" w:type="auto"/>
            <w:vAlign w:val="bottom"/>
            <w:hideMark/>
          </w:tcPr>
          <w:p w14:paraId="4FD30208"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UNIVERSAL</w:t>
            </w:r>
            <w:r w:rsidRPr="005C133F">
              <w:rPr>
                <w:rFonts w:eastAsia="Times New Roman"/>
                <w:lang w:eastAsia="es-DO"/>
              </w:rPr>
              <w:t> </w:t>
            </w:r>
          </w:p>
        </w:tc>
        <w:tc>
          <w:tcPr>
            <w:tcW w:w="0" w:type="auto"/>
            <w:vAlign w:val="bottom"/>
            <w:hideMark/>
          </w:tcPr>
          <w:p w14:paraId="6D01BD60"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5.36%</w:t>
            </w:r>
            <w:r w:rsidRPr="005C133F">
              <w:rPr>
                <w:rFonts w:eastAsia="Times New Roman"/>
                <w:lang w:eastAsia="es-DO"/>
              </w:rPr>
              <w:t> </w:t>
            </w:r>
          </w:p>
        </w:tc>
        <w:tc>
          <w:tcPr>
            <w:tcW w:w="0" w:type="auto"/>
            <w:vAlign w:val="bottom"/>
            <w:hideMark/>
          </w:tcPr>
          <w:p w14:paraId="76CB0F39"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5.36%</w:t>
            </w:r>
            <w:r w:rsidRPr="005C133F">
              <w:rPr>
                <w:rFonts w:eastAsia="Times New Roman"/>
                <w:lang w:eastAsia="es-DO"/>
              </w:rPr>
              <w:t> </w:t>
            </w:r>
          </w:p>
        </w:tc>
      </w:tr>
      <w:tr w:rsidR="004921FF" w:rsidRPr="005C133F" w14:paraId="288100AA" w14:textId="77777777" w:rsidTr="0067066E">
        <w:trPr>
          <w:trHeight w:val="176"/>
          <w:jc w:val="center"/>
        </w:trPr>
        <w:tc>
          <w:tcPr>
            <w:tcW w:w="0" w:type="auto"/>
            <w:vAlign w:val="bottom"/>
            <w:hideMark/>
          </w:tcPr>
          <w:p w14:paraId="01A80BEF"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SEMMA</w:t>
            </w:r>
            <w:r w:rsidRPr="005C133F">
              <w:rPr>
                <w:rFonts w:eastAsia="Times New Roman"/>
                <w:lang w:eastAsia="es-DO"/>
              </w:rPr>
              <w:t> </w:t>
            </w:r>
          </w:p>
        </w:tc>
        <w:tc>
          <w:tcPr>
            <w:tcW w:w="0" w:type="auto"/>
            <w:vAlign w:val="bottom"/>
            <w:hideMark/>
          </w:tcPr>
          <w:p w14:paraId="26DE8A45"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2.93%</w:t>
            </w:r>
            <w:r w:rsidRPr="005C133F">
              <w:rPr>
                <w:rFonts w:eastAsia="Times New Roman"/>
                <w:lang w:eastAsia="es-DO"/>
              </w:rPr>
              <w:t> </w:t>
            </w:r>
          </w:p>
        </w:tc>
        <w:tc>
          <w:tcPr>
            <w:tcW w:w="0" w:type="auto"/>
            <w:vAlign w:val="bottom"/>
            <w:hideMark/>
          </w:tcPr>
          <w:p w14:paraId="426B469E"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2.93%</w:t>
            </w:r>
            <w:r w:rsidRPr="005C133F">
              <w:rPr>
                <w:rFonts w:eastAsia="Times New Roman"/>
                <w:lang w:eastAsia="es-DO"/>
              </w:rPr>
              <w:t> </w:t>
            </w:r>
          </w:p>
        </w:tc>
      </w:tr>
      <w:tr w:rsidR="004921FF" w:rsidRPr="005C133F" w14:paraId="4395140A" w14:textId="77777777" w:rsidTr="0067066E">
        <w:trPr>
          <w:trHeight w:val="176"/>
          <w:jc w:val="center"/>
        </w:trPr>
        <w:tc>
          <w:tcPr>
            <w:tcW w:w="0" w:type="auto"/>
            <w:vAlign w:val="bottom"/>
            <w:hideMark/>
          </w:tcPr>
          <w:p w14:paraId="78035312"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RENACER</w:t>
            </w:r>
            <w:r w:rsidRPr="005C133F">
              <w:rPr>
                <w:rFonts w:eastAsia="Times New Roman"/>
                <w:lang w:eastAsia="es-DO"/>
              </w:rPr>
              <w:t> </w:t>
            </w:r>
          </w:p>
        </w:tc>
        <w:tc>
          <w:tcPr>
            <w:tcW w:w="0" w:type="auto"/>
            <w:vAlign w:val="bottom"/>
            <w:hideMark/>
          </w:tcPr>
          <w:p w14:paraId="3296C729"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2.49%</w:t>
            </w:r>
            <w:r w:rsidRPr="005C133F">
              <w:rPr>
                <w:rFonts w:eastAsia="Times New Roman"/>
                <w:lang w:eastAsia="es-DO"/>
              </w:rPr>
              <w:t> </w:t>
            </w:r>
          </w:p>
        </w:tc>
        <w:tc>
          <w:tcPr>
            <w:tcW w:w="0" w:type="auto"/>
            <w:vAlign w:val="bottom"/>
            <w:hideMark/>
          </w:tcPr>
          <w:p w14:paraId="5D633FD7"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2.49%</w:t>
            </w:r>
            <w:r w:rsidRPr="005C133F">
              <w:rPr>
                <w:rFonts w:eastAsia="Times New Roman"/>
                <w:lang w:eastAsia="es-DO"/>
              </w:rPr>
              <w:t> </w:t>
            </w:r>
          </w:p>
        </w:tc>
      </w:tr>
      <w:tr w:rsidR="004921FF" w:rsidRPr="005C133F" w14:paraId="417AC867" w14:textId="77777777" w:rsidTr="0067066E">
        <w:trPr>
          <w:trHeight w:val="176"/>
          <w:jc w:val="center"/>
        </w:trPr>
        <w:tc>
          <w:tcPr>
            <w:tcW w:w="0" w:type="auto"/>
            <w:vAlign w:val="bottom"/>
            <w:hideMark/>
          </w:tcPr>
          <w:p w14:paraId="492EA3EA" w14:textId="77777777" w:rsidR="007F68AD" w:rsidRPr="005C133F" w:rsidRDefault="007F68AD" w:rsidP="00656D91">
            <w:pPr>
              <w:spacing w:before="120" w:after="0" w:line="240" w:lineRule="auto"/>
              <w:textAlignment w:val="baseline"/>
              <w:rPr>
                <w:rFonts w:eastAsia="Times New Roman"/>
                <w:lang w:eastAsia="es-DO"/>
              </w:rPr>
            </w:pPr>
            <w:r w:rsidRPr="005C133F">
              <w:rPr>
                <w:rFonts w:eastAsia="Times New Roman"/>
                <w:lang w:val="es-419" w:eastAsia="es-DO"/>
              </w:rPr>
              <w:t>MONUMENTAL</w:t>
            </w:r>
            <w:r w:rsidRPr="005C133F">
              <w:rPr>
                <w:rFonts w:eastAsia="Times New Roman"/>
                <w:lang w:eastAsia="es-DO"/>
              </w:rPr>
              <w:t> </w:t>
            </w:r>
          </w:p>
        </w:tc>
        <w:tc>
          <w:tcPr>
            <w:tcW w:w="0" w:type="auto"/>
            <w:vAlign w:val="bottom"/>
            <w:hideMark/>
          </w:tcPr>
          <w:p w14:paraId="1D533182"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2.32%</w:t>
            </w:r>
            <w:r w:rsidRPr="005C133F">
              <w:rPr>
                <w:rFonts w:eastAsia="Times New Roman"/>
                <w:lang w:eastAsia="es-DO"/>
              </w:rPr>
              <w:t> </w:t>
            </w:r>
          </w:p>
        </w:tc>
        <w:tc>
          <w:tcPr>
            <w:tcW w:w="0" w:type="auto"/>
            <w:vAlign w:val="bottom"/>
            <w:hideMark/>
          </w:tcPr>
          <w:p w14:paraId="1B9F187A" w14:textId="77777777" w:rsidR="007F68AD" w:rsidRPr="005C133F" w:rsidRDefault="007F68AD" w:rsidP="00656D91">
            <w:pPr>
              <w:spacing w:before="120" w:after="0" w:line="240" w:lineRule="auto"/>
              <w:jc w:val="right"/>
              <w:textAlignment w:val="baseline"/>
              <w:rPr>
                <w:rFonts w:eastAsia="Times New Roman"/>
                <w:lang w:eastAsia="es-DO"/>
              </w:rPr>
            </w:pPr>
            <w:r w:rsidRPr="005C133F">
              <w:rPr>
                <w:rFonts w:eastAsia="Times New Roman"/>
                <w:lang w:val="es-419" w:eastAsia="es-DO"/>
              </w:rPr>
              <w:t>2.32%</w:t>
            </w:r>
            <w:r w:rsidRPr="005C133F">
              <w:rPr>
                <w:rFonts w:eastAsia="Times New Roman"/>
                <w:lang w:eastAsia="es-DO"/>
              </w:rPr>
              <w:t> </w:t>
            </w:r>
          </w:p>
        </w:tc>
      </w:tr>
      <w:tr w:rsidR="004921FF" w:rsidRPr="005C133F" w14:paraId="121F86CC" w14:textId="77777777" w:rsidTr="0067066E">
        <w:trPr>
          <w:trHeight w:val="176"/>
          <w:jc w:val="center"/>
        </w:trPr>
        <w:tc>
          <w:tcPr>
            <w:tcW w:w="0" w:type="auto"/>
            <w:vAlign w:val="bottom"/>
            <w:hideMark/>
          </w:tcPr>
          <w:p w14:paraId="1E66E738"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APS</w:t>
            </w:r>
            <w:r w:rsidRPr="005C133F">
              <w:rPr>
                <w:rFonts w:eastAsia="Times New Roman"/>
                <w:lang w:eastAsia="es-DO"/>
              </w:rPr>
              <w:t> </w:t>
            </w:r>
          </w:p>
        </w:tc>
        <w:tc>
          <w:tcPr>
            <w:tcW w:w="0" w:type="auto"/>
            <w:vAlign w:val="bottom"/>
            <w:hideMark/>
          </w:tcPr>
          <w:p w14:paraId="6CC113FA"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2.04%</w:t>
            </w:r>
            <w:r w:rsidRPr="005C133F">
              <w:rPr>
                <w:rFonts w:eastAsia="Times New Roman"/>
                <w:lang w:eastAsia="es-DO"/>
              </w:rPr>
              <w:t> </w:t>
            </w:r>
          </w:p>
        </w:tc>
        <w:tc>
          <w:tcPr>
            <w:tcW w:w="0" w:type="auto"/>
            <w:vAlign w:val="bottom"/>
            <w:hideMark/>
          </w:tcPr>
          <w:p w14:paraId="46284658"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2.04%</w:t>
            </w:r>
            <w:r w:rsidRPr="005C133F">
              <w:rPr>
                <w:rFonts w:eastAsia="Times New Roman"/>
                <w:lang w:eastAsia="es-DO"/>
              </w:rPr>
              <w:t> </w:t>
            </w:r>
          </w:p>
        </w:tc>
      </w:tr>
      <w:tr w:rsidR="004921FF" w:rsidRPr="005C133F" w14:paraId="0C41A97F" w14:textId="77777777" w:rsidTr="0067066E">
        <w:trPr>
          <w:trHeight w:val="176"/>
          <w:jc w:val="center"/>
        </w:trPr>
        <w:tc>
          <w:tcPr>
            <w:tcW w:w="0" w:type="auto"/>
            <w:vAlign w:val="bottom"/>
            <w:hideMark/>
          </w:tcPr>
          <w:p w14:paraId="5E82F801"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ABEL GONZALEZ</w:t>
            </w:r>
            <w:r w:rsidRPr="005C133F">
              <w:rPr>
                <w:rFonts w:eastAsia="Times New Roman"/>
                <w:lang w:eastAsia="es-DO"/>
              </w:rPr>
              <w:t> </w:t>
            </w:r>
          </w:p>
        </w:tc>
        <w:tc>
          <w:tcPr>
            <w:tcW w:w="0" w:type="auto"/>
            <w:vAlign w:val="bottom"/>
            <w:hideMark/>
          </w:tcPr>
          <w:p w14:paraId="61712B88"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1.69%</w:t>
            </w:r>
            <w:r w:rsidRPr="005C133F">
              <w:rPr>
                <w:rFonts w:eastAsia="Times New Roman"/>
                <w:lang w:eastAsia="es-DO"/>
              </w:rPr>
              <w:t> </w:t>
            </w:r>
          </w:p>
        </w:tc>
        <w:tc>
          <w:tcPr>
            <w:tcW w:w="0" w:type="auto"/>
            <w:vAlign w:val="bottom"/>
            <w:hideMark/>
          </w:tcPr>
          <w:p w14:paraId="4D9FF332"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1.69%</w:t>
            </w:r>
            <w:r w:rsidRPr="005C133F">
              <w:rPr>
                <w:rFonts w:eastAsia="Times New Roman"/>
                <w:lang w:eastAsia="es-DO"/>
              </w:rPr>
              <w:t> </w:t>
            </w:r>
          </w:p>
        </w:tc>
      </w:tr>
      <w:tr w:rsidR="004921FF" w:rsidRPr="005C133F" w14:paraId="21764D2D" w14:textId="77777777" w:rsidTr="0067066E">
        <w:trPr>
          <w:trHeight w:val="176"/>
          <w:jc w:val="center"/>
        </w:trPr>
        <w:tc>
          <w:tcPr>
            <w:tcW w:w="0" w:type="auto"/>
            <w:vAlign w:val="bottom"/>
            <w:hideMark/>
          </w:tcPr>
          <w:p w14:paraId="4E1028EE"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DR. YUNEN, S. A.</w:t>
            </w:r>
            <w:r w:rsidRPr="005C133F">
              <w:rPr>
                <w:rFonts w:eastAsia="Times New Roman"/>
                <w:lang w:eastAsia="es-DO"/>
              </w:rPr>
              <w:t> </w:t>
            </w:r>
          </w:p>
        </w:tc>
        <w:tc>
          <w:tcPr>
            <w:tcW w:w="0" w:type="auto"/>
            <w:vAlign w:val="bottom"/>
            <w:hideMark/>
          </w:tcPr>
          <w:p w14:paraId="5CFF0A5A"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1.59%</w:t>
            </w:r>
            <w:r w:rsidRPr="005C133F">
              <w:rPr>
                <w:rFonts w:eastAsia="Times New Roman"/>
                <w:lang w:eastAsia="es-DO"/>
              </w:rPr>
              <w:t> </w:t>
            </w:r>
          </w:p>
        </w:tc>
        <w:tc>
          <w:tcPr>
            <w:tcW w:w="0" w:type="auto"/>
            <w:vAlign w:val="bottom"/>
            <w:hideMark/>
          </w:tcPr>
          <w:p w14:paraId="3F3CFB02"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1.60%</w:t>
            </w:r>
            <w:r w:rsidRPr="005C133F">
              <w:rPr>
                <w:rFonts w:eastAsia="Times New Roman"/>
                <w:lang w:eastAsia="es-DO"/>
              </w:rPr>
              <w:t> </w:t>
            </w:r>
          </w:p>
        </w:tc>
      </w:tr>
      <w:tr w:rsidR="004921FF" w:rsidRPr="005C133F" w14:paraId="3A9F47C0" w14:textId="77777777" w:rsidTr="0067066E">
        <w:trPr>
          <w:trHeight w:val="176"/>
          <w:jc w:val="center"/>
        </w:trPr>
        <w:tc>
          <w:tcPr>
            <w:tcW w:w="0" w:type="auto"/>
            <w:vAlign w:val="bottom"/>
            <w:hideMark/>
          </w:tcPr>
          <w:p w14:paraId="527B7BD5"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CMD</w:t>
            </w:r>
            <w:r w:rsidRPr="005C133F">
              <w:rPr>
                <w:rFonts w:eastAsia="Times New Roman"/>
                <w:lang w:eastAsia="es-DO"/>
              </w:rPr>
              <w:t> </w:t>
            </w:r>
          </w:p>
        </w:tc>
        <w:tc>
          <w:tcPr>
            <w:tcW w:w="0" w:type="auto"/>
            <w:vAlign w:val="bottom"/>
            <w:hideMark/>
          </w:tcPr>
          <w:p w14:paraId="664A74F7"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1.13%</w:t>
            </w:r>
            <w:r w:rsidRPr="005C133F">
              <w:rPr>
                <w:rFonts w:eastAsia="Times New Roman"/>
                <w:lang w:eastAsia="es-DO"/>
              </w:rPr>
              <w:t> </w:t>
            </w:r>
          </w:p>
        </w:tc>
        <w:tc>
          <w:tcPr>
            <w:tcW w:w="0" w:type="auto"/>
            <w:vAlign w:val="bottom"/>
            <w:hideMark/>
          </w:tcPr>
          <w:p w14:paraId="517618B9"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1.13%</w:t>
            </w:r>
            <w:r w:rsidRPr="005C133F">
              <w:rPr>
                <w:rFonts w:eastAsia="Times New Roman"/>
                <w:lang w:eastAsia="es-DO"/>
              </w:rPr>
              <w:t> </w:t>
            </w:r>
          </w:p>
        </w:tc>
      </w:tr>
      <w:tr w:rsidR="004921FF" w:rsidRPr="005C133F" w14:paraId="776D6341" w14:textId="77777777" w:rsidTr="0067066E">
        <w:trPr>
          <w:trHeight w:val="176"/>
          <w:jc w:val="center"/>
        </w:trPr>
        <w:tc>
          <w:tcPr>
            <w:tcW w:w="0" w:type="auto"/>
            <w:vAlign w:val="bottom"/>
            <w:hideMark/>
          </w:tcPr>
          <w:p w14:paraId="0B9062BA"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RESERVAS</w:t>
            </w:r>
            <w:r w:rsidRPr="005C133F">
              <w:rPr>
                <w:rFonts w:eastAsia="Times New Roman"/>
                <w:lang w:eastAsia="es-DO"/>
              </w:rPr>
              <w:t> </w:t>
            </w:r>
          </w:p>
        </w:tc>
        <w:tc>
          <w:tcPr>
            <w:tcW w:w="0" w:type="auto"/>
            <w:vAlign w:val="bottom"/>
            <w:hideMark/>
          </w:tcPr>
          <w:p w14:paraId="3D28221B"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1.05%</w:t>
            </w:r>
            <w:r w:rsidRPr="005C133F">
              <w:rPr>
                <w:rFonts w:eastAsia="Times New Roman"/>
                <w:lang w:eastAsia="es-DO"/>
              </w:rPr>
              <w:t> </w:t>
            </w:r>
          </w:p>
        </w:tc>
        <w:tc>
          <w:tcPr>
            <w:tcW w:w="0" w:type="auto"/>
            <w:vAlign w:val="bottom"/>
            <w:hideMark/>
          </w:tcPr>
          <w:p w14:paraId="47B149EA"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1.05%</w:t>
            </w:r>
            <w:r w:rsidRPr="005C133F">
              <w:rPr>
                <w:rFonts w:eastAsia="Times New Roman"/>
                <w:lang w:eastAsia="es-DO"/>
              </w:rPr>
              <w:t> </w:t>
            </w:r>
          </w:p>
        </w:tc>
      </w:tr>
      <w:tr w:rsidR="004921FF" w:rsidRPr="005C133F" w14:paraId="6B4C6BA5" w14:textId="77777777" w:rsidTr="0067066E">
        <w:trPr>
          <w:trHeight w:val="176"/>
          <w:jc w:val="center"/>
        </w:trPr>
        <w:tc>
          <w:tcPr>
            <w:tcW w:w="0" w:type="auto"/>
            <w:vAlign w:val="bottom"/>
            <w:hideMark/>
          </w:tcPr>
          <w:p w14:paraId="3A85BF3B"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METASALUD</w:t>
            </w:r>
            <w:r w:rsidRPr="005C133F">
              <w:rPr>
                <w:rFonts w:eastAsia="Times New Roman"/>
                <w:lang w:eastAsia="es-DO"/>
              </w:rPr>
              <w:t> </w:t>
            </w:r>
          </w:p>
        </w:tc>
        <w:tc>
          <w:tcPr>
            <w:tcW w:w="0" w:type="auto"/>
            <w:vAlign w:val="bottom"/>
            <w:hideMark/>
          </w:tcPr>
          <w:p w14:paraId="380615C6"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0.76%</w:t>
            </w:r>
            <w:r w:rsidRPr="005C133F">
              <w:rPr>
                <w:rFonts w:eastAsia="Times New Roman"/>
                <w:lang w:eastAsia="es-DO"/>
              </w:rPr>
              <w:t> </w:t>
            </w:r>
          </w:p>
        </w:tc>
        <w:tc>
          <w:tcPr>
            <w:tcW w:w="0" w:type="auto"/>
            <w:vAlign w:val="bottom"/>
            <w:hideMark/>
          </w:tcPr>
          <w:p w14:paraId="5C7E1083"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0.76%</w:t>
            </w:r>
            <w:r w:rsidRPr="005C133F">
              <w:rPr>
                <w:rFonts w:eastAsia="Times New Roman"/>
                <w:lang w:eastAsia="es-DO"/>
              </w:rPr>
              <w:t> </w:t>
            </w:r>
          </w:p>
        </w:tc>
      </w:tr>
      <w:tr w:rsidR="004921FF" w:rsidRPr="005C133F" w14:paraId="02E3C60C" w14:textId="77777777" w:rsidTr="0067066E">
        <w:trPr>
          <w:trHeight w:val="176"/>
          <w:jc w:val="center"/>
        </w:trPr>
        <w:tc>
          <w:tcPr>
            <w:tcW w:w="0" w:type="auto"/>
            <w:vAlign w:val="bottom"/>
            <w:hideMark/>
          </w:tcPr>
          <w:p w14:paraId="6DCA9505"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ASEMAP</w:t>
            </w:r>
            <w:r w:rsidRPr="005C133F">
              <w:rPr>
                <w:rFonts w:eastAsia="Times New Roman"/>
                <w:lang w:eastAsia="es-DO"/>
              </w:rPr>
              <w:t> </w:t>
            </w:r>
          </w:p>
        </w:tc>
        <w:tc>
          <w:tcPr>
            <w:tcW w:w="0" w:type="auto"/>
            <w:vAlign w:val="bottom"/>
            <w:hideMark/>
          </w:tcPr>
          <w:p w14:paraId="0FC3D93B"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0.52%</w:t>
            </w:r>
            <w:r w:rsidRPr="005C133F">
              <w:rPr>
                <w:rFonts w:eastAsia="Times New Roman"/>
                <w:lang w:eastAsia="es-DO"/>
              </w:rPr>
              <w:t> </w:t>
            </w:r>
          </w:p>
        </w:tc>
        <w:tc>
          <w:tcPr>
            <w:tcW w:w="0" w:type="auto"/>
            <w:vAlign w:val="bottom"/>
            <w:hideMark/>
          </w:tcPr>
          <w:p w14:paraId="67715C03"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0.52%</w:t>
            </w:r>
            <w:r w:rsidRPr="005C133F">
              <w:rPr>
                <w:rFonts w:eastAsia="Times New Roman"/>
                <w:lang w:eastAsia="es-DO"/>
              </w:rPr>
              <w:t> </w:t>
            </w:r>
          </w:p>
        </w:tc>
      </w:tr>
      <w:tr w:rsidR="004921FF" w:rsidRPr="005C133F" w14:paraId="0BCE9CBF" w14:textId="77777777" w:rsidTr="0067066E">
        <w:trPr>
          <w:trHeight w:val="176"/>
          <w:jc w:val="center"/>
        </w:trPr>
        <w:tc>
          <w:tcPr>
            <w:tcW w:w="0" w:type="auto"/>
            <w:vAlign w:val="bottom"/>
            <w:hideMark/>
          </w:tcPr>
          <w:p w14:paraId="77315D7F"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GMA</w:t>
            </w:r>
            <w:r w:rsidRPr="005C133F">
              <w:rPr>
                <w:rFonts w:eastAsia="Times New Roman"/>
                <w:lang w:eastAsia="es-DO"/>
              </w:rPr>
              <w:t> </w:t>
            </w:r>
          </w:p>
        </w:tc>
        <w:tc>
          <w:tcPr>
            <w:tcW w:w="0" w:type="auto"/>
            <w:vAlign w:val="bottom"/>
            <w:hideMark/>
          </w:tcPr>
          <w:p w14:paraId="3BDCD89C"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0.42%</w:t>
            </w:r>
            <w:r w:rsidRPr="005C133F">
              <w:rPr>
                <w:rFonts w:eastAsia="Times New Roman"/>
                <w:lang w:eastAsia="es-DO"/>
              </w:rPr>
              <w:t> </w:t>
            </w:r>
          </w:p>
        </w:tc>
        <w:tc>
          <w:tcPr>
            <w:tcW w:w="0" w:type="auto"/>
            <w:vAlign w:val="bottom"/>
            <w:hideMark/>
          </w:tcPr>
          <w:p w14:paraId="226EB2D0"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0.42%</w:t>
            </w:r>
            <w:r w:rsidRPr="005C133F">
              <w:rPr>
                <w:rFonts w:eastAsia="Times New Roman"/>
                <w:lang w:eastAsia="es-DO"/>
              </w:rPr>
              <w:t> </w:t>
            </w:r>
          </w:p>
        </w:tc>
      </w:tr>
      <w:tr w:rsidR="004921FF" w:rsidRPr="005C133F" w14:paraId="429277E8" w14:textId="77777777" w:rsidTr="0067066E">
        <w:trPr>
          <w:trHeight w:val="176"/>
          <w:jc w:val="center"/>
        </w:trPr>
        <w:tc>
          <w:tcPr>
            <w:tcW w:w="0" w:type="auto"/>
            <w:vAlign w:val="bottom"/>
            <w:hideMark/>
          </w:tcPr>
          <w:p w14:paraId="1060144C" w14:textId="77777777" w:rsidR="007F68AD" w:rsidRPr="005C133F" w:rsidRDefault="007F68AD" w:rsidP="00656D91">
            <w:pPr>
              <w:spacing w:after="0" w:line="240" w:lineRule="auto"/>
              <w:textAlignment w:val="baseline"/>
              <w:rPr>
                <w:rFonts w:eastAsia="Times New Roman"/>
                <w:lang w:eastAsia="es-DO"/>
              </w:rPr>
            </w:pPr>
            <w:r w:rsidRPr="005C133F">
              <w:rPr>
                <w:rFonts w:eastAsia="Times New Roman"/>
                <w:lang w:val="es-419" w:eastAsia="es-DO"/>
              </w:rPr>
              <w:t>BANCO CENTRAL</w:t>
            </w:r>
            <w:r w:rsidRPr="005C133F">
              <w:rPr>
                <w:rFonts w:eastAsia="Times New Roman"/>
                <w:lang w:eastAsia="es-DO"/>
              </w:rPr>
              <w:t> </w:t>
            </w:r>
          </w:p>
        </w:tc>
        <w:tc>
          <w:tcPr>
            <w:tcW w:w="0" w:type="auto"/>
            <w:vAlign w:val="bottom"/>
            <w:hideMark/>
          </w:tcPr>
          <w:p w14:paraId="50F750F8"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0.16%</w:t>
            </w:r>
            <w:r w:rsidRPr="005C133F">
              <w:rPr>
                <w:rFonts w:eastAsia="Times New Roman"/>
                <w:lang w:eastAsia="es-DO"/>
              </w:rPr>
              <w:t> </w:t>
            </w:r>
          </w:p>
        </w:tc>
        <w:tc>
          <w:tcPr>
            <w:tcW w:w="0" w:type="auto"/>
            <w:vAlign w:val="bottom"/>
            <w:hideMark/>
          </w:tcPr>
          <w:p w14:paraId="3AEA1E20" w14:textId="77777777" w:rsidR="007F68AD" w:rsidRPr="005C133F" w:rsidRDefault="007F68AD" w:rsidP="00656D91">
            <w:pPr>
              <w:spacing w:after="0" w:line="240" w:lineRule="auto"/>
              <w:jc w:val="right"/>
              <w:textAlignment w:val="baseline"/>
              <w:rPr>
                <w:rFonts w:eastAsia="Times New Roman"/>
                <w:lang w:eastAsia="es-DO"/>
              </w:rPr>
            </w:pPr>
            <w:r w:rsidRPr="005C133F">
              <w:rPr>
                <w:rFonts w:eastAsia="Times New Roman"/>
                <w:lang w:val="es-419" w:eastAsia="es-DO"/>
              </w:rPr>
              <w:t>0.16%</w:t>
            </w:r>
            <w:r w:rsidRPr="005C133F">
              <w:rPr>
                <w:rFonts w:eastAsia="Times New Roman"/>
                <w:lang w:eastAsia="es-DO"/>
              </w:rPr>
              <w:t> </w:t>
            </w:r>
          </w:p>
        </w:tc>
      </w:tr>
    </w:tbl>
    <w:p w14:paraId="7B66EFAB" w14:textId="726A6653" w:rsidR="00A72AE6" w:rsidRPr="00AC2DB2" w:rsidRDefault="00915DE4" w:rsidP="005C133F">
      <w:pPr>
        <w:spacing w:after="0" w:line="360" w:lineRule="auto"/>
        <w:textAlignment w:val="baseline"/>
        <w:rPr>
          <w:rFonts w:eastAsia="Times New Roman"/>
          <w:sz w:val="18"/>
          <w:szCs w:val="18"/>
          <w:lang w:val="es-DO" w:eastAsia="es-DO"/>
        </w:rPr>
      </w:pPr>
      <w:r w:rsidRPr="00AC2DB2">
        <w:rPr>
          <w:rFonts w:eastAsia="Times New Roman"/>
          <w:sz w:val="18"/>
          <w:szCs w:val="18"/>
          <w:lang w:val="es-DO" w:eastAsia="es-DO"/>
        </w:rPr>
        <w:t xml:space="preserve">       </w:t>
      </w:r>
      <w:r w:rsidR="00A72AE6" w:rsidRPr="00AC2DB2">
        <w:rPr>
          <w:rFonts w:eastAsia="Times New Roman"/>
          <w:sz w:val="18"/>
          <w:szCs w:val="18"/>
          <w:lang w:val="es-DO" w:eastAsia="es-DO"/>
        </w:rPr>
        <w:t>Fuente: Dispersión UNIPAGO. </w:t>
      </w:r>
    </w:p>
    <w:p w14:paraId="0E8AF3BB" w14:textId="77777777" w:rsidR="007A66D2" w:rsidRPr="005C133F" w:rsidRDefault="007A66D2" w:rsidP="005C133F">
      <w:pPr>
        <w:spacing w:after="0" w:line="360" w:lineRule="auto"/>
        <w:textAlignment w:val="baseline"/>
        <w:rPr>
          <w:rFonts w:eastAsia="Times New Roman"/>
          <w:lang w:val="es-DO" w:eastAsia="es-DO"/>
        </w:rPr>
      </w:pPr>
    </w:p>
    <w:p w14:paraId="0B9AC6C0" w14:textId="675930DA" w:rsidR="00AE5A8D" w:rsidRPr="005C133F" w:rsidRDefault="00AC2AF3" w:rsidP="005C133F">
      <w:pPr>
        <w:spacing w:after="0" w:line="360" w:lineRule="auto"/>
        <w:jc w:val="both"/>
        <w:textAlignment w:val="baseline"/>
        <w:rPr>
          <w:rFonts w:eastAsia="Times New Roman"/>
          <w:lang w:val="es-DO" w:eastAsia="es-DO"/>
        </w:rPr>
      </w:pPr>
      <w:r w:rsidRPr="005C133F">
        <w:rPr>
          <w:rFonts w:eastAsia="Times New Roman"/>
          <w:lang w:val="es-DO" w:eastAsia="es-DO"/>
        </w:rPr>
        <w:t xml:space="preserve">Las devoluciones corresponden a transferencias a la Cuenta de Reembolso para devolver pagos en exceso del SFS y a fondos destinados a reembolsar cápita por dependientes adicionales no dispersadas, incluyendo el FONAMAT por RD$69,491,480.26; además, se incluye la especialización de fondos para devolver créditos no procesados del año 2025, tal como indica el Memorando TSS-2025-1937, por RD$161,979,475.30, y la devolución de </w:t>
      </w:r>
      <w:r w:rsidRPr="005C133F">
        <w:rPr>
          <w:rFonts w:eastAsia="Times New Roman"/>
          <w:lang w:val="es-DO" w:eastAsia="es-DO"/>
        </w:rPr>
        <w:lastRenderedPageBreak/>
        <w:t>rendimientos pagados en exceso por inversiones en certificados financieros según el Memorando DF-TSS-2025-6303, por RD$7,537.23, sumando un total de RD$231,478,492.79.</w:t>
      </w:r>
    </w:p>
    <w:p w14:paraId="71A436C7" w14:textId="77777777" w:rsidR="0029639D" w:rsidRPr="005C133F" w:rsidRDefault="0029639D" w:rsidP="0067066E">
      <w:pPr>
        <w:spacing w:after="0" w:line="360" w:lineRule="auto"/>
        <w:jc w:val="center"/>
        <w:textAlignment w:val="baseline"/>
        <w:rPr>
          <w:rFonts w:eastAsia="Times New Roman"/>
          <w:lang w:val="es-DO" w:eastAsia="es-DO"/>
        </w:rPr>
      </w:pPr>
    </w:p>
    <w:p w14:paraId="7F147A5B" w14:textId="4BEEC812" w:rsidR="0029639D" w:rsidRPr="005C133F" w:rsidRDefault="0029639D" w:rsidP="0067066E">
      <w:pPr>
        <w:pStyle w:val="Descripcin"/>
        <w:spacing w:after="0"/>
        <w:jc w:val="center"/>
        <w:rPr>
          <w:rFonts w:eastAsia="Times New Roman"/>
          <w:b/>
          <w:bCs/>
          <w:i w:val="0"/>
          <w:iCs w:val="0"/>
          <w:color w:val="767171"/>
          <w:sz w:val="24"/>
          <w:szCs w:val="24"/>
          <w:lang w:val="es-DO" w:eastAsia="es-DO"/>
        </w:rPr>
      </w:pPr>
      <w:bookmarkStart w:id="69" w:name="_Toc217047807"/>
      <w:r w:rsidRPr="005C133F">
        <w:rPr>
          <w:rFonts w:eastAsia="Times New Roman"/>
          <w:b/>
          <w:bCs/>
          <w:i w:val="0"/>
          <w:iCs w:val="0"/>
          <w:color w:val="767171"/>
          <w:sz w:val="24"/>
          <w:szCs w:val="24"/>
          <w:lang w:val="es-DO" w:eastAsia="es-DO"/>
        </w:rPr>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4</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Neto de Inversiones del RC, enero – agosto 2025</w:t>
      </w:r>
      <w:bookmarkEnd w:id="69"/>
    </w:p>
    <w:p w14:paraId="30C395DE" w14:textId="14660C0D" w:rsidR="0029639D" w:rsidRPr="005C133F" w:rsidRDefault="003B4D43" w:rsidP="0067066E">
      <w:pPr>
        <w:keepNext/>
        <w:spacing w:after="0" w:line="240" w:lineRule="auto"/>
        <w:jc w:val="center"/>
        <w:textAlignment w:val="baseline"/>
      </w:pPr>
      <w:r w:rsidRPr="005C133F">
        <w:rPr>
          <w:noProof/>
        </w:rPr>
        <w:drawing>
          <wp:inline distT="0" distB="0" distL="0" distR="0" wp14:anchorId="29E900B4" wp14:editId="544A7797">
            <wp:extent cx="5114925" cy="2724150"/>
            <wp:effectExtent l="0" t="0" r="9525" b="0"/>
            <wp:docPr id="1021694417" name="Gráfico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63EAF64" w14:textId="300662E2" w:rsidR="006E46C3" w:rsidRPr="00AC2DB2" w:rsidRDefault="000A69BE"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Inversiones.</w:t>
      </w:r>
    </w:p>
    <w:p w14:paraId="100E4F30" w14:textId="77777777" w:rsidR="001268AA" w:rsidRPr="005C133F" w:rsidRDefault="001268AA" w:rsidP="00656D91">
      <w:pPr>
        <w:spacing w:after="0" w:line="360" w:lineRule="auto"/>
        <w:jc w:val="both"/>
        <w:textAlignment w:val="baseline"/>
        <w:rPr>
          <w:rFonts w:eastAsia="Times New Roman"/>
          <w:lang w:val="es-DO" w:eastAsia="es-DO"/>
        </w:rPr>
      </w:pPr>
    </w:p>
    <w:p w14:paraId="6ABF9F41" w14:textId="77777777" w:rsidR="00656D91" w:rsidRDefault="00567F96" w:rsidP="005C133F">
      <w:pPr>
        <w:spacing w:after="0" w:line="360" w:lineRule="auto"/>
        <w:jc w:val="both"/>
        <w:textAlignment w:val="baseline"/>
        <w:rPr>
          <w:rFonts w:eastAsia="Times New Roman"/>
          <w:lang w:val="es-DO" w:eastAsia="es-DO"/>
        </w:rPr>
      </w:pPr>
      <w:r w:rsidRPr="005C133F">
        <w:rPr>
          <w:rFonts w:eastAsia="Times New Roman"/>
          <w:lang w:val="es-DO" w:eastAsia="es-DO"/>
        </w:rPr>
        <w:t xml:space="preserve">Las inversiones registraron un comportamiento claramente ascendente entre enero y agosto de 2025, pasando de RD$2,160,448,107.94 a RD$ 3,960,412,118.75. Aunque febrero mostró un crecimiento moderado de 4.6% con respecto a enero y marzo se mantuvo sin variación, a partir de abril se observa una aceleración progresiva, con incrementos de 6.6% en abril con respecto a marzo y 4.1% en mayo con respecto abril. El mayor salto ocurrió en junio, cuando las inversiones crecieron 15.9%, seguido de un aumento aún más significativo en julio, que alcanzó 30.9%, convirtiéndose en el mes de mayor expansión del período. En agosto el crecimiento se moderó a 3.9%, pero mantuvo la tendencia positiva. En conjunto, los datos reflejan un fortalecimiento sostenido de la </w:t>
      </w:r>
      <w:r w:rsidRPr="005C133F">
        <w:rPr>
          <w:rFonts w:eastAsia="Times New Roman"/>
          <w:lang w:val="es-DO" w:eastAsia="es-DO"/>
        </w:rPr>
        <w:lastRenderedPageBreak/>
        <w:t>cartera de inversiones, especialmente marcado durante el segundo trimestre del año.</w:t>
      </w:r>
    </w:p>
    <w:p w14:paraId="08386A45" w14:textId="1EBD99BD" w:rsidR="000018B4" w:rsidRPr="005C133F" w:rsidRDefault="00567F96" w:rsidP="005C133F">
      <w:pPr>
        <w:spacing w:after="0" w:line="360" w:lineRule="auto"/>
        <w:jc w:val="both"/>
        <w:textAlignment w:val="baseline"/>
        <w:rPr>
          <w:rFonts w:eastAsia="Times New Roman"/>
          <w:lang w:val="es-DO" w:eastAsia="es-DO"/>
        </w:rPr>
      </w:pPr>
      <w:r w:rsidRPr="005C133F">
        <w:rPr>
          <w:rFonts w:eastAsia="Times New Roman"/>
          <w:lang w:val="es-DO" w:eastAsia="es-DO"/>
        </w:rPr>
        <w:t> </w:t>
      </w:r>
    </w:p>
    <w:p w14:paraId="7DA9D93A" w14:textId="4C7D6AD4" w:rsidR="001268AA" w:rsidRPr="005C133F" w:rsidRDefault="00053060" w:rsidP="005C133F">
      <w:pPr>
        <w:spacing w:after="0" w:line="360" w:lineRule="auto"/>
        <w:jc w:val="both"/>
        <w:textAlignment w:val="baseline"/>
        <w:rPr>
          <w:rFonts w:eastAsia="Times New Roman"/>
          <w:lang w:val="es-DO" w:eastAsia="es-DO"/>
        </w:rPr>
      </w:pPr>
      <w:r w:rsidRPr="005C133F">
        <w:rPr>
          <w:rFonts w:eastAsia="Times New Roman"/>
          <w:lang w:val="es-DO" w:eastAsia="es-DO"/>
        </w:rPr>
        <w:t xml:space="preserve">En agosto de 2025, la distribución del total de inversiones muestra una cartera diversificada entre distintas entidades financieras, donde destacan el Banco de Reservas con el 16%, CARIBBEAN </w:t>
      </w:r>
      <w:proofErr w:type="spellStart"/>
      <w:r w:rsidRPr="005C133F">
        <w:rPr>
          <w:rFonts w:eastAsia="Times New Roman"/>
          <w:lang w:val="es-DO" w:eastAsia="es-DO"/>
        </w:rPr>
        <w:t>Investment</w:t>
      </w:r>
      <w:proofErr w:type="spellEnd"/>
      <w:r w:rsidRPr="005C133F">
        <w:rPr>
          <w:rFonts w:eastAsia="Times New Roman"/>
          <w:lang w:val="es-DO" w:eastAsia="es-DO"/>
        </w:rPr>
        <w:t xml:space="preserve"> Capital con 14% y Banco Popular con 12%, seguidos por Inversiones Santa Cruz (10%), Banco Santa Cruz (7%), </w:t>
      </w:r>
      <w:proofErr w:type="spellStart"/>
      <w:r w:rsidRPr="005C133F">
        <w:rPr>
          <w:rFonts w:eastAsia="Times New Roman"/>
          <w:lang w:val="es-DO" w:eastAsia="es-DO"/>
        </w:rPr>
        <w:t>United</w:t>
      </w:r>
      <w:proofErr w:type="spellEnd"/>
      <w:r w:rsidRPr="005C133F">
        <w:rPr>
          <w:rFonts w:eastAsia="Times New Roman"/>
          <w:lang w:val="es-DO" w:eastAsia="es-DO"/>
        </w:rPr>
        <w:t xml:space="preserve"> Capital Puesto de Bolsa (7%), JMMB (9%) y otras instituciones como BHD Puesto de Bolsa, Scotiabank, Banco BHD y Alpha Puesto de Bolsa con participaciones menores. En cuanto al tipo de instrumento, el portafolio se concentra principalmente en Certificados Financieros, que representan el 49% del total, seguido de Acuerdos de Recompra con un 39%, mientras que el 12% restante corresponde al Fideicomiso de Administración, Fuente de Pago, Garantía e Inversión </w:t>
      </w:r>
      <w:r w:rsidR="009106A4" w:rsidRPr="005C133F">
        <w:rPr>
          <w:rFonts w:eastAsia="Times New Roman"/>
          <w:lang w:val="es-DO" w:eastAsia="es-DO"/>
        </w:rPr>
        <w:t xml:space="preserve">CARIBBEAN </w:t>
      </w:r>
      <w:proofErr w:type="spellStart"/>
      <w:r w:rsidR="009106A4" w:rsidRPr="005C133F">
        <w:rPr>
          <w:rFonts w:eastAsia="Times New Roman"/>
          <w:lang w:val="es-DO" w:eastAsia="es-DO"/>
        </w:rPr>
        <w:t>Investment</w:t>
      </w:r>
      <w:proofErr w:type="spellEnd"/>
      <w:r w:rsidR="009106A4" w:rsidRPr="005C133F">
        <w:rPr>
          <w:rFonts w:eastAsia="Times New Roman"/>
          <w:lang w:val="es-DO" w:eastAsia="es-DO"/>
        </w:rPr>
        <w:t xml:space="preserve"> Capital (</w:t>
      </w:r>
      <w:r w:rsidRPr="005C133F">
        <w:rPr>
          <w:rFonts w:eastAsia="Times New Roman"/>
          <w:lang w:val="es-DO" w:eastAsia="es-DO"/>
        </w:rPr>
        <w:t>CIIC</w:t>
      </w:r>
      <w:r w:rsidR="009106A4" w:rsidRPr="005C133F">
        <w:rPr>
          <w:rFonts w:eastAsia="Times New Roman"/>
          <w:lang w:val="es-DO" w:eastAsia="es-DO"/>
        </w:rPr>
        <w:t>)</w:t>
      </w:r>
      <w:r w:rsidRPr="005C133F">
        <w:rPr>
          <w:rFonts w:eastAsia="Times New Roman"/>
          <w:lang w:val="es-DO" w:eastAsia="es-DO"/>
        </w:rPr>
        <w:t>. En conjunto, ambas gráficas reflejan una política de inversión diversificada tanto por entidad como por instrumento, con un claro predominio de productos financieros tradicionales de bajo riesgo. </w:t>
      </w:r>
    </w:p>
    <w:p w14:paraId="3F88A7D8" w14:textId="1E24CF84" w:rsidR="003D64A0" w:rsidRPr="005C133F" w:rsidRDefault="003D64A0" w:rsidP="0067066E">
      <w:pPr>
        <w:pStyle w:val="Descripcin"/>
        <w:spacing w:after="0"/>
        <w:jc w:val="center"/>
        <w:rPr>
          <w:rFonts w:eastAsia="Times New Roman"/>
          <w:b/>
          <w:bCs/>
          <w:i w:val="0"/>
          <w:iCs w:val="0"/>
          <w:color w:val="767171"/>
          <w:sz w:val="24"/>
          <w:szCs w:val="24"/>
          <w:lang w:val="es-DO" w:eastAsia="es-DO"/>
        </w:rPr>
      </w:pPr>
      <w:bookmarkStart w:id="70" w:name="_Toc217047808"/>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5</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Distribución del Total de Inversiones por Entidad Financiera, agosto 202</w:t>
      </w:r>
      <w:bookmarkEnd w:id="70"/>
      <w:r w:rsidR="006C0D52" w:rsidRPr="005C133F">
        <w:rPr>
          <w:noProof/>
          <w:color w:val="767171"/>
          <w:sz w:val="24"/>
          <w:szCs w:val="24"/>
          <w:lang w:val="es-DO"/>
        </w:rPr>
        <w:t xml:space="preserve"> </w:t>
      </w:r>
      <w:r w:rsidR="006C0D52" w:rsidRPr="005C133F">
        <w:rPr>
          <w:noProof/>
          <w:color w:val="767171"/>
          <w:sz w:val="24"/>
          <w:szCs w:val="24"/>
        </w:rPr>
        <w:drawing>
          <wp:inline distT="0" distB="0" distL="0" distR="0" wp14:anchorId="6170F137" wp14:editId="44E2A352">
            <wp:extent cx="4428067" cy="2700867"/>
            <wp:effectExtent l="0" t="0" r="10795" b="4445"/>
            <wp:docPr id="648807541" name="Gráfico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8D46642" w14:textId="77777777" w:rsidR="0067066E" w:rsidRDefault="0067066E" w:rsidP="00656D91">
      <w:pPr>
        <w:spacing w:after="0" w:line="240" w:lineRule="auto"/>
        <w:jc w:val="both"/>
        <w:textAlignment w:val="baseline"/>
        <w:rPr>
          <w:rFonts w:eastAsia="Times New Roman"/>
          <w:sz w:val="18"/>
          <w:szCs w:val="18"/>
          <w:lang w:val="es-DO" w:eastAsia="es-DO"/>
        </w:rPr>
      </w:pPr>
    </w:p>
    <w:p w14:paraId="7B0EE87F" w14:textId="0D326436" w:rsidR="00332AA1" w:rsidRDefault="007F1D7F"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Inversiones.</w:t>
      </w:r>
    </w:p>
    <w:p w14:paraId="11B40696" w14:textId="77777777" w:rsidR="00656D91" w:rsidRDefault="00656D91" w:rsidP="00656D91">
      <w:pPr>
        <w:spacing w:after="0" w:line="240" w:lineRule="auto"/>
        <w:jc w:val="both"/>
        <w:textAlignment w:val="baseline"/>
        <w:rPr>
          <w:rFonts w:eastAsia="Times New Roman"/>
          <w:sz w:val="18"/>
          <w:szCs w:val="18"/>
          <w:lang w:val="es-DO" w:eastAsia="es-DO"/>
        </w:rPr>
      </w:pPr>
    </w:p>
    <w:p w14:paraId="2194EC11" w14:textId="77777777" w:rsidR="00AC2DB2" w:rsidRPr="00AC2DB2" w:rsidRDefault="00AC2DB2" w:rsidP="005C133F">
      <w:pPr>
        <w:spacing w:after="0" w:line="360" w:lineRule="auto"/>
        <w:jc w:val="both"/>
        <w:textAlignment w:val="baseline"/>
        <w:rPr>
          <w:rFonts w:eastAsia="Times New Roman"/>
          <w:sz w:val="18"/>
          <w:szCs w:val="18"/>
          <w:lang w:val="es-DO" w:eastAsia="es-DO"/>
        </w:rPr>
      </w:pPr>
    </w:p>
    <w:p w14:paraId="68C42A23" w14:textId="20C0A172" w:rsidR="00332AA1" w:rsidRPr="005C133F" w:rsidRDefault="00332AA1" w:rsidP="0067066E">
      <w:pPr>
        <w:pStyle w:val="Descripcin"/>
        <w:spacing w:after="0"/>
        <w:jc w:val="center"/>
        <w:rPr>
          <w:rFonts w:eastAsia="Times New Roman"/>
          <w:b/>
          <w:bCs/>
          <w:i w:val="0"/>
          <w:iCs w:val="0"/>
          <w:color w:val="767171"/>
          <w:sz w:val="24"/>
          <w:szCs w:val="24"/>
          <w:lang w:val="es-DO" w:eastAsia="es-DO"/>
        </w:rPr>
      </w:pPr>
      <w:bookmarkStart w:id="71" w:name="_Toc217047809"/>
      <w:r w:rsidRPr="005C133F">
        <w:rPr>
          <w:rFonts w:eastAsia="Times New Roman"/>
          <w:b/>
          <w:bCs/>
          <w:i w:val="0"/>
          <w:iCs w:val="0"/>
          <w:color w:val="767171"/>
          <w:sz w:val="24"/>
          <w:szCs w:val="24"/>
          <w:lang w:val="es-DO" w:eastAsia="es-DO"/>
        </w:rPr>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6</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Distribución del Portafolio de Inversiones por Tipo de Instrumento, agosto 2025</w:t>
      </w:r>
      <w:bookmarkEnd w:id="71"/>
    </w:p>
    <w:p w14:paraId="600F170E" w14:textId="7DAC168C" w:rsidR="00332AA1" w:rsidRPr="005C133F" w:rsidRDefault="00667D37" w:rsidP="0067066E">
      <w:pPr>
        <w:keepNext/>
        <w:spacing w:after="0" w:line="240" w:lineRule="auto"/>
        <w:jc w:val="center"/>
        <w:textAlignment w:val="baseline"/>
      </w:pPr>
      <w:r w:rsidRPr="005C133F">
        <w:rPr>
          <w:noProof/>
        </w:rPr>
        <w:drawing>
          <wp:inline distT="0" distB="0" distL="0" distR="0" wp14:anchorId="4DE9EAE6" wp14:editId="2F173B87">
            <wp:extent cx="5122333" cy="2159000"/>
            <wp:effectExtent l="0" t="0" r="2540" b="12700"/>
            <wp:docPr id="1298368668" name="Gráfico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6291557" w14:textId="52E76C86" w:rsidR="00EB5776" w:rsidRPr="00AC2DB2" w:rsidRDefault="00EB5776"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Inversiones.</w:t>
      </w:r>
    </w:p>
    <w:p w14:paraId="5EA48FF4" w14:textId="3763DD6D" w:rsidR="00F3088E" w:rsidRDefault="00F3088E" w:rsidP="0067066E">
      <w:pPr>
        <w:tabs>
          <w:tab w:val="left" w:pos="1122"/>
          <w:tab w:val="left" w:pos="1926"/>
        </w:tabs>
        <w:spacing w:before="120" w:after="0" w:line="360" w:lineRule="auto"/>
        <w:jc w:val="center"/>
        <w:textAlignment w:val="baseline"/>
        <w:rPr>
          <w:rFonts w:eastAsia="Times New Roman"/>
          <w:lang w:val="es-DO" w:eastAsia="es-DO"/>
        </w:rPr>
      </w:pPr>
    </w:p>
    <w:p w14:paraId="42B1E4F5" w14:textId="77777777" w:rsidR="00656D91" w:rsidRDefault="00656D91" w:rsidP="00656D91">
      <w:pPr>
        <w:tabs>
          <w:tab w:val="left" w:pos="1122"/>
          <w:tab w:val="left" w:pos="1926"/>
        </w:tabs>
        <w:spacing w:before="120" w:after="0" w:line="360" w:lineRule="auto"/>
        <w:jc w:val="both"/>
        <w:textAlignment w:val="baseline"/>
        <w:rPr>
          <w:rFonts w:eastAsia="Times New Roman"/>
          <w:lang w:val="es-DO" w:eastAsia="es-DO"/>
        </w:rPr>
      </w:pPr>
    </w:p>
    <w:p w14:paraId="2899AC9B" w14:textId="77777777" w:rsidR="00656D91" w:rsidRDefault="00656D91" w:rsidP="00656D91">
      <w:pPr>
        <w:tabs>
          <w:tab w:val="left" w:pos="1122"/>
          <w:tab w:val="left" w:pos="1926"/>
        </w:tabs>
        <w:spacing w:before="120" w:after="0" w:line="360" w:lineRule="auto"/>
        <w:jc w:val="both"/>
        <w:textAlignment w:val="baseline"/>
        <w:rPr>
          <w:rFonts w:eastAsia="Times New Roman"/>
          <w:lang w:val="es-DO" w:eastAsia="es-DO"/>
        </w:rPr>
      </w:pPr>
    </w:p>
    <w:p w14:paraId="778DF8B8" w14:textId="77777777" w:rsidR="00656D91" w:rsidRPr="005C133F" w:rsidRDefault="00656D91" w:rsidP="00656D91">
      <w:pPr>
        <w:tabs>
          <w:tab w:val="left" w:pos="1122"/>
          <w:tab w:val="left" w:pos="1926"/>
        </w:tabs>
        <w:spacing w:before="120" w:after="0" w:line="360" w:lineRule="auto"/>
        <w:jc w:val="both"/>
        <w:textAlignment w:val="baseline"/>
        <w:rPr>
          <w:rFonts w:eastAsia="Times New Roman"/>
          <w:lang w:val="es-DO" w:eastAsia="es-DO"/>
        </w:rPr>
      </w:pPr>
    </w:p>
    <w:p w14:paraId="190E3C41" w14:textId="504D0830" w:rsidR="00656D91" w:rsidRDefault="0075158B">
      <w:pPr>
        <w:pStyle w:val="Textoindependiente"/>
        <w:numPr>
          <w:ilvl w:val="0"/>
          <w:numId w:val="168"/>
        </w:numPr>
        <w:spacing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lastRenderedPageBreak/>
        <w:t xml:space="preserve">Planes Especiales </w:t>
      </w:r>
      <w:r w:rsidR="00E33C85" w:rsidRPr="005C133F">
        <w:rPr>
          <w:i w:val="0"/>
          <w:iCs w:val="0"/>
          <w:color w:val="767171"/>
          <w:spacing w:val="20"/>
          <w:sz w:val="24"/>
          <w:szCs w:val="24"/>
          <w:lang w:val="es-DO" w:eastAsia="es-DO"/>
        </w:rPr>
        <w:t xml:space="preserve">de Pensionados </w:t>
      </w:r>
      <w:r w:rsidR="00E14CB1" w:rsidRPr="005C133F">
        <w:rPr>
          <w:i w:val="0"/>
          <w:iCs w:val="0"/>
          <w:color w:val="767171"/>
          <w:spacing w:val="20"/>
          <w:sz w:val="24"/>
          <w:szCs w:val="24"/>
          <w:lang w:val="es-DO" w:eastAsia="es-DO"/>
        </w:rPr>
        <w:t xml:space="preserve">y Jubilados </w:t>
      </w:r>
    </w:p>
    <w:p w14:paraId="4EE616A5" w14:textId="77777777" w:rsidR="00656D91" w:rsidRPr="00656D91" w:rsidRDefault="00656D91" w:rsidP="00656D91">
      <w:pPr>
        <w:pStyle w:val="Textoindependiente"/>
        <w:spacing w:line="360" w:lineRule="auto"/>
        <w:ind w:left="720"/>
        <w:jc w:val="both"/>
        <w:rPr>
          <w:i w:val="0"/>
          <w:iCs w:val="0"/>
          <w:color w:val="767171"/>
          <w:spacing w:val="20"/>
          <w:sz w:val="24"/>
          <w:szCs w:val="24"/>
          <w:lang w:val="es-DO" w:eastAsia="es-DO"/>
        </w:rPr>
      </w:pPr>
    </w:p>
    <w:p w14:paraId="03DF7778" w14:textId="2EF6EF77" w:rsidR="007F177B" w:rsidRPr="005C133F" w:rsidRDefault="007F177B" w:rsidP="005C133F">
      <w:pPr>
        <w:spacing w:after="0" w:line="360" w:lineRule="auto"/>
        <w:jc w:val="both"/>
        <w:textAlignment w:val="baseline"/>
        <w:rPr>
          <w:rFonts w:eastAsia="Times New Roman"/>
          <w:lang w:val="es-DO" w:eastAsia="es-DO"/>
        </w:rPr>
      </w:pPr>
      <w:r w:rsidRPr="005C133F">
        <w:rPr>
          <w:rFonts w:eastAsia="Times New Roman"/>
          <w:lang w:val="es-DO" w:eastAsia="es-DO"/>
        </w:rPr>
        <w:t xml:space="preserve">La disponibilidad total de la Cuenta de Cuidado de la Salud para los planes especiales y jubilados asciende a RD$2,472,268,046.36, distribuida entre cinco entidades del Estado según sus respectivos grupos poblacionales. Las Fuerzas Armadas (FFAA) disponen de RD$356,163,573.09, el Ministerio de Hacienda administra RD$827,524,391.72, el grupo de Pensionados del Estado 18-19 cuenta con RD$773,044,516.36, la Policía Nacional registra RD$287,587,274.62 y el Sector Salud concentra RD$227,948,290.57. Esta distribución refleja la asignación diferenciada de recursos destinada a garantizar la cobertura de salud de cada colectivo dentro del régimen contributivo de planes especiales </w:t>
      </w:r>
      <w:proofErr w:type="spellStart"/>
      <w:r w:rsidRPr="005C133F">
        <w:rPr>
          <w:rFonts w:eastAsia="Times New Roman"/>
          <w:lang w:val="es-DO" w:eastAsia="es-DO"/>
        </w:rPr>
        <w:t>PyJ</w:t>
      </w:r>
      <w:proofErr w:type="spellEnd"/>
      <w:r w:rsidRPr="005C133F">
        <w:rPr>
          <w:rFonts w:eastAsia="Times New Roman"/>
          <w:lang w:val="es-DO" w:eastAsia="es-DO"/>
        </w:rPr>
        <w:t>. En el siguiente gráfico se presenta la distribución porcentual de la disponibilidad total de los planes especiales y jubilados, mostrando cómo se reparte el monto total a agosto del 2025 entre las diferentes instituciones del Estado. </w:t>
      </w:r>
    </w:p>
    <w:p w14:paraId="5790959B" w14:textId="77777777" w:rsidR="004900C2" w:rsidRDefault="004900C2" w:rsidP="00656D91">
      <w:pPr>
        <w:spacing w:after="0" w:line="240" w:lineRule="auto"/>
        <w:jc w:val="both"/>
        <w:textAlignment w:val="baseline"/>
        <w:rPr>
          <w:rFonts w:eastAsia="Times New Roman"/>
          <w:lang w:val="es-DO" w:eastAsia="es-DO"/>
        </w:rPr>
      </w:pPr>
    </w:p>
    <w:p w14:paraId="74503FFB" w14:textId="77777777" w:rsidR="00656D91" w:rsidRDefault="00656D91" w:rsidP="00656D91">
      <w:pPr>
        <w:spacing w:after="0" w:line="240" w:lineRule="auto"/>
        <w:jc w:val="both"/>
        <w:textAlignment w:val="baseline"/>
        <w:rPr>
          <w:rFonts w:eastAsia="Times New Roman"/>
          <w:lang w:val="es-DO" w:eastAsia="es-DO"/>
        </w:rPr>
      </w:pPr>
    </w:p>
    <w:p w14:paraId="13709AC8" w14:textId="77777777" w:rsidR="00656D91" w:rsidRDefault="00656D91" w:rsidP="00656D91">
      <w:pPr>
        <w:spacing w:after="0" w:line="240" w:lineRule="auto"/>
        <w:jc w:val="both"/>
        <w:textAlignment w:val="baseline"/>
        <w:rPr>
          <w:rFonts w:eastAsia="Times New Roman"/>
          <w:lang w:val="es-DO" w:eastAsia="es-DO"/>
        </w:rPr>
      </w:pPr>
    </w:p>
    <w:p w14:paraId="1B456623" w14:textId="77777777" w:rsidR="00656D91" w:rsidRDefault="00656D91" w:rsidP="00656D91">
      <w:pPr>
        <w:spacing w:after="0" w:line="240" w:lineRule="auto"/>
        <w:jc w:val="both"/>
        <w:textAlignment w:val="baseline"/>
        <w:rPr>
          <w:rFonts w:eastAsia="Times New Roman"/>
          <w:lang w:val="es-DO" w:eastAsia="es-DO"/>
        </w:rPr>
      </w:pPr>
    </w:p>
    <w:p w14:paraId="1FAA7B0D" w14:textId="77777777" w:rsidR="00656D91" w:rsidRDefault="00656D91" w:rsidP="00656D91">
      <w:pPr>
        <w:spacing w:after="0" w:line="240" w:lineRule="auto"/>
        <w:jc w:val="both"/>
        <w:textAlignment w:val="baseline"/>
        <w:rPr>
          <w:rFonts w:eastAsia="Times New Roman"/>
          <w:lang w:val="es-DO" w:eastAsia="es-DO"/>
        </w:rPr>
      </w:pPr>
    </w:p>
    <w:p w14:paraId="28CDA6FA" w14:textId="77777777" w:rsidR="00656D91" w:rsidRDefault="00656D91" w:rsidP="00656D91">
      <w:pPr>
        <w:spacing w:after="0" w:line="240" w:lineRule="auto"/>
        <w:jc w:val="both"/>
        <w:textAlignment w:val="baseline"/>
        <w:rPr>
          <w:rFonts w:eastAsia="Times New Roman"/>
          <w:lang w:val="es-DO" w:eastAsia="es-DO"/>
        </w:rPr>
      </w:pPr>
    </w:p>
    <w:p w14:paraId="11118C27" w14:textId="77777777" w:rsidR="00656D91" w:rsidRDefault="00656D91" w:rsidP="00656D91">
      <w:pPr>
        <w:spacing w:after="0" w:line="240" w:lineRule="auto"/>
        <w:jc w:val="both"/>
        <w:textAlignment w:val="baseline"/>
        <w:rPr>
          <w:rFonts w:eastAsia="Times New Roman"/>
          <w:lang w:val="es-DO" w:eastAsia="es-DO"/>
        </w:rPr>
      </w:pPr>
    </w:p>
    <w:p w14:paraId="5933490A" w14:textId="77777777" w:rsidR="00656D91" w:rsidRDefault="00656D91" w:rsidP="00656D91">
      <w:pPr>
        <w:spacing w:after="0" w:line="240" w:lineRule="auto"/>
        <w:jc w:val="both"/>
        <w:textAlignment w:val="baseline"/>
        <w:rPr>
          <w:rFonts w:eastAsia="Times New Roman"/>
          <w:lang w:val="es-DO" w:eastAsia="es-DO"/>
        </w:rPr>
      </w:pPr>
    </w:p>
    <w:p w14:paraId="04C6A6A9" w14:textId="77777777" w:rsidR="00656D91" w:rsidRDefault="00656D91" w:rsidP="00656D91">
      <w:pPr>
        <w:spacing w:after="0" w:line="240" w:lineRule="auto"/>
        <w:jc w:val="both"/>
        <w:textAlignment w:val="baseline"/>
        <w:rPr>
          <w:rFonts w:eastAsia="Times New Roman"/>
          <w:lang w:val="es-DO" w:eastAsia="es-DO"/>
        </w:rPr>
      </w:pPr>
    </w:p>
    <w:p w14:paraId="792E2862" w14:textId="77777777" w:rsidR="00656D91" w:rsidRDefault="00656D91" w:rsidP="00656D91">
      <w:pPr>
        <w:spacing w:after="0" w:line="240" w:lineRule="auto"/>
        <w:jc w:val="both"/>
        <w:textAlignment w:val="baseline"/>
        <w:rPr>
          <w:rFonts w:eastAsia="Times New Roman"/>
          <w:lang w:val="es-DO" w:eastAsia="es-DO"/>
        </w:rPr>
      </w:pPr>
    </w:p>
    <w:p w14:paraId="22A32C85" w14:textId="77777777" w:rsidR="00656D91" w:rsidRDefault="00656D91" w:rsidP="00656D91">
      <w:pPr>
        <w:spacing w:after="0" w:line="240" w:lineRule="auto"/>
        <w:jc w:val="both"/>
        <w:textAlignment w:val="baseline"/>
        <w:rPr>
          <w:rFonts w:eastAsia="Times New Roman"/>
          <w:lang w:val="es-DO" w:eastAsia="es-DO"/>
        </w:rPr>
      </w:pPr>
    </w:p>
    <w:p w14:paraId="233798E6" w14:textId="77777777" w:rsidR="00656D91" w:rsidRDefault="00656D91" w:rsidP="00656D91">
      <w:pPr>
        <w:spacing w:after="0" w:line="240" w:lineRule="auto"/>
        <w:jc w:val="both"/>
        <w:textAlignment w:val="baseline"/>
        <w:rPr>
          <w:rFonts w:eastAsia="Times New Roman"/>
          <w:lang w:val="es-DO" w:eastAsia="es-DO"/>
        </w:rPr>
      </w:pPr>
    </w:p>
    <w:p w14:paraId="798BDDAE" w14:textId="77777777" w:rsidR="00656D91" w:rsidRDefault="00656D91" w:rsidP="00656D91">
      <w:pPr>
        <w:spacing w:after="0" w:line="240" w:lineRule="auto"/>
        <w:jc w:val="both"/>
        <w:textAlignment w:val="baseline"/>
        <w:rPr>
          <w:rFonts w:eastAsia="Times New Roman"/>
          <w:lang w:val="es-DO" w:eastAsia="es-DO"/>
        </w:rPr>
      </w:pPr>
    </w:p>
    <w:p w14:paraId="3EC99105" w14:textId="77777777" w:rsidR="00656D91" w:rsidRDefault="00656D91" w:rsidP="00656D91">
      <w:pPr>
        <w:spacing w:after="0" w:line="240" w:lineRule="auto"/>
        <w:jc w:val="both"/>
        <w:textAlignment w:val="baseline"/>
        <w:rPr>
          <w:rFonts w:eastAsia="Times New Roman"/>
          <w:lang w:val="es-DO" w:eastAsia="es-DO"/>
        </w:rPr>
      </w:pPr>
    </w:p>
    <w:p w14:paraId="584B3CDF" w14:textId="77777777" w:rsidR="00656D91" w:rsidRDefault="00656D91" w:rsidP="00656D91">
      <w:pPr>
        <w:spacing w:after="0" w:line="240" w:lineRule="auto"/>
        <w:jc w:val="both"/>
        <w:textAlignment w:val="baseline"/>
        <w:rPr>
          <w:rFonts w:eastAsia="Times New Roman"/>
          <w:lang w:val="es-DO" w:eastAsia="es-DO"/>
        </w:rPr>
      </w:pPr>
    </w:p>
    <w:p w14:paraId="4A6F1E87" w14:textId="77777777" w:rsidR="00656D91" w:rsidRDefault="00656D91" w:rsidP="00656D91">
      <w:pPr>
        <w:spacing w:after="0" w:line="240" w:lineRule="auto"/>
        <w:jc w:val="both"/>
        <w:textAlignment w:val="baseline"/>
        <w:rPr>
          <w:rFonts w:eastAsia="Times New Roman"/>
          <w:lang w:val="es-DO" w:eastAsia="es-DO"/>
        </w:rPr>
      </w:pPr>
    </w:p>
    <w:p w14:paraId="1AA38ECB" w14:textId="77777777" w:rsidR="00656D91" w:rsidRPr="005C133F" w:rsidRDefault="00656D91" w:rsidP="00656D91">
      <w:pPr>
        <w:spacing w:after="0" w:line="240" w:lineRule="auto"/>
        <w:jc w:val="both"/>
        <w:textAlignment w:val="baseline"/>
        <w:rPr>
          <w:rFonts w:eastAsia="Times New Roman"/>
          <w:lang w:val="es-DO" w:eastAsia="es-DO"/>
        </w:rPr>
      </w:pPr>
    </w:p>
    <w:p w14:paraId="0F124F7E" w14:textId="2D108AE7" w:rsidR="00F23BC4" w:rsidRPr="005C133F" w:rsidRDefault="00F23BC4" w:rsidP="0067066E">
      <w:pPr>
        <w:pStyle w:val="Descripcin"/>
        <w:spacing w:after="0"/>
        <w:jc w:val="center"/>
        <w:rPr>
          <w:rFonts w:eastAsia="Times New Roman"/>
          <w:b/>
          <w:bCs/>
          <w:i w:val="0"/>
          <w:iCs w:val="0"/>
          <w:color w:val="767171"/>
          <w:sz w:val="24"/>
          <w:szCs w:val="24"/>
          <w:lang w:val="es-DO" w:eastAsia="es-DO"/>
        </w:rPr>
      </w:pPr>
      <w:bookmarkStart w:id="72" w:name="_Toc217047810"/>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7</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Distribución de la Disponibilidad por Plan</w:t>
      </w:r>
      <w:bookmarkEnd w:id="72"/>
    </w:p>
    <w:p w14:paraId="30B310A7" w14:textId="344A65CA" w:rsidR="00F23BC4" w:rsidRPr="005C133F" w:rsidRDefault="00191D27" w:rsidP="0067066E">
      <w:pPr>
        <w:keepNext/>
        <w:spacing w:after="0" w:line="240" w:lineRule="auto"/>
        <w:jc w:val="center"/>
        <w:textAlignment w:val="baseline"/>
      </w:pPr>
      <w:r w:rsidRPr="005C133F">
        <w:rPr>
          <w:noProof/>
        </w:rPr>
        <w:drawing>
          <wp:inline distT="0" distB="0" distL="0" distR="0" wp14:anchorId="7D37BD95" wp14:editId="78D17E15">
            <wp:extent cx="4758267" cy="2726267"/>
            <wp:effectExtent l="0" t="0" r="4445" b="17145"/>
            <wp:docPr id="880931543" name="Gráfico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4F95C00" w14:textId="77777777" w:rsidR="00640268" w:rsidRPr="00AC2DB2" w:rsidRDefault="00640268"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Balances del PEP</w:t>
      </w:r>
    </w:p>
    <w:p w14:paraId="0915BD0D" w14:textId="77777777" w:rsidR="00640268" w:rsidRPr="005C133F" w:rsidRDefault="00640268" w:rsidP="005C133F">
      <w:pPr>
        <w:spacing w:after="0" w:line="360" w:lineRule="auto"/>
        <w:jc w:val="both"/>
        <w:textAlignment w:val="baseline"/>
        <w:rPr>
          <w:rFonts w:eastAsia="Times New Roman"/>
          <w:lang w:val="es-DO" w:eastAsia="es-DO"/>
        </w:rPr>
      </w:pPr>
    </w:p>
    <w:p w14:paraId="03DC75FE" w14:textId="77777777" w:rsidR="00E7738A" w:rsidRPr="005C133F" w:rsidRDefault="00E7738A" w:rsidP="005C133F">
      <w:pPr>
        <w:spacing w:after="0" w:line="360" w:lineRule="auto"/>
        <w:jc w:val="both"/>
        <w:textAlignment w:val="baseline"/>
        <w:rPr>
          <w:rFonts w:eastAsia="Times New Roman"/>
          <w:lang w:val="es-DO" w:eastAsia="es-DO"/>
        </w:rPr>
      </w:pPr>
      <w:r w:rsidRPr="005C133F">
        <w:rPr>
          <w:rFonts w:eastAsia="Times New Roman"/>
          <w:lang w:val="es-DO" w:eastAsia="es-DO"/>
        </w:rPr>
        <w:t>El total recaudado de RD$2,689,665,526.91 supera el total pagado de RD$2,101,601,540.80, lo que indica que, en términos acumulados, los aportes recibidos entre enero y agosto fueron suficientes para cubrir los pagos realizados a los diferentes planes especiales (Ver grafica siguiente). No obstante, aunque el acumulado resulte positivo, a nivel mensual hubo momentos en los que los aportes eran menores que los pagos porque no se había dispersado el aporte correspondiente del Ministerio de Hacienda por RD$576,208,620 (trimestral), razón por la cual fue necesario recurrir a cancelaciones de inversiones para garantizar el cumplimiento de las obligaciones. Esta situación afectó con mayor frecuencia a los planes FFAA, Pensionados del Estado 18-19, Policía Nacional y Sector Salud, especialmente en los meses de febrero, marzo, junio y agosto, cuando los aportes quedaron por debajo de los pagos. </w:t>
      </w:r>
    </w:p>
    <w:p w14:paraId="2248DD2E" w14:textId="77777777" w:rsidR="003E633B" w:rsidRPr="005C133F" w:rsidRDefault="003E633B" w:rsidP="005C133F">
      <w:pPr>
        <w:spacing w:after="0" w:line="360" w:lineRule="auto"/>
        <w:jc w:val="both"/>
        <w:textAlignment w:val="baseline"/>
        <w:rPr>
          <w:rFonts w:eastAsia="Times New Roman"/>
          <w:lang w:val="es-DO" w:eastAsia="es-DO"/>
        </w:rPr>
      </w:pPr>
    </w:p>
    <w:p w14:paraId="03F11CBE" w14:textId="0AF38C5C" w:rsidR="003E633B" w:rsidRPr="005C133F" w:rsidRDefault="003E633B" w:rsidP="0067066E">
      <w:pPr>
        <w:pStyle w:val="Descripcin"/>
        <w:spacing w:after="0"/>
        <w:jc w:val="center"/>
        <w:rPr>
          <w:rFonts w:eastAsia="Times New Roman"/>
          <w:b/>
          <w:bCs/>
          <w:i w:val="0"/>
          <w:iCs w:val="0"/>
          <w:color w:val="767171"/>
          <w:sz w:val="24"/>
          <w:szCs w:val="24"/>
          <w:lang w:val="es-DO" w:eastAsia="es-DO"/>
        </w:rPr>
      </w:pPr>
      <w:bookmarkStart w:id="73" w:name="_Toc217047811"/>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8</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Aportes Recibidos vs. Pagos Realizados en Planes Especiales</w:t>
      </w:r>
      <w:bookmarkEnd w:id="73"/>
    </w:p>
    <w:p w14:paraId="7C70BB69" w14:textId="095606E2" w:rsidR="003E633B" w:rsidRPr="005C133F" w:rsidRDefault="000C5432" w:rsidP="0067066E">
      <w:pPr>
        <w:keepNext/>
        <w:spacing w:after="0" w:line="240" w:lineRule="auto"/>
        <w:jc w:val="center"/>
        <w:textAlignment w:val="baseline"/>
      </w:pPr>
      <w:r w:rsidRPr="005C133F">
        <w:rPr>
          <w:noProof/>
        </w:rPr>
        <w:drawing>
          <wp:inline distT="0" distB="0" distL="0" distR="0" wp14:anchorId="385404F8" wp14:editId="77421843">
            <wp:extent cx="4343400" cy="3623733"/>
            <wp:effectExtent l="0" t="0" r="0" b="0"/>
            <wp:docPr id="1734349475" name="Gráfico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C71EAC1" w14:textId="77777777" w:rsidR="003E2F38" w:rsidRPr="00AC2DB2" w:rsidRDefault="003E2F38"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Balances del PEPJ.</w:t>
      </w:r>
    </w:p>
    <w:p w14:paraId="586DB598" w14:textId="77777777" w:rsidR="00E7738A" w:rsidRPr="005C133F" w:rsidRDefault="00E7738A" w:rsidP="00656D91">
      <w:pPr>
        <w:spacing w:after="0" w:line="360" w:lineRule="auto"/>
        <w:jc w:val="both"/>
        <w:textAlignment w:val="baseline"/>
        <w:rPr>
          <w:rFonts w:eastAsia="Times New Roman"/>
          <w:lang w:val="es-DO" w:eastAsia="es-DO"/>
        </w:rPr>
      </w:pPr>
    </w:p>
    <w:p w14:paraId="09105886" w14:textId="77777777" w:rsidR="00BE0503" w:rsidRPr="005C133F" w:rsidRDefault="00BE0503" w:rsidP="005C133F">
      <w:pPr>
        <w:spacing w:after="0" w:line="360" w:lineRule="auto"/>
        <w:jc w:val="both"/>
        <w:textAlignment w:val="baseline"/>
        <w:rPr>
          <w:rFonts w:eastAsia="Times New Roman"/>
          <w:lang w:val="es-DO" w:eastAsia="es-DO"/>
        </w:rPr>
      </w:pPr>
      <w:r w:rsidRPr="005C133F">
        <w:rPr>
          <w:rFonts w:eastAsia="Times New Roman"/>
          <w:lang w:val="es-DO" w:eastAsia="es-DO"/>
        </w:rPr>
        <w:t>El Neto General de Inversiones pasó de RD$1,741,649,844.80 en enero a RD$2,472,266,062.49 en agosto, mostrando una trayectoria variable durante el período. Las variaciones porcentuales corresponden a cambios respecto al mes anterior: tras las reducciones de febrero (–9.2%) y marzo (–8.7%), el total repuntó con fuerza en abril, alcanzando RD$1,872,618,472.99, y continuó creciendo en mayo hasta RD$2,304,226,756.38. El pico máximo se registró en julio con RD$2,604,195,938.43, antes de una ligera reducción en agosto (–5.1%). Aun así, el valor final se mantiene muy por encima del nivel inicial, reflejando un fortalecimiento general de las inversiones a lo largo del período. </w:t>
      </w:r>
    </w:p>
    <w:p w14:paraId="765C8990" w14:textId="77777777" w:rsidR="00964371" w:rsidRPr="005C133F" w:rsidRDefault="00964371" w:rsidP="005C133F">
      <w:pPr>
        <w:spacing w:after="0" w:line="360" w:lineRule="auto"/>
        <w:jc w:val="both"/>
        <w:textAlignment w:val="baseline"/>
        <w:rPr>
          <w:rFonts w:eastAsia="Times New Roman"/>
          <w:lang w:val="es-DO" w:eastAsia="es-DO"/>
        </w:rPr>
      </w:pPr>
    </w:p>
    <w:p w14:paraId="13145862" w14:textId="4CF65FE1" w:rsidR="00964371" w:rsidRPr="00656D91" w:rsidRDefault="00964371" w:rsidP="0067066E">
      <w:pPr>
        <w:pStyle w:val="Descripcin"/>
        <w:spacing w:after="0"/>
        <w:jc w:val="center"/>
        <w:rPr>
          <w:rFonts w:eastAsia="Times New Roman"/>
          <w:b/>
          <w:bCs/>
          <w:i w:val="0"/>
          <w:iCs w:val="0"/>
          <w:color w:val="767171"/>
          <w:sz w:val="24"/>
          <w:szCs w:val="24"/>
          <w:lang w:val="es-DO" w:eastAsia="es-DO"/>
        </w:rPr>
      </w:pPr>
      <w:bookmarkStart w:id="74" w:name="_Toc217047812"/>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9</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Evolución del Total General Neto de Inversiones</w:t>
      </w:r>
      <w:bookmarkEnd w:id="74"/>
    </w:p>
    <w:p w14:paraId="0D0D103B" w14:textId="77777777" w:rsidR="00964371" w:rsidRPr="005C133F" w:rsidRDefault="00F605AA" w:rsidP="0067066E">
      <w:pPr>
        <w:keepNext/>
        <w:spacing w:after="0" w:line="240" w:lineRule="auto"/>
        <w:jc w:val="center"/>
        <w:textAlignment w:val="baseline"/>
      </w:pPr>
      <w:r w:rsidRPr="005C133F">
        <w:rPr>
          <w:noProof/>
        </w:rPr>
        <w:drawing>
          <wp:inline distT="0" distB="0" distL="0" distR="0" wp14:anchorId="373D327B" wp14:editId="6FB6C53F">
            <wp:extent cx="5124450" cy="2543175"/>
            <wp:effectExtent l="0" t="0" r="0" b="9525"/>
            <wp:docPr id="516956680" name="Gráfico 1">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1DFFF10" w14:textId="222553D0" w:rsidR="00F605AA" w:rsidRPr="00AC2DB2" w:rsidRDefault="00355B48"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Balances del PEPJ.</w:t>
      </w:r>
    </w:p>
    <w:p w14:paraId="77E38F86" w14:textId="77777777" w:rsidR="00355B48" w:rsidRPr="005C133F" w:rsidRDefault="00355B48" w:rsidP="005C133F">
      <w:pPr>
        <w:spacing w:after="0" w:line="360" w:lineRule="auto"/>
        <w:jc w:val="both"/>
        <w:textAlignment w:val="baseline"/>
        <w:rPr>
          <w:rFonts w:eastAsia="Times New Roman"/>
          <w:lang w:val="es-DO" w:eastAsia="es-DO"/>
        </w:rPr>
      </w:pPr>
    </w:p>
    <w:p w14:paraId="32F54415" w14:textId="341346E8" w:rsidR="003467AF" w:rsidRPr="005C133F" w:rsidRDefault="00F9589A" w:rsidP="005C133F">
      <w:pPr>
        <w:spacing w:after="0" w:line="360" w:lineRule="auto"/>
        <w:jc w:val="both"/>
        <w:textAlignment w:val="baseline"/>
        <w:rPr>
          <w:rFonts w:eastAsia="Times New Roman"/>
          <w:lang w:val="es-DO" w:eastAsia="es-DO"/>
        </w:rPr>
      </w:pPr>
      <w:r w:rsidRPr="005C133F">
        <w:rPr>
          <w:rFonts w:eastAsia="Times New Roman"/>
          <w:lang w:val="es-DO" w:eastAsia="es-DO"/>
        </w:rPr>
        <w:t>El neto de inversiones por planes especiales muestra un aumento general entre enero y agosto. El Ministerio de Hacienda pasa de RD$605,996,075.92 en enero a RD$827,524,389.33 en agosto, mientras que Pensionados del Estado 18-19 sube de RD$471,545,759.68 a RD$773,043,916.62 en el mismo período. Los planes FFAA, Policía Nacional y Sector Salud también incrementan sus niveles, alcanzando sus valores más altos en julio (RD$389,551,521.28, RD$329,349,131.04 y RD$239,832,718.65 respectivamente). En conjunto, el gráfico refleja una tendencia ascendente en la mayoría de los planes, indicando una mayor capacidad de inversión hacia el cierre del período. </w:t>
      </w:r>
    </w:p>
    <w:p w14:paraId="3828A77A" w14:textId="77777777" w:rsidR="003467AF" w:rsidRDefault="003467AF" w:rsidP="005C133F">
      <w:pPr>
        <w:spacing w:after="0" w:line="360" w:lineRule="auto"/>
        <w:jc w:val="both"/>
        <w:textAlignment w:val="baseline"/>
        <w:rPr>
          <w:rFonts w:eastAsia="Times New Roman"/>
          <w:lang w:val="es-DO" w:eastAsia="es-DO"/>
        </w:rPr>
      </w:pPr>
    </w:p>
    <w:p w14:paraId="4872C144" w14:textId="77777777" w:rsidR="00656D91" w:rsidRDefault="00656D91" w:rsidP="005C133F">
      <w:pPr>
        <w:spacing w:after="0" w:line="360" w:lineRule="auto"/>
        <w:jc w:val="both"/>
        <w:textAlignment w:val="baseline"/>
        <w:rPr>
          <w:rFonts w:eastAsia="Times New Roman"/>
          <w:lang w:val="es-DO" w:eastAsia="es-DO"/>
        </w:rPr>
      </w:pPr>
    </w:p>
    <w:p w14:paraId="77C68ED6" w14:textId="77777777" w:rsidR="00656D91" w:rsidRDefault="00656D91" w:rsidP="005C133F">
      <w:pPr>
        <w:spacing w:after="0" w:line="360" w:lineRule="auto"/>
        <w:jc w:val="both"/>
        <w:textAlignment w:val="baseline"/>
        <w:rPr>
          <w:rFonts w:eastAsia="Times New Roman"/>
          <w:lang w:val="es-DO" w:eastAsia="es-DO"/>
        </w:rPr>
      </w:pPr>
    </w:p>
    <w:p w14:paraId="22A74C43" w14:textId="77777777" w:rsidR="00656D91" w:rsidRDefault="00656D91" w:rsidP="005C133F">
      <w:pPr>
        <w:spacing w:after="0" w:line="360" w:lineRule="auto"/>
        <w:jc w:val="both"/>
        <w:textAlignment w:val="baseline"/>
        <w:rPr>
          <w:rFonts w:eastAsia="Times New Roman"/>
          <w:lang w:val="es-DO" w:eastAsia="es-DO"/>
        </w:rPr>
      </w:pPr>
    </w:p>
    <w:p w14:paraId="6455879B" w14:textId="77777777" w:rsidR="00656D91" w:rsidRDefault="00656D91" w:rsidP="005C133F">
      <w:pPr>
        <w:spacing w:after="0" w:line="360" w:lineRule="auto"/>
        <w:jc w:val="both"/>
        <w:textAlignment w:val="baseline"/>
        <w:rPr>
          <w:rFonts w:eastAsia="Times New Roman"/>
          <w:lang w:val="es-DO" w:eastAsia="es-DO"/>
        </w:rPr>
      </w:pPr>
    </w:p>
    <w:p w14:paraId="62529777" w14:textId="77777777" w:rsidR="00656D91" w:rsidRPr="005C133F" w:rsidRDefault="00656D91" w:rsidP="00656D91">
      <w:pPr>
        <w:spacing w:after="0" w:line="240" w:lineRule="auto"/>
        <w:jc w:val="both"/>
        <w:textAlignment w:val="baseline"/>
        <w:rPr>
          <w:rFonts w:eastAsia="Times New Roman"/>
          <w:lang w:val="es-DO" w:eastAsia="es-DO"/>
        </w:rPr>
      </w:pPr>
    </w:p>
    <w:p w14:paraId="0CCAA7C6" w14:textId="5256C4DB" w:rsidR="005921C2" w:rsidRPr="005C133F" w:rsidRDefault="0009461E" w:rsidP="0067066E">
      <w:pPr>
        <w:pStyle w:val="Descripcin"/>
        <w:spacing w:after="0"/>
        <w:jc w:val="center"/>
        <w:rPr>
          <w:rFonts w:eastAsia="Times New Roman"/>
          <w:b/>
          <w:bCs/>
          <w:i w:val="0"/>
          <w:iCs w:val="0"/>
          <w:color w:val="767171"/>
          <w:sz w:val="24"/>
          <w:szCs w:val="24"/>
          <w:lang w:val="es-DO" w:eastAsia="es-DO"/>
        </w:rPr>
      </w:pPr>
      <w:bookmarkStart w:id="75" w:name="_Toc217047813"/>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10</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Neto de Inversiones Por Planes Especiales</w:t>
      </w:r>
      <w:bookmarkEnd w:id="75"/>
    </w:p>
    <w:p w14:paraId="754F431C" w14:textId="13583658" w:rsidR="0009461E" w:rsidRPr="005C133F" w:rsidRDefault="00CC23C1" w:rsidP="0067066E">
      <w:pPr>
        <w:keepNext/>
        <w:spacing w:before="120" w:after="0" w:line="240" w:lineRule="auto"/>
        <w:jc w:val="center"/>
        <w:textAlignment w:val="baseline"/>
      </w:pPr>
      <w:r w:rsidRPr="005C133F">
        <w:rPr>
          <w:noProof/>
        </w:rPr>
        <w:drawing>
          <wp:inline distT="0" distB="0" distL="0" distR="0" wp14:anchorId="3A299C6B" wp14:editId="0D4B3FB0">
            <wp:extent cx="5238750" cy="3257550"/>
            <wp:effectExtent l="0" t="0" r="0" b="0"/>
            <wp:docPr id="1348808597" name="Gráfico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B2427E" w14:textId="017644F0" w:rsidR="0073603C" w:rsidRPr="00AC2DB2" w:rsidRDefault="00CC23C1"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Comunicación TSS – Balances del PEPJ.</w:t>
      </w:r>
    </w:p>
    <w:p w14:paraId="39A072C0" w14:textId="77777777" w:rsidR="0058709D" w:rsidRPr="005C133F" w:rsidRDefault="0058709D" w:rsidP="005C133F">
      <w:pPr>
        <w:spacing w:after="0" w:line="360" w:lineRule="auto"/>
        <w:jc w:val="both"/>
        <w:textAlignment w:val="baseline"/>
        <w:rPr>
          <w:rFonts w:eastAsia="Times New Roman"/>
          <w:highlight w:val="yellow"/>
          <w:lang w:val="es-DO" w:eastAsia="es-DO"/>
        </w:rPr>
      </w:pPr>
    </w:p>
    <w:p w14:paraId="6A1D81FB" w14:textId="7DDE93F1" w:rsidR="00BE0503" w:rsidRPr="005C133F" w:rsidRDefault="007E5EE8">
      <w:pPr>
        <w:pStyle w:val="Textoindependiente"/>
        <w:numPr>
          <w:ilvl w:val="0"/>
          <w:numId w:val="168"/>
        </w:numPr>
        <w:spacing w:before="240"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t>Seguro de Riesgos Laborales (SRL)</w:t>
      </w:r>
    </w:p>
    <w:p w14:paraId="551B9608" w14:textId="77777777" w:rsidR="00246DA5" w:rsidRPr="005C133F" w:rsidRDefault="005921C2" w:rsidP="005C133F">
      <w:pPr>
        <w:spacing w:before="120" w:after="0" w:line="360" w:lineRule="auto"/>
        <w:jc w:val="both"/>
        <w:textAlignment w:val="baseline"/>
        <w:rPr>
          <w:rFonts w:eastAsia="Times New Roman"/>
          <w:lang w:val="es-DO" w:eastAsia="es-DO"/>
        </w:rPr>
      </w:pPr>
      <w:r w:rsidRPr="005C133F">
        <w:rPr>
          <w:rFonts w:eastAsia="Times New Roman"/>
          <w:lang w:val="es-DO" w:eastAsia="es-DO"/>
        </w:rPr>
        <w:t>Entre enero y agosto de 2025, las transferencias de recaudo recibidas para el SRL y los pagos realizados al IDOPPRIL se mantienen con diferencias mínimas. El recaudo mensual promedió en RD$912,426,006.91 y los pagos realizados RD$912,425,705.21, lo que refleja un equilibrio casi perfecto entre ingresos y egresos operativos. Durante el período, el balance en Banco pasó de RD$634,467.26 a RD$636,880.86, mostrando una ligera variación positiva, coherente con la estabilidad observada entre recaudo y pagos. En el siguiente gráfico se observan los movimientos mensuales de las transferencias de recaudo recibidas y los pagos realizados a las entidades del SRL.</w:t>
      </w:r>
      <w:bookmarkStart w:id="76" w:name="_Toc217047814"/>
    </w:p>
    <w:p w14:paraId="1E9DDCA2" w14:textId="77777777" w:rsidR="00246DA5" w:rsidRPr="005C133F" w:rsidRDefault="00246DA5" w:rsidP="005C133F">
      <w:pPr>
        <w:spacing w:before="120" w:after="0" w:line="360" w:lineRule="auto"/>
        <w:jc w:val="both"/>
        <w:textAlignment w:val="baseline"/>
        <w:rPr>
          <w:rFonts w:eastAsia="Times New Roman"/>
          <w:lang w:val="es-DO" w:eastAsia="es-DO"/>
        </w:rPr>
      </w:pPr>
    </w:p>
    <w:p w14:paraId="215D75CA" w14:textId="701F3161" w:rsidR="00F6093C" w:rsidRPr="005C133F" w:rsidRDefault="00F6093C" w:rsidP="0067066E">
      <w:pPr>
        <w:spacing w:before="120" w:after="0" w:line="240" w:lineRule="auto"/>
        <w:jc w:val="center"/>
        <w:textAlignment w:val="baseline"/>
        <w:rPr>
          <w:rFonts w:eastAsia="Times New Roman"/>
          <w:b/>
          <w:bCs/>
          <w:i/>
          <w:iCs/>
          <w:lang w:val="es-DO" w:eastAsia="es-DO"/>
        </w:rPr>
      </w:pPr>
      <w:r w:rsidRPr="005C133F">
        <w:rPr>
          <w:rFonts w:eastAsia="Times New Roman"/>
          <w:b/>
          <w:bCs/>
          <w:lang w:val="es-DO" w:eastAsia="es-DO"/>
        </w:rPr>
        <w:lastRenderedPageBreak/>
        <w:t xml:space="preserve">Gráfico </w:t>
      </w:r>
      <w:r w:rsidRPr="005C133F">
        <w:rPr>
          <w:rFonts w:eastAsia="Times New Roman"/>
          <w:b/>
          <w:bCs/>
          <w:i/>
          <w:iCs/>
          <w:lang w:val="es-DO" w:eastAsia="es-DO"/>
        </w:rPr>
        <w:fldChar w:fldCharType="begin"/>
      </w:r>
      <w:r w:rsidRPr="005C133F">
        <w:rPr>
          <w:rFonts w:eastAsia="Times New Roman"/>
          <w:b/>
          <w:bCs/>
          <w:lang w:val="es-DO" w:eastAsia="es-DO"/>
        </w:rPr>
        <w:instrText xml:space="preserve"> SEQ Ilustración \* ARABIC </w:instrText>
      </w:r>
      <w:r w:rsidRPr="005C133F">
        <w:rPr>
          <w:rFonts w:eastAsia="Times New Roman"/>
          <w:b/>
          <w:bCs/>
          <w:i/>
          <w:iCs/>
          <w:lang w:val="es-DO" w:eastAsia="es-DO"/>
        </w:rPr>
        <w:fldChar w:fldCharType="separate"/>
      </w:r>
      <w:r w:rsidR="00814341">
        <w:rPr>
          <w:rFonts w:eastAsia="Times New Roman"/>
          <w:b/>
          <w:bCs/>
          <w:noProof/>
          <w:lang w:val="es-DO" w:eastAsia="es-DO"/>
        </w:rPr>
        <w:t>11</w:t>
      </w:r>
      <w:r w:rsidRPr="005C133F">
        <w:rPr>
          <w:rFonts w:eastAsia="Times New Roman"/>
          <w:b/>
          <w:bCs/>
          <w:i/>
          <w:iCs/>
          <w:lang w:val="es-DO" w:eastAsia="es-DO"/>
        </w:rPr>
        <w:fldChar w:fldCharType="end"/>
      </w:r>
      <w:r w:rsidRPr="005C133F">
        <w:rPr>
          <w:rFonts w:eastAsia="Times New Roman"/>
          <w:b/>
          <w:bCs/>
          <w:lang w:val="es-DO" w:eastAsia="es-DO"/>
        </w:rPr>
        <w:t>. Recaudo y Pagos, enero - agosto 2025</w:t>
      </w:r>
      <w:bookmarkEnd w:id="76"/>
    </w:p>
    <w:p w14:paraId="575BE69C" w14:textId="65A83DD5" w:rsidR="00F6093C" w:rsidRPr="005C133F" w:rsidRDefault="00361DF4" w:rsidP="0067066E">
      <w:pPr>
        <w:keepNext/>
        <w:spacing w:before="120" w:after="0" w:line="240" w:lineRule="auto"/>
        <w:jc w:val="center"/>
        <w:textAlignment w:val="baseline"/>
      </w:pPr>
      <w:r w:rsidRPr="005C133F">
        <w:rPr>
          <w:noProof/>
        </w:rPr>
        <w:drawing>
          <wp:inline distT="0" distB="0" distL="0" distR="0" wp14:anchorId="0258FBC9" wp14:editId="4B68FCC2">
            <wp:extent cx="5257800" cy="2981325"/>
            <wp:effectExtent l="0" t="0" r="0" b="9525"/>
            <wp:docPr id="587630102" name="Gráfico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D777E68" w14:textId="33F64136" w:rsidR="005921C2" w:rsidRPr="00AC2DB2" w:rsidRDefault="00865A51"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Flujo Diario TSS - SRL.</w:t>
      </w:r>
    </w:p>
    <w:p w14:paraId="26F86EA0" w14:textId="77777777" w:rsidR="003467AF" w:rsidRPr="005C133F" w:rsidRDefault="003467AF" w:rsidP="005C133F">
      <w:pPr>
        <w:spacing w:after="0" w:line="360" w:lineRule="auto"/>
        <w:jc w:val="both"/>
        <w:textAlignment w:val="baseline"/>
        <w:rPr>
          <w:rFonts w:eastAsia="Times New Roman"/>
          <w:lang w:val="es-DO" w:eastAsia="es-DO"/>
        </w:rPr>
      </w:pPr>
    </w:p>
    <w:p w14:paraId="14D8BF3E" w14:textId="2925E3EE" w:rsidR="003467AF" w:rsidRPr="005C133F" w:rsidRDefault="00DB1C9D" w:rsidP="00BC0C28">
      <w:pPr>
        <w:spacing w:after="0" w:line="360" w:lineRule="auto"/>
        <w:jc w:val="both"/>
        <w:textAlignment w:val="baseline"/>
        <w:rPr>
          <w:rFonts w:eastAsia="Times New Roman"/>
          <w:lang w:val="es-DO" w:eastAsia="es-DO"/>
        </w:rPr>
      </w:pPr>
      <w:r w:rsidRPr="005C133F">
        <w:rPr>
          <w:rFonts w:eastAsia="Times New Roman"/>
          <w:lang w:val="es-DO" w:eastAsia="es-DO"/>
        </w:rPr>
        <w:t>En total, entre enero y agosto se recaudaron RD$7,299,408,055.31 y se dispersaron RD$7,299,405,641.71, mostrando un comportamiento equilibrado en ambos casos. Los pagos acumulados para el mes de agosto se distribuyen de la siguiente manera: RD$6,990,690,735.08 por concepto de Prestaciones a los Beneficiarios del SRL, RD$304,192,487.58 correspondientes a la cuenta Comisión Operación SISALRIL, RD$4,522,317.75 de Recargos y RD$101.30 por Intereses generados. Lo cual indica que la mayor proporción de los pagos dispersados forma parte de la disponibilidad en las Prestaciones a beneficiarios del SRL, con el 96% del total acumulado, mientras que la Comisión Operación de la SISALRIL el 4% restante</w:t>
      </w:r>
      <w:r w:rsidRPr="005C133F">
        <w:rPr>
          <w:rFonts w:eastAsia="Times New Roman"/>
          <w:lang w:val="es-419" w:eastAsia="es-DO"/>
        </w:rPr>
        <w:t>.</w:t>
      </w:r>
      <w:r w:rsidRPr="005C133F">
        <w:rPr>
          <w:rFonts w:eastAsia="Times New Roman"/>
          <w:lang w:val="es-DO" w:eastAsia="es-DO"/>
        </w:rPr>
        <w:t> </w:t>
      </w:r>
      <w:bookmarkStart w:id="77" w:name="_Toc217047815"/>
    </w:p>
    <w:p w14:paraId="1BAC9AA1" w14:textId="77777777" w:rsidR="003467AF" w:rsidRDefault="003467AF" w:rsidP="005C133F">
      <w:pPr>
        <w:pStyle w:val="Descripcin"/>
        <w:spacing w:after="0" w:line="360" w:lineRule="auto"/>
        <w:rPr>
          <w:rFonts w:eastAsia="Times New Roman"/>
          <w:b/>
          <w:bCs/>
          <w:i w:val="0"/>
          <w:iCs w:val="0"/>
          <w:color w:val="767171"/>
          <w:sz w:val="24"/>
          <w:szCs w:val="24"/>
          <w:lang w:val="es-DO" w:eastAsia="es-DO"/>
        </w:rPr>
      </w:pPr>
    </w:p>
    <w:p w14:paraId="5786AF90" w14:textId="77777777" w:rsidR="00BC0C28" w:rsidRDefault="00BC0C28" w:rsidP="00BC0C28">
      <w:pPr>
        <w:rPr>
          <w:lang w:val="es-DO" w:eastAsia="es-DO"/>
        </w:rPr>
      </w:pPr>
    </w:p>
    <w:p w14:paraId="4F0B621C" w14:textId="77777777" w:rsidR="00BC0C28" w:rsidRDefault="00BC0C28" w:rsidP="00BC0C28">
      <w:pPr>
        <w:rPr>
          <w:lang w:val="es-DO" w:eastAsia="es-DO"/>
        </w:rPr>
      </w:pPr>
    </w:p>
    <w:p w14:paraId="1013B2F3" w14:textId="77777777" w:rsidR="00BC0C28" w:rsidRPr="00BC0C28" w:rsidRDefault="00BC0C28" w:rsidP="00BC0C28">
      <w:pPr>
        <w:rPr>
          <w:lang w:val="es-DO" w:eastAsia="es-DO"/>
        </w:rPr>
      </w:pPr>
    </w:p>
    <w:p w14:paraId="587C280F" w14:textId="5FCD7CFA" w:rsidR="003A3D9A" w:rsidRPr="005C133F" w:rsidRDefault="000D6B7E" w:rsidP="0067066E">
      <w:pPr>
        <w:pStyle w:val="Descripcin"/>
        <w:spacing w:after="0"/>
        <w:jc w:val="center"/>
        <w:rPr>
          <w:rFonts w:eastAsia="Times New Roman"/>
          <w:b/>
          <w:bCs/>
          <w:i w:val="0"/>
          <w:iCs w:val="0"/>
          <w:color w:val="767171"/>
          <w:sz w:val="24"/>
          <w:szCs w:val="24"/>
          <w:lang w:val="es-DO" w:eastAsia="es-DO"/>
        </w:rPr>
      </w:pPr>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12</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xml:space="preserve">. </w:t>
      </w:r>
      <w:r w:rsidR="00315FC2" w:rsidRPr="005C133F">
        <w:rPr>
          <w:rFonts w:eastAsia="Times New Roman"/>
          <w:b/>
          <w:bCs/>
          <w:i w:val="0"/>
          <w:iCs w:val="0"/>
          <w:color w:val="767171"/>
          <w:sz w:val="24"/>
          <w:szCs w:val="24"/>
          <w:lang w:val="es-DO" w:eastAsia="es-DO"/>
        </w:rPr>
        <w:t>P</w:t>
      </w:r>
      <w:r w:rsidR="00583D43" w:rsidRPr="005C133F">
        <w:rPr>
          <w:rFonts w:eastAsia="Times New Roman"/>
          <w:b/>
          <w:bCs/>
          <w:i w:val="0"/>
          <w:iCs w:val="0"/>
          <w:color w:val="767171"/>
          <w:sz w:val="24"/>
          <w:szCs w:val="24"/>
          <w:lang w:val="es-DO" w:eastAsia="es-DO"/>
        </w:rPr>
        <w:t xml:space="preserve">agos acumulados </w:t>
      </w:r>
      <w:r w:rsidR="00085DA3" w:rsidRPr="005C133F">
        <w:rPr>
          <w:rFonts w:eastAsia="Times New Roman"/>
          <w:b/>
          <w:bCs/>
          <w:i w:val="0"/>
          <w:iCs w:val="0"/>
          <w:color w:val="767171"/>
          <w:sz w:val="24"/>
          <w:szCs w:val="24"/>
          <w:lang w:val="es-DO" w:eastAsia="es-DO"/>
        </w:rPr>
        <w:t>a agosto 2025</w:t>
      </w:r>
      <w:bookmarkEnd w:id="77"/>
    </w:p>
    <w:p w14:paraId="6DD12799" w14:textId="4C510CAE" w:rsidR="002E2587" w:rsidRPr="005C133F" w:rsidRDefault="005D2BEC" w:rsidP="0067066E">
      <w:pPr>
        <w:spacing w:before="120" w:after="0" w:line="240" w:lineRule="auto"/>
        <w:jc w:val="center"/>
        <w:textAlignment w:val="baseline"/>
        <w:rPr>
          <w:rFonts w:eastAsia="Times New Roman"/>
          <w:highlight w:val="yellow"/>
          <w:lang w:val="es-DO" w:eastAsia="es-DO"/>
        </w:rPr>
      </w:pPr>
      <w:r w:rsidRPr="005C133F">
        <w:rPr>
          <w:noProof/>
        </w:rPr>
        <w:drawing>
          <wp:inline distT="0" distB="0" distL="0" distR="0" wp14:anchorId="015BA652" wp14:editId="648AA9E1">
            <wp:extent cx="4391025" cy="3398520"/>
            <wp:effectExtent l="0" t="0" r="9525" b="11430"/>
            <wp:docPr id="1248059507" name="Gráfico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B0780D9" w14:textId="77777777" w:rsidR="00DB5A81" w:rsidRPr="00AC2DB2" w:rsidRDefault="00DB5A81"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Flujo Diario TSS - SRL.</w:t>
      </w:r>
    </w:p>
    <w:p w14:paraId="17866449" w14:textId="77777777" w:rsidR="005D2BEC" w:rsidRPr="005C133F" w:rsidRDefault="005D2BEC" w:rsidP="005C133F">
      <w:pPr>
        <w:spacing w:before="120" w:after="0" w:line="360" w:lineRule="auto"/>
        <w:jc w:val="both"/>
        <w:textAlignment w:val="baseline"/>
        <w:rPr>
          <w:rFonts w:eastAsia="Times New Roman"/>
          <w:highlight w:val="yellow"/>
          <w:lang w:val="es-DO" w:eastAsia="es-DO"/>
        </w:rPr>
      </w:pPr>
    </w:p>
    <w:p w14:paraId="29E50B90" w14:textId="2DA5FA54" w:rsidR="00AC7D33" w:rsidRPr="005C133F" w:rsidRDefault="002E2587" w:rsidP="00BC0C28">
      <w:pPr>
        <w:spacing w:after="0" w:line="360" w:lineRule="auto"/>
        <w:jc w:val="both"/>
        <w:textAlignment w:val="baseline"/>
        <w:rPr>
          <w:rFonts w:eastAsia="Times New Roman"/>
          <w:lang w:val="es-DO" w:eastAsia="es-DO"/>
        </w:rPr>
      </w:pPr>
      <w:r w:rsidRPr="005C133F">
        <w:rPr>
          <w:rFonts w:eastAsia="Times New Roman"/>
          <w:lang w:val="es-DO" w:eastAsia="es-DO"/>
        </w:rPr>
        <w:t>El Neto de Inversiones del SRL aumentó de RD$63,845,222,030.90 en enero a RD$69,849,769,173.00 en agosto, mostrando un crecimiento sostenido pese a pequeñas caídas al inicio del año. Este total se debe principalmente a la Inversión de las Reservas Técnicas y la Participación de los Reaseguradores, que promediaron RD$60,862,185,790.79 (92% del neto de inversiones), mientras que el resto proviene de otras inversiones, con un promedio de RD$5,396,719,949.10 (8% del neto de inversiones). En conjunto, ambos componentes impulsaron el incremento continuo al portafolio de las inversiones en las reservas del SRL visibles en el gráfico. </w:t>
      </w:r>
    </w:p>
    <w:p w14:paraId="1D8E54C1" w14:textId="77777777" w:rsidR="00246DA5" w:rsidRDefault="00246DA5" w:rsidP="005C133F">
      <w:pPr>
        <w:spacing w:before="120" w:after="0" w:line="360" w:lineRule="auto"/>
        <w:jc w:val="both"/>
        <w:textAlignment w:val="baseline"/>
        <w:rPr>
          <w:rFonts w:eastAsia="Times New Roman"/>
          <w:lang w:val="es-DO" w:eastAsia="es-DO"/>
        </w:rPr>
      </w:pPr>
    </w:p>
    <w:p w14:paraId="4EF34441" w14:textId="77777777" w:rsidR="00BC0C28" w:rsidRDefault="00BC0C28" w:rsidP="005C133F">
      <w:pPr>
        <w:spacing w:before="120" w:after="0" w:line="360" w:lineRule="auto"/>
        <w:jc w:val="both"/>
        <w:textAlignment w:val="baseline"/>
        <w:rPr>
          <w:rFonts w:eastAsia="Times New Roman"/>
          <w:lang w:val="es-DO" w:eastAsia="es-DO"/>
        </w:rPr>
      </w:pPr>
    </w:p>
    <w:p w14:paraId="441CD704" w14:textId="18D2402C" w:rsidR="00AC7D33" w:rsidRPr="005C133F" w:rsidRDefault="00013F7C" w:rsidP="0067066E">
      <w:pPr>
        <w:pStyle w:val="Descripcin"/>
        <w:spacing w:after="0"/>
        <w:jc w:val="center"/>
        <w:rPr>
          <w:rFonts w:eastAsia="Times New Roman"/>
          <w:b/>
          <w:bCs/>
          <w:i w:val="0"/>
          <w:iCs w:val="0"/>
          <w:color w:val="767171"/>
          <w:sz w:val="24"/>
          <w:szCs w:val="24"/>
          <w:lang w:val="es-DO" w:eastAsia="es-DO"/>
        </w:rPr>
      </w:pPr>
      <w:bookmarkStart w:id="78" w:name="_Toc217047816"/>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13</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Neto de Inversiones</w:t>
      </w:r>
      <w:bookmarkEnd w:id="78"/>
    </w:p>
    <w:p w14:paraId="7AD5A80B" w14:textId="5DFFA850" w:rsidR="008127F1" w:rsidRPr="005C133F" w:rsidRDefault="00AC7D33" w:rsidP="0067066E">
      <w:pPr>
        <w:spacing w:before="120" w:after="0" w:line="240" w:lineRule="auto"/>
        <w:jc w:val="center"/>
        <w:textAlignment w:val="baseline"/>
        <w:rPr>
          <w:rFonts w:eastAsia="Times New Roman"/>
          <w:lang w:val="es-DO" w:eastAsia="es-DO"/>
        </w:rPr>
      </w:pPr>
      <w:r w:rsidRPr="005C133F">
        <w:rPr>
          <w:noProof/>
        </w:rPr>
        <w:drawing>
          <wp:inline distT="0" distB="0" distL="0" distR="0" wp14:anchorId="33E8FA54" wp14:editId="04BCE186">
            <wp:extent cx="5029200" cy="2623820"/>
            <wp:effectExtent l="0" t="0" r="0" b="5080"/>
            <wp:docPr id="412666133" name="Gráfico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E16C033" w14:textId="77777777" w:rsidR="005D4B7D" w:rsidRPr="00AC2DB2" w:rsidRDefault="005D4B7D"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Esquema 5 – Balanza de Comprobación.</w:t>
      </w:r>
    </w:p>
    <w:p w14:paraId="764A9E1E" w14:textId="77777777" w:rsidR="00020852" w:rsidRPr="005C133F" w:rsidRDefault="00020852" w:rsidP="005C133F">
      <w:pPr>
        <w:spacing w:before="120" w:after="0" w:line="360" w:lineRule="auto"/>
        <w:jc w:val="both"/>
        <w:textAlignment w:val="baseline"/>
        <w:rPr>
          <w:rFonts w:eastAsia="Times New Roman"/>
          <w:highlight w:val="yellow"/>
          <w:lang w:val="es-DO" w:eastAsia="es-DO"/>
        </w:rPr>
      </w:pPr>
    </w:p>
    <w:p w14:paraId="186D0A52" w14:textId="77777777" w:rsidR="00020852" w:rsidRPr="005C133F" w:rsidRDefault="00020852" w:rsidP="00BC0C28">
      <w:pPr>
        <w:spacing w:after="0" w:line="360" w:lineRule="auto"/>
        <w:jc w:val="both"/>
        <w:textAlignment w:val="baseline"/>
        <w:rPr>
          <w:rFonts w:eastAsia="Times New Roman"/>
          <w:lang w:val="es-DO" w:eastAsia="es-DO"/>
        </w:rPr>
      </w:pPr>
      <w:r w:rsidRPr="005C133F">
        <w:rPr>
          <w:rFonts w:eastAsia="Times New Roman"/>
          <w:lang w:val="es-DO" w:eastAsia="es-DO"/>
        </w:rPr>
        <w:t xml:space="preserve">La Inversión de las Reservas Técnicas y la Participación de los Reaseguradores se compone principalmente de tres grandes grupos de instrumentos. El componente de mayor peso son los valores emitidos o garantizados por el Estado dominicano, con un promedio de RD$37,986,953,967.87, los cuales representan aproximadamente el 62% del total. En segundo lugar, se encuentran las letras, notas y certificados de inversión del Banco Central, con un promedio de RD$20,070,231,822.92, equivalentes a 33%. Finalmente, los certificados de depósito junto con depósitos a plazo fijo aportan el 5% restante, con un promedio de RD$2,805,000,000.00, distribuidos entre </w:t>
      </w:r>
      <w:proofErr w:type="spellStart"/>
      <w:r w:rsidRPr="005C133F">
        <w:rPr>
          <w:rFonts w:eastAsia="Times New Roman"/>
          <w:lang w:val="es-DO" w:eastAsia="es-DO"/>
        </w:rPr>
        <w:t>Banreservas</w:t>
      </w:r>
      <w:proofErr w:type="spellEnd"/>
      <w:r w:rsidRPr="005C133F">
        <w:rPr>
          <w:rFonts w:eastAsia="Times New Roman"/>
          <w:lang w:val="es-DO" w:eastAsia="es-DO"/>
        </w:rPr>
        <w:t xml:space="preserve"> —que representa solo el 4% de este componente (RD$105,000,000.00)— y el BNV, que concentra el 96% (RD$2,700,000,000.00). En conjunto, estos instrumentos conforman la estructura fundamental que respalda las reservas técnicas del SRL. </w:t>
      </w:r>
    </w:p>
    <w:p w14:paraId="1DFBDBBF" w14:textId="77777777" w:rsidR="00BF5F8E" w:rsidRPr="005C133F" w:rsidRDefault="00BF5F8E" w:rsidP="0067066E">
      <w:pPr>
        <w:spacing w:before="120" w:after="0" w:line="360" w:lineRule="auto"/>
        <w:jc w:val="center"/>
        <w:textAlignment w:val="baseline"/>
        <w:rPr>
          <w:rFonts w:eastAsia="Times New Roman"/>
          <w:lang w:val="es-DO" w:eastAsia="es-DO"/>
        </w:rPr>
      </w:pPr>
    </w:p>
    <w:p w14:paraId="13AD8273" w14:textId="2C45F31C" w:rsidR="00BF5F8E" w:rsidRPr="005C133F" w:rsidRDefault="00BF5F8E" w:rsidP="0067066E">
      <w:pPr>
        <w:pStyle w:val="Descripcin"/>
        <w:spacing w:after="0"/>
        <w:jc w:val="center"/>
        <w:rPr>
          <w:rFonts w:eastAsia="Times New Roman"/>
          <w:b/>
          <w:bCs/>
          <w:i w:val="0"/>
          <w:iCs w:val="0"/>
          <w:color w:val="767171"/>
          <w:sz w:val="24"/>
          <w:szCs w:val="24"/>
          <w:lang w:val="es-DO" w:eastAsia="es-DO"/>
        </w:rPr>
      </w:pPr>
      <w:bookmarkStart w:id="79" w:name="_Toc217047817"/>
      <w:r w:rsidRPr="005C133F">
        <w:rPr>
          <w:rFonts w:eastAsia="Times New Roman"/>
          <w:b/>
          <w:bCs/>
          <w:i w:val="0"/>
          <w:iCs w:val="0"/>
          <w:color w:val="767171"/>
          <w:sz w:val="24"/>
          <w:szCs w:val="24"/>
          <w:lang w:val="es-DO" w:eastAsia="es-DO"/>
        </w:rPr>
        <w:lastRenderedPageBreak/>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14</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Composición de la Inversión de las Reservas Técnicas y Participación de los Reaseguradores</w:t>
      </w:r>
      <w:bookmarkEnd w:id="79"/>
    </w:p>
    <w:p w14:paraId="22F1DD7F" w14:textId="77EC9D53" w:rsidR="00272251" w:rsidRPr="005C133F" w:rsidRDefault="00272251" w:rsidP="0067066E">
      <w:pPr>
        <w:spacing w:after="0" w:line="240" w:lineRule="auto"/>
        <w:jc w:val="center"/>
        <w:textAlignment w:val="baseline"/>
        <w:rPr>
          <w:rFonts w:eastAsia="Times New Roman"/>
          <w:highlight w:val="yellow"/>
          <w:lang w:val="es-DO" w:eastAsia="es-DO"/>
        </w:rPr>
      </w:pPr>
      <w:r w:rsidRPr="005C133F">
        <w:rPr>
          <w:noProof/>
        </w:rPr>
        <w:drawing>
          <wp:inline distT="0" distB="0" distL="0" distR="0" wp14:anchorId="4B5C632D" wp14:editId="64BBD99B">
            <wp:extent cx="5353050" cy="2914650"/>
            <wp:effectExtent l="0" t="0" r="0" b="0"/>
            <wp:docPr id="192258122" name="Gráfico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EA2DE1" w14:textId="77777777" w:rsidR="000C3002" w:rsidRPr="00AC2DB2" w:rsidRDefault="000C3002"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Esquema 5 – Balanza de Comprobación.</w:t>
      </w:r>
    </w:p>
    <w:p w14:paraId="738C5E03" w14:textId="77777777" w:rsidR="00F32F86" w:rsidRPr="005C133F" w:rsidRDefault="00F32F86" w:rsidP="005C133F">
      <w:pPr>
        <w:spacing w:before="120" w:after="0" w:line="360" w:lineRule="auto"/>
        <w:jc w:val="both"/>
        <w:textAlignment w:val="baseline"/>
        <w:rPr>
          <w:rFonts w:eastAsia="Times New Roman"/>
          <w:b/>
          <w:bCs/>
          <w:lang w:val="es-DO" w:eastAsia="es-DO"/>
        </w:rPr>
      </w:pPr>
    </w:p>
    <w:p w14:paraId="12349344" w14:textId="3CC25AEC" w:rsidR="00541328" w:rsidRPr="005C133F" w:rsidRDefault="00541328" w:rsidP="0067066E">
      <w:pPr>
        <w:pStyle w:val="Descripcin"/>
        <w:spacing w:after="0"/>
        <w:jc w:val="center"/>
        <w:rPr>
          <w:rFonts w:eastAsia="Times New Roman"/>
          <w:b/>
          <w:bCs/>
          <w:i w:val="0"/>
          <w:iCs w:val="0"/>
          <w:color w:val="767171"/>
          <w:sz w:val="24"/>
          <w:szCs w:val="24"/>
          <w:lang w:val="es-DO" w:eastAsia="es-DO"/>
        </w:rPr>
      </w:pPr>
      <w:bookmarkStart w:id="80" w:name="_Toc217047818"/>
      <w:r w:rsidRPr="005C133F">
        <w:rPr>
          <w:rFonts w:eastAsia="Times New Roman"/>
          <w:b/>
          <w:bCs/>
          <w:i w:val="0"/>
          <w:iCs w:val="0"/>
          <w:color w:val="767171"/>
          <w:sz w:val="24"/>
          <w:szCs w:val="24"/>
          <w:lang w:val="es-DO" w:eastAsia="es-DO"/>
        </w:rPr>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15</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Distribución de Certificados de Depósito por Institución Financiera</w:t>
      </w:r>
      <w:bookmarkEnd w:id="80"/>
    </w:p>
    <w:p w14:paraId="46D6BAB5" w14:textId="018A148F" w:rsidR="00541328" w:rsidRPr="005C133F" w:rsidRDefault="00FC56F5" w:rsidP="0067066E">
      <w:pPr>
        <w:keepNext/>
        <w:spacing w:after="0" w:line="240" w:lineRule="auto"/>
        <w:jc w:val="center"/>
        <w:textAlignment w:val="baseline"/>
      </w:pPr>
      <w:r w:rsidRPr="005C133F">
        <w:rPr>
          <w:noProof/>
        </w:rPr>
        <w:drawing>
          <wp:inline distT="0" distB="0" distL="0" distR="0" wp14:anchorId="29435EFC" wp14:editId="72854922">
            <wp:extent cx="5267325" cy="2705100"/>
            <wp:effectExtent l="0" t="0" r="9525" b="0"/>
            <wp:docPr id="663188564" name="Gráfico 1">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29B3FFF" w14:textId="77777777" w:rsidR="00F32F86" w:rsidRPr="00AC2DB2" w:rsidRDefault="00F32F86"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 Esquema 5 – Balanza de Comprobación.</w:t>
      </w:r>
    </w:p>
    <w:p w14:paraId="68784F57" w14:textId="77777777" w:rsidR="00272251" w:rsidRPr="005C133F" w:rsidRDefault="00272251" w:rsidP="00BC0C28">
      <w:pPr>
        <w:spacing w:before="120" w:after="0" w:line="240" w:lineRule="auto"/>
        <w:jc w:val="both"/>
        <w:textAlignment w:val="baseline"/>
        <w:rPr>
          <w:rFonts w:eastAsia="Times New Roman"/>
          <w:lang w:val="es-DO" w:eastAsia="es-DO"/>
        </w:rPr>
      </w:pPr>
    </w:p>
    <w:p w14:paraId="3D1C1C10" w14:textId="77777777" w:rsidR="00BC0C28" w:rsidRDefault="00BC0C28" w:rsidP="005C133F">
      <w:pPr>
        <w:pStyle w:val="Textoindependiente"/>
        <w:spacing w:before="240" w:line="360" w:lineRule="auto"/>
        <w:jc w:val="both"/>
        <w:rPr>
          <w:i w:val="0"/>
          <w:iCs w:val="0"/>
          <w:color w:val="767171"/>
          <w:spacing w:val="20"/>
          <w:sz w:val="24"/>
          <w:szCs w:val="24"/>
          <w:lang w:val="es-DO" w:eastAsia="es-DO"/>
        </w:rPr>
      </w:pPr>
    </w:p>
    <w:p w14:paraId="1F90911D" w14:textId="7550F035" w:rsidR="00862738" w:rsidRPr="005C133F" w:rsidRDefault="00862738" w:rsidP="005C133F">
      <w:pPr>
        <w:pStyle w:val="Textoindependiente"/>
        <w:spacing w:before="240" w:line="360" w:lineRule="auto"/>
        <w:jc w:val="both"/>
        <w:rPr>
          <w:i w:val="0"/>
          <w:iCs w:val="0"/>
          <w:color w:val="767171"/>
          <w:spacing w:val="20"/>
          <w:sz w:val="24"/>
          <w:szCs w:val="24"/>
          <w:lang w:val="es-DO" w:eastAsia="es-DO"/>
        </w:rPr>
      </w:pPr>
      <w:r w:rsidRPr="005C133F">
        <w:rPr>
          <w:i w:val="0"/>
          <w:iCs w:val="0"/>
          <w:color w:val="767171"/>
          <w:spacing w:val="20"/>
          <w:sz w:val="24"/>
          <w:szCs w:val="24"/>
          <w:lang w:val="es-DO" w:eastAsia="es-DO"/>
        </w:rPr>
        <w:lastRenderedPageBreak/>
        <w:t>Seguimiento al Financiamiento de la Ampliación de Coberturas en el SFS</w:t>
      </w:r>
    </w:p>
    <w:p w14:paraId="3C247E82" w14:textId="7677B932" w:rsidR="00BC0C28" w:rsidRDefault="00EE4643" w:rsidP="00A3381D">
      <w:pPr>
        <w:pStyle w:val="Textoindependiente"/>
        <w:spacing w:line="360" w:lineRule="auto"/>
        <w:jc w:val="both"/>
        <w:rPr>
          <w:b w:val="0"/>
          <w:bCs w:val="0"/>
          <w:i w:val="0"/>
          <w:iCs w:val="0"/>
          <w:color w:val="767171"/>
          <w:spacing w:val="20"/>
          <w:sz w:val="24"/>
          <w:szCs w:val="24"/>
          <w:lang w:val="es-DO" w:eastAsia="es-DO"/>
        </w:rPr>
      </w:pPr>
      <w:r w:rsidRPr="005C133F">
        <w:rPr>
          <w:b w:val="0"/>
          <w:bCs w:val="0"/>
          <w:i w:val="0"/>
          <w:iCs w:val="0"/>
          <w:color w:val="767171"/>
          <w:spacing w:val="20"/>
          <w:sz w:val="24"/>
          <w:szCs w:val="24"/>
          <w:lang w:val="es-DO" w:eastAsia="es-DO"/>
        </w:rPr>
        <w:t>Con el objetivo de dar seguimiento al financiamiento de la ampliación de coberturas del Seguro Familiar de Salud (SFS), se</w:t>
      </w:r>
      <w:r w:rsidR="00862738" w:rsidRPr="005C133F">
        <w:rPr>
          <w:b w:val="0"/>
          <w:bCs w:val="0"/>
          <w:i w:val="0"/>
          <w:iCs w:val="0"/>
          <w:color w:val="767171"/>
          <w:spacing w:val="20"/>
          <w:sz w:val="24"/>
          <w:szCs w:val="24"/>
          <w:lang w:val="es-DO" w:eastAsia="es-DO"/>
        </w:rPr>
        <w:t xml:space="preserve"> realizaron varias reuniones </w:t>
      </w:r>
      <w:r w:rsidRPr="005C133F">
        <w:rPr>
          <w:b w:val="0"/>
          <w:bCs w:val="0"/>
          <w:i w:val="0"/>
          <w:iCs w:val="0"/>
          <w:color w:val="767171"/>
          <w:spacing w:val="20"/>
          <w:sz w:val="24"/>
          <w:szCs w:val="24"/>
          <w:lang w:val="es-DO" w:eastAsia="es-DO"/>
        </w:rPr>
        <w:t xml:space="preserve">técnicas </w:t>
      </w:r>
      <w:r w:rsidR="00862738" w:rsidRPr="005C133F">
        <w:rPr>
          <w:b w:val="0"/>
          <w:bCs w:val="0"/>
          <w:i w:val="0"/>
          <w:iCs w:val="0"/>
          <w:color w:val="767171"/>
          <w:spacing w:val="20"/>
          <w:sz w:val="24"/>
          <w:szCs w:val="24"/>
          <w:lang w:val="es-DO" w:eastAsia="es-DO"/>
        </w:rPr>
        <w:t>e intercambios de información con las distintas ARS para visualizar la siniestralidad y la situación financiera de cada una de estas, determinándose una variación significativa en los per cápita observado vs aprobado. El per cápita observado nivelado en el per</w:t>
      </w:r>
      <w:r w:rsidR="00757F82" w:rsidRPr="005C133F">
        <w:rPr>
          <w:b w:val="0"/>
          <w:bCs w:val="0"/>
          <w:i w:val="0"/>
          <w:iCs w:val="0"/>
          <w:color w:val="767171"/>
          <w:spacing w:val="20"/>
          <w:sz w:val="24"/>
          <w:szCs w:val="24"/>
          <w:lang w:val="es-DO" w:eastAsia="es-DO"/>
        </w:rPr>
        <w:t>í</w:t>
      </w:r>
      <w:r w:rsidR="00862738" w:rsidRPr="005C133F">
        <w:rPr>
          <w:b w:val="0"/>
          <w:bCs w:val="0"/>
          <w:i w:val="0"/>
          <w:iCs w:val="0"/>
          <w:color w:val="767171"/>
          <w:spacing w:val="20"/>
          <w:sz w:val="24"/>
          <w:szCs w:val="24"/>
          <w:lang w:val="es-DO" w:eastAsia="es-DO"/>
        </w:rPr>
        <w:t>odo noviembre 2023 – octubre 2024 fue de RD$1,752.75, representando un déficit de RD$69.53 con respecto al aprobado en ese entonces de RD$1,683.22; sin embargo, esto no fue igual para todas las ARS, en la cual, se obtuvieron los siguientes valores:</w:t>
      </w:r>
    </w:p>
    <w:p w14:paraId="6C208018" w14:textId="77777777" w:rsidR="00A3381D" w:rsidRPr="005C133F" w:rsidRDefault="00A3381D" w:rsidP="00A3381D">
      <w:pPr>
        <w:pStyle w:val="Textoindependiente"/>
        <w:spacing w:line="360" w:lineRule="auto"/>
        <w:jc w:val="both"/>
        <w:rPr>
          <w:b w:val="0"/>
          <w:bCs w:val="0"/>
          <w:i w:val="0"/>
          <w:iCs w:val="0"/>
          <w:color w:val="767171"/>
          <w:spacing w:val="20"/>
          <w:sz w:val="24"/>
          <w:szCs w:val="24"/>
          <w:lang w:val="es-DO" w:eastAsia="es-DO"/>
        </w:rPr>
      </w:pPr>
    </w:p>
    <w:p w14:paraId="6CD45B76" w14:textId="25894125" w:rsidR="00BC0C28" w:rsidRPr="00BC0C28" w:rsidRDefault="006A0CDE" w:rsidP="0067066E">
      <w:pPr>
        <w:pStyle w:val="Descripcin"/>
        <w:spacing w:after="0"/>
        <w:jc w:val="center"/>
        <w:rPr>
          <w:rFonts w:eastAsia="Times New Roman"/>
          <w:b/>
          <w:bCs/>
          <w:i w:val="0"/>
          <w:iCs w:val="0"/>
          <w:color w:val="767171"/>
          <w:sz w:val="24"/>
          <w:szCs w:val="24"/>
          <w:lang w:val="es-DO" w:eastAsia="es-DO"/>
        </w:rPr>
      </w:pPr>
      <w:bookmarkStart w:id="81" w:name="_Toc217047819"/>
      <w:r w:rsidRPr="005C133F">
        <w:rPr>
          <w:rFonts w:eastAsia="Times New Roman"/>
          <w:b/>
          <w:bCs/>
          <w:i w:val="0"/>
          <w:iCs w:val="0"/>
          <w:color w:val="767171"/>
          <w:sz w:val="24"/>
          <w:szCs w:val="24"/>
          <w:lang w:val="es-DO" w:eastAsia="es-DO"/>
        </w:rPr>
        <w:t xml:space="preserve">Gráfico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Ilustración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16</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Per cápita mensual observado del Régimen Contributivo en el período noviembre 2023 – octubre 2024 vs per cápita vigente</w:t>
      </w:r>
      <w:bookmarkEnd w:id="81"/>
    </w:p>
    <w:p w14:paraId="6F887D85" w14:textId="77777777" w:rsidR="006A0CDE" w:rsidRPr="005C133F" w:rsidRDefault="00862738" w:rsidP="0067066E">
      <w:pPr>
        <w:pStyle w:val="Textoindependiente"/>
        <w:keepNext/>
        <w:ind w:right="1078"/>
        <w:jc w:val="center"/>
        <w:rPr>
          <w:color w:val="767171"/>
          <w:sz w:val="24"/>
          <w:szCs w:val="24"/>
        </w:rPr>
      </w:pPr>
      <w:r w:rsidRPr="005C133F">
        <w:rPr>
          <w:noProof/>
          <w:color w:val="767171"/>
          <w:sz w:val="24"/>
          <w:szCs w:val="24"/>
        </w:rPr>
        <w:drawing>
          <wp:inline distT="0" distB="0" distL="0" distR="0" wp14:anchorId="365D1580" wp14:editId="129C888B">
            <wp:extent cx="5213267" cy="2105073"/>
            <wp:effectExtent l="0" t="0" r="0" b="0"/>
            <wp:docPr id="1870288142" name="Imagen 783"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88142" name="Imagen 783" descr="Gráfico&#10;&#10;El contenido generado por IA puede ser incorrect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61477" cy="2124540"/>
                    </a:xfrm>
                    <a:prstGeom prst="rect">
                      <a:avLst/>
                    </a:prstGeom>
                    <a:noFill/>
                  </pic:spPr>
                </pic:pic>
              </a:graphicData>
            </a:graphic>
          </wp:inline>
        </w:drawing>
      </w:r>
    </w:p>
    <w:p w14:paraId="07E6BC03" w14:textId="4D8468FF" w:rsidR="00862738" w:rsidRPr="00AC2DB2" w:rsidRDefault="00977CA2" w:rsidP="0067066E">
      <w:pPr>
        <w:spacing w:after="0" w:line="240" w:lineRule="auto"/>
        <w:jc w:val="center"/>
        <w:textAlignment w:val="baseline"/>
        <w:rPr>
          <w:rFonts w:eastAsia="Times New Roman"/>
          <w:sz w:val="18"/>
          <w:szCs w:val="18"/>
          <w:lang w:val="es-DO" w:eastAsia="es-DO"/>
        </w:rPr>
      </w:pPr>
      <w:r w:rsidRPr="00AC2DB2">
        <w:rPr>
          <w:rFonts w:eastAsia="Times New Roman"/>
          <w:sz w:val="18"/>
          <w:szCs w:val="18"/>
          <w:lang w:val="es-DO" w:eastAsia="es-DO"/>
        </w:rPr>
        <w:t>Fuente</w:t>
      </w:r>
      <w:r w:rsidR="005F0069" w:rsidRPr="00AC2DB2">
        <w:rPr>
          <w:rFonts w:eastAsia="Times New Roman"/>
          <w:sz w:val="18"/>
          <w:szCs w:val="18"/>
          <w:lang w:val="es-DO" w:eastAsia="es-DO"/>
        </w:rPr>
        <w:t>: Dirección de Gestión Actuarial del SFS y el SRL, SISALRIL</w:t>
      </w:r>
    </w:p>
    <w:p w14:paraId="1C1ABA07" w14:textId="77777777" w:rsidR="00FC4FE2" w:rsidRPr="005C133F" w:rsidRDefault="00FC4FE2" w:rsidP="005C133F">
      <w:pPr>
        <w:pStyle w:val="Textoindependiente"/>
        <w:spacing w:before="240" w:line="360" w:lineRule="auto"/>
        <w:jc w:val="both"/>
        <w:rPr>
          <w:b w:val="0"/>
          <w:bCs w:val="0"/>
          <w:i w:val="0"/>
          <w:iCs w:val="0"/>
          <w:color w:val="767171"/>
          <w:spacing w:val="20"/>
          <w:sz w:val="24"/>
          <w:szCs w:val="24"/>
          <w:lang w:val="es-DO" w:eastAsia="es-DO"/>
        </w:rPr>
      </w:pPr>
    </w:p>
    <w:p w14:paraId="39C78599" w14:textId="77777777" w:rsidR="00862738" w:rsidRPr="005C133F" w:rsidRDefault="00862738" w:rsidP="005C133F">
      <w:pPr>
        <w:pStyle w:val="Textoindependiente"/>
        <w:spacing w:line="360" w:lineRule="auto"/>
        <w:jc w:val="both"/>
        <w:rPr>
          <w:b w:val="0"/>
          <w:bCs w:val="0"/>
          <w:i w:val="0"/>
          <w:iCs w:val="0"/>
          <w:color w:val="767171"/>
          <w:spacing w:val="20"/>
          <w:sz w:val="24"/>
          <w:szCs w:val="24"/>
          <w:lang w:val="es-DO" w:eastAsia="es-DO"/>
        </w:rPr>
      </w:pPr>
      <w:r w:rsidRPr="005C133F">
        <w:rPr>
          <w:b w:val="0"/>
          <w:bCs w:val="0"/>
          <w:i w:val="0"/>
          <w:iCs w:val="0"/>
          <w:color w:val="767171"/>
          <w:spacing w:val="20"/>
          <w:sz w:val="24"/>
          <w:szCs w:val="24"/>
          <w:lang w:val="es-DO" w:eastAsia="es-DO"/>
        </w:rPr>
        <w:t xml:space="preserve">Debido a estos hallazgos, se presentaron varias propuestas de incremento del per cápita por concepto de inflación y la actualización de la propuesta de per cápita por edad y sexo solicitado por el CNSS </w:t>
      </w:r>
      <w:r w:rsidRPr="005C133F">
        <w:rPr>
          <w:b w:val="0"/>
          <w:bCs w:val="0"/>
          <w:i w:val="0"/>
          <w:iCs w:val="0"/>
          <w:color w:val="767171"/>
          <w:spacing w:val="20"/>
          <w:sz w:val="24"/>
          <w:szCs w:val="24"/>
          <w:lang w:val="es-DO" w:eastAsia="es-DO"/>
        </w:rPr>
        <w:lastRenderedPageBreak/>
        <w:t xml:space="preserve">para contrarrestar dichas distorsiones. </w:t>
      </w:r>
    </w:p>
    <w:p w14:paraId="0BC91C45" w14:textId="77777777" w:rsidR="00FC4FE2" w:rsidRPr="005C133F" w:rsidRDefault="00FC4FE2" w:rsidP="005C133F">
      <w:pPr>
        <w:pStyle w:val="Textoindependiente"/>
        <w:spacing w:line="360" w:lineRule="auto"/>
        <w:jc w:val="both"/>
        <w:rPr>
          <w:b w:val="0"/>
          <w:bCs w:val="0"/>
          <w:i w:val="0"/>
          <w:iCs w:val="0"/>
          <w:color w:val="767171"/>
          <w:spacing w:val="20"/>
          <w:sz w:val="24"/>
          <w:szCs w:val="24"/>
          <w:lang w:val="es-DO" w:eastAsia="es-DO"/>
        </w:rPr>
      </w:pPr>
    </w:p>
    <w:p w14:paraId="2471ACFA" w14:textId="77777777" w:rsidR="00246DA5" w:rsidRPr="005C133F" w:rsidRDefault="00862738" w:rsidP="005C133F">
      <w:pPr>
        <w:spacing w:after="0" w:line="360" w:lineRule="auto"/>
        <w:rPr>
          <w:b/>
          <w:bCs/>
          <w:lang w:val="es-DO"/>
        </w:rPr>
      </w:pPr>
      <w:r w:rsidRPr="005C133F">
        <w:rPr>
          <w:b/>
          <w:bCs/>
          <w:lang w:val="es-DO"/>
        </w:rPr>
        <w:t xml:space="preserve">Seguimiento y notificación de las cargas </w:t>
      </w:r>
      <w:r w:rsidR="00BF1747" w:rsidRPr="005C133F">
        <w:rPr>
          <w:b/>
          <w:bCs/>
          <w:lang w:val="es-DO"/>
        </w:rPr>
        <w:t xml:space="preserve">al </w:t>
      </w:r>
      <w:r w:rsidRPr="005C133F">
        <w:rPr>
          <w:b/>
          <w:bCs/>
          <w:lang w:val="es-DO"/>
        </w:rPr>
        <w:t>Esquema 31.</w:t>
      </w:r>
    </w:p>
    <w:p w14:paraId="50FC6767" w14:textId="77777777" w:rsidR="00246DA5" w:rsidRPr="005C133F" w:rsidRDefault="00246DA5" w:rsidP="005C133F">
      <w:pPr>
        <w:spacing w:after="0" w:line="360" w:lineRule="auto"/>
        <w:rPr>
          <w:b/>
          <w:bCs/>
          <w:lang w:val="es-DO"/>
        </w:rPr>
      </w:pPr>
    </w:p>
    <w:p w14:paraId="102B50D4" w14:textId="3805C8FD" w:rsidR="00862738" w:rsidRPr="005C133F" w:rsidRDefault="00862738" w:rsidP="005C133F">
      <w:pPr>
        <w:spacing w:after="0" w:line="360" w:lineRule="auto"/>
        <w:jc w:val="both"/>
        <w:rPr>
          <w:b/>
          <w:bCs/>
          <w:i/>
          <w:iCs/>
          <w:lang w:val="es-DO" w:eastAsia="es-DO"/>
        </w:rPr>
      </w:pPr>
      <w:r w:rsidRPr="005C133F">
        <w:rPr>
          <w:lang w:val="es-DO" w:eastAsia="es-DO"/>
        </w:rPr>
        <w:t>En el marco del Esquema 31, durante el periodo febrero – abril 2025 se identificaron que 3,037 afiliados únicos en Planes Complementarios no tienen PDSS, mientras que 1,700 afiliados suscritos en Planes Especiales de Medicina Prepagada no cotizan en el SDSS. Asimismo, se identificó que 1,408 afiliados en estos tipos de planes se encuentran afiliados al PDSS en una ARS distinta a la administradora donde suscribió el Plan Alternativo de Salud y 54,318 afiliados en Planes Complementarios que tienen el PDSS en otra ARS, de los cuales 50,666 se encuentran afiliados en el Régimen Subsidiado del SFS.</w:t>
      </w:r>
    </w:p>
    <w:p w14:paraId="184AF34F" w14:textId="77777777" w:rsidR="007432AA" w:rsidRPr="005C133F" w:rsidRDefault="007432AA">
      <w:pPr>
        <w:pStyle w:val="Prrafodelista"/>
        <w:widowControl w:val="0"/>
        <w:numPr>
          <w:ilvl w:val="0"/>
          <w:numId w:val="63"/>
        </w:numPr>
        <w:autoSpaceDE w:val="0"/>
        <w:autoSpaceDN w:val="0"/>
        <w:spacing w:before="123" w:after="0" w:line="360" w:lineRule="auto"/>
        <w:contextualSpacing w:val="0"/>
        <w:jc w:val="both"/>
        <w:rPr>
          <w:lang w:val="es-DO"/>
        </w:rPr>
      </w:pPr>
      <w:r w:rsidRPr="005C133F">
        <w:rPr>
          <w:lang w:val="es-DO"/>
        </w:rPr>
        <w:t>Se elaboraron y remitieron diez (10) oficios para notificar a las ARS los hallazgos encontrados en el análisis de los reportes de la cartera de afiliados a los Planes Alternativos de Salud, correspondientes al periodo febrero – abril 2025. Estos resultados están asociados al cruce de la población suscrita en los Planes Alternativos de Salud, en el cual encontramos afiliados en Planes Complementarios que no se cotizan en el SFS o que tiene el PDSS en una ARS distinta, así como en el régimen subsidiado.</w:t>
      </w:r>
    </w:p>
    <w:p w14:paraId="380AFAF9" w14:textId="1B676CAF" w:rsidR="007432AA" w:rsidRPr="005C133F" w:rsidRDefault="007432AA">
      <w:pPr>
        <w:pStyle w:val="Prrafodelista"/>
        <w:widowControl w:val="0"/>
        <w:numPr>
          <w:ilvl w:val="0"/>
          <w:numId w:val="63"/>
        </w:numPr>
        <w:autoSpaceDE w:val="0"/>
        <w:autoSpaceDN w:val="0"/>
        <w:spacing w:before="123" w:after="0" w:line="360" w:lineRule="auto"/>
        <w:contextualSpacing w:val="0"/>
        <w:jc w:val="both"/>
        <w:rPr>
          <w:lang w:val="es-DO"/>
        </w:rPr>
      </w:pPr>
      <w:r w:rsidRPr="005C133F">
        <w:rPr>
          <w:lang w:val="es-DO"/>
        </w:rPr>
        <w:t xml:space="preserve">Se realizó el levantamiento del cruce y reporte de alertas (internas) de la notificación de los hallazgos en la cartera de afiliados suscritos en los Planes Alternativos de Salud, encontrando afiliados en Planes Complementarios sin PDSS y con el PDSS en una ARS distinta a la que tiene el Plan Básico </w:t>
      </w:r>
      <w:r w:rsidRPr="005C133F">
        <w:rPr>
          <w:lang w:val="es-DO"/>
        </w:rPr>
        <w:lastRenderedPageBreak/>
        <w:t xml:space="preserve">de Salud, según se detalles en el cuadro a continuación. </w:t>
      </w:r>
    </w:p>
    <w:p w14:paraId="5F4C46A8" w14:textId="3FDFB4A6" w:rsidR="007432AA" w:rsidRPr="005C133F" w:rsidRDefault="007432AA" w:rsidP="005C133F">
      <w:pPr>
        <w:pStyle w:val="Sinespaciado"/>
        <w:spacing w:line="360" w:lineRule="auto"/>
        <w:jc w:val="center"/>
        <w:rPr>
          <w:b/>
          <w:bCs/>
          <w:color w:val="767171"/>
          <w:lang w:val="es-DO"/>
        </w:rPr>
      </w:pPr>
    </w:p>
    <w:p w14:paraId="31D57AEB" w14:textId="0F66922A" w:rsidR="000F7B7F" w:rsidRPr="005C133F" w:rsidRDefault="000F7B7F" w:rsidP="004C1B2F">
      <w:pPr>
        <w:pStyle w:val="Descripcin"/>
        <w:keepNext/>
        <w:spacing w:after="0"/>
        <w:jc w:val="center"/>
        <w:rPr>
          <w:b/>
          <w:bCs/>
          <w:i w:val="0"/>
          <w:iCs w:val="0"/>
          <w:color w:val="767171"/>
          <w:sz w:val="24"/>
          <w:szCs w:val="24"/>
          <w:lang w:val="es-DO"/>
        </w:rPr>
      </w:pPr>
      <w:bookmarkStart w:id="82" w:name="_Toc218784157"/>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25</w:t>
      </w:r>
      <w:r w:rsidRPr="005C133F">
        <w:rPr>
          <w:b/>
          <w:bCs/>
          <w:i w:val="0"/>
          <w:iCs w:val="0"/>
          <w:color w:val="767171"/>
          <w:sz w:val="24"/>
          <w:szCs w:val="24"/>
          <w:lang w:val="es-DO"/>
        </w:rPr>
        <w:fldChar w:fldCharType="end"/>
      </w:r>
      <w:r w:rsidRPr="005C133F">
        <w:rPr>
          <w:b/>
          <w:bCs/>
          <w:i w:val="0"/>
          <w:iCs w:val="0"/>
          <w:color w:val="767171"/>
          <w:sz w:val="24"/>
          <w:szCs w:val="24"/>
          <w:lang w:val="es-DO"/>
        </w:rPr>
        <w:t>. Afiliados a Planes Complementarios y Especiales de Medicina Prepagada, con/ sin PDSS, según ARS y Tipo de Plan, febrero – abril 2025</w:t>
      </w:r>
      <w:bookmarkEnd w:id="82"/>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489"/>
        <w:gridCol w:w="2047"/>
        <w:gridCol w:w="2292"/>
        <w:gridCol w:w="82"/>
      </w:tblGrid>
      <w:tr w:rsidR="004921FF" w:rsidRPr="004C1B2F" w14:paraId="2B98CED1" w14:textId="77777777" w:rsidTr="0067066E">
        <w:trPr>
          <w:trHeight w:val="490"/>
          <w:tblHeader/>
          <w:jc w:val="center"/>
        </w:trPr>
        <w:tc>
          <w:tcPr>
            <w:tcW w:w="2205" w:type="pct"/>
            <w:shd w:val="clear" w:color="auto" w:fill="011C50"/>
            <w:noWrap/>
            <w:vAlign w:val="center"/>
            <w:hideMark/>
          </w:tcPr>
          <w:p w14:paraId="0C3F8D86" w14:textId="77777777" w:rsidR="007432AA" w:rsidRPr="004C1B2F" w:rsidRDefault="007432AA" w:rsidP="004C1B2F">
            <w:pPr>
              <w:spacing w:after="0" w:line="240" w:lineRule="auto"/>
              <w:jc w:val="center"/>
              <w:rPr>
                <w:b/>
                <w:bCs/>
                <w:lang w:val="es-DO" w:eastAsia="es-DO"/>
              </w:rPr>
            </w:pPr>
            <w:r w:rsidRPr="004C1B2F">
              <w:rPr>
                <w:b/>
                <w:bCs/>
                <w:lang w:val="es-DO" w:eastAsia="es-DO"/>
              </w:rPr>
              <w:t>Nombre</w:t>
            </w:r>
          </w:p>
        </w:tc>
        <w:tc>
          <w:tcPr>
            <w:tcW w:w="1294" w:type="pct"/>
            <w:shd w:val="clear" w:color="auto" w:fill="011C50"/>
            <w:noWrap/>
            <w:vAlign w:val="center"/>
            <w:hideMark/>
          </w:tcPr>
          <w:p w14:paraId="7D251622" w14:textId="77777777" w:rsidR="007432AA" w:rsidRPr="004C1B2F" w:rsidRDefault="007432AA" w:rsidP="004C1B2F">
            <w:pPr>
              <w:spacing w:after="0" w:line="240" w:lineRule="auto"/>
              <w:jc w:val="center"/>
              <w:rPr>
                <w:b/>
                <w:bCs/>
                <w:lang w:val="es-DO" w:eastAsia="es-DO"/>
              </w:rPr>
            </w:pPr>
            <w:r w:rsidRPr="004C1B2F">
              <w:rPr>
                <w:b/>
                <w:bCs/>
                <w:lang w:val="es-DO" w:eastAsia="es-DO"/>
              </w:rPr>
              <w:t xml:space="preserve">No tienen PDSS </w:t>
            </w:r>
          </w:p>
        </w:tc>
        <w:tc>
          <w:tcPr>
            <w:tcW w:w="1501" w:type="pct"/>
            <w:gridSpan w:val="2"/>
            <w:shd w:val="clear" w:color="auto" w:fill="011C50"/>
            <w:noWrap/>
            <w:vAlign w:val="center"/>
            <w:hideMark/>
          </w:tcPr>
          <w:p w14:paraId="12CF08FF" w14:textId="77777777" w:rsidR="007432AA" w:rsidRPr="004C1B2F" w:rsidRDefault="007432AA" w:rsidP="004C1B2F">
            <w:pPr>
              <w:spacing w:after="0" w:line="240" w:lineRule="auto"/>
              <w:jc w:val="center"/>
              <w:rPr>
                <w:b/>
                <w:bCs/>
                <w:lang w:val="es-DO" w:eastAsia="es-DO"/>
              </w:rPr>
            </w:pPr>
            <w:r w:rsidRPr="004C1B2F">
              <w:rPr>
                <w:b/>
                <w:bCs/>
                <w:lang w:val="es-DO" w:eastAsia="es-DO"/>
              </w:rPr>
              <w:t>PDSS en otra ARS</w:t>
            </w:r>
          </w:p>
        </w:tc>
      </w:tr>
      <w:tr w:rsidR="004921FF" w:rsidRPr="004C1B2F" w14:paraId="1B1C7F24" w14:textId="77777777" w:rsidTr="0067066E">
        <w:trPr>
          <w:trHeight w:val="294"/>
          <w:jc w:val="center"/>
        </w:trPr>
        <w:tc>
          <w:tcPr>
            <w:tcW w:w="2205" w:type="pct"/>
            <w:noWrap/>
            <w:vAlign w:val="center"/>
            <w:hideMark/>
          </w:tcPr>
          <w:p w14:paraId="2042F9E6" w14:textId="77777777" w:rsidR="007432AA" w:rsidRPr="004C1B2F" w:rsidRDefault="007432AA" w:rsidP="004C1B2F">
            <w:pPr>
              <w:spacing w:after="0" w:line="240" w:lineRule="auto"/>
              <w:rPr>
                <w:lang w:eastAsia="es-DO"/>
              </w:rPr>
            </w:pPr>
            <w:r w:rsidRPr="004C1B2F">
              <w:rPr>
                <w:lang w:eastAsia="es-DO"/>
              </w:rPr>
              <w:t>ARS ABEL GONZALEZ</w:t>
            </w:r>
          </w:p>
        </w:tc>
        <w:tc>
          <w:tcPr>
            <w:tcW w:w="1294" w:type="pct"/>
            <w:vAlign w:val="center"/>
            <w:hideMark/>
          </w:tcPr>
          <w:p w14:paraId="4479BB74" w14:textId="77777777" w:rsidR="007432AA" w:rsidRPr="004C1B2F" w:rsidRDefault="007432AA" w:rsidP="004C1B2F">
            <w:pPr>
              <w:spacing w:after="0" w:line="240" w:lineRule="auto"/>
              <w:jc w:val="center"/>
              <w:rPr>
                <w:lang w:eastAsia="es-DO"/>
              </w:rPr>
            </w:pPr>
            <w:r w:rsidRPr="004C1B2F">
              <w:rPr>
                <w:lang w:eastAsia="es-DO"/>
              </w:rPr>
              <w:t>42</w:t>
            </w:r>
          </w:p>
        </w:tc>
        <w:tc>
          <w:tcPr>
            <w:tcW w:w="1501" w:type="pct"/>
            <w:gridSpan w:val="2"/>
            <w:vAlign w:val="center"/>
            <w:hideMark/>
          </w:tcPr>
          <w:p w14:paraId="0D193540" w14:textId="77777777" w:rsidR="007432AA" w:rsidRPr="004C1B2F" w:rsidRDefault="007432AA" w:rsidP="004C1B2F">
            <w:pPr>
              <w:spacing w:after="0" w:line="240" w:lineRule="auto"/>
              <w:jc w:val="center"/>
              <w:rPr>
                <w:lang w:eastAsia="es-DO"/>
              </w:rPr>
            </w:pPr>
            <w:r w:rsidRPr="004C1B2F">
              <w:rPr>
                <w:lang w:eastAsia="es-DO"/>
              </w:rPr>
              <w:t>18</w:t>
            </w:r>
          </w:p>
        </w:tc>
      </w:tr>
      <w:tr w:rsidR="004921FF" w:rsidRPr="004C1B2F" w14:paraId="298CE18F" w14:textId="77777777" w:rsidTr="0067066E">
        <w:trPr>
          <w:trHeight w:val="294"/>
          <w:jc w:val="center"/>
        </w:trPr>
        <w:tc>
          <w:tcPr>
            <w:tcW w:w="2205" w:type="pct"/>
            <w:vAlign w:val="center"/>
            <w:hideMark/>
          </w:tcPr>
          <w:p w14:paraId="2F4645F8" w14:textId="77777777" w:rsidR="007432AA" w:rsidRPr="004C1B2F" w:rsidRDefault="007432AA" w:rsidP="004C1B2F">
            <w:pPr>
              <w:spacing w:after="0" w:line="240" w:lineRule="auto"/>
              <w:rPr>
                <w:lang w:eastAsia="es-DO"/>
              </w:rPr>
            </w:pPr>
            <w:r w:rsidRPr="004C1B2F">
              <w:rPr>
                <w:lang w:eastAsia="es-DO"/>
              </w:rPr>
              <w:t>ARS ASEMAP</w:t>
            </w:r>
          </w:p>
        </w:tc>
        <w:tc>
          <w:tcPr>
            <w:tcW w:w="1294" w:type="pct"/>
            <w:vAlign w:val="center"/>
            <w:hideMark/>
          </w:tcPr>
          <w:p w14:paraId="35F71648" w14:textId="77777777" w:rsidR="007432AA" w:rsidRPr="004C1B2F" w:rsidRDefault="007432AA" w:rsidP="004C1B2F">
            <w:pPr>
              <w:spacing w:after="0" w:line="240" w:lineRule="auto"/>
              <w:jc w:val="center"/>
              <w:rPr>
                <w:lang w:eastAsia="es-DO"/>
              </w:rPr>
            </w:pPr>
            <w:r w:rsidRPr="004C1B2F">
              <w:rPr>
                <w:lang w:eastAsia="es-DO"/>
              </w:rPr>
              <w:t>-</w:t>
            </w:r>
          </w:p>
        </w:tc>
        <w:tc>
          <w:tcPr>
            <w:tcW w:w="1501" w:type="pct"/>
            <w:gridSpan w:val="2"/>
            <w:vAlign w:val="center"/>
            <w:hideMark/>
          </w:tcPr>
          <w:p w14:paraId="631EA42B" w14:textId="77777777" w:rsidR="007432AA" w:rsidRPr="004C1B2F" w:rsidRDefault="007432AA" w:rsidP="004C1B2F">
            <w:pPr>
              <w:spacing w:after="0" w:line="240" w:lineRule="auto"/>
              <w:jc w:val="center"/>
              <w:rPr>
                <w:lang w:eastAsia="es-DO"/>
              </w:rPr>
            </w:pPr>
            <w:r w:rsidRPr="004C1B2F">
              <w:rPr>
                <w:lang w:eastAsia="es-DO"/>
              </w:rPr>
              <w:t>1</w:t>
            </w:r>
          </w:p>
        </w:tc>
      </w:tr>
      <w:tr w:rsidR="004921FF" w:rsidRPr="004C1B2F" w14:paraId="2D96C65E" w14:textId="77777777" w:rsidTr="0067066E">
        <w:trPr>
          <w:trHeight w:val="334"/>
          <w:jc w:val="center"/>
        </w:trPr>
        <w:tc>
          <w:tcPr>
            <w:tcW w:w="2205" w:type="pct"/>
            <w:vAlign w:val="center"/>
            <w:hideMark/>
          </w:tcPr>
          <w:p w14:paraId="1CB5FFEC" w14:textId="77777777" w:rsidR="007432AA" w:rsidRPr="004C1B2F" w:rsidRDefault="007432AA" w:rsidP="004C1B2F">
            <w:pPr>
              <w:spacing w:after="0" w:line="240" w:lineRule="auto"/>
              <w:rPr>
                <w:lang w:eastAsia="es-DO"/>
              </w:rPr>
            </w:pPr>
            <w:r w:rsidRPr="004C1B2F">
              <w:rPr>
                <w:lang w:eastAsia="es-DO"/>
              </w:rPr>
              <w:t>ARS BANCO CENTRAL</w:t>
            </w:r>
          </w:p>
        </w:tc>
        <w:tc>
          <w:tcPr>
            <w:tcW w:w="1294" w:type="pct"/>
            <w:vAlign w:val="center"/>
            <w:hideMark/>
          </w:tcPr>
          <w:p w14:paraId="0D27B377" w14:textId="77777777" w:rsidR="007432AA" w:rsidRPr="004C1B2F" w:rsidRDefault="007432AA" w:rsidP="004C1B2F">
            <w:pPr>
              <w:spacing w:after="0" w:line="240" w:lineRule="auto"/>
              <w:jc w:val="center"/>
              <w:rPr>
                <w:lang w:eastAsia="es-DO"/>
              </w:rPr>
            </w:pPr>
            <w:r w:rsidRPr="004C1B2F">
              <w:rPr>
                <w:lang w:eastAsia="es-DO"/>
              </w:rPr>
              <w:t>6</w:t>
            </w:r>
          </w:p>
        </w:tc>
        <w:tc>
          <w:tcPr>
            <w:tcW w:w="1501" w:type="pct"/>
            <w:gridSpan w:val="2"/>
            <w:vAlign w:val="center"/>
            <w:hideMark/>
          </w:tcPr>
          <w:p w14:paraId="471C8E95" w14:textId="77777777" w:rsidR="007432AA" w:rsidRPr="004C1B2F" w:rsidRDefault="007432AA" w:rsidP="004C1B2F">
            <w:pPr>
              <w:spacing w:after="0" w:line="240" w:lineRule="auto"/>
              <w:jc w:val="center"/>
              <w:rPr>
                <w:lang w:eastAsia="es-DO"/>
              </w:rPr>
            </w:pPr>
            <w:r w:rsidRPr="004C1B2F">
              <w:rPr>
                <w:lang w:eastAsia="es-DO"/>
              </w:rPr>
              <w:t>6</w:t>
            </w:r>
          </w:p>
        </w:tc>
      </w:tr>
      <w:tr w:rsidR="004921FF" w:rsidRPr="004C1B2F" w14:paraId="105DFFFA" w14:textId="77777777" w:rsidTr="0067066E">
        <w:trPr>
          <w:trHeight w:val="294"/>
          <w:jc w:val="center"/>
        </w:trPr>
        <w:tc>
          <w:tcPr>
            <w:tcW w:w="2205" w:type="pct"/>
            <w:vAlign w:val="center"/>
            <w:hideMark/>
          </w:tcPr>
          <w:p w14:paraId="0C44CEA1" w14:textId="77777777" w:rsidR="007432AA" w:rsidRPr="004C1B2F" w:rsidRDefault="007432AA" w:rsidP="004C1B2F">
            <w:pPr>
              <w:spacing w:after="0" w:line="240" w:lineRule="auto"/>
              <w:rPr>
                <w:lang w:eastAsia="es-DO"/>
              </w:rPr>
            </w:pPr>
            <w:r w:rsidRPr="004C1B2F">
              <w:rPr>
                <w:lang w:eastAsia="es-DO"/>
              </w:rPr>
              <w:t>ARS CMD</w:t>
            </w:r>
          </w:p>
        </w:tc>
        <w:tc>
          <w:tcPr>
            <w:tcW w:w="1294" w:type="pct"/>
            <w:vAlign w:val="center"/>
            <w:hideMark/>
          </w:tcPr>
          <w:p w14:paraId="46B7BF18" w14:textId="77777777" w:rsidR="007432AA" w:rsidRPr="004C1B2F" w:rsidRDefault="007432AA" w:rsidP="004C1B2F">
            <w:pPr>
              <w:spacing w:after="0" w:line="240" w:lineRule="auto"/>
              <w:jc w:val="center"/>
              <w:rPr>
                <w:lang w:eastAsia="es-DO"/>
              </w:rPr>
            </w:pPr>
            <w:r w:rsidRPr="004C1B2F">
              <w:rPr>
                <w:lang w:eastAsia="es-DO"/>
              </w:rPr>
              <w:t>2</w:t>
            </w:r>
          </w:p>
        </w:tc>
        <w:tc>
          <w:tcPr>
            <w:tcW w:w="1501" w:type="pct"/>
            <w:gridSpan w:val="2"/>
            <w:vAlign w:val="center"/>
            <w:hideMark/>
          </w:tcPr>
          <w:p w14:paraId="122AD5EF" w14:textId="77777777" w:rsidR="007432AA" w:rsidRPr="004C1B2F" w:rsidRDefault="007432AA" w:rsidP="004C1B2F">
            <w:pPr>
              <w:spacing w:after="0" w:line="240" w:lineRule="auto"/>
              <w:jc w:val="center"/>
              <w:rPr>
                <w:lang w:eastAsia="es-DO"/>
              </w:rPr>
            </w:pPr>
            <w:r w:rsidRPr="004C1B2F">
              <w:rPr>
                <w:lang w:eastAsia="es-DO"/>
              </w:rPr>
              <w:t>-</w:t>
            </w:r>
          </w:p>
        </w:tc>
      </w:tr>
      <w:tr w:rsidR="004921FF" w:rsidRPr="004C1B2F" w14:paraId="040A0877" w14:textId="77777777" w:rsidTr="0067066E">
        <w:trPr>
          <w:trHeight w:val="294"/>
          <w:jc w:val="center"/>
        </w:trPr>
        <w:tc>
          <w:tcPr>
            <w:tcW w:w="2205" w:type="pct"/>
            <w:vAlign w:val="center"/>
            <w:hideMark/>
          </w:tcPr>
          <w:p w14:paraId="0131DE9C" w14:textId="77777777" w:rsidR="007432AA" w:rsidRPr="004C1B2F" w:rsidRDefault="007432AA" w:rsidP="004C1B2F">
            <w:pPr>
              <w:spacing w:after="0" w:line="240" w:lineRule="auto"/>
              <w:rPr>
                <w:lang w:eastAsia="es-DO"/>
              </w:rPr>
            </w:pPr>
            <w:r w:rsidRPr="004C1B2F">
              <w:rPr>
                <w:lang w:eastAsia="es-DO"/>
              </w:rPr>
              <w:t>ARS DR. YUNEN</w:t>
            </w:r>
          </w:p>
        </w:tc>
        <w:tc>
          <w:tcPr>
            <w:tcW w:w="1294" w:type="pct"/>
            <w:vAlign w:val="center"/>
            <w:hideMark/>
          </w:tcPr>
          <w:p w14:paraId="7135B067" w14:textId="77777777" w:rsidR="007432AA" w:rsidRPr="004C1B2F" w:rsidRDefault="007432AA" w:rsidP="004C1B2F">
            <w:pPr>
              <w:spacing w:after="0" w:line="240" w:lineRule="auto"/>
              <w:jc w:val="center"/>
              <w:rPr>
                <w:lang w:eastAsia="es-DO"/>
              </w:rPr>
            </w:pPr>
            <w:r w:rsidRPr="004C1B2F">
              <w:rPr>
                <w:lang w:eastAsia="es-DO"/>
              </w:rPr>
              <w:t>96</w:t>
            </w:r>
          </w:p>
        </w:tc>
        <w:tc>
          <w:tcPr>
            <w:tcW w:w="1501" w:type="pct"/>
            <w:gridSpan w:val="2"/>
            <w:vAlign w:val="center"/>
            <w:hideMark/>
          </w:tcPr>
          <w:p w14:paraId="33BD664B" w14:textId="77777777" w:rsidR="007432AA" w:rsidRPr="004C1B2F" w:rsidRDefault="007432AA" w:rsidP="004C1B2F">
            <w:pPr>
              <w:spacing w:after="0" w:line="240" w:lineRule="auto"/>
              <w:jc w:val="center"/>
              <w:rPr>
                <w:lang w:eastAsia="es-DO"/>
              </w:rPr>
            </w:pPr>
            <w:r w:rsidRPr="004C1B2F">
              <w:rPr>
                <w:lang w:eastAsia="es-DO"/>
              </w:rPr>
              <w:t>27</w:t>
            </w:r>
          </w:p>
        </w:tc>
      </w:tr>
      <w:tr w:rsidR="004921FF" w:rsidRPr="004C1B2F" w14:paraId="5B4710B3" w14:textId="77777777" w:rsidTr="0067066E">
        <w:trPr>
          <w:trHeight w:val="46"/>
          <w:jc w:val="center"/>
        </w:trPr>
        <w:tc>
          <w:tcPr>
            <w:tcW w:w="2205" w:type="pct"/>
            <w:vAlign w:val="center"/>
            <w:hideMark/>
          </w:tcPr>
          <w:p w14:paraId="0FF38012" w14:textId="77777777" w:rsidR="007432AA" w:rsidRPr="004C1B2F" w:rsidRDefault="007432AA" w:rsidP="004C1B2F">
            <w:pPr>
              <w:spacing w:after="0" w:line="240" w:lineRule="auto"/>
              <w:rPr>
                <w:lang w:eastAsia="es-DO"/>
              </w:rPr>
            </w:pPr>
            <w:r w:rsidRPr="004C1B2F">
              <w:rPr>
                <w:lang w:eastAsia="es-DO"/>
              </w:rPr>
              <w:t>ARS MAPFRE SALUD</w:t>
            </w:r>
          </w:p>
        </w:tc>
        <w:tc>
          <w:tcPr>
            <w:tcW w:w="1294" w:type="pct"/>
            <w:vAlign w:val="center"/>
            <w:hideMark/>
          </w:tcPr>
          <w:p w14:paraId="0B84E6EB" w14:textId="77777777" w:rsidR="007432AA" w:rsidRPr="004C1B2F" w:rsidRDefault="007432AA" w:rsidP="004C1B2F">
            <w:pPr>
              <w:spacing w:after="0" w:line="240" w:lineRule="auto"/>
              <w:jc w:val="center"/>
              <w:rPr>
                <w:lang w:eastAsia="es-DO"/>
              </w:rPr>
            </w:pPr>
            <w:r w:rsidRPr="004C1B2F">
              <w:rPr>
                <w:lang w:eastAsia="es-DO"/>
              </w:rPr>
              <w:t>3</w:t>
            </w:r>
          </w:p>
        </w:tc>
        <w:tc>
          <w:tcPr>
            <w:tcW w:w="1501" w:type="pct"/>
            <w:gridSpan w:val="2"/>
            <w:vAlign w:val="center"/>
            <w:hideMark/>
          </w:tcPr>
          <w:p w14:paraId="049B7794" w14:textId="77777777" w:rsidR="007432AA" w:rsidRPr="004C1B2F" w:rsidRDefault="007432AA" w:rsidP="004C1B2F">
            <w:pPr>
              <w:spacing w:after="0" w:line="240" w:lineRule="auto"/>
              <w:jc w:val="center"/>
              <w:rPr>
                <w:lang w:eastAsia="es-DO"/>
              </w:rPr>
            </w:pPr>
            <w:r w:rsidRPr="004C1B2F">
              <w:rPr>
                <w:lang w:eastAsia="es-DO"/>
              </w:rPr>
              <w:t>7</w:t>
            </w:r>
          </w:p>
        </w:tc>
      </w:tr>
      <w:tr w:rsidR="004921FF" w:rsidRPr="004C1B2F" w14:paraId="3BBDC0A4" w14:textId="77777777" w:rsidTr="0067066E">
        <w:trPr>
          <w:trHeight w:val="294"/>
          <w:jc w:val="center"/>
        </w:trPr>
        <w:tc>
          <w:tcPr>
            <w:tcW w:w="2205" w:type="pct"/>
            <w:vAlign w:val="center"/>
            <w:hideMark/>
          </w:tcPr>
          <w:p w14:paraId="50589C1C" w14:textId="77777777" w:rsidR="007432AA" w:rsidRPr="004C1B2F" w:rsidRDefault="007432AA" w:rsidP="004C1B2F">
            <w:pPr>
              <w:spacing w:after="0" w:line="240" w:lineRule="auto"/>
              <w:rPr>
                <w:lang w:eastAsia="es-DO"/>
              </w:rPr>
            </w:pPr>
            <w:r w:rsidRPr="004C1B2F">
              <w:rPr>
                <w:lang w:eastAsia="es-DO"/>
              </w:rPr>
              <w:t>ARS METASALUD</w:t>
            </w:r>
          </w:p>
        </w:tc>
        <w:tc>
          <w:tcPr>
            <w:tcW w:w="1294" w:type="pct"/>
            <w:vAlign w:val="center"/>
            <w:hideMark/>
          </w:tcPr>
          <w:p w14:paraId="7269CC63" w14:textId="77777777" w:rsidR="007432AA" w:rsidRPr="004C1B2F" w:rsidRDefault="007432AA" w:rsidP="004C1B2F">
            <w:pPr>
              <w:spacing w:after="0" w:line="240" w:lineRule="auto"/>
              <w:jc w:val="center"/>
              <w:rPr>
                <w:lang w:eastAsia="es-DO"/>
              </w:rPr>
            </w:pPr>
            <w:r w:rsidRPr="004C1B2F">
              <w:rPr>
                <w:lang w:eastAsia="es-DO"/>
              </w:rPr>
              <w:t>2</w:t>
            </w:r>
          </w:p>
        </w:tc>
        <w:tc>
          <w:tcPr>
            <w:tcW w:w="1501" w:type="pct"/>
            <w:gridSpan w:val="2"/>
            <w:vAlign w:val="center"/>
            <w:hideMark/>
          </w:tcPr>
          <w:p w14:paraId="5FD2F995" w14:textId="77777777" w:rsidR="007432AA" w:rsidRPr="004C1B2F" w:rsidRDefault="007432AA" w:rsidP="004C1B2F">
            <w:pPr>
              <w:spacing w:after="0" w:line="240" w:lineRule="auto"/>
              <w:jc w:val="center"/>
              <w:rPr>
                <w:lang w:eastAsia="es-DO"/>
              </w:rPr>
            </w:pPr>
            <w:r w:rsidRPr="004C1B2F">
              <w:rPr>
                <w:lang w:eastAsia="es-DO"/>
              </w:rPr>
              <w:t>-</w:t>
            </w:r>
          </w:p>
        </w:tc>
      </w:tr>
      <w:tr w:rsidR="004921FF" w:rsidRPr="004C1B2F" w14:paraId="0E88292A" w14:textId="77777777" w:rsidTr="0067066E">
        <w:trPr>
          <w:trHeight w:val="294"/>
          <w:jc w:val="center"/>
        </w:trPr>
        <w:tc>
          <w:tcPr>
            <w:tcW w:w="2205" w:type="pct"/>
            <w:vAlign w:val="center"/>
            <w:hideMark/>
          </w:tcPr>
          <w:p w14:paraId="7994228D" w14:textId="77777777" w:rsidR="007432AA" w:rsidRPr="004C1B2F" w:rsidRDefault="007432AA" w:rsidP="004C1B2F">
            <w:pPr>
              <w:spacing w:after="0" w:line="240" w:lineRule="auto"/>
              <w:rPr>
                <w:lang w:eastAsia="es-DO"/>
              </w:rPr>
            </w:pPr>
            <w:r w:rsidRPr="004C1B2F">
              <w:rPr>
                <w:lang w:eastAsia="es-DO"/>
              </w:rPr>
              <w:t>ARS RENACER</w:t>
            </w:r>
          </w:p>
        </w:tc>
        <w:tc>
          <w:tcPr>
            <w:tcW w:w="1294" w:type="pct"/>
            <w:vAlign w:val="center"/>
            <w:hideMark/>
          </w:tcPr>
          <w:p w14:paraId="42FE664C" w14:textId="77777777" w:rsidR="007432AA" w:rsidRPr="004C1B2F" w:rsidRDefault="007432AA" w:rsidP="004C1B2F">
            <w:pPr>
              <w:spacing w:after="0" w:line="240" w:lineRule="auto"/>
              <w:jc w:val="center"/>
              <w:rPr>
                <w:lang w:eastAsia="es-DO"/>
              </w:rPr>
            </w:pPr>
            <w:r w:rsidRPr="004C1B2F">
              <w:rPr>
                <w:lang w:eastAsia="es-DO"/>
              </w:rPr>
              <w:t>1</w:t>
            </w:r>
          </w:p>
        </w:tc>
        <w:tc>
          <w:tcPr>
            <w:tcW w:w="1501" w:type="pct"/>
            <w:gridSpan w:val="2"/>
            <w:vAlign w:val="center"/>
            <w:hideMark/>
          </w:tcPr>
          <w:p w14:paraId="34A73AD1" w14:textId="77777777" w:rsidR="007432AA" w:rsidRPr="004C1B2F" w:rsidRDefault="007432AA" w:rsidP="004C1B2F">
            <w:pPr>
              <w:spacing w:after="0" w:line="240" w:lineRule="auto"/>
              <w:jc w:val="center"/>
              <w:rPr>
                <w:lang w:eastAsia="es-DO"/>
              </w:rPr>
            </w:pPr>
            <w:r w:rsidRPr="004C1B2F">
              <w:rPr>
                <w:lang w:eastAsia="es-DO"/>
              </w:rPr>
              <w:t>-</w:t>
            </w:r>
          </w:p>
        </w:tc>
      </w:tr>
      <w:tr w:rsidR="004921FF" w:rsidRPr="004C1B2F" w14:paraId="2A213D3E" w14:textId="77777777" w:rsidTr="0067066E">
        <w:trPr>
          <w:trHeight w:val="294"/>
          <w:jc w:val="center"/>
        </w:trPr>
        <w:tc>
          <w:tcPr>
            <w:tcW w:w="2205" w:type="pct"/>
            <w:vAlign w:val="center"/>
            <w:hideMark/>
          </w:tcPr>
          <w:p w14:paraId="189FDD71" w14:textId="77777777" w:rsidR="007432AA" w:rsidRPr="004C1B2F" w:rsidRDefault="007432AA" w:rsidP="004C1B2F">
            <w:pPr>
              <w:spacing w:after="0" w:line="240" w:lineRule="auto"/>
              <w:rPr>
                <w:lang w:eastAsia="es-DO"/>
              </w:rPr>
            </w:pPr>
            <w:r w:rsidRPr="004C1B2F">
              <w:rPr>
                <w:lang w:eastAsia="es-DO"/>
              </w:rPr>
              <w:t>ARS RESERVAS</w:t>
            </w:r>
          </w:p>
        </w:tc>
        <w:tc>
          <w:tcPr>
            <w:tcW w:w="1294" w:type="pct"/>
            <w:vAlign w:val="center"/>
            <w:hideMark/>
          </w:tcPr>
          <w:p w14:paraId="47FEFFD5" w14:textId="77777777" w:rsidR="007432AA" w:rsidRPr="004C1B2F" w:rsidRDefault="007432AA" w:rsidP="004C1B2F">
            <w:pPr>
              <w:spacing w:after="0" w:line="240" w:lineRule="auto"/>
              <w:jc w:val="center"/>
              <w:rPr>
                <w:lang w:eastAsia="es-DO"/>
              </w:rPr>
            </w:pPr>
            <w:r w:rsidRPr="004C1B2F">
              <w:rPr>
                <w:lang w:eastAsia="es-DO"/>
              </w:rPr>
              <w:t>4</w:t>
            </w:r>
          </w:p>
        </w:tc>
        <w:tc>
          <w:tcPr>
            <w:tcW w:w="1501" w:type="pct"/>
            <w:gridSpan w:val="2"/>
            <w:vAlign w:val="center"/>
            <w:hideMark/>
          </w:tcPr>
          <w:p w14:paraId="1CA968AC" w14:textId="77777777" w:rsidR="007432AA" w:rsidRPr="004C1B2F" w:rsidRDefault="007432AA" w:rsidP="004C1B2F">
            <w:pPr>
              <w:spacing w:after="0" w:line="240" w:lineRule="auto"/>
              <w:jc w:val="center"/>
              <w:rPr>
                <w:lang w:eastAsia="es-DO"/>
              </w:rPr>
            </w:pPr>
            <w:r w:rsidRPr="004C1B2F">
              <w:rPr>
                <w:lang w:eastAsia="es-DO"/>
              </w:rPr>
              <w:t>1</w:t>
            </w:r>
          </w:p>
        </w:tc>
      </w:tr>
      <w:tr w:rsidR="004921FF" w:rsidRPr="004C1B2F" w14:paraId="0F30224A" w14:textId="77777777" w:rsidTr="0067066E">
        <w:trPr>
          <w:trHeight w:val="294"/>
          <w:jc w:val="center"/>
        </w:trPr>
        <w:tc>
          <w:tcPr>
            <w:tcW w:w="2205" w:type="pct"/>
            <w:vAlign w:val="center"/>
            <w:hideMark/>
          </w:tcPr>
          <w:p w14:paraId="5837342F" w14:textId="77777777" w:rsidR="007432AA" w:rsidRPr="004C1B2F" w:rsidRDefault="007432AA" w:rsidP="004C1B2F">
            <w:pPr>
              <w:spacing w:after="0" w:line="240" w:lineRule="auto"/>
              <w:rPr>
                <w:lang w:eastAsia="es-DO"/>
              </w:rPr>
            </w:pPr>
            <w:r w:rsidRPr="004C1B2F">
              <w:rPr>
                <w:lang w:eastAsia="es-DO"/>
              </w:rPr>
              <w:t>ARS SEMMA</w:t>
            </w:r>
          </w:p>
        </w:tc>
        <w:tc>
          <w:tcPr>
            <w:tcW w:w="1294" w:type="pct"/>
            <w:vAlign w:val="center"/>
            <w:hideMark/>
          </w:tcPr>
          <w:p w14:paraId="58D9E5E9" w14:textId="77777777" w:rsidR="007432AA" w:rsidRPr="004C1B2F" w:rsidRDefault="007432AA" w:rsidP="004C1B2F">
            <w:pPr>
              <w:spacing w:after="0" w:line="240" w:lineRule="auto"/>
              <w:jc w:val="center"/>
              <w:rPr>
                <w:lang w:eastAsia="es-DO"/>
              </w:rPr>
            </w:pPr>
            <w:r w:rsidRPr="004C1B2F">
              <w:rPr>
                <w:lang w:eastAsia="es-DO"/>
              </w:rPr>
              <w:t>2,881</w:t>
            </w:r>
          </w:p>
        </w:tc>
        <w:tc>
          <w:tcPr>
            <w:tcW w:w="1501" w:type="pct"/>
            <w:gridSpan w:val="2"/>
            <w:vAlign w:val="center"/>
            <w:hideMark/>
          </w:tcPr>
          <w:p w14:paraId="3A55F8A2" w14:textId="77777777" w:rsidR="007432AA" w:rsidRPr="004C1B2F" w:rsidRDefault="007432AA" w:rsidP="004C1B2F">
            <w:pPr>
              <w:spacing w:after="0" w:line="240" w:lineRule="auto"/>
              <w:jc w:val="center"/>
              <w:rPr>
                <w:lang w:eastAsia="es-DO"/>
              </w:rPr>
            </w:pPr>
            <w:r w:rsidRPr="004C1B2F">
              <w:rPr>
                <w:lang w:eastAsia="es-DO"/>
              </w:rPr>
              <w:t>54,258</w:t>
            </w:r>
          </w:p>
        </w:tc>
      </w:tr>
      <w:tr w:rsidR="004921FF" w:rsidRPr="004C1B2F" w14:paraId="364642DF" w14:textId="77777777" w:rsidTr="0067066E">
        <w:trPr>
          <w:trHeight w:val="294"/>
          <w:jc w:val="center"/>
        </w:trPr>
        <w:tc>
          <w:tcPr>
            <w:tcW w:w="2205" w:type="pct"/>
            <w:shd w:val="clear" w:color="auto" w:fill="011C50"/>
            <w:noWrap/>
            <w:vAlign w:val="center"/>
            <w:hideMark/>
          </w:tcPr>
          <w:p w14:paraId="44A036A4" w14:textId="77777777" w:rsidR="007432AA" w:rsidRPr="004C1B2F" w:rsidRDefault="007432AA" w:rsidP="004C1B2F">
            <w:pPr>
              <w:spacing w:after="0" w:line="240" w:lineRule="auto"/>
              <w:jc w:val="center"/>
              <w:rPr>
                <w:b/>
                <w:bCs/>
                <w:lang w:eastAsia="es-DO"/>
              </w:rPr>
            </w:pPr>
            <w:r w:rsidRPr="004C1B2F">
              <w:rPr>
                <w:b/>
                <w:bCs/>
                <w:lang w:eastAsia="es-DO"/>
              </w:rPr>
              <w:t>Total</w:t>
            </w:r>
          </w:p>
        </w:tc>
        <w:tc>
          <w:tcPr>
            <w:tcW w:w="1294" w:type="pct"/>
            <w:shd w:val="clear" w:color="auto" w:fill="011C50"/>
            <w:noWrap/>
            <w:vAlign w:val="center"/>
            <w:hideMark/>
          </w:tcPr>
          <w:p w14:paraId="515D0F8A" w14:textId="77777777" w:rsidR="007432AA" w:rsidRPr="004C1B2F" w:rsidRDefault="007432AA" w:rsidP="004C1B2F">
            <w:pPr>
              <w:spacing w:after="0" w:line="240" w:lineRule="auto"/>
              <w:jc w:val="center"/>
              <w:rPr>
                <w:b/>
                <w:bCs/>
                <w:lang w:eastAsia="es-DO"/>
              </w:rPr>
            </w:pPr>
            <w:r w:rsidRPr="004C1B2F">
              <w:rPr>
                <w:b/>
                <w:bCs/>
                <w:lang w:eastAsia="es-DO"/>
              </w:rPr>
              <w:t>3,037</w:t>
            </w:r>
          </w:p>
        </w:tc>
        <w:tc>
          <w:tcPr>
            <w:tcW w:w="1501" w:type="pct"/>
            <w:gridSpan w:val="2"/>
            <w:shd w:val="clear" w:color="auto" w:fill="011C50"/>
            <w:noWrap/>
            <w:vAlign w:val="center"/>
            <w:hideMark/>
          </w:tcPr>
          <w:p w14:paraId="7A29F26D" w14:textId="77777777" w:rsidR="007432AA" w:rsidRPr="004C1B2F" w:rsidRDefault="007432AA" w:rsidP="004C1B2F">
            <w:pPr>
              <w:spacing w:after="0" w:line="240" w:lineRule="auto"/>
              <w:jc w:val="center"/>
              <w:rPr>
                <w:b/>
                <w:bCs/>
                <w:lang w:eastAsia="es-DO"/>
              </w:rPr>
            </w:pPr>
            <w:r w:rsidRPr="004C1B2F">
              <w:rPr>
                <w:b/>
                <w:bCs/>
                <w:lang w:eastAsia="es-DO"/>
              </w:rPr>
              <w:t>54,318</w:t>
            </w:r>
          </w:p>
        </w:tc>
      </w:tr>
      <w:tr w:rsidR="004921FF" w:rsidRPr="00CD02F5" w14:paraId="1450F35A" w14:textId="77777777" w:rsidTr="0067066E">
        <w:trPr>
          <w:gridAfter w:val="1"/>
          <w:wAfter w:w="52" w:type="pct"/>
          <w:trHeight w:val="280"/>
          <w:jc w:val="center"/>
        </w:trPr>
        <w:tc>
          <w:tcPr>
            <w:tcW w:w="4948" w:type="pct"/>
            <w:gridSpan w:val="3"/>
            <w:tcBorders>
              <w:top w:val="nil"/>
              <w:left w:val="nil"/>
              <w:bottom w:val="nil"/>
              <w:right w:val="nil"/>
            </w:tcBorders>
            <w:noWrap/>
            <w:vAlign w:val="center"/>
            <w:hideMark/>
          </w:tcPr>
          <w:p w14:paraId="408047D8" w14:textId="77777777" w:rsidR="007432AA" w:rsidRPr="004C1B2F" w:rsidRDefault="007432AA" w:rsidP="004C1B2F">
            <w:pPr>
              <w:spacing w:after="0" w:line="240" w:lineRule="auto"/>
              <w:rPr>
                <w:sz w:val="18"/>
                <w:szCs w:val="18"/>
                <w:lang w:val="es-DO" w:eastAsia="es-DO"/>
              </w:rPr>
            </w:pPr>
            <w:r w:rsidRPr="004C1B2F">
              <w:rPr>
                <w:sz w:val="18"/>
                <w:szCs w:val="18"/>
                <w:lang w:val="es-DO" w:eastAsia="es-DO"/>
              </w:rPr>
              <w:t>F</w:t>
            </w:r>
            <w:r w:rsidRPr="004C1B2F">
              <w:rPr>
                <w:rFonts w:eastAsia="Times New Roman"/>
                <w:sz w:val="18"/>
                <w:szCs w:val="18"/>
                <w:lang w:val="es-DO" w:eastAsia="es-DO"/>
              </w:rPr>
              <w:t>uente: Dirección de Gestión Actuarial del SFS y SRL (DGACT), SISALRIL</w:t>
            </w:r>
          </w:p>
        </w:tc>
      </w:tr>
      <w:tr w:rsidR="00AC2DB2" w:rsidRPr="00CD02F5" w14:paraId="3132E864" w14:textId="77777777" w:rsidTr="0067066E">
        <w:trPr>
          <w:gridAfter w:val="1"/>
          <w:wAfter w:w="52" w:type="pct"/>
          <w:trHeight w:val="280"/>
          <w:jc w:val="center"/>
        </w:trPr>
        <w:tc>
          <w:tcPr>
            <w:tcW w:w="4948" w:type="pct"/>
            <w:gridSpan w:val="3"/>
            <w:tcBorders>
              <w:top w:val="nil"/>
              <w:left w:val="nil"/>
              <w:bottom w:val="nil"/>
              <w:right w:val="nil"/>
            </w:tcBorders>
            <w:noWrap/>
            <w:vAlign w:val="center"/>
          </w:tcPr>
          <w:p w14:paraId="0F89B6B5" w14:textId="77777777" w:rsidR="00AC2DB2" w:rsidRPr="004C1B2F" w:rsidRDefault="00AC2DB2" w:rsidP="004C1B2F">
            <w:pPr>
              <w:spacing w:after="0" w:line="240" w:lineRule="auto"/>
              <w:rPr>
                <w:lang w:val="es-DO" w:eastAsia="es-DO"/>
              </w:rPr>
            </w:pPr>
          </w:p>
        </w:tc>
      </w:tr>
    </w:tbl>
    <w:p w14:paraId="6D25A3F5" w14:textId="77777777" w:rsidR="00692400" w:rsidRPr="005C133F" w:rsidRDefault="00692400" w:rsidP="005C133F">
      <w:pPr>
        <w:spacing w:after="0" w:line="360" w:lineRule="auto"/>
        <w:jc w:val="both"/>
        <w:rPr>
          <w:b/>
          <w:bCs/>
          <w:i/>
          <w:iCs/>
          <w:lang w:val="es-DO"/>
        </w:rPr>
      </w:pPr>
    </w:p>
    <w:p w14:paraId="1AE40C4D" w14:textId="70C91488" w:rsidR="00692400" w:rsidRPr="005C133F" w:rsidRDefault="00692400" w:rsidP="005C133F">
      <w:pPr>
        <w:spacing w:after="0" w:line="360" w:lineRule="auto"/>
        <w:jc w:val="both"/>
        <w:rPr>
          <w:b/>
          <w:bCs/>
          <w:lang w:val="es-DO"/>
        </w:rPr>
      </w:pPr>
      <w:r w:rsidRPr="005C133F">
        <w:rPr>
          <w:b/>
          <w:bCs/>
          <w:lang w:val="es-DO"/>
        </w:rPr>
        <w:t>Análisis de las reclamaciones reportadas por las ARS en los esquemas 35 y 7, para los Planes Alternativos de Salud aprobados por la SISALRIL.</w:t>
      </w:r>
    </w:p>
    <w:p w14:paraId="65896EDC" w14:textId="77777777" w:rsidR="00246DA5" w:rsidRPr="005C133F" w:rsidRDefault="00246DA5" w:rsidP="005C133F">
      <w:pPr>
        <w:spacing w:after="0" w:line="360" w:lineRule="auto"/>
        <w:jc w:val="both"/>
        <w:rPr>
          <w:b/>
          <w:bCs/>
          <w:lang w:val="es-DO"/>
        </w:rPr>
      </w:pPr>
    </w:p>
    <w:p w14:paraId="39B8A98F" w14:textId="48EA36FE" w:rsidR="00692400" w:rsidRDefault="002070BB" w:rsidP="005C133F">
      <w:pPr>
        <w:spacing w:after="0" w:line="360" w:lineRule="auto"/>
        <w:jc w:val="both"/>
        <w:rPr>
          <w:lang w:val="es-DO"/>
        </w:rPr>
      </w:pPr>
      <w:r w:rsidRPr="005C133F">
        <w:rPr>
          <w:lang w:val="es-DO"/>
        </w:rPr>
        <w:t xml:space="preserve">Durante el año 2025, </w:t>
      </w:r>
      <w:r w:rsidR="00DB0379" w:rsidRPr="005C133F">
        <w:rPr>
          <w:lang w:val="es-DO"/>
        </w:rPr>
        <w:t xml:space="preserve">se </w:t>
      </w:r>
      <w:r w:rsidR="00692400" w:rsidRPr="005C133F">
        <w:rPr>
          <w:lang w:val="es-DO"/>
        </w:rPr>
        <w:t>realizó el análisis de la siniestralidad de los Planes Alternativos de Salud cuya prima fue aprobada por la Superintendencia durante el año 2023, evaluando su suficiencia frente a la siniestralidad real registrada en el 2024. Con el objetivo central de determinar si las primas aprobadas resultaron adecuadas o si requieren ajustes técnicos para los próximos ejercicios, a fin de garantizar la sostenibilidad financiera y la protección de los afiliados.</w:t>
      </w:r>
    </w:p>
    <w:p w14:paraId="18235811" w14:textId="77777777" w:rsidR="004C1B2F" w:rsidRPr="005C133F" w:rsidRDefault="004C1B2F" w:rsidP="005C133F">
      <w:pPr>
        <w:spacing w:after="0" w:line="360" w:lineRule="auto"/>
        <w:jc w:val="both"/>
        <w:rPr>
          <w:lang w:val="es-DO"/>
        </w:rPr>
      </w:pPr>
    </w:p>
    <w:p w14:paraId="7C4DA6A4" w14:textId="6566C5B7" w:rsidR="00692400" w:rsidRPr="005C133F" w:rsidRDefault="001E5369" w:rsidP="005C133F">
      <w:pPr>
        <w:spacing w:after="0" w:line="360" w:lineRule="auto"/>
        <w:jc w:val="both"/>
        <w:rPr>
          <w:lang w:val="es-DO"/>
        </w:rPr>
      </w:pPr>
      <w:r w:rsidRPr="005C133F">
        <w:rPr>
          <w:lang w:val="es-DO"/>
        </w:rPr>
        <w:lastRenderedPageBreak/>
        <w:t xml:space="preserve">En el marco de este análisis se </w:t>
      </w:r>
      <w:r w:rsidR="002A57FA" w:rsidRPr="005C133F">
        <w:rPr>
          <w:lang w:val="es-DO"/>
        </w:rPr>
        <w:t>plantea</w:t>
      </w:r>
      <w:r w:rsidRPr="005C133F">
        <w:rPr>
          <w:lang w:val="es-DO"/>
        </w:rPr>
        <w:t xml:space="preserve"> que par</w:t>
      </w:r>
      <w:r w:rsidR="00DB0379" w:rsidRPr="005C133F">
        <w:rPr>
          <w:lang w:val="es-DO"/>
        </w:rPr>
        <w:t xml:space="preserve">a el </w:t>
      </w:r>
      <w:r w:rsidRPr="005C133F">
        <w:rPr>
          <w:lang w:val="es-DO"/>
        </w:rPr>
        <w:t xml:space="preserve">2023 </w:t>
      </w:r>
      <w:r w:rsidR="00692400" w:rsidRPr="005C133F">
        <w:rPr>
          <w:lang w:val="es-DO"/>
        </w:rPr>
        <w:t>se aprobaron un total de 135 Planes Alternativos de Salud, de los cuales se descartaron aquellos que se encontraban en estado Nulo, Inactivo o sin cartera (0 afiliados) al momento del estudio. En consecuencia, el análisis se realizó sobre un total de 24 planes que cumplían con los criterios de inclusión y disponían de información suficiente para el desarrollo del estudio.</w:t>
      </w:r>
    </w:p>
    <w:p w14:paraId="49FEDDA9" w14:textId="77777777" w:rsidR="00692400" w:rsidRPr="005C133F" w:rsidRDefault="00692400" w:rsidP="005C133F">
      <w:pPr>
        <w:spacing w:after="0" w:line="360" w:lineRule="auto"/>
        <w:jc w:val="both"/>
        <w:rPr>
          <w:lang w:val="es-DO"/>
        </w:rPr>
      </w:pPr>
      <w:r w:rsidRPr="005C133F">
        <w:rPr>
          <w:lang w:val="es-DO"/>
        </w:rPr>
        <w:t xml:space="preserve">El estudio evidenció que las primas aprobadas para 2023 fueron, en su mayoría, técnicamente insuficientes frente a la experiencia real de 2024. La principal causa de esta insuficiencia podría ser el uso de referencias inadecuadas en el diseño tarifario y la falta de calidad en los datos reportados. </w:t>
      </w:r>
    </w:p>
    <w:p w14:paraId="518A6E71" w14:textId="77777777" w:rsidR="00692400" w:rsidRPr="005C133F" w:rsidRDefault="00692400" w:rsidP="005C133F">
      <w:pPr>
        <w:spacing w:after="0" w:line="360" w:lineRule="auto"/>
        <w:jc w:val="both"/>
        <w:rPr>
          <w:lang w:val="es-DO"/>
        </w:rPr>
      </w:pPr>
      <w:r w:rsidRPr="005C133F">
        <w:rPr>
          <w:lang w:val="es-DO"/>
        </w:rPr>
        <w:t>Además, se realizaron cuatro (4) evaluaciones de contratos de reaseguro, provenientes de la ARS SENASA y Futuro. A ambas ARS se les rechazaron las propuestas por inconsistencia en los contratos remitidos por la ARS SENASA y baja siniestralidad por parte de la ARS Futuro.</w:t>
      </w:r>
    </w:p>
    <w:p w14:paraId="0A1D4811" w14:textId="77777777" w:rsidR="00246DA5" w:rsidRPr="005C133F" w:rsidRDefault="00246DA5" w:rsidP="005C133F">
      <w:pPr>
        <w:spacing w:after="0" w:line="360" w:lineRule="auto"/>
        <w:jc w:val="both"/>
        <w:rPr>
          <w:lang w:val="es-DO"/>
        </w:rPr>
      </w:pPr>
    </w:p>
    <w:p w14:paraId="545BB12B" w14:textId="77777777" w:rsidR="00692400" w:rsidRPr="005C133F" w:rsidRDefault="00692400" w:rsidP="005C133F">
      <w:pPr>
        <w:spacing w:after="0" w:line="360" w:lineRule="auto"/>
        <w:jc w:val="both"/>
        <w:rPr>
          <w:b/>
          <w:bCs/>
          <w:lang w:val="es-DO"/>
        </w:rPr>
      </w:pPr>
      <w:r w:rsidRPr="005C133F">
        <w:rPr>
          <w:b/>
          <w:bCs/>
          <w:lang w:val="es-DO"/>
        </w:rPr>
        <w:t>Publicación</w:t>
      </w:r>
      <w:r w:rsidRPr="005C133F">
        <w:rPr>
          <w:b/>
          <w:bCs/>
          <w:spacing w:val="-15"/>
          <w:lang w:val="es-DO"/>
        </w:rPr>
        <w:t xml:space="preserve"> </w:t>
      </w:r>
      <w:r w:rsidRPr="005C133F">
        <w:rPr>
          <w:b/>
          <w:bCs/>
          <w:lang w:val="es-DO"/>
        </w:rPr>
        <w:t>y</w:t>
      </w:r>
      <w:r w:rsidRPr="005C133F">
        <w:rPr>
          <w:b/>
          <w:bCs/>
          <w:spacing w:val="-15"/>
          <w:lang w:val="es-DO"/>
        </w:rPr>
        <w:t xml:space="preserve"> </w:t>
      </w:r>
      <w:r w:rsidRPr="005C133F">
        <w:rPr>
          <w:b/>
          <w:bCs/>
          <w:lang w:val="es-DO"/>
        </w:rPr>
        <w:t>actualización</w:t>
      </w:r>
      <w:r w:rsidRPr="005C133F">
        <w:rPr>
          <w:b/>
          <w:bCs/>
          <w:spacing w:val="-15"/>
          <w:lang w:val="es-DO"/>
        </w:rPr>
        <w:t xml:space="preserve"> </w:t>
      </w:r>
      <w:r w:rsidRPr="005C133F">
        <w:rPr>
          <w:b/>
          <w:bCs/>
          <w:lang w:val="es-DO"/>
        </w:rPr>
        <w:t>de</w:t>
      </w:r>
      <w:r w:rsidRPr="005C133F">
        <w:rPr>
          <w:b/>
          <w:bCs/>
          <w:spacing w:val="-15"/>
          <w:lang w:val="es-DO"/>
        </w:rPr>
        <w:t xml:space="preserve"> </w:t>
      </w:r>
      <w:r w:rsidRPr="005C133F">
        <w:rPr>
          <w:b/>
          <w:bCs/>
          <w:lang w:val="es-DO"/>
        </w:rPr>
        <w:t>los</w:t>
      </w:r>
      <w:r w:rsidRPr="005C133F">
        <w:rPr>
          <w:b/>
          <w:bCs/>
          <w:spacing w:val="-15"/>
          <w:lang w:val="es-DO"/>
        </w:rPr>
        <w:t xml:space="preserve"> </w:t>
      </w:r>
      <w:r w:rsidRPr="005C133F">
        <w:rPr>
          <w:b/>
          <w:bCs/>
          <w:lang w:val="es-DO"/>
        </w:rPr>
        <w:t>tableros</w:t>
      </w:r>
      <w:r w:rsidRPr="005C133F">
        <w:rPr>
          <w:b/>
          <w:bCs/>
          <w:spacing w:val="-15"/>
          <w:lang w:val="es-DO"/>
        </w:rPr>
        <w:t xml:space="preserve"> </w:t>
      </w:r>
      <w:r w:rsidRPr="005C133F">
        <w:rPr>
          <w:b/>
          <w:bCs/>
          <w:lang w:val="es-DO"/>
        </w:rPr>
        <w:t>de</w:t>
      </w:r>
      <w:r w:rsidRPr="005C133F">
        <w:rPr>
          <w:b/>
          <w:bCs/>
          <w:spacing w:val="-15"/>
          <w:lang w:val="es-DO"/>
        </w:rPr>
        <w:t xml:space="preserve"> </w:t>
      </w:r>
      <w:r w:rsidRPr="005C133F">
        <w:rPr>
          <w:b/>
          <w:bCs/>
          <w:lang w:val="es-DO"/>
        </w:rPr>
        <w:t>control</w:t>
      </w:r>
      <w:r w:rsidRPr="005C133F">
        <w:rPr>
          <w:b/>
          <w:bCs/>
          <w:spacing w:val="-15"/>
          <w:lang w:val="es-DO"/>
        </w:rPr>
        <w:t xml:space="preserve"> </w:t>
      </w:r>
      <w:r w:rsidRPr="005C133F">
        <w:rPr>
          <w:b/>
          <w:bCs/>
          <w:lang w:val="es-DO"/>
        </w:rPr>
        <w:t>de</w:t>
      </w:r>
      <w:r w:rsidRPr="005C133F">
        <w:rPr>
          <w:b/>
          <w:bCs/>
          <w:spacing w:val="-15"/>
          <w:lang w:val="es-DO"/>
        </w:rPr>
        <w:t xml:space="preserve"> </w:t>
      </w:r>
      <w:r w:rsidRPr="005C133F">
        <w:rPr>
          <w:b/>
          <w:bCs/>
          <w:lang w:val="es-DO"/>
        </w:rPr>
        <w:t>métricas</w:t>
      </w:r>
      <w:r w:rsidRPr="005C133F">
        <w:rPr>
          <w:b/>
          <w:bCs/>
          <w:spacing w:val="-15"/>
          <w:lang w:val="es-DO"/>
        </w:rPr>
        <w:t xml:space="preserve"> </w:t>
      </w:r>
      <w:r w:rsidRPr="005C133F">
        <w:rPr>
          <w:b/>
          <w:bCs/>
          <w:lang w:val="es-DO"/>
        </w:rPr>
        <w:t>e</w:t>
      </w:r>
      <w:r w:rsidRPr="005C133F">
        <w:rPr>
          <w:b/>
          <w:bCs/>
          <w:spacing w:val="-15"/>
          <w:lang w:val="es-DO"/>
        </w:rPr>
        <w:t xml:space="preserve"> </w:t>
      </w:r>
      <w:r w:rsidRPr="005C133F">
        <w:rPr>
          <w:b/>
          <w:bCs/>
          <w:lang w:val="es-DO"/>
        </w:rPr>
        <w:t>indicadores para consumo externo e interno, requeridos para toma de decisiones</w:t>
      </w:r>
    </w:p>
    <w:p w14:paraId="79210F7E" w14:textId="77777777" w:rsidR="00246DA5" w:rsidRPr="005C133F" w:rsidRDefault="00246DA5" w:rsidP="005C133F">
      <w:pPr>
        <w:spacing w:after="0" w:line="360" w:lineRule="auto"/>
        <w:jc w:val="both"/>
        <w:rPr>
          <w:b/>
          <w:bCs/>
          <w:lang w:val="es-DO"/>
        </w:rPr>
      </w:pPr>
    </w:p>
    <w:p w14:paraId="5CA8ADD0" w14:textId="77777777" w:rsidR="00692400" w:rsidRPr="005C133F" w:rsidRDefault="00692400">
      <w:pPr>
        <w:pStyle w:val="Prrafodelista"/>
        <w:numPr>
          <w:ilvl w:val="0"/>
          <w:numId w:val="64"/>
        </w:numPr>
        <w:spacing w:after="0" w:line="360" w:lineRule="auto"/>
        <w:jc w:val="both"/>
        <w:rPr>
          <w:lang w:val="es-DO"/>
        </w:rPr>
      </w:pPr>
      <w:r w:rsidRPr="005C133F">
        <w:rPr>
          <w:lang w:val="es-DO"/>
        </w:rPr>
        <w:t>En marco de la estructura del Plan Básico de Salud, se destacan las siguientes mejoras a las prestaciones del SFS, para las últimas versiones del PDSS:</w:t>
      </w:r>
    </w:p>
    <w:p w14:paraId="4E20F3AE" w14:textId="77777777" w:rsidR="00692400" w:rsidRPr="005C133F" w:rsidRDefault="00692400">
      <w:pPr>
        <w:pStyle w:val="Prrafodelista"/>
        <w:numPr>
          <w:ilvl w:val="0"/>
          <w:numId w:val="65"/>
        </w:numPr>
        <w:spacing w:after="0" w:line="360" w:lineRule="auto"/>
        <w:jc w:val="both"/>
        <w:rPr>
          <w:lang w:val="es-DO"/>
        </w:rPr>
      </w:pPr>
      <w:r w:rsidRPr="005C133F">
        <w:rPr>
          <w:b/>
          <w:bCs/>
          <w:lang w:val="es-DO"/>
        </w:rPr>
        <w:t>Régimen Contributivo. Versión 11.0 del PDSS:</w:t>
      </w:r>
      <w:r w:rsidRPr="005C133F">
        <w:rPr>
          <w:lang w:val="es-DO"/>
        </w:rPr>
        <w:t xml:space="preserve"> Se actualizó el PDSS con un nuevo per cápita a RD$1,887.54, con dispersión a partir de noviembre del </w:t>
      </w:r>
      <w:r w:rsidRPr="005C133F">
        <w:rPr>
          <w:lang w:val="es-DO"/>
        </w:rPr>
        <w:lastRenderedPageBreak/>
        <w:t>2025, para recibir los nuevos beneficios en noviembre de ese año.</w:t>
      </w:r>
    </w:p>
    <w:p w14:paraId="6131425C" w14:textId="77777777" w:rsidR="00692400" w:rsidRPr="005C133F" w:rsidRDefault="00692400">
      <w:pPr>
        <w:pStyle w:val="Prrafodelista"/>
        <w:numPr>
          <w:ilvl w:val="0"/>
          <w:numId w:val="65"/>
        </w:numPr>
        <w:spacing w:after="0" w:line="360" w:lineRule="auto"/>
        <w:jc w:val="both"/>
        <w:rPr>
          <w:lang w:val="es-DO"/>
        </w:rPr>
      </w:pPr>
      <w:r w:rsidRPr="005C133F">
        <w:rPr>
          <w:b/>
          <w:bCs/>
          <w:lang w:val="es-DO"/>
        </w:rPr>
        <w:t>Régimen Subsidiado. Versión 8.0 del PDSS:</w:t>
      </w:r>
      <w:r w:rsidRPr="005C133F">
        <w:rPr>
          <w:lang w:val="es-DO"/>
        </w:rPr>
        <w:t xml:space="preserve"> Se actualizó el PDSS con un nuevo per cápita de RD$321.97, a partir de la dispersión de abril 2025 con beneficios retroactivos para los afiliados a partir de enero 2025. </w:t>
      </w:r>
    </w:p>
    <w:p w14:paraId="39CBAFB2" w14:textId="77777777" w:rsidR="00692400" w:rsidRPr="005C133F" w:rsidRDefault="00692400">
      <w:pPr>
        <w:pStyle w:val="Prrafodelista"/>
        <w:numPr>
          <w:ilvl w:val="0"/>
          <w:numId w:val="65"/>
        </w:numPr>
        <w:spacing w:after="0" w:line="360" w:lineRule="auto"/>
        <w:jc w:val="both"/>
        <w:rPr>
          <w:lang w:val="es-DO"/>
        </w:rPr>
      </w:pPr>
      <w:r w:rsidRPr="005C133F">
        <w:rPr>
          <w:b/>
          <w:bCs/>
          <w:lang w:val="es-DO"/>
        </w:rPr>
        <w:t>Planes Especiales de Pensionados y Jubilados. Versión 10.0 del PDSS:</w:t>
      </w:r>
      <w:r w:rsidRPr="005C133F">
        <w:rPr>
          <w:lang w:val="es-DO"/>
        </w:rPr>
        <w:t xml:space="preserve"> En esta se incrementa el per cápita por ampliación de red e inclusión de nuevos beneficios reconocidos en la Resolución del CNSS No. 581-03, que aumenta la cobertura tope de medicamentos ambulatorios pasando de RD$8,000.00 a RD$12,000.00 por afiliado por año, la inclusión de nuevos procedimientos y nuevas vías de abordaje, reorganización de la lista de medicamentos ambulatorios y modificación de la estructura del grupo 7 y mejora del grupo 8 del catálogo del PDSS.                                                                                                </w:t>
      </w:r>
    </w:p>
    <w:p w14:paraId="75AFAC8B" w14:textId="46BBBAEB" w:rsidR="00862738" w:rsidRPr="005C133F" w:rsidRDefault="00862738" w:rsidP="005C133F">
      <w:pPr>
        <w:pStyle w:val="Descripcin"/>
        <w:spacing w:after="0" w:line="360" w:lineRule="auto"/>
        <w:jc w:val="both"/>
        <w:rPr>
          <w:b/>
          <w:i w:val="0"/>
          <w:color w:val="767171"/>
          <w:sz w:val="24"/>
          <w:szCs w:val="24"/>
          <w:lang w:val="es-DO"/>
        </w:rPr>
      </w:pPr>
    </w:p>
    <w:p w14:paraId="0A2FBBD1" w14:textId="1AC2F964" w:rsidR="00692400" w:rsidRPr="005C133F" w:rsidRDefault="00796265" w:rsidP="0067066E">
      <w:pPr>
        <w:pStyle w:val="Descripcin"/>
        <w:spacing w:after="0"/>
        <w:jc w:val="center"/>
        <w:rPr>
          <w:b/>
          <w:i w:val="0"/>
          <w:color w:val="767171"/>
          <w:sz w:val="24"/>
          <w:szCs w:val="24"/>
          <w:lang w:val="es-DO"/>
        </w:rPr>
      </w:pPr>
      <w:bookmarkStart w:id="83" w:name="_Toc218784158"/>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26</w:t>
      </w:r>
      <w:r w:rsidRPr="005C133F">
        <w:rPr>
          <w:b/>
          <w:bCs/>
          <w:i w:val="0"/>
          <w:iCs w:val="0"/>
          <w:color w:val="767171"/>
          <w:sz w:val="24"/>
          <w:szCs w:val="24"/>
          <w:lang w:val="es-DO"/>
        </w:rPr>
        <w:fldChar w:fldCharType="end"/>
      </w:r>
      <w:r w:rsidRPr="005C133F">
        <w:rPr>
          <w:b/>
          <w:bCs/>
          <w:i w:val="0"/>
          <w:iCs w:val="0"/>
          <w:color w:val="767171"/>
          <w:sz w:val="24"/>
          <w:szCs w:val="24"/>
          <w:lang w:val="es-DO"/>
        </w:rPr>
        <w:t xml:space="preserve">. </w:t>
      </w:r>
      <w:r w:rsidR="00692400" w:rsidRPr="005C133F">
        <w:rPr>
          <w:b/>
          <w:i w:val="0"/>
          <w:color w:val="767171"/>
          <w:sz w:val="24"/>
          <w:szCs w:val="24"/>
          <w:lang w:val="es-DO"/>
        </w:rPr>
        <w:t>Per cápita actual de los Planes de Pensionados y Jubilados del SDSS, 2024</w:t>
      </w:r>
      <w:bookmarkEnd w:id="83"/>
    </w:p>
    <w:tbl>
      <w:tblPr>
        <w:tblStyle w:val="TableNormal1"/>
        <w:tblW w:w="0" w:type="auto"/>
        <w:jc w:val="center"/>
        <w:tblBorders>
          <w:top w:val="single" w:sz="4" w:space="0" w:color="767070"/>
          <w:left w:val="single" w:sz="4" w:space="0" w:color="767070"/>
          <w:bottom w:val="single" w:sz="4" w:space="0" w:color="767070"/>
          <w:right w:val="single" w:sz="4" w:space="0" w:color="767070"/>
          <w:insideH w:val="single" w:sz="4" w:space="0" w:color="767070"/>
          <w:insideV w:val="single" w:sz="4" w:space="0" w:color="767070"/>
        </w:tblBorders>
        <w:tblLook w:val="01E0" w:firstRow="1" w:lastRow="1" w:firstColumn="1" w:lastColumn="1" w:noHBand="0" w:noVBand="0"/>
      </w:tblPr>
      <w:tblGrid>
        <w:gridCol w:w="2331"/>
        <w:gridCol w:w="4131"/>
        <w:gridCol w:w="1448"/>
      </w:tblGrid>
      <w:tr w:rsidR="00246DA5" w:rsidRPr="005C133F" w14:paraId="0CDEAFE2" w14:textId="77777777" w:rsidTr="0067066E">
        <w:trPr>
          <w:trHeight w:val="21"/>
          <w:tblHeader/>
          <w:jc w:val="center"/>
        </w:trPr>
        <w:tc>
          <w:tcPr>
            <w:tcW w:w="0" w:type="auto"/>
            <w:gridSpan w:val="2"/>
            <w:shd w:val="clear" w:color="auto" w:fill="011C50"/>
          </w:tcPr>
          <w:p w14:paraId="6445082E" w14:textId="77777777" w:rsidR="00692400" w:rsidRPr="005C133F" w:rsidRDefault="00692400" w:rsidP="004C1B2F">
            <w:pPr>
              <w:pStyle w:val="TableParagraph"/>
              <w:ind w:left="8"/>
              <w:jc w:val="center"/>
              <w:rPr>
                <w:rFonts w:ascii="Times New Roman" w:hAnsi="Times New Roman" w:cs="Times New Roman"/>
                <w:b/>
                <w:color w:val="FFFFFF" w:themeColor="background1"/>
                <w:sz w:val="24"/>
                <w:szCs w:val="24"/>
              </w:rPr>
            </w:pPr>
            <w:r w:rsidRPr="005C133F">
              <w:rPr>
                <w:b/>
                <w:noProof/>
                <w:color w:val="FFFFFF" w:themeColor="background1"/>
                <w:sz w:val="24"/>
                <w:szCs w:val="24"/>
              </w:rPr>
              <mc:AlternateContent>
                <mc:Choice Requires="wpg">
                  <w:drawing>
                    <wp:anchor distT="0" distB="0" distL="0" distR="0" simplePos="0" relativeHeight="251658249" behindDoc="1" locked="0" layoutInCell="1" allowOverlap="1" wp14:anchorId="19DBB9EE" wp14:editId="1D788F58">
                      <wp:simplePos x="0" y="0"/>
                      <wp:positionH relativeFrom="column">
                        <wp:posOffset>537972</wp:posOffset>
                      </wp:positionH>
                      <wp:positionV relativeFrom="paragraph">
                        <wp:posOffset>48632</wp:posOffset>
                      </wp:positionV>
                      <wp:extent cx="2942590" cy="136525"/>
                      <wp:effectExtent l="0" t="0" r="0" b="0"/>
                      <wp:wrapNone/>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2590" cy="136525"/>
                                <a:chOff x="0" y="0"/>
                                <a:chExt cx="2942590" cy="136525"/>
                              </a:xfrm>
                            </wpg:grpSpPr>
                            <wps:wsp>
                              <wps:cNvPr id="684" name="Graphic 684"/>
                              <wps:cNvSpPr/>
                              <wps:spPr>
                                <a:xfrm>
                                  <a:off x="0" y="0"/>
                                  <a:ext cx="2942590" cy="136525"/>
                                </a:xfrm>
                                <a:custGeom>
                                  <a:avLst/>
                                  <a:gdLst/>
                                  <a:ahLst/>
                                  <a:cxnLst/>
                                  <a:rect l="l" t="t" r="r" b="b"/>
                                  <a:pathLst>
                                    <a:path w="2942590" h="136525">
                                      <a:moveTo>
                                        <a:pt x="2942239" y="-4"/>
                                      </a:moveTo>
                                      <a:lnTo>
                                        <a:pt x="0" y="-4"/>
                                      </a:lnTo>
                                      <a:lnTo>
                                        <a:pt x="0" y="136085"/>
                                      </a:lnTo>
                                      <a:lnTo>
                                        <a:pt x="2942239" y="136085"/>
                                      </a:lnTo>
                                      <a:lnTo>
                                        <a:pt x="2942239" y="-4"/>
                                      </a:lnTo>
                                      <a:close/>
                                    </a:path>
                                  </a:pathLst>
                                </a:custGeom>
                                <a:solidFill>
                                  <a:srgbClr val="FBF485">
                                    <a:alpha val="39999"/>
                                  </a:srgbClr>
                                </a:solidFill>
                              </wps:spPr>
                              <wps:bodyPr wrap="square" lIns="0" tIns="0" rIns="0" bIns="0" rtlCol="0">
                                <a:prstTxWarp prst="textNoShape">
                                  <a:avLst/>
                                </a:prstTxWarp>
                                <a:noAutofit/>
                              </wps:bodyPr>
                            </wps:wsp>
                          </wpg:wgp>
                        </a:graphicData>
                      </a:graphic>
                    </wp:anchor>
                  </w:drawing>
                </mc:Choice>
                <mc:Fallback>
                  <w:pict>
                    <v:group w14:anchorId="53D79464" id="Group 683" o:spid="_x0000_s1026" style="position:absolute;margin-left:42.35pt;margin-top:3.85pt;width:231.7pt;height:10.75pt;z-index:-251658231;mso-wrap-distance-left:0;mso-wrap-distance-right:0" coordsize="29425,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">
                      <v:shape id="Graphic 684" o:spid="_x0000_s1027" style="position:absolute;width:29425;height:1365;visibility:visible;mso-wrap-style:square;v-text-anchor:top" coordsize="294259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" path="m2942239,-4l,-4,,136085r2942239,l2942239,-4xe" fillcolor="#fbf485" stroked="f">
                        <v:fill opacity="26214f"/>
                        <v:path arrowok="t"/>
                      </v:shape>
                    </v:group>
                  </w:pict>
                </mc:Fallback>
              </mc:AlternateContent>
            </w:r>
            <w:r w:rsidRPr="005C133F">
              <w:rPr>
                <w:rFonts w:ascii="Times New Roman" w:hAnsi="Times New Roman" w:cs="Times New Roman"/>
                <w:b/>
                <w:color w:val="FFFFFF" w:themeColor="background1"/>
                <w:sz w:val="24"/>
                <w:szCs w:val="24"/>
              </w:rPr>
              <w:t>Planes</w:t>
            </w:r>
            <w:r w:rsidRPr="005C133F">
              <w:rPr>
                <w:rFonts w:ascii="Times New Roman" w:hAnsi="Times New Roman" w:cs="Times New Roman"/>
                <w:b/>
                <w:color w:val="FFFFFF" w:themeColor="background1"/>
                <w:spacing w:val="-4"/>
                <w:sz w:val="24"/>
                <w:szCs w:val="24"/>
              </w:rPr>
              <w:t xml:space="preserve"> </w:t>
            </w:r>
            <w:r w:rsidRPr="005C133F">
              <w:rPr>
                <w:rFonts w:ascii="Times New Roman" w:hAnsi="Times New Roman" w:cs="Times New Roman"/>
                <w:b/>
                <w:color w:val="FFFFFF" w:themeColor="background1"/>
                <w:sz w:val="24"/>
                <w:szCs w:val="24"/>
              </w:rPr>
              <w:t>Especiales</w:t>
            </w:r>
            <w:r w:rsidRPr="005C133F">
              <w:rPr>
                <w:rFonts w:ascii="Times New Roman" w:hAnsi="Times New Roman" w:cs="Times New Roman"/>
                <w:b/>
                <w:color w:val="FFFFFF" w:themeColor="background1"/>
                <w:spacing w:val="-2"/>
                <w:sz w:val="24"/>
                <w:szCs w:val="24"/>
              </w:rPr>
              <w:t xml:space="preserve"> </w:t>
            </w:r>
            <w:r w:rsidRPr="005C133F">
              <w:rPr>
                <w:rFonts w:ascii="Times New Roman" w:hAnsi="Times New Roman" w:cs="Times New Roman"/>
                <w:b/>
                <w:color w:val="FFFFFF" w:themeColor="background1"/>
                <w:sz w:val="24"/>
                <w:szCs w:val="24"/>
              </w:rPr>
              <w:t>de</w:t>
            </w:r>
            <w:r w:rsidRPr="005C133F">
              <w:rPr>
                <w:rFonts w:ascii="Times New Roman" w:hAnsi="Times New Roman" w:cs="Times New Roman"/>
                <w:b/>
                <w:color w:val="FFFFFF" w:themeColor="background1"/>
                <w:spacing w:val="-2"/>
                <w:sz w:val="24"/>
                <w:szCs w:val="24"/>
              </w:rPr>
              <w:t xml:space="preserve"> </w:t>
            </w:r>
            <w:r w:rsidRPr="005C133F">
              <w:rPr>
                <w:rFonts w:ascii="Times New Roman" w:hAnsi="Times New Roman" w:cs="Times New Roman"/>
                <w:b/>
                <w:color w:val="FFFFFF" w:themeColor="background1"/>
                <w:sz w:val="24"/>
                <w:szCs w:val="24"/>
              </w:rPr>
              <w:t>Pensionados</w:t>
            </w:r>
            <w:r w:rsidRPr="005C133F">
              <w:rPr>
                <w:rFonts w:ascii="Times New Roman" w:hAnsi="Times New Roman" w:cs="Times New Roman"/>
                <w:b/>
                <w:color w:val="FFFFFF" w:themeColor="background1"/>
                <w:spacing w:val="-1"/>
                <w:sz w:val="24"/>
                <w:szCs w:val="24"/>
              </w:rPr>
              <w:t xml:space="preserve"> </w:t>
            </w:r>
            <w:r w:rsidRPr="005C133F">
              <w:rPr>
                <w:rFonts w:ascii="Times New Roman" w:hAnsi="Times New Roman" w:cs="Times New Roman"/>
                <w:b/>
                <w:color w:val="FFFFFF" w:themeColor="background1"/>
                <w:sz w:val="24"/>
                <w:szCs w:val="24"/>
              </w:rPr>
              <w:t>y</w:t>
            </w:r>
            <w:r w:rsidRPr="005C133F">
              <w:rPr>
                <w:rFonts w:ascii="Times New Roman" w:hAnsi="Times New Roman" w:cs="Times New Roman"/>
                <w:b/>
                <w:color w:val="FFFFFF" w:themeColor="background1"/>
                <w:spacing w:val="-2"/>
                <w:sz w:val="24"/>
                <w:szCs w:val="24"/>
              </w:rPr>
              <w:t xml:space="preserve"> Jubilados</w:t>
            </w:r>
          </w:p>
        </w:tc>
        <w:tc>
          <w:tcPr>
            <w:tcW w:w="0" w:type="auto"/>
            <w:shd w:val="clear" w:color="auto" w:fill="011C50"/>
          </w:tcPr>
          <w:p w14:paraId="4757C2F3" w14:textId="77777777" w:rsidR="00692400" w:rsidRPr="005C133F" w:rsidRDefault="00692400" w:rsidP="004C1B2F">
            <w:pPr>
              <w:pStyle w:val="TableParagraph"/>
              <w:ind w:left="11" w:right="6"/>
              <w:jc w:val="center"/>
              <w:rPr>
                <w:rFonts w:ascii="Times New Roman" w:hAnsi="Times New Roman" w:cs="Times New Roman"/>
                <w:b/>
                <w:color w:val="FFFFFF" w:themeColor="background1"/>
                <w:sz w:val="24"/>
                <w:szCs w:val="24"/>
              </w:rPr>
            </w:pPr>
            <w:r w:rsidRPr="005C133F">
              <w:rPr>
                <w:b/>
                <w:noProof/>
                <w:color w:val="FFFFFF" w:themeColor="background1"/>
                <w:sz w:val="24"/>
                <w:szCs w:val="24"/>
              </w:rPr>
              <mc:AlternateContent>
                <mc:Choice Requires="wpg">
                  <w:drawing>
                    <wp:anchor distT="0" distB="0" distL="0" distR="0" simplePos="0" relativeHeight="251658248" behindDoc="1" locked="0" layoutInCell="1" allowOverlap="1" wp14:anchorId="351FD911" wp14:editId="21D74090">
                      <wp:simplePos x="0" y="0"/>
                      <wp:positionH relativeFrom="column">
                        <wp:posOffset>169163</wp:posOffset>
                      </wp:positionH>
                      <wp:positionV relativeFrom="paragraph">
                        <wp:posOffset>48632</wp:posOffset>
                      </wp:positionV>
                      <wp:extent cx="662940" cy="136525"/>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 cy="136525"/>
                                <a:chOff x="0" y="0"/>
                                <a:chExt cx="662940" cy="136525"/>
                              </a:xfrm>
                            </wpg:grpSpPr>
                            <wps:wsp>
                              <wps:cNvPr id="686" name="Graphic 686"/>
                              <wps:cNvSpPr/>
                              <wps:spPr>
                                <a:xfrm>
                                  <a:off x="0" y="0"/>
                                  <a:ext cx="662940" cy="136525"/>
                                </a:xfrm>
                                <a:custGeom>
                                  <a:avLst/>
                                  <a:gdLst/>
                                  <a:ahLst/>
                                  <a:cxnLst/>
                                  <a:rect l="l" t="t" r="r" b="b"/>
                                  <a:pathLst>
                                    <a:path w="662940" h="136525">
                                      <a:moveTo>
                                        <a:pt x="662785" y="-4"/>
                                      </a:moveTo>
                                      <a:lnTo>
                                        <a:pt x="0" y="-4"/>
                                      </a:lnTo>
                                      <a:lnTo>
                                        <a:pt x="0" y="136085"/>
                                      </a:lnTo>
                                      <a:lnTo>
                                        <a:pt x="662785" y="136085"/>
                                      </a:lnTo>
                                      <a:lnTo>
                                        <a:pt x="662785" y="-4"/>
                                      </a:lnTo>
                                      <a:close/>
                                    </a:path>
                                  </a:pathLst>
                                </a:custGeom>
                                <a:solidFill>
                                  <a:srgbClr val="FBF485">
                                    <a:alpha val="39999"/>
                                  </a:srgbClr>
                                </a:solidFill>
                              </wps:spPr>
                              <wps:bodyPr wrap="square" lIns="0" tIns="0" rIns="0" bIns="0" rtlCol="0">
                                <a:prstTxWarp prst="textNoShape">
                                  <a:avLst/>
                                </a:prstTxWarp>
                                <a:noAutofit/>
                              </wps:bodyPr>
                            </wps:wsp>
                          </wpg:wgp>
                        </a:graphicData>
                      </a:graphic>
                    </wp:anchor>
                  </w:drawing>
                </mc:Choice>
                <mc:Fallback>
                  <w:pict>
                    <v:group w14:anchorId="794EA41C" id="Group 685" o:spid="_x0000_s1026" style="position:absolute;margin-left:13.3pt;margin-top:3.85pt;width:52.2pt;height:10.75pt;z-index:-251658232;mso-wrap-distance-left:0;mso-wrap-distance-right:0" coordsize="6629,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">
                      <v:shape id="Graphic 686" o:spid="_x0000_s1027" style="position:absolute;width:6629;height:1365;visibility:visible;mso-wrap-style:square;v-text-anchor:top" coordsize="66294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" path="m662785,-4l,-4,,136085r662785,l662785,-4xe" fillcolor="#fbf485" stroked="f">
                        <v:fill opacity="26214f"/>
                        <v:path arrowok="t"/>
                      </v:shape>
                    </v:group>
                  </w:pict>
                </mc:Fallback>
              </mc:AlternateContent>
            </w:r>
            <w:r w:rsidRPr="005C133F">
              <w:rPr>
                <w:rFonts w:ascii="Times New Roman" w:hAnsi="Times New Roman" w:cs="Times New Roman"/>
                <w:b/>
                <w:color w:val="FFFFFF" w:themeColor="background1"/>
                <w:sz w:val="24"/>
                <w:szCs w:val="24"/>
              </w:rPr>
              <w:t>Per</w:t>
            </w:r>
            <w:r w:rsidRPr="005C133F">
              <w:rPr>
                <w:rFonts w:ascii="Times New Roman" w:hAnsi="Times New Roman" w:cs="Times New Roman"/>
                <w:b/>
                <w:color w:val="FFFFFF" w:themeColor="background1"/>
                <w:spacing w:val="-3"/>
                <w:sz w:val="24"/>
                <w:szCs w:val="24"/>
              </w:rPr>
              <w:t xml:space="preserve"> </w:t>
            </w:r>
            <w:r w:rsidRPr="005C133F">
              <w:rPr>
                <w:rFonts w:ascii="Times New Roman" w:hAnsi="Times New Roman" w:cs="Times New Roman"/>
                <w:b/>
                <w:color w:val="FFFFFF" w:themeColor="background1"/>
                <w:spacing w:val="-2"/>
                <w:sz w:val="24"/>
                <w:szCs w:val="24"/>
              </w:rPr>
              <w:t>cápita</w:t>
            </w:r>
          </w:p>
        </w:tc>
      </w:tr>
      <w:tr w:rsidR="004921FF" w:rsidRPr="005C133F" w14:paraId="780BBF3A" w14:textId="77777777" w:rsidTr="0067066E">
        <w:trPr>
          <w:trHeight w:val="21"/>
          <w:jc w:val="center"/>
        </w:trPr>
        <w:tc>
          <w:tcPr>
            <w:tcW w:w="0" w:type="auto"/>
            <w:vMerge w:val="restart"/>
            <w:vAlign w:val="center"/>
          </w:tcPr>
          <w:p w14:paraId="560E2F24" w14:textId="77777777" w:rsidR="00692400" w:rsidRPr="005C133F" w:rsidRDefault="00692400" w:rsidP="004C1B2F">
            <w:pPr>
              <w:pStyle w:val="TableParagraph"/>
              <w:ind w:right="247"/>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Ministerio de Hacienda</w:t>
            </w:r>
          </w:p>
        </w:tc>
        <w:tc>
          <w:tcPr>
            <w:tcW w:w="0" w:type="auto"/>
          </w:tcPr>
          <w:p w14:paraId="79336133"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342-09 (ARS SEMMA)</w:t>
            </w:r>
          </w:p>
        </w:tc>
        <w:tc>
          <w:tcPr>
            <w:tcW w:w="0" w:type="auto"/>
          </w:tcPr>
          <w:p w14:paraId="4324DBA9" w14:textId="77777777" w:rsidR="00692400" w:rsidRPr="005C133F" w:rsidRDefault="00692400" w:rsidP="004C1B2F">
            <w:pPr>
              <w:pStyle w:val="TableParagraph"/>
              <w:ind w:left="11"/>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RD$3,933.30</w:t>
            </w:r>
          </w:p>
        </w:tc>
      </w:tr>
      <w:tr w:rsidR="004921FF" w:rsidRPr="005C133F" w14:paraId="05D67A19" w14:textId="77777777" w:rsidTr="0067066E">
        <w:trPr>
          <w:trHeight w:val="21"/>
          <w:jc w:val="center"/>
        </w:trPr>
        <w:tc>
          <w:tcPr>
            <w:tcW w:w="0" w:type="auto"/>
            <w:vMerge/>
            <w:tcBorders>
              <w:top w:val="nil"/>
            </w:tcBorders>
            <w:vAlign w:val="center"/>
          </w:tcPr>
          <w:p w14:paraId="75B4164B" w14:textId="77777777" w:rsidR="00692400" w:rsidRPr="005C133F" w:rsidRDefault="00692400" w:rsidP="004C1B2F">
            <w:pPr>
              <w:rPr>
                <w:rFonts w:ascii="Times New Roman" w:hAnsi="Times New Roman" w:cs="Times New Roman"/>
                <w:color w:val="767171"/>
                <w:sz w:val="24"/>
                <w:szCs w:val="24"/>
                <w:lang w:val="es-DO"/>
              </w:rPr>
            </w:pPr>
          </w:p>
        </w:tc>
        <w:tc>
          <w:tcPr>
            <w:tcW w:w="0" w:type="auto"/>
          </w:tcPr>
          <w:p w14:paraId="18C82FC3"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342-09 (ARS SENASA)</w:t>
            </w:r>
          </w:p>
        </w:tc>
        <w:tc>
          <w:tcPr>
            <w:tcW w:w="0" w:type="auto"/>
          </w:tcPr>
          <w:p w14:paraId="52DD10B3" w14:textId="77777777" w:rsidR="00692400" w:rsidRPr="005C133F" w:rsidRDefault="00692400" w:rsidP="004C1B2F">
            <w:pPr>
              <w:pStyle w:val="TableParagraph"/>
              <w:ind w:left="11"/>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RD$2,904.87</w:t>
            </w:r>
          </w:p>
        </w:tc>
      </w:tr>
      <w:tr w:rsidR="004921FF" w:rsidRPr="005C133F" w14:paraId="162E714A" w14:textId="77777777" w:rsidTr="0067066E">
        <w:trPr>
          <w:trHeight w:val="21"/>
          <w:jc w:val="center"/>
        </w:trPr>
        <w:tc>
          <w:tcPr>
            <w:tcW w:w="0" w:type="auto"/>
            <w:vMerge/>
            <w:tcBorders>
              <w:top w:val="nil"/>
            </w:tcBorders>
            <w:vAlign w:val="center"/>
          </w:tcPr>
          <w:p w14:paraId="1016C71C" w14:textId="77777777" w:rsidR="00692400" w:rsidRPr="005C133F" w:rsidRDefault="00692400" w:rsidP="004C1B2F">
            <w:pPr>
              <w:rPr>
                <w:rFonts w:ascii="Times New Roman" w:hAnsi="Times New Roman" w:cs="Times New Roman"/>
                <w:color w:val="767171"/>
                <w:sz w:val="24"/>
                <w:szCs w:val="24"/>
                <w:lang w:val="es-DO"/>
              </w:rPr>
            </w:pPr>
          </w:p>
        </w:tc>
        <w:tc>
          <w:tcPr>
            <w:tcW w:w="0" w:type="auto"/>
          </w:tcPr>
          <w:p w14:paraId="54E12F39"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342-09 (ARS SS)</w:t>
            </w:r>
          </w:p>
        </w:tc>
        <w:tc>
          <w:tcPr>
            <w:tcW w:w="0" w:type="auto"/>
          </w:tcPr>
          <w:p w14:paraId="5DDD846F" w14:textId="77777777" w:rsidR="00692400" w:rsidRPr="005C133F" w:rsidRDefault="00692400" w:rsidP="004C1B2F">
            <w:pPr>
              <w:pStyle w:val="TableParagraph"/>
              <w:ind w:left="11"/>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RD$2,904.87</w:t>
            </w:r>
          </w:p>
        </w:tc>
      </w:tr>
      <w:tr w:rsidR="004921FF" w:rsidRPr="005C133F" w14:paraId="590B6586" w14:textId="77777777" w:rsidTr="0067066E">
        <w:trPr>
          <w:trHeight w:val="21"/>
          <w:jc w:val="center"/>
        </w:trPr>
        <w:tc>
          <w:tcPr>
            <w:tcW w:w="0" w:type="auto"/>
            <w:vMerge/>
            <w:tcBorders>
              <w:top w:val="nil"/>
            </w:tcBorders>
            <w:vAlign w:val="center"/>
          </w:tcPr>
          <w:p w14:paraId="0EBCEAFE" w14:textId="77777777" w:rsidR="00692400" w:rsidRPr="005C133F" w:rsidRDefault="00692400" w:rsidP="004C1B2F">
            <w:pPr>
              <w:rPr>
                <w:rFonts w:ascii="Times New Roman" w:hAnsi="Times New Roman" w:cs="Times New Roman"/>
                <w:color w:val="767171"/>
                <w:sz w:val="24"/>
                <w:szCs w:val="24"/>
                <w:lang w:val="es-DO"/>
              </w:rPr>
            </w:pPr>
          </w:p>
        </w:tc>
        <w:tc>
          <w:tcPr>
            <w:tcW w:w="0" w:type="auto"/>
          </w:tcPr>
          <w:p w14:paraId="008FD437"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18-19 (ARS SENASA)</w:t>
            </w:r>
          </w:p>
        </w:tc>
        <w:tc>
          <w:tcPr>
            <w:tcW w:w="0" w:type="auto"/>
          </w:tcPr>
          <w:p w14:paraId="28CCEF77" w14:textId="77777777" w:rsidR="00692400" w:rsidRPr="005C133F" w:rsidRDefault="00692400" w:rsidP="004C1B2F">
            <w:pPr>
              <w:pStyle w:val="TableParagraph"/>
              <w:ind w:left="11"/>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RD$2,331.43</w:t>
            </w:r>
          </w:p>
        </w:tc>
      </w:tr>
      <w:tr w:rsidR="004921FF" w:rsidRPr="005C133F" w14:paraId="035381E1" w14:textId="77777777" w:rsidTr="0067066E">
        <w:trPr>
          <w:trHeight w:val="21"/>
          <w:jc w:val="center"/>
        </w:trPr>
        <w:tc>
          <w:tcPr>
            <w:tcW w:w="0" w:type="auto"/>
            <w:vMerge w:val="restart"/>
            <w:vAlign w:val="center"/>
          </w:tcPr>
          <w:p w14:paraId="25429AFD"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Sector Salud</w:t>
            </w:r>
          </w:p>
        </w:tc>
        <w:tc>
          <w:tcPr>
            <w:tcW w:w="0" w:type="auto"/>
          </w:tcPr>
          <w:p w14:paraId="07409ADB"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371-16 (ARS CMD)</w:t>
            </w:r>
          </w:p>
        </w:tc>
        <w:tc>
          <w:tcPr>
            <w:tcW w:w="0" w:type="auto"/>
            <w:vMerge w:val="restart"/>
          </w:tcPr>
          <w:p w14:paraId="548166D9" w14:textId="77777777" w:rsidR="00692400" w:rsidRPr="005C133F" w:rsidRDefault="00692400" w:rsidP="004C1B2F">
            <w:pPr>
              <w:pStyle w:val="TableParagraph"/>
              <w:ind w:left="144"/>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RD$3,533.82</w:t>
            </w:r>
          </w:p>
        </w:tc>
      </w:tr>
      <w:tr w:rsidR="004921FF" w:rsidRPr="005C133F" w14:paraId="4AE9C8D8" w14:textId="77777777" w:rsidTr="0067066E">
        <w:trPr>
          <w:trHeight w:val="21"/>
          <w:jc w:val="center"/>
        </w:trPr>
        <w:tc>
          <w:tcPr>
            <w:tcW w:w="0" w:type="auto"/>
            <w:vMerge/>
            <w:tcBorders>
              <w:top w:val="nil"/>
            </w:tcBorders>
            <w:vAlign w:val="center"/>
          </w:tcPr>
          <w:p w14:paraId="35AA4F8F" w14:textId="77777777" w:rsidR="00692400" w:rsidRPr="005C133F" w:rsidRDefault="00692400" w:rsidP="004C1B2F">
            <w:pPr>
              <w:rPr>
                <w:rFonts w:ascii="Times New Roman" w:hAnsi="Times New Roman" w:cs="Times New Roman"/>
                <w:color w:val="767171"/>
                <w:sz w:val="24"/>
                <w:szCs w:val="24"/>
                <w:lang w:val="es-DO"/>
              </w:rPr>
            </w:pPr>
          </w:p>
        </w:tc>
        <w:tc>
          <w:tcPr>
            <w:tcW w:w="0" w:type="auto"/>
          </w:tcPr>
          <w:p w14:paraId="61BAEAFB"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371-16 (ARS SENASA)</w:t>
            </w:r>
          </w:p>
        </w:tc>
        <w:tc>
          <w:tcPr>
            <w:tcW w:w="0" w:type="auto"/>
            <w:vMerge/>
            <w:tcBorders>
              <w:top w:val="nil"/>
            </w:tcBorders>
          </w:tcPr>
          <w:p w14:paraId="5AD57B58" w14:textId="77777777" w:rsidR="00692400" w:rsidRPr="005C133F" w:rsidRDefault="00692400" w:rsidP="004C1B2F">
            <w:pPr>
              <w:jc w:val="center"/>
              <w:rPr>
                <w:rFonts w:ascii="Times New Roman" w:hAnsi="Times New Roman" w:cs="Times New Roman"/>
                <w:color w:val="767171"/>
                <w:sz w:val="24"/>
                <w:szCs w:val="24"/>
                <w:lang w:val="es-DO"/>
              </w:rPr>
            </w:pPr>
          </w:p>
        </w:tc>
      </w:tr>
      <w:tr w:rsidR="004921FF" w:rsidRPr="005C133F" w14:paraId="465381A9" w14:textId="77777777" w:rsidTr="0067066E">
        <w:trPr>
          <w:trHeight w:val="21"/>
          <w:jc w:val="center"/>
        </w:trPr>
        <w:tc>
          <w:tcPr>
            <w:tcW w:w="0" w:type="auto"/>
            <w:vAlign w:val="center"/>
          </w:tcPr>
          <w:p w14:paraId="05CAD333"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Fuerzas Armadas</w:t>
            </w:r>
          </w:p>
        </w:tc>
        <w:tc>
          <w:tcPr>
            <w:tcW w:w="0" w:type="auto"/>
          </w:tcPr>
          <w:p w14:paraId="5114FF01"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Decreto 159-17 (ARS SENASA)</w:t>
            </w:r>
          </w:p>
        </w:tc>
        <w:tc>
          <w:tcPr>
            <w:tcW w:w="0" w:type="auto"/>
          </w:tcPr>
          <w:p w14:paraId="2D879B09" w14:textId="77777777" w:rsidR="00692400" w:rsidRPr="005C133F" w:rsidRDefault="00692400" w:rsidP="004C1B2F">
            <w:pPr>
              <w:pStyle w:val="TableParagraph"/>
              <w:ind w:left="11"/>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RD$2,239.83</w:t>
            </w:r>
          </w:p>
        </w:tc>
      </w:tr>
      <w:tr w:rsidR="004921FF" w:rsidRPr="005C133F" w14:paraId="6D95BF57" w14:textId="77777777" w:rsidTr="0067066E">
        <w:trPr>
          <w:trHeight w:val="119"/>
          <w:jc w:val="center"/>
        </w:trPr>
        <w:tc>
          <w:tcPr>
            <w:tcW w:w="0" w:type="auto"/>
            <w:vAlign w:val="center"/>
          </w:tcPr>
          <w:p w14:paraId="0CA1FEA0"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Policía Nacional</w:t>
            </w:r>
          </w:p>
        </w:tc>
        <w:tc>
          <w:tcPr>
            <w:tcW w:w="0" w:type="auto"/>
            <w:vAlign w:val="bottom"/>
          </w:tcPr>
          <w:p w14:paraId="3DB1E584" w14:textId="77777777" w:rsidR="00692400" w:rsidRPr="005C133F" w:rsidRDefault="00692400" w:rsidP="004C1B2F">
            <w:pPr>
              <w:pStyle w:val="TableParagraph"/>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Res. SISALRIL No. 207-2016 (ARSSENASA)</w:t>
            </w:r>
          </w:p>
        </w:tc>
        <w:tc>
          <w:tcPr>
            <w:tcW w:w="0" w:type="auto"/>
          </w:tcPr>
          <w:p w14:paraId="6CBEC4EE" w14:textId="77777777" w:rsidR="00692400" w:rsidRPr="005C133F" w:rsidRDefault="00692400" w:rsidP="004C1B2F">
            <w:pPr>
              <w:pStyle w:val="TableParagraph"/>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RD$1,905.47</w:t>
            </w:r>
          </w:p>
        </w:tc>
      </w:tr>
    </w:tbl>
    <w:p w14:paraId="24DA6791" w14:textId="685867BF" w:rsidR="00692400" w:rsidRPr="00AC2DB2" w:rsidRDefault="00692400" w:rsidP="004C1B2F">
      <w:pPr>
        <w:spacing w:before="3" w:after="0" w:line="360" w:lineRule="auto"/>
        <w:rPr>
          <w:sz w:val="18"/>
          <w:szCs w:val="18"/>
          <w:lang w:val="es-DO"/>
        </w:rPr>
      </w:pPr>
      <w:r w:rsidRPr="00AC2DB2">
        <w:rPr>
          <w:sz w:val="18"/>
          <w:szCs w:val="18"/>
          <w:lang w:val="es-DO"/>
        </w:rPr>
        <w:t xml:space="preserve">Fuente: Dirección de </w:t>
      </w:r>
      <w:r w:rsidR="000E2A99" w:rsidRPr="00AC2DB2">
        <w:rPr>
          <w:sz w:val="18"/>
          <w:szCs w:val="18"/>
          <w:lang w:val="es-DO"/>
        </w:rPr>
        <w:t xml:space="preserve">Gestión </w:t>
      </w:r>
      <w:r w:rsidRPr="00AC2DB2">
        <w:rPr>
          <w:sz w:val="18"/>
          <w:szCs w:val="18"/>
          <w:lang w:val="es-DO"/>
        </w:rPr>
        <w:t>Actuarial</w:t>
      </w:r>
      <w:r w:rsidR="00A35F2B" w:rsidRPr="00AC2DB2">
        <w:rPr>
          <w:sz w:val="18"/>
          <w:szCs w:val="18"/>
          <w:lang w:val="es-DO"/>
        </w:rPr>
        <w:t xml:space="preserve"> del SFS y el SRL</w:t>
      </w:r>
      <w:r w:rsidRPr="00AC2DB2">
        <w:rPr>
          <w:sz w:val="18"/>
          <w:szCs w:val="18"/>
          <w:lang w:val="es-DO"/>
        </w:rPr>
        <w:t>, SISALRIL.</w:t>
      </w:r>
    </w:p>
    <w:p w14:paraId="529CA6EF" w14:textId="77777777" w:rsidR="00692400" w:rsidRPr="005C133F" w:rsidRDefault="00692400" w:rsidP="005C133F">
      <w:pPr>
        <w:tabs>
          <w:tab w:val="left" w:pos="960"/>
        </w:tabs>
        <w:spacing w:after="0" w:line="360" w:lineRule="auto"/>
        <w:rPr>
          <w:lang w:val="es-DO"/>
        </w:rPr>
      </w:pPr>
    </w:p>
    <w:p w14:paraId="5EBCFF2E" w14:textId="77777777" w:rsidR="00803F7B" w:rsidRDefault="00692400">
      <w:pPr>
        <w:pStyle w:val="Prrafodelista"/>
        <w:numPr>
          <w:ilvl w:val="0"/>
          <w:numId w:val="64"/>
        </w:numPr>
        <w:spacing w:after="0" w:line="360" w:lineRule="auto"/>
        <w:jc w:val="both"/>
        <w:rPr>
          <w:lang w:val="es-DO"/>
        </w:rPr>
      </w:pPr>
      <w:r w:rsidRPr="005C133F">
        <w:rPr>
          <w:lang w:val="es-DO"/>
        </w:rPr>
        <w:lastRenderedPageBreak/>
        <w:t xml:space="preserve">Se actualizó un Dashboard de diabetes e hipertensión, conteniendo los montos pagados por ARS, cantidad de servicios otorgados y ciudadanos únicos. Para el año 2024, se visualiza un monto total de RD$13,785,252,430.13 en ambos regímenes, observándose el gasto de la siguiente manera: </w:t>
      </w:r>
    </w:p>
    <w:p w14:paraId="2BE4BCDA" w14:textId="77777777" w:rsidR="004C1B2F" w:rsidRPr="005C133F" w:rsidRDefault="004C1B2F" w:rsidP="004C1B2F">
      <w:pPr>
        <w:pStyle w:val="Prrafodelista"/>
        <w:spacing w:after="0" w:line="360" w:lineRule="auto"/>
        <w:ind w:left="360" w:firstLine="720"/>
        <w:jc w:val="both"/>
        <w:rPr>
          <w:lang w:val="es-DO"/>
        </w:rPr>
      </w:pPr>
    </w:p>
    <w:p w14:paraId="030E0FEA" w14:textId="1AC8B5C6" w:rsidR="00796265" w:rsidRPr="005C133F" w:rsidRDefault="00796265" w:rsidP="004C1B2F">
      <w:pPr>
        <w:pStyle w:val="Descripcin"/>
        <w:keepNext/>
        <w:spacing w:after="0"/>
        <w:jc w:val="center"/>
        <w:rPr>
          <w:b/>
          <w:bCs/>
          <w:i w:val="0"/>
          <w:iCs w:val="0"/>
          <w:color w:val="767171"/>
          <w:sz w:val="24"/>
          <w:szCs w:val="24"/>
          <w:lang w:val="es-DO"/>
        </w:rPr>
      </w:pPr>
      <w:bookmarkStart w:id="84" w:name="_Toc218784159"/>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27</w:t>
      </w:r>
      <w:r w:rsidRPr="005C133F">
        <w:rPr>
          <w:b/>
          <w:bCs/>
          <w:i w:val="0"/>
          <w:iCs w:val="0"/>
          <w:color w:val="767171"/>
          <w:sz w:val="24"/>
          <w:szCs w:val="24"/>
          <w:lang w:val="es-DO"/>
        </w:rPr>
        <w:fldChar w:fldCharType="end"/>
      </w:r>
      <w:r w:rsidRPr="005C133F">
        <w:rPr>
          <w:b/>
          <w:bCs/>
          <w:i w:val="0"/>
          <w:iCs w:val="0"/>
          <w:color w:val="767171"/>
          <w:sz w:val="24"/>
          <w:szCs w:val="24"/>
          <w:lang w:val="es-DO"/>
        </w:rPr>
        <w:t>. Seguro Familiar de Salud. Plan Básico de Salud. Monto pagado por las ARS para la cobertura del tratamiento de la Diabetes Mellitus e Hipertensión</w:t>
      </w:r>
      <w:bookmarkEnd w:id="84"/>
    </w:p>
    <w:tbl>
      <w:tblPr>
        <w:tblW w:w="10774"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074"/>
        <w:gridCol w:w="2140"/>
        <w:gridCol w:w="2140"/>
        <w:gridCol w:w="2140"/>
        <w:gridCol w:w="2280"/>
      </w:tblGrid>
      <w:tr w:rsidR="00246DA5" w:rsidRPr="005C133F" w14:paraId="20F4702E" w14:textId="77777777" w:rsidTr="0067066E">
        <w:trPr>
          <w:trHeight w:val="20"/>
          <w:tblHeader/>
          <w:jc w:val="center"/>
        </w:trPr>
        <w:tc>
          <w:tcPr>
            <w:tcW w:w="2074" w:type="dxa"/>
            <w:shd w:val="clear" w:color="auto" w:fill="011C50"/>
            <w:noWrap/>
            <w:vAlign w:val="center"/>
            <w:hideMark/>
          </w:tcPr>
          <w:p w14:paraId="46AB4AF6"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ARS</w:t>
            </w:r>
          </w:p>
        </w:tc>
        <w:tc>
          <w:tcPr>
            <w:tcW w:w="2140" w:type="dxa"/>
            <w:shd w:val="clear" w:color="auto" w:fill="011C50"/>
            <w:vAlign w:val="center"/>
            <w:hideMark/>
          </w:tcPr>
          <w:p w14:paraId="34678BA5"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w:t>
            </w:r>
          </w:p>
        </w:tc>
        <w:tc>
          <w:tcPr>
            <w:tcW w:w="0" w:type="auto"/>
            <w:shd w:val="clear" w:color="auto" w:fill="011C50"/>
            <w:vAlign w:val="center"/>
            <w:hideMark/>
          </w:tcPr>
          <w:p w14:paraId="03650F56"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Hipertenso</w:t>
            </w:r>
          </w:p>
        </w:tc>
        <w:tc>
          <w:tcPr>
            <w:tcW w:w="0" w:type="auto"/>
            <w:shd w:val="clear" w:color="auto" w:fill="011C50"/>
            <w:vAlign w:val="center"/>
            <w:hideMark/>
          </w:tcPr>
          <w:p w14:paraId="570A1A47"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 e Hipertenso</w:t>
            </w:r>
          </w:p>
        </w:tc>
        <w:tc>
          <w:tcPr>
            <w:tcW w:w="0" w:type="auto"/>
            <w:shd w:val="clear" w:color="auto" w:fill="011C50"/>
            <w:noWrap/>
            <w:vAlign w:val="center"/>
            <w:hideMark/>
          </w:tcPr>
          <w:p w14:paraId="399EECEF"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Total general</w:t>
            </w:r>
          </w:p>
        </w:tc>
      </w:tr>
      <w:tr w:rsidR="004921FF" w:rsidRPr="005C133F" w14:paraId="54B88276" w14:textId="77777777" w:rsidTr="0067066E">
        <w:trPr>
          <w:trHeight w:val="20"/>
          <w:jc w:val="center"/>
        </w:trPr>
        <w:tc>
          <w:tcPr>
            <w:tcW w:w="2074" w:type="dxa"/>
            <w:noWrap/>
            <w:vAlign w:val="bottom"/>
            <w:hideMark/>
          </w:tcPr>
          <w:p w14:paraId="5C806901" w14:textId="77777777" w:rsidR="00803F7B" w:rsidRPr="005C133F" w:rsidRDefault="00803F7B" w:rsidP="004C1B2F">
            <w:pPr>
              <w:spacing w:after="0" w:line="240" w:lineRule="auto"/>
              <w:rPr>
                <w:lang w:val="es-DO" w:eastAsia="es-DO"/>
              </w:rPr>
            </w:pPr>
            <w:r w:rsidRPr="005C133F">
              <w:rPr>
                <w:lang w:val="es-DO" w:eastAsia="es-DO"/>
              </w:rPr>
              <w:t>ARS ABEL GONZALEZ</w:t>
            </w:r>
          </w:p>
        </w:tc>
        <w:tc>
          <w:tcPr>
            <w:tcW w:w="2140" w:type="dxa"/>
            <w:vAlign w:val="bottom"/>
            <w:hideMark/>
          </w:tcPr>
          <w:p w14:paraId="45493277" w14:textId="77777777" w:rsidR="00803F7B" w:rsidRPr="005C133F" w:rsidRDefault="00803F7B" w:rsidP="004C1B2F">
            <w:pPr>
              <w:spacing w:after="0" w:line="240" w:lineRule="auto"/>
              <w:jc w:val="right"/>
              <w:rPr>
                <w:lang w:val="es-DO" w:eastAsia="es-DO"/>
              </w:rPr>
            </w:pPr>
            <w:r w:rsidRPr="005C133F">
              <w:rPr>
                <w:lang w:val="es-DO" w:eastAsia="es-DO"/>
              </w:rPr>
              <w:t>21,973,917.92</w:t>
            </w:r>
          </w:p>
        </w:tc>
        <w:tc>
          <w:tcPr>
            <w:tcW w:w="0" w:type="auto"/>
            <w:vAlign w:val="bottom"/>
            <w:hideMark/>
          </w:tcPr>
          <w:p w14:paraId="2421D6AC" w14:textId="77777777" w:rsidR="00803F7B" w:rsidRPr="005C133F" w:rsidRDefault="00803F7B" w:rsidP="004C1B2F">
            <w:pPr>
              <w:spacing w:after="0" w:line="240" w:lineRule="auto"/>
              <w:jc w:val="right"/>
              <w:rPr>
                <w:lang w:val="es-DO" w:eastAsia="es-DO"/>
              </w:rPr>
            </w:pPr>
            <w:r w:rsidRPr="005C133F">
              <w:rPr>
                <w:lang w:val="es-DO" w:eastAsia="es-DO"/>
              </w:rPr>
              <w:t>71,840,343.55</w:t>
            </w:r>
          </w:p>
        </w:tc>
        <w:tc>
          <w:tcPr>
            <w:tcW w:w="0" w:type="auto"/>
            <w:vAlign w:val="bottom"/>
            <w:hideMark/>
          </w:tcPr>
          <w:p w14:paraId="41355D59" w14:textId="77777777" w:rsidR="00803F7B" w:rsidRPr="005C133F" w:rsidRDefault="00803F7B" w:rsidP="004C1B2F">
            <w:pPr>
              <w:spacing w:after="0" w:line="240" w:lineRule="auto"/>
              <w:jc w:val="right"/>
              <w:rPr>
                <w:lang w:val="es-DO" w:eastAsia="es-DO"/>
              </w:rPr>
            </w:pPr>
            <w:r w:rsidRPr="005C133F">
              <w:rPr>
                <w:lang w:val="es-DO" w:eastAsia="es-DO"/>
              </w:rPr>
              <w:t>22,707,887.84</w:t>
            </w:r>
          </w:p>
        </w:tc>
        <w:tc>
          <w:tcPr>
            <w:tcW w:w="0" w:type="auto"/>
            <w:noWrap/>
            <w:vAlign w:val="bottom"/>
            <w:hideMark/>
          </w:tcPr>
          <w:p w14:paraId="374B0982" w14:textId="77777777" w:rsidR="00803F7B" w:rsidRPr="005C133F" w:rsidRDefault="00803F7B" w:rsidP="004C1B2F">
            <w:pPr>
              <w:spacing w:after="0" w:line="240" w:lineRule="auto"/>
              <w:jc w:val="right"/>
              <w:rPr>
                <w:lang w:val="es-DO" w:eastAsia="es-DO"/>
              </w:rPr>
            </w:pPr>
            <w:r w:rsidRPr="005C133F">
              <w:rPr>
                <w:lang w:val="es-DO" w:eastAsia="es-DO"/>
              </w:rPr>
              <w:t>116,522,149.31</w:t>
            </w:r>
          </w:p>
        </w:tc>
      </w:tr>
      <w:tr w:rsidR="004921FF" w:rsidRPr="005C133F" w14:paraId="13547341" w14:textId="77777777" w:rsidTr="0067066E">
        <w:trPr>
          <w:trHeight w:val="20"/>
          <w:jc w:val="center"/>
        </w:trPr>
        <w:tc>
          <w:tcPr>
            <w:tcW w:w="2074" w:type="dxa"/>
            <w:noWrap/>
            <w:vAlign w:val="bottom"/>
            <w:hideMark/>
          </w:tcPr>
          <w:p w14:paraId="4571D896" w14:textId="77777777" w:rsidR="00803F7B" w:rsidRPr="005C133F" w:rsidRDefault="00803F7B" w:rsidP="004C1B2F">
            <w:pPr>
              <w:spacing w:after="0" w:line="240" w:lineRule="auto"/>
              <w:rPr>
                <w:lang w:val="es-DO" w:eastAsia="es-DO"/>
              </w:rPr>
            </w:pPr>
            <w:r w:rsidRPr="005C133F">
              <w:rPr>
                <w:lang w:val="es-DO" w:eastAsia="es-DO"/>
              </w:rPr>
              <w:t>ARS APS</w:t>
            </w:r>
          </w:p>
        </w:tc>
        <w:tc>
          <w:tcPr>
            <w:tcW w:w="2140" w:type="dxa"/>
            <w:vAlign w:val="bottom"/>
            <w:hideMark/>
          </w:tcPr>
          <w:p w14:paraId="3B8EC5AA" w14:textId="77777777" w:rsidR="00803F7B" w:rsidRPr="005C133F" w:rsidRDefault="00803F7B" w:rsidP="004C1B2F">
            <w:pPr>
              <w:spacing w:after="0" w:line="240" w:lineRule="auto"/>
              <w:jc w:val="right"/>
              <w:rPr>
                <w:lang w:val="es-DO" w:eastAsia="es-DO"/>
              </w:rPr>
            </w:pPr>
            <w:r w:rsidRPr="005C133F">
              <w:rPr>
                <w:lang w:val="es-DO" w:eastAsia="es-DO"/>
              </w:rPr>
              <w:t>9,617,987.53</w:t>
            </w:r>
          </w:p>
        </w:tc>
        <w:tc>
          <w:tcPr>
            <w:tcW w:w="0" w:type="auto"/>
            <w:vAlign w:val="bottom"/>
            <w:hideMark/>
          </w:tcPr>
          <w:p w14:paraId="6F41D60F" w14:textId="77777777" w:rsidR="00803F7B" w:rsidRPr="005C133F" w:rsidRDefault="00803F7B" w:rsidP="004C1B2F">
            <w:pPr>
              <w:spacing w:after="0" w:line="240" w:lineRule="auto"/>
              <w:jc w:val="right"/>
              <w:rPr>
                <w:lang w:val="es-DO" w:eastAsia="es-DO"/>
              </w:rPr>
            </w:pPr>
            <w:r w:rsidRPr="005C133F">
              <w:rPr>
                <w:lang w:val="es-DO" w:eastAsia="es-DO"/>
              </w:rPr>
              <w:t>52,825,543.03</w:t>
            </w:r>
          </w:p>
        </w:tc>
        <w:tc>
          <w:tcPr>
            <w:tcW w:w="0" w:type="auto"/>
            <w:vAlign w:val="bottom"/>
            <w:hideMark/>
          </w:tcPr>
          <w:p w14:paraId="4BBDEC58" w14:textId="77777777" w:rsidR="00803F7B" w:rsidRPr="005C133F" w:rsidRDefault="00803F7B" w:rsidP="004C1B2F">
            <w:pPr>
              <w:spacing w:after="0" w:line="240" w:lineRule="auto"/>
              <w:jc w:val="right"/>
              <w:rPr>
                <w:lang w:val="es-DO" w:eastAsia="es-DO"/>
              </w:rPr>
            </w:pPr>
            <w:r w:rsidRPr="005C133F">
              <w:rPr>
                <w:lang w:val="es-DO" w:eastAsia="es-DO"/>
              </w:rPr>
              <w:t>6,991,558.87</w:t>
            </w:r>
          </w:p>
        </w:tc>
        <w:tc>
          <w:tcPr>
            <w:tcW w:w="0" w:type="auto"/>
            <w:noWrap/>
            <w:vAlign w:val="bottom"/>
            <w:hideMark/>
          </w:tcPr>
          <w:p w14:paraId="5020BF37" w14:textId="77777777" w:rsidR="00803F7B" w:rsidRPr="005C133F" w:rsidRDefault="00803F7B" w:rsidP="004C1B2F">
            <w:pPr>
              <w:spacing w:after="0" w:line="240" w:lineRule="auto"/>
              <w:jc w:val="right"/>
              <w:rPr>
                <w:lang w:val="es-DO" w:eastAsia="es-DO"/>
              </w:rPr>
            </w:pPr>
            <w:r w:rsidRPr="005C133F">
              <w:rPr>
                <w:lang w:val="es-DO" w:eastAsia="es-DO"/>
              </w:rPr>
              <w:t>69,435,089.43</w:t>
            </w:r>
          </w:p>
        </w:tc>
      </w:tr>
      <w:tr w:rsidR="004921FF" w:rsidRPr="005C133F" w14:paraId="4ACD96E5" w14:textId="77777777" w:rsidTr="0067066E">
        <w:trPr>
          <w:trHeight w:val="20"/>
          <w:jc w:val="center"/>
        </w:trPr>
        <w:tc>
          <w:tcPr>
            <w:tcW w:w="2074" w:type="dxa"/>
            <w:noWrap/>
            <w:vAlign w:val="bottom"/>
            <w:hideMark/>
          </w:tcPr>
          <w:p w14:paraId="29D64906" w14:textId="77777777" w:rsidR="00803F7B" w:rsidRPr="005C133F" w:rsidRDefault="00803F7B" w:rsidP="004C1B2F">
            <w:pPr>
              <w:spacing w:after="0" w:line="240" w:lineRule="auto"/>
              <w:rPr>
                <w:lang w:val="es-DO" w:eastAsia="es-DO"/>
              </w:rPr>
            </w:pPr>
            <w:r w:rsidRPr="005C133F">
              <w:rPr>
                <w:lang w:val="es-DO" w:eastAsia="es-DO"/>
              </w:rPr>
              <w:t>ARS ASEMAP</w:t>
            </w:r>
          </w:p>
        </w:tc>
        <w:tc>
          <w:tcPr>
            <w:tcW w:w="2140" w:type="dxa"/>
            <w:vAlign w:val="bottom"/>
            <w:hideMark/>
          </w:tcPr>
          <w:p w14:paraId="1CBC3ECD" w14:textId="77777777" w:rsidR="00803F7B" w:rsidRPr="005C133F" w:rsidRDefault="00803F7B" w:rsidP="004C1B2F">
            <w:pPr>
              <w:spacing w:after="0" w:line="240" w:lineRule="auto"/>
              <w:jc w:val="right"/>
              <w:rPr>
                <w:lang w:val="es-DO" w:eastAsia="es-DO"/>
              </w:rPr>
            </w:pPr>
            <w:r w:rsidRPr="005C133F">
              <w:rPr>
                <w:lang w:val="es-DO" w:eastAsia="es-DO"/>
              </w:rPr>
              <w:t>3,106,031.52</w:t>
            </w:r>
          </w:p>
        </w:tc>
        <w:tc>
          <w:tcPr>
            <w:tcW w:w="0" w:type="auto"/>
            <w:vAlign w:val="bottom"/>
            <w:hideMark/>
          </w:tcPr>
          <w:p w14:paraId="7CC20D38" w14:textId="77777777" w:rsidR="00803F7B" w:rsidRPr="005C133F" w:rsidRDefault="00803F7B" w:rsidP="004C1B2F">
            <w:pPr>
              <w:spacing w:after="0" w:line="240" w:lineRule="auto"/>
              <w:jc w:val="right"/>
              <w:rPr>
                <w:lang w:val="es-DO" w:eastAsia="es-DO"/>
              </w:rPr>
            </w:pPr>
            <w:r w:rsidRPr="005C133F">
              <w:rPr>
                <w:lang w:val="es-DO" w:eastAsia="es-DO"/>
              </w:rPr>
              <w:t>39,170,308.78</w:t>
            </w:r>
          </w:p>
        </w:tc>
        <w:tc>
          <w:tcPr>
            <w:tcW w:w="0" w:type="auto"/>
            <w:vAlign w:val="bottom"/>
            <w:hideMark/>
          </w:tcPr>
          <w:p w14:paraId="3B8219E0" w14:textId="77777777" w:rsidR="00803F7B" w:rsidRPr="005C133F" w:rsidRDefault="00803F7B" w:rsidP="004C1B2F">
            <w:pPr>
              <w:spacing w:after="0" w:line="240" w:lineRule="auto"/>
              <w:jc w:val="right"/>
              <w:rPr>
                <w:lang w:val="es-DO" w:eastAsia="es-DO"/>
              </w:rPr>
            </w:pPr>
            <w:r w:rsidRPr="005C133F">
              <w:rPr>
                <w:lang w:val="es-DO" w:eastAsia="es-DO"/>
              </w:rPr>
              <w:t>15,663,283.14</w:t>
            </w:r>
          </w:p>
        </w:tc>
        <w:tc>
          <w:tcPr>
            <w:tcW w:w="0" w:type="auto"/>
            <w:noWrap/>
            <w:vAlign w:val="bottom"/>
            <w:hideMark/>
          </w:tcPr>
          <w:p w14:paraId="09277C06" w14:textId="77777777" w:rsidR="00803F7B" w:rsidRPr="005C133F" w:rsidRDefault="00803F7B" w:rsidP="004C1B2F">
            <w:pPr>
              <w:spacing w:after="0" w:line="240" w:lineRule="auto"/>
              <w:jc w:val="right"/>
              <w:rPr>
                <w:lang w:val="es-DO" w:eastAsia="es-DO"/>
              </w:rPr>
            </w:pPr>
            <w:r w:rsidRPr="005C133F">
              <w:rPr>
                <w:lang w:val="es-DO" w:eastAsia="es-DO"/>
              </w:rPr>
              <w:t>57,939,623.44</w:t>
            </w:r>
          </w:p>
        </w:tc>
      </w:tr>
      <w:tr w:rsidR="004921FF" w:rsidRPr="005C133F" w14:paraId="49D0D739" w14:textId="77777777" w:rsidTr="0067066E">
        <w:trPr>
          <w:trHeight w:val="20"/>
          <w:jc w:val="center"/>
        </w:trPr>
        <w:tc>
          <w:tcPr>
            <w:tcW w:w="2074" w:type="dxa"/>
            <w:noWrap/>
            <w:vAlign w:val="bottom"/>
            <w:hideMark/>
          </w:tcPr>
          <w:p w14:paraId="4C22A92E" w14:textId="77777777" w:rsidR="00803F7B" w:rsidRPr="005C133F" w:rsidRDefault="00803F7B" w:rsidP="004C1B2F">
            <w:pPr>
              <w:spacing w:after="0" w:line="240" w:lineRule="auto"/>
              <w:rPr>
                <w:lang w:val="es-DO" w:eastAsia="es-DO"/>
              </w:rPr>
            </w:pPr>
            <w:r w:rsidRPr="005C133F">
              <w:rPr>
                <w:lang w:val="es-DO" w:eastAsia="es-DO"/>
              </w:rPr>
              <w:t>ARS BANCO CENTRAL</w:t>
            </w:r>
          </w:p>
        </w:tc>
        <w:tc>
          <w:tcPr>
            <w:tcW w:w="2140" w:type="dxa"/>
            <w:vAlign w:val="bottom"/>
            <w:hideMark/>
          </w:tcPr>
          <w:p w14:paraId="68C12951" w14:textId="77777777" w:rsidR="00803F7B" w:rsidRPr="005C133F" w:rsidRDefault="00803F7B" w:rsidP="004C1B2F">
            <w:pPr>
              <w:spacing w:after="0" w:line="240" w:lineRule="auto"/>
              <w:jc w:val="right"/>
              <w:rPr>
                <w:lang w:val="es-DO" w:eastAsia="es-DO"/>
              </w:rPr>
            </w:pPr>
            <w:r w:rsidRPr="005C133F">
              <w:rPr>
                <w:lang w:val="es-DO" w:eastAsia="es-DO"/>
              </w:rPr>
              <w:t>644,405.09</w:t>
            </w:r>
          </w:p>
        </w:tc>
        <w:tc>
          <w:tcPr>
            <w:tcW w:w="0" w:type="auto"/>
            <w:vAlign w:val="bottom"/>
            <w:hideMark/>
          </w:tcPr>
          <w:p w14:paraId="555AFFEF" w14:textId="77777777" w:rsidR="00803F7B" w:rsidRPr="005C133F" w:rsidRDefault="00803F7B" w:rsidP="004C1B2F">
            <w:pPr>
              <w:spacing w:after="0" w:line="240" w:lineRule="auto"/>
              <w:jc w:val="right"/>
              <w:rPr>
                <w:lang w:val="es-DO" w:eastAsia="es-DO"/>
              </w:rPr>
            </w:pPr>
            <w:r w:rsidRPr="005C133F">
              <w:rPr>
                <w:lang w:val="es-DO" w:eastAsia="es-DO"/>
              </w:rPr>
              <w:t>4,230,434.42</w:t>
            </w:r>
          </w:p>
        </w:tc>
        <w:tc>
          <w:tcPr>
            <w:tcW w:w="0" w:type="auto"/>
            <w:vAlign w:val="bottom"/>
            <w:hideMark/>
          </w:tcPr>
          <w:p w14:paraId="1F19692A" w14:textId="77777777" w:rsidR="00803F7B" w:rsidRPr="005C133F" w:rsidRDefault="00803F7B" w:rsidP="004C1B2F">
            <w:pPr>
              <w:spacing w:after="0" w:line="240" w:lineRule="auto"/>
              <w:jc w:val="right"/>
              <w:rPr>
                <w:lang w:val="es-DO" w:eastAsia="es-DO"/>
              </w:rPr>
            </w:pPr>
            <w:r w:rsidRPr="005C133F">
              <w:rPr>
                <w:lang w:val="es-DO" w:eastAsia="es-DO"/>
              </w:rPr>
              <w:t>3,081,582.16</w:t>
            </w:r>
          </w:p>
        </w:tc>
        <w:tc>
          <w:tcPr>
            <w:tcW w:w="0" w:type="auto"/>
            <w:noWrap/>
            <w:vAlign w:val="bottom"/>
            <w:hideMark/>
          </w:tcPr>
          <w:p w14:paraId="2CE434F8" w14:textId="77777777" w:rsidR="00803F7B" w:rsidRPr="005C133F" w:rsidRDefault="00803F7B" w:rsidP="004C1B2F">
            <w:pPr>
              <w:spacing w:after="0" w:line="240" w:lineRule="auto"/>
              <w:jc w:val="right"/>
              <w:rPr>
                <w:lang w:val="es-DO" w:eastAsia="es-DO"/>
              </w:rPr>
            </w:pPr>
            <w:r w:rsidRPr="005C133F">
              <w:rPr>
                <w:lang w:val="es-DO" w:eastAsia="es-DO"/>
              </w:rPr>
              <w:t>7,956,421.67</w:t>
            </w:r>
          </w:p>
        </w:tc>
      </w:tr>
      <w:tr w:rsidR="004921FF" w:rsidRPr="005C133F" w14:paraId="6061DC49" w14:textId="77777777" w:rsidTr="0067066E">
        <w:trPr>
          <w:trHeight w:val="20"/>
          <w:jc w:val="center"/>
        </w:trPr>
        <w:tc>
          <w:tcPr>
            <w:tcW w:w="2074" w:type="dxa"/>
            <w:noWrap/>
            <w:vAlign w:val="bottom"/>
            <w:hideMark/>
          </w:tcPr>
          <w:p w14:paraId="6BDD8A55" w14:textId="77777777" w:rsidR="00803F7B" w:rsidRPr="005C133F" w:rsidRDefault="00803F7B" w:rsidP="004C1B2F">
            <w:pPr>
              <w:spacing w:after="0" w:line="240" w:lineRule="auto"/>
              <w:rPr>
                <w:lang w:val="es-DO" w:eastAsia="es-DO"/>
              </w:rPr>
            </w:pPr>
            <w:r w:rsidRPr="005C133F">
              <w:rPr>
                <w:lang w:val="es-DO" w:eastAsia="es-DO"/>
              </w:rPr>
              <w:t>ARS CMD</w:t>
            </w:r>
          </w:p>
        </w:tc>
        <w:tc>
          <w:tcPr>
            <w:tcW w:w="2140" w:type="dxa"/>
            <w:vAlign w:val="bottom"/>
            <w:hideMark/>
          </w:tcPr>
          <w:p w14:paraId="2D10DCE9" w14:textId="77777777" w:rsidR="00803F7B" w:rsidRPr="005C133F" w:rsidRDefault="00803F7B" w:rsidP="004C1B2F">
            <w:pPr>
              <w:spacing w:after="0" w:line="240" w:lineRule="auto"/>
              <w:jc w:val="right"/>
              <w:rPr>
                <w:lang w:val="es-DO" w:eastAsia="es-DO"/>
              </w:rPr>
            </w:pPr>
            <w:r w:rsidRPr="005C133F">
              <w:rPr>
                <w:lang w:val="es-DO" w:eastAsia="es-DO"/>
              </w:rPr>
              <w:t>7,972,302.07</w:t>
            </w:r>
          </w:p>
        </w:tc>
        <w:tc>
          <w:tcPr>
            <w:tcW w:w="0" w:type="auto"/>
            <w:vAlign w:val="bottom"/>
            <w:hideMark/>
          </w:tcPr>
          <w:p w14:paraId="7AF79E33" w14:textId="77777777" w:rsidR="00803F7B" w:rsidRPr="005C133F" w:rsidRDefault="00803F7B" w:rsidP="004C1B2F">
            <w:pPr>
              <w:spacing w:after="0" w:line="240" w:lineRule="auto"/>
              <w:jc w:val="right"/>
              <w:rPr>
                <w:lang w:val="es-DO" w:eastAsia="es-DO"/>
              </w:rPr>
            </w:pPr>
            <w:r w:rsidRPr="005C133F">
              <w:rPr>
                <w:lang w:val="es-DO" w:eastAsia="es-DO"/>
              </w:rPr>
              <w:t>33,225,696.77</w:t>
            </w:r>
          </w:p>
        </w:tc>
        <w:tc>
          <w:tcPr>
            <w:tcW w:w="0" w:type="auto"/>
            <w:vAlign w:val="bottom"/>
            <w:hideMark/>
          </w:tcPr>
          <w:p w14:paraId="087CF647" w14:textId="77777777" w:rsidR="00803F7B" w:rsidRPr="005C133F" w:rsidRDefault="00803F7B" w:rsidP="004C1B2F">
            <w:pPr>
              <w:spacing w:after="0" w:line="240" w:lineRule="auto"/>
              <w:jc w:val="right"/>
              <w:rPr>
                <w:lang w:val="es-DO" w:eastAsia="es-DO"/>
              </w:rPr>
            </w:pPr>
            <w:r w:rsidRPr="005C133F">
              <w:rPr>
                <w:lang w:val="es-DO" w:eastAsia="es-DO"/>
              </w:rPr>
              <w:t>3,985,930.36</w:t>
            </w:r>
          </w:p>
        </w:tc>
        <w:tc>
          <w:tcPr>
            <w:tcW w:w="0" w:type="auto"/>
            <w:noWrap/>
            <w:vAlign w:val="bottom"/>
            <w:hideMark/>
          </w:tcPr>
          <w:p w14:paraId="3D00BD10" w14:textId="77777777" w:rsidR="00803F7B" w:rsidRPr="005C133F" w:rsidRDefault="00803F7B" w:rsidP="004C1B2F">
            <w:pPr>
              <w:spacing w:after="0" w:line="240" w:lineRule="auto"/>
              <w:jc w:val="right"/>
              <w:rPr>
                <w:lang w:val="es-DO" w:eastAsia="es-DO"/>
              </w:rPr>
            </w:pPr>
            <w:r w:rsidRPr="005C133F">
              <w:rPr>
                <w:lang w:val="es-DO" w:eastAsia="es-DO"/>
              </w:rPr>
              <w:t>45,183,929.20</w:t>
            </w:r>
          </w:p>
        </w:tc>
      </w:tr>
      <w:tr w:rsidR="004921FF" w:rsidRPr="005C133F" w14:paraId="40CD9725" w14:textId="77777777" w:rsidTr="0067066E">
        <w:trPr>
          <w:trHeight w:val="20"/>
          <w:jc w:val="center"/>
        </w:trPr>
        <w:tc>
          <w:tcPr>
            <w:tcW w:w="2074" w:type="dxa"/>
            <w:noWrap/>
            <w:vAlign w:val="bottom"/>
            <w:hideMark/>
          </w:tcPr>
          <w:p w14:paraId="254CD5AE" w14:textId="77777777" w:rsidR="00803F7B" w:rsidRPr="005C133F" w:rsidRDefault="00803F7B" w:rsidP="004C1B2F">
            <w:pPr>
              <w:spacing w:after="0" w:line="240" w:lineRule="auto"/>
              <w:rPr>
                <w:lang w:eastAsia="es-DO"/>
              </w:rPr>
            </w:pPr>
            <w:r w:rsidRPr="005C133F">
              <w:rPr>
                <w:lang w:eastAsia="es-DO"/>
              </w:rPr>
              <w:t>ARS DR. YUNEN, S. A.</w:t>
            </w:r>
          </w:p>
        </w:tc>
        <w:tc>
          <w:tcPr>
            <w:tcW w:w="2140" w:type="dxa"/>
            <w:vAlign w:val="bottom"/>
            <w:hideMark/>
          </w:tcPr>
          <w:p w14:paraId="0FAE430A" w14:textId="77777777" w:rsidR="00803F7B" w:rsidRPr="005C133F" w:rsidRDefault="00803F7B" w:rsidP="004C1B2F">
            <w:pPr>
              <w:spacing w:after="0" w:line="240" w:lineRule="auto"/>
              <w:jc w:val="right"/>
              <w:rPr>
                <w:lang w:val="es-DO" w:eastAsia="es-DO"/>
              </w:rPr>
            </w:pPr>
            <w:r w:rsidRPr="005C133F">
              <w:rPr>
                <w:lang w:val="es-DO" w:eastAsia="es-DO"/>
              </w:rPr>
              <w:t>11,136,156.88</w:t>
            </w:r>
          </w:p>
        </w:tc>
        <w:tc>
          <w:tcPr>
            <w:tcW w:w="0" w:type="auto"/>
            <w:vAlign w:val="bottom"/>
            <w:hideMark/>
          </w:tcPr>
          <w:p w14:paraId="2B4E8D68" w14:textId="77777777" w:rsidR="00803F7B" w:rsidRPr="005C133F" w:rsidRDefault="00803F7B" w:rsidP="004C1B2F">
            <w:pPr>
              <w:spacing w:after="0" w:line="240" w:lineRule="auto"/>
              <w:jc w:val="right"/>
              <w:rPr>
                <w:lang w:val="es-DO" w:eastAsia="es-DO"/>
              </w:rPr>
            </w:pPr>
            <w:r w:rsidRPr="005C133F">
              <w:rPr>
                <w:lang w:val="es-DO" w:eastAsia="es-DO"/>
              </w:rPr>
              <w:t>188,225,594.93</w:t>
            </w:r>
          </w:p>
        </w:tc>
        <w:tc>
          <w:tcPr>
            <w:tcW w:w="0" w:type="auto"/>
            <w:vAlign w:val="bottom"/>
            <w:hideMark/>
          </w:tcPr>
          <w:p w14:paraId="7F93A026" w14:textId="77777777" w:rsidR="00803F7B" w:rsidRPr="005C133F" w:rsidRDefault="00803F7B" w:rsidP="004C1B2F">
            <w:pPr>
              <w:spacing w:after="0" w:line="240" w:lineRule="auto"/>
              <w:jc w:val="right"/>
              <w:rPr>
                <w:lang w:val="es-DO" w:eastAsia="es-DO"/>
              </w:rPr>
            </w:pPr>
            <w:r w:rsidRPr="005C133F">
              <w:rPr>
                <w:lang w:val="es-DO" w:eastAsia="es-DO"/>
              </w:rPr>
              <w:t>32,663,236.82</w:t>
            </w:r>
          </w:p>
        </w:tc>
        <w:tc>
          <w:tcPr>
            <w:tcW w:w="0" w:type="auto"/>
            <w:noWrap/>
            <w:vAlign w:val="bottom"/>
            <w:hideMark/>
          </w:tcPr>
          <w:p w14:paraId="5D73DC0C" w14:textId="77777777" w:rsidR="00803F7B" w:rsidRPr="005C133F" w:rsidRDefault="00803F7B" w:rsidP="004C1B2F">
            <w:pPr>
              <w:spacing w:after="0" w:line="240" w:lineRule="auto"/>
              <w:jc w:val="right"/>
              <w:rPr>
                <w:lang w:val="es-DO" w:eastAsia="es-DO"/>
              </w:rPr>
            </w:pPr>
            <w:r w:rsidRPr="005C133F">
              <w:rPr>
                <w:lang w:val="es-DO" w:eastAsia="es-DO"/>
              </w:rPr>
              <w:t>232,024,988.63</w:t>
            </w:r>
          </w:p>
        </w:tc>
      </w:tr>
      <w:tr w:rsidR="004921FF" w:rsidRPr="005C133F" w14:paraId="3717FD13" w14:textId="77777777" w:rsidTr="0067066E">
        <w:trPr>
          <w:trHeight w:val="20"/>
          <w:jc w:val="center"/>
        </w:trPr>
        <w:tc>
          <w:tcPr>
            <w:tcW w:w="2074" w:type="dxa"/>
            <w:noWrap/>
            <w:vAlign w:val="bottom"/>
            <w:hideMark/>
          </w:tcPr>
          <w:p w14:paraId="2A2C37AA" w14:textId="77777777" w:rsidR="00803F7B" w:rsidRPr="005C133F" w:rsidRDefault="00803F7B" w:rsidP="004C1B2F">
            <w:pPr>
              <w:spacing w:after="0" w:line="240" w:lineRule="auto"/>
              <w:rPr>
                <w:lang w:val="es-DO" w:eastAsia="es-DO"/>
              </w:rPr>
            </w:pPr>
            <w:r w:rsidRPr="005C133F">
              <w:rPr>
                <w:lang w:val="es-DO" w:eastAsia="es-DO"/>
              </w:rPr>
              <w:t>ARS FUTURO S. A.</w:t>
            </w:r>
          </w:p>
        </w:tc>
        <w:tc>
          <w:tcPr>
            <w:tcW w:w="2140" w:type="dxa"/>
            <w:vAlign w:val="bottom"/>
            <w:hideMark/>
          </w:tcPr>
          <w:p w14:paraId="7D604AB2" w14:textId="77777777" w:rsidR="00803F7B" w:rsidRPr="005C133F" w:rsidRDefault="00803F7B" w:rsidP="004C1B2F">
            <w:pPr>
              <w:spacing w:after="0" w:line="240" w:lineRule="auto"/>
              <w:jc w:val="right"/>
              <w:rPr>
                <w:lang w:val="es-DO" w:eastAsia="es-DO"/>
              </w:rPr>
            </w:pPr>
            <w:r w:rsidRPr="005C133F">
              <w:rPr>
                <w:lang w:val="es-DO" w:eastAsia="es-DO"/>
              </w:rPr>
              <w:t>28,156,038.04</w:t>
            </w:r>
          </w:p>
        </w:tc>
        <w:tc>
          <w:tcPr>
            <w:tcW w:w="0" w:type="auto"/>
            <w:vAlign w:val="bottom"/>
            <w:hideMark/>
          </w:tcPr>
          <w:p w14:paraId="721E9BFA" w14:textId="77777777" w:rsidR="00803F7B" w:rsidRPr="005C133F" w:rsidRDefault="00803F7B" w:rsidP="004C1B2F">
            <w:pPr>
              <w:spacing w:after="0" w:line="240" w:lineRule="auto"/>
              <w:jc w:val="right"/>
              <w:rPr>
                <w:lang w:val="es-DO" w:eastAsia="es-DO"/>
              </w:rPr>
            </w:pPr>
            <w:r w:rsidRPr="005C133F">
              <w:rPr>
                <w:lang w:val="es-DO" w:eastAsia="es-DO"/>
              </w:rPr>
              <w:t>109,596,065.47</w:t>
            </w:r>
          </w:p>
        </w:tc>
        <w:tc>
          <w:tcPr>
            <w:tcW w:w="0" w:type="auto"/>
            <w:vAlign w:val="bottom"/>
            <w:hideMark/>
          </w:tcPr>
          <w:p w14:paraId="1B52B5D7" w14:textId="77777777" w:rsidR="00803F7B" w:rsidRPr="005C133F" w:rsidRDefault="00803F7B" w:rsidP="004C1B2F">
            <w:pPr>
              <w:spacing w:after="0" w:line="240" w:lineRule="auto"/>
              <w:jc w:val="right"/>
              <w:rPr>
                <w:lang w:val="es-DO" w:eastAsia="es-DO"/>
              </w:rPr>
            </w:pPr>
            <w:r w:rsidRPr="005C133F">
              <w:rPr>
                <w:lang w:val="es-DO" w:eastAsia="es-DO"/>
              </w:rPr>
              <w:t>21,971,289.43</w:t>
            </w:r>
          </w:p>
        </w:tc>
        <w:tc>
          <w:tcPr>
            <w:tcW w:w="0" w:type="auto"/>
            <w:noWrap/>
            <w:vAlign w:val="bottom"/>
            <w:hideMark/>
          </w:tcPr>
          <w:p w14:paraId="4F16C1DC" w14:textId="77777777" w:rsidR="00803F7B" w:rsidRPr="005C133F" w:rsidRDefault="00803F7B" w:rsidP="004C1B2F">
            <w:pPr>
              <w:spacing w:after="0" w:line="240" w:lineRule="auto"/>
              <w:jc w:val="right"/>
              <w:rPr>
                <w:lang w:val="es-DO" w:eastAsia="es-DO"/>
              </w:rPr>
            </w:pPr>
            <w:r w:rsidRPr="005C133F">
              <w:rPr>
                <w:lang w:val="es-DO" w:eastAsia="es-DO"/>
              </w:rPr>
              <w:t>159,723,392.94</w:t>
            </w:r>
          </w:p>
        </w:tc>
      </w:tr>
      <w:tr w:rsidR="004921FF" w:rsidRPr="005C133F" w14:paraId="31389C2F" w14:textId="77777777" w:rsidTr="0067066E">
        <w:trPr>
          <w:trHeight w:val="20"/>
          <w:jc w:val="center"/>
        </w:trPr>
        <w:tc>
          <w:tcPr>
            <w:tcW w:w="2074" w:type="dxa"/>
            <w:noWrap/>
            <w:vAlign w:val="bottom"/>
            <w:hideMark/>
          </w:tcPr>
          <w:p w14:paraId="2E5487D0" w14:textId="77777777" w:rsidR="00803F7B" w:rsidRPr="005C133F" w:rsidRDefault="00803F7B" w:rsidP="004C1B2F">
            <w:pPr>
              <w:spacing w:after="0" w:line="240" w:lineRule="auto"/>
              <w:rPr>
                <w:lang w:val="es-DO" w:eastAsia="es-DO"/>
              </w:rPr>
            </w:pPr>
            <w:r w:rsidRPr="005C133F">
              <w:rPr>
                <w:lang w:val="es-DO" w:eastAsia="es-DO"/>
              </w:rPr>
              <w:t>ARS GRUPO MEDICO ASOCIADO</w:t>
            </w:r>
          </w:p>
        </w:tc>
        <w:tc>
          <w:tcPr>
            <w:tcW w:w="2140" w:type="dxa"/>
            <w:vAlign w:val="bottom"/>
            <w:hideMark/>
          </w:tcPr>
          <w:p w14:paraId="7BEAFC18" w14:textId="77777777" w:rsidR="00803F7B" w:rsidRPr="005C133F" w:rsidRDefault="00803F7B" w:rsidP="004C1B2F">
            <w:pPr>
              <w:spacing w:after="0" w:line="240" w:lineRule="auto"/>
              <w:jc w:val="right"/>
              <w:rPr>
                <w:lang w:val="es-DO" w:eastAsia="es-DO"/>
              </w:rPr>
            </w:pPr>
            <w:r w:rsidRPr="005C133F">
              <w:rPr>
                <w:lang w:val="es-DO" w:eastAsia="es-DO"/>
              </w:rPr>
              <w:t>9,168,847.57</w:t>
            </w:r>
          </w:p>
        </w:tc>
        <w:tc>
          <w:tcPr>
            <w:tcW w:w="0" w:type="auto"/>
            <w:vAlign w:val="bottom"/>
            <w:hideMark/>
          </w:tcPr>
          <w:p w14:paraId="00D61424" w14:textId="77777777" w:rsidR="00803F7B" w:rsidRPr="005C133F" w:rsidRDefault="00803F7B" w:rsidP="004C1B2F">
            <w:pPr>
              <w:spacing w:after="0" w:line="240" w:lineRule="auto"/>
              <w:jc w:val="right"/>
              <w:rPr>
                <w:lang w:val="es-DO" w:eastAsia="es-DO"/>
              </w:rPr>
            </w:pPr>
            <w:r w:rsidRPr="005C133F">
              <w:rPr>
                <w:lang w:val="es-DO" w:eastAsia="es-DO"/>
              </w:rPr>
              <w:t>29,790,142.89</w:t>
            </w:r>
          </w:p>
        </w:tc>
        <w:tc>
          <w:tcPr>
            <w:tcW w:w="0" w:type="auto"/>
            <w:vAlign w:val="bottom"/>
            <w:hideMark/>
          </w:tcPr>
          <w:p w14:paraId="2FCF6074" w14:textId="77777777" w:rsidR="00803F7B" w:rsidRPr="005C133F" w:rsidRDefault="00803F7B" w:rsidP="004C1B2F">
            <w:pPr>
              <w:spacing w:after="0" w:line="240" w:lineRule="auto"/>
              <w:jc w:val="right"/>
              <w:rPr>
                <w:lang w:val="es-DO" w:eastAsia="es-DO"/>
              </w:rPr>
            </w:pPr>
            <w:r w:rsidRPr="005C133F">
              <w:rPr>
                <w:lang w:val="es-DO" w:eastAsia="es-DO"/>
              </w:rPr>
              <w:t>4,477,527.10</w:t>
            </w:r>
          </w:p>
        </w:tc>
        <w:tc>
          <w:tcPr>
            <w:tcW w:w="0" w:type="auto"/>
            <w:noWrap/>
            <w:vAlign w:val="bottom"/>
            <w:hideMark/>
          </w:tcPr>
          <w:p w14:paraId="41B3FE89" w14:textId="77777777" w:rsidR="00803F7B" w:rsidRPr="005C133F" w:rsidRDefault="00803F7B" w:rsidP="004C1B2F">
            <w:pPr>
              <w:spacing w:after="0" w:line="240" w:lineRule="auto"/>
              <w:jc w:val="right"/>
              <w:rPr>
                <w:lang w:val="es-DO" w:eastAsia="es-DO"/>
              </w:rPr>
            </w:pPr>
            <w:r w:rsidRPr="005C133F">
              <w:rPr>
                <w:lang w:val="es-DO" w:eastAsia="es-DO"/>
              </w:rPr>
              <w:t>43,436,517.56</w:t>
            </w:r>
          </w:p>
        </w:tc>
      </w:tr>
      <w:tr w:rsidR="004921FF" w:rsidRPr="005C133F" w14:paraId="38ECD061" w14:textId="77777777" w:rsidTr="0067066E">
        <w:trPr>
          <w:trHeight w:val="20"/>
          <w:jc w:val="center"/>
        </w:trPr>
        <w:tc>
          <w:tcPr>
            <w:tcW w:w="2074" w:type="dxa"/>
            <w:noWrap/>
            <w:vAlign w:val="bottom"/>
            <w:hideMark/>
          </w:tcPr>
          <w:p w14:paraId="63CC811A" w14:textId="77777777" w:rsidR="00803F7B" w:rsidRPr="005C133F" w:rsidRDefault="00803F7B" w:rsidP="004C1B2F">
            <w:pPr>
              <w:spacing w:after="0" w:line="240" w:lineRule="auto"/>
              <w:rPr>
                <w:lang w:val="es-DO" w:eastAsia="es-DO"/>
              </w:rPr>
            </w:pPr>
            <w:r w:rsidRPr="005C133F">
              <w:rPr>
                <w:lang w:val="es-DO" w:eastAsia="es-DO"/>
              </w:rPr>
              <w:t>ARS METASALUD</w:t>
            </w:r>
          </w:p>
        </w:tc>
        <w:tc>
          <w:tcPr>
            <w:tcW w:w="2140" w:type="dxa"/>
            <w:vAlign w:val="bottom"/>
            <w:hideMark/>
          </w:tcPr>
          <w:p w14:paraId="3781ADF8" w14:textId="77777777" w:rsidR="00803F7B" w:rsidRPr="005C133F" w:rsidRDefault="00803F7B" w:rsidP="004C1B2F">
            <w:pPr>
              <w:spacing w:after="0" w:line="240" w:lineRule="auto"/>
              <w:jc w:val="right"/>
              <w:rPr>
                <w:lang w:val="es-DO" w:eastAsia="es-DO"/>
              </w:rPr>
            </w:pPr>
            <w:r w:rsidRPr="005C133F">
              <w:rPr>
                <w:lang w:val="es-DO" w:eastAsia="es-DO"/>
              </w:rPr>
              <w:t>9,342,566.41</w:t>
            </w:r>
          </w:p>
        </w:tc>
        <w:tc>
          <w:tcPr>
            <w:tcW w:w="0" w:type="auto"/>
            <w:vAlign w:val="bottom"/>
            <w:hideMark/>
          </w:tcPr>
          <w:p w14:paraId="04FBCFAD" w14:textId="77777777" w:rsidR="00803F7B" w:rsidRPr="005C133F" w:rsidRDefault="00803F7B" w:rsidP="004C1B2F">
            <w:pPr>
              <w:spacing w:after="0" w:line="240" w:lineRule="auto"/>
              <w:jc w:val="right"/>
              <w:rPr>
                <w:lang w:val="es-DO" w:eastAsia="es-DO"/>
              </w:rPr>
            </w:pPr>
            <w:r w:rsidRPr="005C133F">
              <w:rPr>
                <w:lang w:val="es-DO" w:eastAsia="es-DO"/>
              </w:rPr>
              <w:t>20,259,878.66</w:t>
            </w:r>
          </w:p>
        </w:tc>
        <w:tc>
          <w:tcPr>
            <w:tcW w:w="0" w:type="auto"/>
            <w:vAlign w:val="bottom"/>
            <w:hideMark/>
          </w:tcPr>
          <w:p w14:paraId="4B5AC563" w14:textId="77777777" w:rsidR="00803F7B" w:rsidRPr="005C133F" w:rsidRDefault="00803F7B" w:rsidP="004C1B2F">
            <w:pPr>
              <w:spacing w:after="0" w:line="240" w:lineRule="auto"/>
              <w:jc w:val="right"/>
              <w:rPr>
                <w:lang w:val="es-DO" w:eastAsia="es-DO"/>
              </w:rPr>
            </w:pPr>
            <w:r w:rsidRPr="005C133F">
              <w:rPr>
                <w:lang w:val="es-DO" w:eastAsia="es-DO"/>
              </w:rPr>
              <w:t>1,529,462.82</w:t>
            </w:r>
          </w:p>
        </w:tc>
        <w:tc>
          <w:tcPr>
            <w:tcW w:w="0" w:type="auto"/>
            <w:noWrap/>
            <w:vAlign w:val="bottom"/>
            <w:hideMark/>
          </w:tcPr>
          <w:p w14:paraId="745340E0" w14:textId="77777777" w:rsidR="00803F7B" w:rsidRPr="005C133F" w:rsidRDefault="00803F7B" w:rsidP="004C1B2F">
            <w:pPr>
              <w:spacing w:after="0" w:line="240" w:lineRule="auto"/>
              <w:jc w:val="right"/>
              <w:rPr>
                <w:lang w:val="es-DO" w:eastAsia="es-DO"/>
              </w:rPr>
            </w:pPr>
            <w:r w:rsidRPr="005C133F">
              <w:rPr>
                <w:lang w:val="es-DO" w:eastAsia="es-DO"/>
              </w:rPr>
              <w:t>31,131,907.89</w:t>
            </w:r>
          </w:p>
        </w:tc>
      </w:tr>
      <w:tr w:rsidR="004921FF" w:rsidRPr="005C133F" w14:paraId="14D2A08B" w14:textId="77777777" w:rsidTr="0067066E">
        <w:trPr>
          <w:trHeight w:val="20"/>
          <w:jc w:val="center"/>
        </w:trPr>
        <w:tc>
          <w:tcPr>
            <w:tcW w:w="2074" w:type="dxa"/>
            <w:noWrap/>
            <w:vAlign w:val="bottom"/>
            <w:hideMark/>
          </w:tcPr>
          <w:p w14:paraId="7002EE94" w14:textId="77777777" w:rsidR="00803F7B" w:rsidRPr="005C133F" w:rsidRDefault="00803F7B" w:rsidP="004C1B2F">
            <w:pPr>
              <w:spacing w:after="0" w:line="240" w:lineRule="auto"/>
              <w:rPr>
                <w:lang w:val="es-DO" w:eastAsia="es-DO"/>
              </w:rPr>
            </w:pPr>
            <w:r w:rsidRPr="005C133F">
              <w:rPr>
                <w:lang w:val="es-DO" w:eastAsia="es-DO"/>
              </w:rPr>
              <w:t>ARS MONUMENTAL</w:t>
            </w:r>
          </w:p>
        </w:tc>
        <w:tc>
          <w:tcPr>
            <w:tcW w:w="2140" w:type="dxa"/>
            <w:vAlign w:val="bottom"/>
            <w:hideMark/>
          </w:tcPr>
          <w:p w14:paraId="3B879FB3" w14:textId="77777777" w:rsidR="00803F7B" w:rsidRPr="005C133F" w:rsidRDefault="00803F7B" w:rsidP="004C1B2F">
            <w:pPr>
              <w:spacing w:after="0" w:line="240" w:lineRule="auto"/>
              <w:jc w:val="right"/>
              <w:rPr>
                <w:lang w:val="es-DO" w:eastAsia="es-DO"/>
              </w:rPr>
            </w:pPr>
            <w:r w:rsidRPr="005C133F">
              <w:rPr>
                <w:lang w:val="es-DO" w:eastAsia="es-DO"/>
              </w:rPr>
              <w:t>18,412,963.60</w:t>
            </w:r>
          </w:p>
        </w:tc>
        <w:tc>
          <w:tcPr>
            <w:tcW w:w="0" w:type="auto"/>
            <w:vAlign w:val="bottom"/>
            <w:hideMark/>
          </w:tcPr>
          <w:p w14:paraId="5D065A49" w14:textId="77777777" w:rsidR="00803F7B" w:rsidRPr="005C133F" w:rsidRDefault="00803F7B" w:rsidP="004C1B2F">
            <w:pPr>
              <w:spacing w:after="0" w:line="240" w:lineRule="auto"/>
              <w:jc w:val="right"/>
              <w:rPr>
                <w:lang w:val="es-DO" w:eastAsia="es-DO"/>
              </w:rPr>
            </w:pPr>
            <w:r w:rsidRPr="005C133F">
              <w:rPr>
                <w:lang w:val="es-DO" w:eastAsia="es-DO"/>
              </w:rPr>
              <w:t>260,899,867.86</w:t>
            </w:r>
          </w:p>
        </w:tc>
        <w:tc>
          <w:tcPr>
            <w:tcW w:w="0" w:type="auto"/>
            <w:vAlign w:val="bottom"/>
            <w:hideMark/>
          </w:tcPr>
          <w:p w14:paraId="57C28E91" w14:textId="77777777" w:rsidR="00803F7B" w:rsidRPr="005C133F" w:rsidRDefault="00803F7B" w:rsidP="004C1B2F">
            <w:pPr>
              <w:spacing w:after="0" w:line="240" w:lineRule="auto"/>
              <w:jc w:val="right"/>
              <w:rPr>
                <w:lang w:val="es-DO" w:eastAsia="es-DO"/>
              </w:rPr>
            </w:pPr>
            <w:r w:rsidRPr="005C133F">
              <w:rPr>
                <w:lang w:val="es-DO" w:eastAsia="es-DO"/>
              </w:rPr>
              <w:t>52,260,038.52</w:t>
            </w:r>
          </w:p>
        </w:tc>
        <w:tc>
          <w:tcPr>
            <w:tcW w:w="0" w:type="auto"/>
            <w:noWrap/>
            <w:vAlign w:val="bottom"/>
            <w:hideMark/>
          </w:tcPr>
          <w:p w14:paraId="5DE427AB" w14:textId="77777777" w:rsidR="00803F7B" w:rsidRPr="005C133F" w:rsidRDefault="00803F7B" w:rsidP="004C1B2F">
            <w:pPr>
              <w:spacing w:after="0" w:line="240" w:lineRule="auto"/>
              <w:jc w:val="right"/>
              <w:rPr>
                <w:lang w:val="es-DO" w:eastAsia="es-DO"/>
              </w:rPr>
            </w:pPr>
            <w:r w:rsidRPr="005C133F">
              <w:rPr>
                <w:lang w:val="es-DO" w:eastAsia="es-DO"/>
              </w:rPr>
              <w:t>331,572,869.98</w:t>
            </w:r>
          </w:p>
        </w:tc>
      </w:tr>
      <w:tr w:rsidR="004921FF" w:rsidRPr="005C133F" w14:paraId="3F0B5B90" w14:textId="77777777" w:rsidTr="0067066E">
        <w:trPr>
          <w:trHeight w:val="20"/>
          <w:jc w:val="center"/>
        </w:trPr>
        <w:tc>
          <w:tcPr>
            <w:tcW w:w="2074" w:type="dxa"/>
            <w:noWrap/>
            <w:vAlign w:val="bottom"/>
            <w:hideMark/>
          </w:tcPr>
          <w:p w14:paraId="6F65AAAB" w14:textId="353FD0DA" w:rsidR="00803F7B" w:rsidRPr="005C133F" w:rsidRDefault="00803F7B" w:rsidP="004C1B2F">
            <w:pPr>
              <w:spacing w:after="0" w:line="240" w:lineRule="auto"/>
              <w:rPr>
                <w:lang w:val="es-DO" w:eastAsia="es-DO"/>
              </w:rPr>
            </w:pPr>
            <w:r w:rsidRPr="005C133F">
              <w:rPr>
                <w:lang w:val="es-DO" w:eastAsia="es-DO"/>
              </w:rPr>
              <w:t>ARS PRIMERA, S.A</w:t>
            </w:r>
            <w:r w:rsidR="003D58B4" w:rsidRPr="005C133F">
              <w:rPr>
                <w:lang w:val="es-DO" w:eastAsia="es-DO"/>
              </w:rPr>
              <w:t>.</w:t>
            </w:r>
          </w:p>
        </w:tc>
        <w:tc>
          <w:tcPr>
            <w:tcW w:w="2140" w:type="dxa"/>
            <w:vAlign w:val="bottom"/>
            <w:hideMark/>
          </w:tcPr>
          <w:p w14:paraId="2A51487A" w14:textId="77777777" w:rsidR="00803F7B" w:rsidRPr="005C133F" w:rsidRDefault="00803F7B" w:rsidP="004C1B2F">
            <w:pPr>
              <w:spacing w:after="0" w:line="240" w:lineRule="auto"/>
              <w:jc w:val="right"/>
              <w:rPr>
                <w:lang w:val="es-DO" w:eastAsia="es-DO"/>
              </w:rPr>
            </w:pPr>
            <w:r w:rsidRPr="005C133F">
              <w:rPr>
                <w:lang w:val="es-DO" w:eastAsia="es-DO"/>
              </w:rPr>
              <w:t>274,733,813.19</w:t>
            </w:r>
          </w:p>
        </w:tc>
        <w:tc>
          <w:tcPr>
            <w:tcW w:w="0" w:type="auto"/>
            <w:vAlign w:val="bottom"/>
            <w:hideMark/>
          </w:tcPr>
          <w:p w14:paraId="0B562898" w14:textId="77777777" w:rsidR="00803F7B" w:rsidRPr="005C133F" w:rsidRDefault="00803F7B" w:rsidP="004C1B2F">
            <w:pPr>
              <w:spacing w:after="0" w:line="240" w:lineRule="auto"/>
              <w:jc w:val="right"/>
              <w:rPr>
                <w:lang w:val="es-DO" w:eastAsia="es-DO"/>
              </w:rPr>
            </w:pPr>
            <w:r w:rsidRPr="005C133F">
              <w:rPr>
                <w:lang w:val="es-DO" w:eastAsia="es-DO"/>
              </w:rPr>
              <w:t>835,123,456.94</w:t>
            </w:r>
          </w:p>
        </w:tc>
        <w:tc>
          <w:tcPr>
            <w:tcW w:w="0" w:type="auto"/>
            <w:vAlign w:val="bottom"/>
            <w:hideMark/>
          </w:tcPr>
          <w:p w14:paraId="03601282" w14:textId="77777777" w:rsidR="00803F7B" w:rsidRPr="005C133F" w:rsidRDefault="00803F7B" w:rsidP="004C1B2F">
            <w:pPr>
              <w:spacing w:after="0" w:line="240" w:lineRule="auto"/>
              <w:jc w:val="right"/>
              <w:rPr>
                <w:lang w:val="es-DO" w:eastAsia="es-DO"/>
              </w:rPr>
            </w:pPr>
            <w:r w:rsidRPr="005C133F">
              <w:rPr>
                <w:lang w:val="es-DO" w:eastAsia="es-DO"/>
              </w:rPr>
              <w:t>523,091,022.39</w:t>
            </w:r>
          </w:p>
        </w:tc>
        <w:tc>
          <w:tcPr>
            <w:tcW w:w="0" w:type="auto"/>
            <w:noWrap/>
            <w:vAlign w:val="bottom"/>
            <w:hideMark/>
          </w:tcPr>
          <w:p w14:paraId="17B2BD0D" w14:textId="77777777" w:rsidR="00803F7B" w:rsidRPr="005C133F" w:rsidRDefault="00803F7B" w:rsidP="004C1B2F">
            <w:pPr>
              <w:spacing w:after="0" w:line="240" w:lineRule="auto"/>
              <w:jc w:val="right"/>
              <w:rPr>
                <w:lang w:val="es-DO" w:eastAsia="es-DO"/>
              </w:rPr>
            </w:pPr>
            <w:r w:rsidRPr="005C133F">
              <w:rPr>
                <w:lang w:val="es-DO" w:eastAsia="es-DO"/>
              </w:rPr>
              <w:t>1,632,948,292.52</w:t>
            </w:r>
          </w:p>
        </w:tc>
      </w:tr>
      <w:tr w:rsidR="004921FF" w:rsidRPr="005C133F" w14:paraId="22260DB7" w14:textId="77777777" w:rsidTr="0067066E">
        <w:trPr>
          <w:trHeight w:val="20"/>
          <w:jc w:val="center"/>
        </w:trPr>
        <w:tc>
          <w:tcPr>
            <w:tcW w:w="2074" w:type="dxa"/>
            <w:noWrap/>
            <w:vAlign w:val="bottom"/>
            <w:hideMark/>
          </w:tcPr>
          <w:p w14:paraId="31C473DD" w14:textId="77777777" w:rsidR="00803F7B" w:rsidRPr="005C133F" w:rsidRDefault="00803F7B" w:rsidP="004C1B2F">
            <w:pPr>
              <w:spacing w:after="0" w:line="240" w:lineRule="auto"/>
              <w:rPr>
                <w:lang w:val="es-DO" w:eastAsia="es-DO"/>
              </w:rPr>
            </w:pPr>
            <w:r w:rsidRPr="005C133F">
              <w:rPr>
                <w:lang w:val="es-DO" w:eastAsia="es-DO"/>
              </w:rPr>
              <w:t>ARS RENACER</w:t>
            </w:r>
          </w:p>
        </w:tc>
        <w:tc>
          <w:tcPr>
            <w:tcW w:w="2140" w:type="dxa"/>
            <w:vAlign w:val="bottom"/>
            <w:hideMark/>
          </w:tcPr>
          <w:p w14:paraId="589DA2E0" w14:textId="77777777" w:rsidR="00803F7B" w:rsidRPr="005C133F" w:rsidRDefault="00803F7B" w:rsidP="004C1B2F">
            <w:pPr>
              <w:spacing w:after="0" w:line="240" w:lineRule="auto"/>
              <w:jc w:val="right"/>
              <w:rPr>
                <w:lang w:val="es-DO" w:eastAsia="es-DO"/>
              </w:rPr>
            </w:pPr>
            <w:r w:rsidRPr="005C133F">
              <w:rPr>
                <w:lang w:val="es-DO" w:eastAsia="es-DO"/>
              </w:rPr>
              <w:t>23,412,255.93</w:t>
            </w:r>
          </w:p>
        </w:tc>
        <w:tc>
          <w:tcPr>
            <w:tcW w:w="0" w:type="auto"/>
            <w:vAlign w:val="bottom"/>
            <w:hideMark/>
          </w:tcPr>
          <w:p w14:paraId="327E510E" w14:textId="77777777" w:rsidR="00803F7B" w:rsidRPr="005C133F" w:rsidRDefault="00803F7B" w:rsidP="004C1B2F">
            <w:pPr>
              <w:spacing w:after="0" w:line="240" w:lineRule="auto"/>
              <w:jc w:val="right"/>
              <w:rPr>
                <w:lang w:val="es-DO" w:eastAsia="es-DO"/>
              </w:rPr>
            </w:pPr>
            <w:r w:rsidRPr="005C133F">
              <w:rPr>
                <w:lang w:val="es-DO" w:eastAsia="es-DO"/>
              </w:rPr>
              <w:t>84,295,815.46</w:t>
            </w:r>
          </w:p>
        </w:tc>
        <w:tc>
          <w:tcPr>
            <w:tcW w:w="0" w:type="auto"/>
            <w:vAlign w:val="bottom"/>
            <w:hideMark/>
          </w:tcPr>
          <w:p w14:paraId="32F84C38" w14:textId="77777777" w:rsidR="00803F7B" w:rsidRPr="005C133F" w:rsidRDefault="00803F7B" w:rsidP="004C1B2F">
            <w:pPr>
              <w:spacing w:after="0" w:line="240" w:lineRule="auto"/>
              <w:jc w:val="right"/>
              <w:rPr>
                <w:lang w:val="es-DO" w:eastAsia="es-DO"/>
              </w:rPr>
            </w:pPr>
            <w:r w:rsidRPr="005C133F">
              <w:rPr>
                <w:lang w:val="es-DO" w:eastAsia="es-DO"/>
              </w:rPr>
              <w:t>22,031,776.12</w:t>
            </w:r>
          </w:p>
        </w:tc>
        <w:tc>
          <w:tcPr>
            <w:tcW w:w="0" w:type="auto"/>
            <w:noWrap/>
            <w:vAlign w:val="bottom"/>
            <w:hideMark/>
          </w:tcPr>
          <w:p w14:paraId="7A90DAC7" w14:textId="77777777" w:rsidR="00803F7B" w:rsidRPr="005C133F" w:rsidRDefault="00803F7B" w:rsidP="004C1B2F">
            <w:pPr>
              <w:spacing w:after="0" w:line="240" w:lineRule="auto"/>
              <w:jc w:val="right"/>
              <w:rPr>
                <w:lang w:val="es-DO" w:eastAsia="es-DO"/>
              </w:rPr>
            </w:pPr>
            <w:r w:rsidRPr="005C133F">
              <w:rPr>
                <w:lang w:val="es-DO" w:eastAsia="es-DO"/>
              </w:rPr>
              <w:t>129,739,847.51</w:t>
            </w:r>
          </w:p>
        </w:tc>
      </w:tr>
      <w:tr w:rsidR="004921FF" w:rsidRPr="005C133F" w14:paraId="22F08176" w14:textId="77777777" w:rsidTr="0067066E">
        <w:trPr>
          <w:trHeight w:val="20"/>
          <w:jc w:val="center"/>
        </w:trPr>
        <w:tc>
          <w:tcPr>
            <w:tcW w:w="2074" w:type="dxa"/>
            <w:noWrap/>
            <w:vAlign w:val="bottom"/>
            <w:hideMark/>
          </w:tcPr>
          <w:p w14:paraId="28E8DE0E" w14:textId="77777777" w:rsidR="00803F7B" w:rsidRPr="005C133F" w:rsidRDefault="00803F7B" w:rsidP="004C1B2F">
            <w:pPr>
              <w:spacing w:after="0" w:line="240" w:lineRule="auto"/>
              <w:rPr>
                <w:lang w:val="es-DO" w:eastAsia="es-DO"/>
              </w:rPr>
            </w:pPr>
            <w:r w:rsidRPr="005C133F">
              <w:rPr>
                <w:lang w:val="es-DO" w:eastAsia="es-DO"/>
              </w:rPr>
              <w:t>ARS RESERVAS</w:t>
            </w:r>
          </w:p>
        </w:tc>
        <w:tc>
          <w:tcPr>
            <w:tcW w:w="2140" w:type="dxa"/>
            <w:vAlign w:val="bottom"/>
            <w:hideMark/>
          </w:tcPr>
          <w:p w14:paraId="089B77E3" w14:textId="77777777" w:rsidR="00803F7B" w:rsidRPr="005C133F" w:rsidRDefault="00803F7B" w:rsidP="004C1B2F">
            <w:pPr>
              <w:spacing w:after="0" w:line="240" w:lineRule="auto"/>
              <w:jc w:val="right"/>
              <w:rPr>
                <w:lang w:val="es-DO" w:eastAsia="es-DO"/>
              </w:rPr>
            </w:pPr>
            <w:r w:rsidRPr="005C133F">
              <w:rPr>
                <w:lang w:val="es-DO" w:eastAsia="es-DO"/>
              </w:rPr>
              <w:t>12,544,122.42</w:t>
            </w:r>
          </w:p>
        </w:tc>
        <w:tc>
          <w:tcPr>
            <w:tcW w:w="0" w:type="auto"/>
            <w:vAlign w:val="bottom"/>
            <w:hideMark/>
          </w:tcPr>
          <w:p w14:paraId="4F52E6CD" w14:textId="77777777" w:rsidR="00803F7B" w:rsidRPr="005C133F" w:rsidRDefault="00803F7B" w:rsidP="004C1B2F">
            <w:pPr>
              <w:spacing w:after="0" w:line="240" w:lineRule="auto"/>
              <w:jc w:val="right"/>
              <w:rPr>
                <w:lang w:val="es-DO" w:eastAsia="es-DO"/>
              </w:rPr>
            </w:pPr>
            <w:r w:rsidRPr="005C133F">
              <w:rPr>
                <w:lang w:val="es-DO" w:eastAsia="es-DO"/>
              </w:rPr>
              <w:t>295,591,102.70</w:t>
            </w:r>
          </w:p>
        </w:tc>
        <w:tc>
          <w:tcPr>
            <w:tcW w:w="0" w:type="auto"/>
            <w:vAlign w:val="bottom"/>
            <w:hideMark/>
          </w:tcPr>
          <w:p w14:paraId="3A6D2E2D" w14:textId="77777777" w:rsidR="00803F7B" w:rsidRPr="005C133F" w:rsidRDefault="00803F7B" w:rsidP="004C1B2F">
            <w:pPr>
              <w:spacing w:after="0" w:line="240" w:lineRule="auto"/>
              <w:jc w:val="right"/>
              <w:rPr>
                <w:lang w:val="es-DO" w:eastAsia="es-DO"/>
              </w:rPr>
            </w:pPr>
            <w:r w:rsidRPr="005C133F">
              <w:rPr>
                <w:lang w:val="es-DO" w:eastAsia="es-DO"/>
              </w:rPr>
              <w:t>40,575,292.23</w:t>
            </w:r>
          </w:p>
        </w:tc>
        <w:tc>
          <w:tcPr>
            <w:tcW w:w="0" w:type="auto"/>
            <w:noWrap/>
            <w:vAlign w:val="bottom"/>
            <w:hideMark/>
          </w:tcPr>
          <w:p w14:paraId="099136D0" w14:textId="77777777" w:rsidR="00803F7B" w:rsidRPr="005C133F" w:rsidRDefault="00803F7B" w:rsidP="004C1B2F">
            <w:pPr>
              <w:spacing w:after="0" w:line="240" w:lineRule="auto"/>
              <w:jc w:val="right"/>
              <w:rPr>
                <w:lang w:val="es-DO" w:eastAsia="es-DO"/>
              </w:rPr>
            </w:pPr>
            <w:r w:rsidRPr="005C133F">
              <w:rPr>
                <w:lang w:val="es-DO" w:eastAsia="es-DO"/>
              </w:rPr>
              <w:t>348,710,517.35</w:t>
            </w:r>
          </w:p>
        </w:tc>
      </w:tr>
      <w:tr w:rsidR="004921FF" w:rsidRPr="005C133F" w14:paraId="46E1A756" w14:textId="77777777" w:rsidTr="0067066E">
        <w:trPr>
          <w:trHeight w:val="20"/>
          <w:jc w:val="center"/>
        </w:trPr>
        <w:tc>
          <w:tcPr>
            <w:tcW w:w="2074" w:type="dxa"/>
            <w:noWrap/>
            <w:vAlign w:val="bottom"/>
            <w:hideMark/>
          </w:tcPr>
          <w:p w14:paraId="7FA352AC" w14:textId="77777777" w:rsidR="00803F7B" w:rsidRPr="005C133F" w:rsidRDefault="00803F7B" w:rsidP="004C1B2F">
            <w:pPr>
              <w:spacing w:after="0" w:line="240" w:lineRule="auto"/>
              <w:rPr>
                <w:lang w:val="es-DO" w:eastAsia="es-DO"/>
              </w:rPr>
            </w:pPr>
            <w:r w:rsidRPr="005C133F">
              <w:rPr>
                <w:lang w:val="es-DO" w:eastAsia="es-DO"/>
              </w:rPr>
              <w:t>ARS SEMMA</w:t>
            </w:r>
          </w:p>
        </w:tc>
        <w:tc>
          <w:tcPr>
            <w:tcW w:w="2140" w:type="dxa"/>
            <w:vAlign w:val="bottom"/>
            <w:hideMark/>
          </w:tcPr>
          <w:p w14:paraId="37A78346" w14:textId="77777777" w:rsidR="00803F7B" w:rsidRPr="005C133F" w:rsidRDefault="00803F7B" w:rsidP="004C1B2F">
            <w:pPr>
              <w:spacing w:after="0" w:line="240" w:lineRule="auto"/>
              <w:jc w:val="right"/>
              <w:rPr>
                <w:lang w:val="es-DO" w:eastAsia="es-DO"/>
              </w:rPr>
            </w:pPr>
            <w:r w:rsidRPr="005C133F">
              <w:rPr>
                <w:lang w:val="es-DO" w:eastAsia="es-DO"/>
              </w:rPr>
              <w:t>93,383,798.92</w:t>
            </w:r>
          </w:p>
        </w:tc>
        <w:tc>
          <w:tcPr>
            <w:tcW w:w="0" w:type="auto"/>
            <w:vAlign w:val="bottom"/>
            <w:hideMark/>
          </w:tcPr>
          <w:p w14:paraId="3063F8C3" w14:textId="77777777" w:rsidR="00803F7B" w:rsidRPr="005C133F" w:rsidRDefault="00803F7B" w:rsidP="004C1B2F">
            <w:pPr>
              <w:spacing w:after="0" w:line="240" w:lineRule="auto"/>
              <w:jc w:val="right"/>
              <w:rPr>
                <w:lang w:val="es-DO" w:eastAsia="es-DO"/>
              </w:rPr>
            </w:pPr>
            <w:r w:rsidRPr="005C133F">
              <w:rPr>
                <w:lang w:val="es-DO" w:eastAsia="es-DO"/>
              </w:rPr>
              <w:t>216,806,212.55</w:t>
            </w:r>
          </w:p>
        </w:tc>
        <w:tc>
          <w:tcPr>
            <w:tcW w:w="0" w:type="auto"/>
            <w:vAlign w:val="bottom"/>
            <w:hideMark/>
          </w:tcPr>
          <w:p w14:paraId="064B0CA3" w14:textId="77777777" w:rsidR="00803F7B" w:rsidRPr="005C133F" w:rsidRDefault="00803F7B" w:rsidP="004C1B2F">
            <w:pPr>
              <w:spacing w:after="0" w:line="240" w:lineRule="auto"/>
              <w:jc w:val="right"/>
              <w:rPr>
                <w:lang w:val="es-DO" w:eastAsia="es-DO"/>
              </w:rPr>
            </w:pPr>
            <w:r w:rsidRPr="005C133F">
              <w:rPr>
                <w:lang w:val="es-DO" w:eastAsia="es-DO"/>
              </w:rPr>
              <w:t>47,301,734.29</w:t>
            </w:r>
          </w:p>
        </w:tc>
        <w:tc>
          <w:tcPr>
            <w:tcW w:w="0" w:type="auto"/>
            <w:noWrap/>
            <w:vAlign w:val="bottom"/>
            <w:hideMark/>
          </w:tcPr>
          <w:p w14:paraId="08307ABF" w14:textId="77777777" w:rsidR="00803F7B" w:rsidRPr="005C133F" w:rsidRDefault="00803F7B" w:rsidP="004C1B2F">
            <w:pPr>
              <w:spacing w:after="0" w:line="240" w:lineRule="auto"/>
              <w:jc w:val="right"/>
              <w:rPr>
                <w:lang w:val="es-DO" w:eastAsia="es-DO"/>
              </w:rPr>
            </w:pPr>
            <w:r w:rsidRPr="005C133F">
              <w:rPr>
                <w:lang w:val="es-DO" w:eastAsia="es-DO"/>
              </w:rPr>
              <w:t>357,491,745.76</w:t>
            </w:r>
          </w:p>
        </w:tc>
      </w:tr>
      <w:tr w:rsidR="004921FF" w:rsidRPr="005C133F" w14:paraId="0E4D76EE" w14:textId="77777777" w:rsidTr="0067066E">
        <w:trPr>
          <w:trHeight w:val="20"/>
          <w:jc w:val="center"/>
        </w:trPr>
        <w:tc>
          <w:tcPr>
            <w:tcW w:w="2074" w:type="dxa"/>
            <w:noWrap/>
            <w:vAlign w:val="bottom"/>
            <w:hideMark/>
          </w:tcPr>
          <w:p w14:paraId="59DD5FB0" w14:textId="77777777" w:rsidR="00803F7B" w:rsidRPr="005C133F" w:rsidRDefault="00803F7B" w:rsidP="004C1B2F">
            <w:pPr>
              <w:spacing w:after="0" w:line="240" w:lineRule="auto"/>
              <w:rPr>
                <w:lang w:val="es-DO" w:eastAsia="es-DO"/>
              </w:rPr>
            </w:pPr>
            <w:r w:rsidRPr="005C133F">
              <w:rPr>
                <w:lang w:val="es-DO" w:eastAsia="es-DO"/>
              </w:rPr>
              <w:t>ARS SENASA</w:t>
            </w:r>
          </w:p>
        </w:tc>
        <w:tc>
          <w:tcPr>
            <w:tcW w:w="2140" w:type="dxa"/>
            <w:vAlign w:val="bottom"/>
            <w:hideMark/>
          </w:tcPr>
          <w:p w14:paraId="1CACCDCA" w14:textId="77777777" w:rsidR="00803F7B" w:rsidRPr="005C133F" w:rsidRDefault="00803F7B" w:rsidP="004C1B2F">
            <w:pPr>
              <w:spacing w:after="0" w:line="240" w:lineRule="auto"/>
              <w:jc w:val="right"/>
              <w:rPr>
                <w:lang w:val="es-DO" w:eastAsia="es-DO"/>
              </w:rPr>
            </w:pPr>
            <w:r w:rsidRPr="005C133F">
              <w:rPr>
                <w:lang w:val="es-DO" w:eastAsia="es-DO"/>
              </w:rPr>
              <w:t>653,822,726.50</w:t>
            </w:r>
          </w:p>
        </w:tc>
        <w:tc>
          <w:tcPr>
            <w:tcW w:w="0" w:type="auto"/>
            <w:vAlign w:val="bottom"/>
            <w:hideMark/>
          </w:tcPr>
          <w:p w14:paraId="2C5F729C" w14:textId="77777777" w:rsidR="00803F7B" w:rsidRPr="005C133F" w:rsidRDefault="00803F7B" w:rsidP="004C1B2F">
            <w:pPr>
              <w:spacing w:after="0" w:line="240" w:lineRule="auto"/>
              <w:jc w:val="right"/>
              <w:rPr>
                <w:lang w:val="es-DO" w:eastAsia="es-DO"/>
              </w:rPr>
            </w:pPr>
            <w:r w:rsidRPr="005C133F">
              <w:rPr>
                <w:lang w:val="es-DO" w:eastAsia="es-DO"/>
              </w:rPr>
              <w:t>3,257,049,365.36</w:t>
            </w:r>
          </w:p>
        </w:tc>
        <w:tc>
          <w:tcPr>
            <w:tcW w:w="0" w:type="auto"/>
            <w:vAlign w:val="bottom"/>
            <w:hideMark/>
          </w:tcPr>
          <w:p w14:paraId="64BC954C" w14:textId="77777777" w:rsidR="00803F7B" w:rsidRPr="005C133F" w:rsidRDefault="00803F7B" w:rsidP="004C1B2F">
            <w:pPr>
              <w:spacing w:after="0" w:line="240" w:lineRule="auto"/>
              <w:jc w:val="right"/>
              <w:rPr>
                <w:lang w:val="es-DO" w:eastAsia="es-DO"/>
              </w:rPr>
            </w:pPr>
            <w:r w:rsidRPr="005C133F">
              <w:rPr>
                <w:lang w:val="es-DO" w:eastAsia="es-DO"/>
              </w:rPr>
              <w:t>640,659,552.82</w:t>
            </w:r>
          </w:p>
        </w:tc>
        <w:tc>
          <w:tcPr>
            <w:tcW w:w="0" w:type="auto"/>
            <w:noWrap/>
            <w:vAlign w:val="bottom"/>
            <w:hideMark/>
          </w:tcPr>
          <w:p w14:paraId="31B88184" w14:textId="77777777" w:rsidR="00803F7B" w:rsidRPr="005C133F" w:rsidRDefault="00803F7B" w:rsidP="004C1B2F">
            <w:pPr>
              <w:spacing w:after="0" w:line="240" w:lineRule="auto"/>
              <w:jc w:val="right"/>
              <w:rPr>
                <w:lang w:val="es-DO" w:eastAsia="es-DO"/>
              </w:rPr>
            </w:pPr>
            <w:r w:rsidRPr="005C133F">
              <w:rPr>
                <w:lang w:val="es-DO" w:eastAsia="es-DO"/>
              </w:rPr>
              <w:t>4,551,531,644.68</w:t>
            </w:r>
          </w:p>
        </w:tc>
      </w:tr>
      <w:tr w:rsidR="004921FF" w:rsidRPr="005C133F" w14:paraId="305D89DA" w14:textId="77777777" w:rsidTr="0067066E">
        <w:trPr>
          <w:trHeight w:val="20"/>
          <w:jc w:val="center"/>
        </w:trPr>
        <w:tc>
          <w:tcPr>
            <w:tcW w:w="2074" w:type="dxa"/>
            <w:noWrap/>
            <w:vAlign w:val="bottom"/>
            <w:hideMark/>
          </w:tcPr>
          <w:p w14:paraId="4CD830FF" w14:textId="77777777" w:rsidR="00803F7B" w:rsidRPr="005C133F" w:rsidRDefault="00803F7B" w:rsidP="004C1B2F">
            <w:pPr>
              <w:spacing w:after="0" w:line="240" w:lineRule="auto"/>
              <w:rPr>
                <w:lang w:val="es-DO" w:eastAsia="es-DO"/>
              </w:rPr>
            </w:pPr>
            <w:r w:rsidRPr="005C133F">
              <w:rPr>
                <w:lang w:val="es-DO" w:eastAsia="es-DO"/>
              </w:rPr>
              <w:t>ARS SENASA - REGIMEN SUBSIDIADO</w:t>
            </w:r>
          </w:p>
        </w:tc>
        <w:tc>
          <w:tcPr>
            <w:tcW w:w="2140" w:type="dxa"/>
            <w:vAlign w:val="bottom"/>
            <w:hideMark/>
          </w:tcPr>
          <w:p w14:paraId="1CDC8ABE" w14:textId="77777777" w:rsidR="00803F7B" w:rsidRPr="005C133F" w:rsidRDefault="00803F7B" w:rsidP="004C1B2F">
            <w:pPr>
              <w:spacing w:after="0" w:line="240" w:lineRule="auto"/>
              <w:jc w:val="right"/>
              <w:rPr>
                <w:lang w:val="es-DO" w:eastAsia="es-DO"/>
              </w:rPr>
            </w:pPr>
            <w:r w:rsidRPr="005C133F">
              <w:rPr>
                <w:lang w:val="es-DO" w:eastAsia="es-DO"/>
              </w:rPr>
              <w:t>449,088,460.16</w:t>
            </w:r>
          </w:p>
        </w:tc>
        <w:tc>
          <w:tcPr>
            <w:tcW w:w="0" w:type="auto"/>
            <w:vAlign w:val="bottom"/>
            <w:hideMark/>
          </w:tcPr>
          <w:p w14:paraId="53C36846" w14:textId="77777777" w:rsidR="00803F7B" w:rsidRPr="005C133F" w:rsidRDefault="00803F7B" w:rsidP="004C1B2F">
            <w:pPr>
              <w:spacing w:after="0" w:line="240" w:lineRule="auto"/>
              <w:jc w:val="right"/>
              <w:rPr>
                <w:lang w:val="es-DO" w:eastAsia="es-DO"/>
              </w:rPr>
            </w:pPr>
            <w:r w:rsidRPr="005C133F">
              <w:rPr>
                <w:lang w:val="es-DO" w:eastAsia="es-DO"/>
              </w:rPr>
              <w:t>2,787,950,946.36</w:t>
            </w:r>
          </w:p>
        </w:tc>
        <w:tc>
          <w:tcPr>
            <w:tcW w:w="0" w:type="auto"/>
            <w:vAlign w:val="bottom"/>
            <w:hideMark/>
          </w:tcPr>
          <w:p w14:paraId="0A8429B0" w14:textId="77777777" w:rsidR="00803F7B" w:rsidRPr="005C133F" w:rsidRDefault="00803F7B" w:rsidP="004C1B2F">
            <w:pPr>
              <w:spacing w:after="0" w:line="240" w:lineRule="auto"/>
              <w:jc w:val="right"/>
              <w:rPr>
                <w:lang w:val="es-DO" w:eastAsia="es-DO"/>
              </w:rPr>
            </w:pPr>
            <w:r w:rsidRPr="005C133F">
              <w:rPr>
                <w:lang w:val="es-DO" w:eastAsia="es-DO"/>
              </w:rPr>
              <w:t>757,843,966.39</w:t>
            </w:r>
          </w:p>
        </w:tc>
        <w:tc>
          <w:tcPr>
            <w:tcW w:w="0" w:type="auto"/>
            <w:noWrap/>
            <w:vAlign w:val="bottom"/>
            <w:hideMark/>
          </w:tcPr>
          <w:p w14:paraId="0B3FF9C4" w14:textId="77777777" w:rsidR="00803F7B" w:rsidRPr="005C133F" w:rsidRDefault="00803F7B" w:rsidP="004C1B2F">
            <w:pPr>
              <w:spacing w:after="0" w:line="240" w:lineRule="auto"/>
              <w:jc w:val="right"/>
              <w:rPr>
                <w:lang w:val="es-DO" w:eastAsia="es-DO"/>
              </w:rPr>
            </w:pPr>
            <w:r w:rsidRPr="005C133F">
              <w:rPr>
                <w:lang w:val="es-DO" w:eastAsia="es-DO"/>
              </w:rPr>
              <w:t>3,994,883,372.91</w:t>
            </w:r>
          </w:p>
        </w:tc>
      </w:tr>
      <w:tr w:rsidR="004921FF" w:rsidRPr="005C133F" w14:paraId="6838D69B" w14:textId="77777777" w:rsidTr="0067066E">
        <w:trPr>
          <w:trHeight w:val="20"/>
          <w:jc w:val="center"/>
        </w:trPr>
        <w:tc>
          <w:tcPr>
            <w:tcW w:w="2074" w:type="dxa"/>
            <w:noWrap/>
            <w:vAlign w:val="bottom"/>
            <w:hideMark/>
          </w:tcPr>
          <w:p w14:paraId="0F7E4C23" w14:textId="77777777" w:rsidR="00803F7B" w:rsidRPr="005C133F" w:rsidRDefault="00803F7B" w:rsidP="004C1B2F">
            <w:pPr>
              <w:spacing w:after="0" w:line="240" w:lineRule="auto"/>
              <w:rPr>
                <w:lang w:val="es-DO" w:eastAsia="es-DO"/>
              </w:rPr>
            </w:pPr>
            <w:r w:rsidRPr="005C133F">
              <w:rPr>
                <w:lang w:val="es-DO" w:eastAsia="es-DO"/>
              </w:rPr>
              <w:lastRenderedPageBreak/>
              <w:t>ARS UNIVERSAL, S.A.</w:t>
            </w:r>
          </w:p>
        </w:tc>
        <w:tc>
          <w:tcPr>
            <w:tcW w:w="2140" w:type="dxa"/>
            <w:vAlign w:val="bottom"/>
            <w:hideMark/>
          </w:tcPr>
          <w:p w14:paraId="7B3B8951" w14:textId="77777777" w:rsidR="00803F7B" w:rsidRPr="005C133F" w:rsidRDefault="00803F7B" w:rsidP="004C1B2F">
            <w:pPr>
              <w:spacing w:after="0" w:line="240" w:lineRule="auto"/>
              <w:jc w:val="right"/>
              <w:rPr>
                <w:lang w:val="es-DO" w:eastAsia="es-DO"/>
              </w:rPr>
            </w:pPr>
            <w:r w:rsidRPr="005C133F">
              <w:rPr>
                <w:lang w:val="es-DO" w:eastAsia="es-DO"/>
              </w:rPr>
              <w:t>127,858,263.63</w:t>
            </w:r>
          </w:p>
        </w:tc>
        <w:tc>
          <w:tcPr>
            <w:tcW w:w="0" w:type="auto"/>
            <w:vAlign w:val="bottom"/>
            <w:hideMark/>
          </w:tcPr>
          <w:p w14:paraId="360FE7E1" w14:textId="77777777" w:rsidR="00803F7B" w:rsidRPr="005C133F" w:rsidRDefault="00803F7B" w:rsidP="004C1B2F">
            <w:pPr>
              <w:spacing w:after="0" w:line="240" w:lineRule="auto"/>
              <w:jc w:val="right"/>
              <w:rPr>
                <w:lang w:val="es-DO" w:eastAsia="es-DO"/>
              </w:rPr>
            </w:pPr>
            <w:r w:rsidRPr="005C133F">
              <w:rPr>
                <w:lang w:val="es-DO" w:eastAsia="es-DO"/>
              </w:rPr>
              <w:t>550,612,715.24</w:t>
            </w:r>
          </w:p>
        </w:tc>
        <w:tc>
          <w:tcPr>
            <w:tcW w:w="0" w:type="auto"/>
            <w:vAlign w:val="bottom"/>
            <w:hideMark/>
          </w:tcPr>
          <w:p w14:paraId="1B3F7B88" w14:textId="77777777" w:rsidR="00803F7B" w:rsidRPr="005C133F" w:rsidRDefault="00803F7B" w:rsidP="004C1B2F">
            <w:pPr>
              <w:spacing w:after="0" w:line="240" w:lineRule="auto"/>
              <w:jc w:val="right"/>
              <w:rPr>
                <w:lang w:val="es-DO" w:eastAsia="es-DO"/>
              </w:rPr>
            </w:pPr>
            <w:r w:rsidRPr="005C133F">
              <w:rPr>
                <w:lang w:val="es-DO" w:eastAsia="es-DO"/>
              </w:rPr>
              <w:t>133,421,553.36</w:t>
            </w:r>
          </w:p>
        </w:tc>
        <w:tc>
          <w:tcPr>
            <w:tcW w:w="0" w:type="auto"/>
            <w:noWrap/>
            <w:vAlign w:val="bottom"/>
            <w:hideMark/>
          </w:tcPr>
          <w:p w14:paraId="6D72CD3F" w14:textId="77777777" w:rsidR="00803F7B" w:rsidRPr="005C133F" w:rsidRDefault="00803F7B" w:rsidP="004C1B2F">
            <w:pPr>
              <w:spacing w:after="0" w:line="240" w:lineRule="auto"/>
              <w:jc w:val="right"/>
              <w:rPr>
                <w:lang w:val="es-DO" w:eastAsia="es-DO"/>
              </w:rPr>
            </w:pPr>
            <w:r w:rsidRPr="005C133F">
              <w:rPr>
                <w:lang w:val="es-DO" w:eastAsia="es-DO"/>
              </w:rPr>
              <w:t>811,892,532.23</w:t>
            </w:r>
          </w:p>
        </w:tc>
      </w:tr>
      <w:tr w:rsidR="004921FF" w:rsidRPr="005C133F" w14:paraId="50DAAF3D" w14:textId="77777777" w:rsidTr="0067066E">
        <w:trPr>
          <w:trHeight w:val="20"/>
          <w:jc w:val="center"/>
        </w:trPr>
        <w:tc>
          <w:tcPr>
            <w:tcW w:w="2074" w:type="dxa"/>
            <w:noWrap/>
            <w:vAlign w:val="bottom"/>
            <w:hideMark/>
          </w:tcPr>
          <w:p w14:paraId="678DE7BA" w14:textId="77777777" w:rsidR="00803F7B" w:rsidRPr="005C133F" w:rsidRDefault="00803F7B" w:rsidP="004C1B2F">
            <w:pPr>
              <w:spacing w:after="0" w:line="240" w:lineRule="auto"/>
              <w:rPr>
                <w:lang w:val="es-DO" w:eastAsia="es-DO"/>
              </w:rPr>
            </w:pPr>
            <w:r w:rsidRPr="005C133F">
              <w:rPr>
                <w:lang w:val="es-DO" w:eastAsia="es-DO"/>
              </w:rPr>
              <w:t>MAPFRE SALUD ARS</w:t>
            </w:r>
          </w:p>
        </w:tc>
        <w:tc>
          <w:tcPr>
            <w:tcW w:w="2140" w:type="dxa"/>
            <w:vAlign w:val="bottom"/>
            <w:hideMark/>
          </w:tcPr>
          <w:p w14:paraId="49FFA83B" w14:textId="77777777" w:rsidR="00803F7B" w:rsidRPr="005C133F" w:rsidRDefault="00803F7B" w:rsidP="004C1B2F">
            <w:pPr>
              <w:spacing w:after="0" w:line="240" w:lineRule="auto"/>
              <w:jc w:val="right"/>
              <w:rPr>
                <w:lang w:val="es-DO" w:eastAsia="es-DO"/>
              </w:rPr>
            </w:pPr>
            <w:r w:rsidRPr="005C133F">
              <w:rPr>
                <w:lang w:val="es-DO" w:eastAsia="es-DO"/>
              </w:rPr>
              <w:t>138,534,464.52</w:t>
            </w:r>
          </w:p>
        </w:tc>
        <w:tc>
          <w:tcPr>
            <w:tcW w:w="0" w:type="auto"/>
            <w:vAlign w:val="bottom"/>
            <w:hideMark/>
          </w:tcPr>
          <w:p w14:paraId="6FE5BB38" w14:textId="77777777" w:rsidR="00803F7B" w:rsidRPr="005C133F" w:rsidRDefault="00803F7B" w:rsidP="004C1B2F">
            <w:pPr>
              <w:spacing w:after="0" w:line="240" w:lineRule="auto"/>
              <w:jc w:val="right"/>
              <w:rPr>
                <w:lang w:val="es-DO" w:eastAsia="es-DO"/>
              </w:rPr>
            </w:pPr>
            <w:r w:rsidRPr="005C133F">
              <w:rPr>
                <w:lang w:val="es-DO" w:eastAsia="es-DO"/>
              </w:rPr>
              <w:t>488,841,888.71</w:t>
            </w:r>
          </w:p>
        </w:tc>
        <w:tc>
          <w:tcPr>
            <w:tcW w:w="0" w:type="auto"/>
            <w:vAlign w:val="bottom"/>
            <w:hideMark/>
          </w:tcPr>
          <w:p w14:paraId="5B4C40BD" w14:textId="77777777" w:rsidR="00803F7B" w:rsidRPr="005C133F" w:rsidRDefault="00803F7B" w:rsidP="004C1B2F">
            <w:pPr>
              <w:spacing w:after="0" w:line="240" w:lineRule="auto"/>
              <w:jc w:val="right"/>
              <w:rPr>
                <w:lang w:val="es-DO" w:eastAsia="es-DO"/>
              </w:rPr>
            </w:pPr>
            <w:r w:rsidRPr="005C133F">
              <w:rPr>
                <w:lang w:val="es-DO" w:eastAsia="es-DO"/>
              </w:rPr>
              <w:t>235,751,233.89</w:t>
            </w:r>
          </w:p>
        </w:tc>
        <w:tc>
          <w:tcPr>
            <w:tcW w:w="0" w:type="auto"/>
            <w:noWrap/>
            <w:vAlign w:val="bottom"/>
            <w:hideMark/>
          </w:tcPr>
          <w:p w14:paraId="175C73FF" w14:textId="77777777" w:rsidR="00803F7B" w:rsidRPr="005C133F" w:rsidRDefault="00803F7B" w:rsidP="004C1B2F">
            <w:pPr>
              <w:spacing w:after="0" w:line="240" w:lineRule="auto"/>
              <w:jc w:val="right"/>
              <w:rPr>
                <w:lang w:val="es-DO" w:eastAsia="es-DO"/>
              </w:rPr>
            </w:pPr>
            <w:r w:rsidRPr="005C133F">
              <w:rPr>
                <w:lang w:val="es-DO" w:eastAsia="es-DO"/>
              </w:rPr>
              <w:t>863,127,587.12</w:t>
            </w:r>
          </w:p>
        </w:tc>
      </w:tr>
      <w:tr w:rsidR="00246DA5" w:rsidRPr="005C133F" w14:paraId="5C202037" w14:textId="77777777" w:rsidTr="0067066E">
        <w:trPr>
          <w:trHeight w:val="20"/>
          <w:jc w:val="center"/>
        </w:trPr>
        <w:tc>
          <w:tcPr>
            <w:tcW w:w="2074" w:type="dxa"/>
            <w:shd w:val="clear" w:color="auto" w:fill="011C50"/>
            <w:noWrap/>
            <w:vAlign w:val="bottom"/>
            <w:hideMark/>
          </w:tcPr>
          <w:p w14:paraId="70819A70"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Total general</w:t>
            </w:r>
          </w:p>
        </w:tc>
        <w:tc>
          <w:tcPr>
            <w:tcW w:w="2140" w:type="dxa"/>
            <w:shd w:val="clear" w:color="auto" w:fill="011C50"/>
            <w:vAlign w:val="bottom"/>
            <w:hideMark/>
          </w:tcPr>
          <w:p w14:paraId="370EAE61" w14:textId="77777777" w:rsidR="00803F7B" w:rsidRPr="005C133F" w:rsidRDefault="00803F7B" w:rsidP="004C1B2F">
            <w:pPr>
              <w:spacing w:after="0" w:line="240" w:lineRule="auto"/>
              <w:jc w:val="right"/>
              <w:rPr>
                <w:b/>
                <w:bCs/>
                <w:color w:val="FFFFFF" w:themeColor="background1"/>
                <w:lang w:val="es-DO" w:eastAsia="es-DO"/>
              </w:rPr>
            </w:pPr>
            <w:r w:rsidRPr="005C133F">
              <w:rPr>
                <w:b/>
                <w:bCs/>
                <w:color w:val="FFFFFF" w:themeColor="background1"/>
                <w:lang w:val="es-DO" w:eastAsia="es-DO"/>
              </w:rPr>
              <w:t>1,892,909,121.90</w:t>
            </w:r>
          </w:p>
        </w:tc>
        <w:tc>
          <w:tcPr>
            <w:tcW w:w="0" w:type="auto"/>
            <w:shd w:val="clear" w:color="auto" w:fill="011C50"/>
            <w:vAlign w:val="bottom"/>
            <w:hideMark/>
          </w:tcPr>
          <w:p w14:paraId="49448419" w14:textId="77777777" w:rsidR="00803F7B" w:rsidRPr="005C133F" w:rsidRDefault="00803F7B" w:rsidP="004C1B2F">
            <w:pPr>
              <w:spacing w:after="0" w:line="240" w:lineRule="auto"/>
              <w:jc w:val="right"/>
              <w:rPr>
                <w:b/>
                <w:bCs/>
                <w:color w:val="FFFFFF" w:themeColor="background1"/>
                <w:lang w:val="es-DO" w:eastAsia="es-DO"/>
              </w:rPr>
            </w:pPr>
            <w:r w:rsidRPr="005C133F">
              <w:rPr>
                <w:b/>
                <w:bCs/>
                <w:color w:val="FFFFFF" w:themeColor="background1"/>
                <w:lang w:val="es-DO" w:eastAsia="es-DO"/>
              </w:rPr>
              <w:t>9,326,335,379.68</w:t>
            </w:r>
          </w:p>
        </w:tc>
        <w:tc>
          <w:tcPr>
            <w:tcW w:w="0" w:type="auto"/>
            <w:shd w:val="clear" w:color="auto" w:fill="011C50"/>
            <w:vAlign w:val="bottom"/>
            <w:hideMark/>
          </w:tcPr>
          <w:p w14:paraId="648C8A26" w14:textId="77777777" w:rsidR="00803F7B" w:rsidRPr="005C133F" w:rsidRDefault="00803F7B" w:rsidP="004C1B2F">
            <w:pPr>
              <w:spacing w:after="0" w:line="240" w:lineRule="auto"/>
              <w:jc w:val="right"/>
              <w:rPr>
                <w:b/>
                <w:bCs/>
                <w:color w:val="FFFFFF" w:themeColor="background1"/>
                <w:lang w:val="es-DO" w:eastAsia="es-DO"/>
              </w:rPr>
            </w:pPr>
            <w:r w:rsidRPr="005C133F">
              <w:rPr>
                <w:b/>
                <w:bCs/>
                <w:color w:val="FFFFFF" w:themeColor="background1"/>
                <w:lang w:val="es-DO" w:eastAsia="es-DO"/>
              </w:rPr>
              <w:t>2,566,007,928.55</w:t>
            </w:r>
          </w:p>
        </w:tc>
        <w:tc>
          <w:tcPr>
            <w:tcW w:w="0" w:type="auto"/>
            <w:shd w:val="clear" w:color="auto" w:fill="011C50"/>
            <w:noWrap/>
            <w:vAlign w:val="bottom"/>
            <w:hideMark/>
          </w:tcPr>
          <w:p w14:paraId="7E9CB030" w14:textId="77777777" w:rsidR="00803F7B" w:rsidRPr="005C133F" w:rsidRDefault="00803F7B" w:rsidP="004C1B2F">
            <w:pPr>
              <w:spacing w:after="0" w:line="240" w:lineRule="auto"/>
              <w:jc w:val="right"/>
              <w:rPr>
                <w:b/>
                <w:bCs/>
                <w:color w:val="FFFFFF" w:themeColor="background1"/>
                <w:lang w:val="es-DO" w:eastAsia="es-DO"/>
              </w:rPr>
            </w:pPr>
            <w:r w:rsidRPr="005C133F">
              <w:rPr>
                <w:b/>
                <w:bCs/>
                <w:color w:val="FFFFFF" w:themeColor="background1"/>
                <w:lang w:val="es-DO" w:eastAsia="es-DO"/>
              </w:rPr>
              <w:t>13,785,252,430.13</w:t>
            </w:r>
          </w:p>
        </w:tc>
      </w:tr>
    </w:tbl>
    <w:p w14:paraId="457D39FB" w14:textId="77777777" w:rsidR="00A35F2B" w:rsidRPr="00AC2DB2" w:rsidRDefault="00A35F2B" w:rsidP="005C133F">
      <w:pPr>
        <w:spacing w:before="3" w:after="0" w:line="360" w:lineRule="auto"/>
        <w:ind w:left="1080"/>
        <w:rPr>
          <w:sz w:val="18"/>
          <w:szCs w:val="18"/>
          <w:lang w:val="es-DO"/>
        </w:rPr>
      </w:pPr>
      <w:r w:rsidRPr="00AC2DB2">
        <w:rPr>
          <w:sz w:val="18"/>
          <w:szCs w:val="18"/>
          <w:lang w:val="es-DO"/>
        </w:rPr>
        <w:t>Fuente: Dirección de Gestión Actuarial del SFS y el SRL, SISALRIL.</w:t>
      </w:r>
    </w:p>
    <w:p w14:paraId="16EEE512" w14:textId="4CF9A7AC" w:rsidR="00803F7B" w:rsidRPr="005C133F" w:rsidRDefault="00803F7B" w:rsidP="005C133F">
      <w:pPr>
        <w:tabs>
          <w:tab w:val="left" w:pos="2980"/>
        </w:tabs>
        <w:spacing w:after="0" w:line="360" w:lineRule="auto"/>
        <w:jc w:val="center"/>
        <w:rPr>
          <w:b/>
          <w:bCs/>
          <w:lang w:val="es-DO"/>
        </w:rPr>
      </w:pPr>
    </w:p>
    <w:p w14:paraId="3DCCBB76" w14:textId="4F522413" w:rsidR="00312A52" w:rsidRPr="005C133F" w:rsidRDefault="00312A52" w:rsidP="004C1B2F">
      <w:pPr>
        <w:pStyle w:val="Descripcin"/>
        <w:keepNext/>
        <w:spacing w:after="0"/>
        <w:jc w:val="center"/>
        <w:rPr>
          <w:b/>
          <w:bCs/>
          <w:i w:val="0"/>
          <w:iCs w:val="0"/>
          <w:color w:val="767171"/>
          <w:sz w:val="24"/>
          <w:szCs w:val="24"/>
          <w:lang w:val="es-DO"/>
        </w:rPr>
      </w:pPr>
      <w:bookmarkStart w:id="85" w:name="_Toc218784160"/>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28</w:t>
      </w:r>
      <w:r w:rsidRPr="005C133F">
        <w:rPr>
          <w:b/>
          <w:bCs/>
          <w:i w:val="0"/>
          <w:iCs w:val="0"/>
          <w:color w:val="767171"/>
          <w:sz w:val="24"/>
          <w:szCs w:val="24"/>
          <w:lang w:val="es-DO"/>
        </w:rPr>
        <w:fldChar w:fldCharType="end"/>
      </w:r>
      <w:r w:rsidRPr="005C133F">
        <w:rPr>
          <w:b/>
          <w:bCs/>
          <w:i w:val="0"/>
          <w:iCs w:val="0"/>
          <w:color w:val="767171"/>
          <w:sz w:val="24"/>
          <w:szCs w:val="24"/>
          <w:lang w:val="es-DO"/>
        </w:rPr>
        <w:t>. Plan Básico de Salud. Afiliados que han solicitado a las ARS la cobertura para tratamiento de Diabetes Mellitus e Hipertensión</w:t>
      </w:r>
      <w:bookmarkEnd w:id="85"/>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074"/>
        <w:gridCol w:w="1319"/>
        <w:gridCol w:w="1556"/>
        <w:gridCol w:w="1571"/>
        <w:gridCol w:w="1390"/>
      </w:tblGrid>
      <w:tr w:rsidR="00246DA5" w:rsidRPr="005C133F" w14:paraId="35563AC8" w14:textId="77777777" w:rsidTr="00A35F2B">
        <w:trPr>
          <w:trHeight w:val="288"/>
          <w:tblHeader/>
          <w:jc w:val="center"/>
        </w:trPr>
        <w:tc>
          <w:tcPr>
            <w:tcW w:w="2070" w:type="dxa"/>
            <w:shd w:val="clear" w:color="auto" w:fill="011C50"/>
            <w:noWrap/>
            <w:vAlign w:val="bottom"/>
            <w:hideMark/>
          </w:tcPr>
          <w:p w14:paraId="65D69477"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ARS</w:t>
            </w:r>
          </w:p>
        </w:tc>
        <w:tc>
          <w:tcPr>
            <w:tcW w:w="1320" w:type="dxa"/>
            <w:shd w:val="clear" w:color="auto" w:fill="011C50"/>
            <w:noWrap/>
            <w:vAlign w:val="center"/>
            <w:hideMark/>
          </w:tcPr>
          <w:p w14:paraId="740A8A85"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w:t>
            </w:r>
          </w:p>
        </w:tc>
        <w:tc>
          <w:tcPr>
            <w:tcW w:w="1557" w:type="dxa"/>
            <w:shd w:val="clear" w:color="auto" w:fill="011C50"/>
            <w:noWrap/>
            <w:vAlign w:val="center"/>
            <w:hideMark/>
          </w:tcPr>
          <w:p w14:paraId="537102BB"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 e Hipertenso</w:t>
            </w:r>
          </w:p>
        </w:tc>
        <w:tc>
          <w:tcPr>
            <w:tcW w:w="1572" w:type="dxa"/>
            <w:shd w:val="clear" w:color="auto" w:fill="011C50"/>
            <w:noWrap/>
            <w:vAlign w:val="center"/>
            <w:hideMark/>
          </w:tcPr>
          <w:p w14:paraId="3182A7DC"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Hipertenso</w:t>
            </w:r>
          </w:p>
        </w:tc>
        <w:tc>
          <w:tcPr>
            <w:tcW w:w="1391" w:type="dxa"/>
            <w:shd w:val="clear" w:color="auto" w:fill="011C50"/>
            <w:noWrap/>
            <w:vAlign w:val="center"/>
            <w:hideMark/>
          </w:tcPr>
          <w:p w14:paraId="7C6E7A49"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Total general</w:t>
            </w:r>
          </w:p>
        </w:tc>
      </w:tr>
      <w:tr w:rsidR="004921FF" w:rsidRPr="005C133F" w14:paraId="5F619D3B" w14:textId="77777777" w:rsidTr="00A35F2B">
        <w:trPr>
          <w:trHeight w:val="288"/>
          <w:jc w:val="center"/>
        </w:trPr>
        <w:tc>
          <w:tcPr>
            <w:tcW w:w="2070" w:type="dxa"/>
            <w:noWrap/>
            <w:vAlign w:val="bottom"/>
            <w:hideMark/>
          </w:tcPr>
          <w:p w14:paraId="4819D2AA" w14:textId="77777777" w:rsidR="00803F7B" w:rsidRPr="005C133F" w:rsidRDefault="00803F7B" w:rsidP="004C1B2F">
            <w:pPr>
              <w:spacing w:after="0" w:line="240" w:lineRule="auto"/>
              <w:rPr>
                <w:lang w:val="es-DO" w:eastAsia="es-DO"/>
              </w:rPr>
            </w:pPr>
            <w:r w:rsidRPr="005C133F">
              <w:rPr>
                <w:lang w:val="es-DO" w:eastAsia="es-DO"/>
              </w:rPr>
              <w:t>ARS ABEL GONZALEZ</w:t>
            </w:r>
          </w:p>
        </w:tc>
        <w:tc>
          <w:tcPr>
            <w:tcW w:w="1320" w:type="dxa"/>
            <w:noWrap/>
            <w:vAlign w:val="center"/>
            <w:hideMark/>
          </w:tcPr>
          <w:p w14:paraId="21B38C97" w14:textId="77777777" w:rsidR="00803F7B" w:rsidRPr="005C133F" w:rsidRDefault="00803F7B" w:rsidP="004C1B2F">
            <w:pPr>
              <w:spacing w:after="0" w:line="240" w:lineRule="auto"/>
              <w:jc w:val="center"/>
              <w:rPr>
                <w:lang w:val="es-DO" w:eastAsia="es-DO"/>
              </w:rPr>
            </w:pPr>
            <w:r w:rsidRPr="005C133F">
              <w:rPr>
                <w:lang w:val="es-DO" w:eastAsia="es-DO"/>
              </w:rPr>
              <w:t>343</w:t>
            </w:r>
          </w:p>
        </w:tc>
        <w:tc>
          <w:tcPr>
            <w:tcW w:w="1557" w:type="dxa"/>
            <w:noWrap/>
            <w:vAlign w:val="center"/>
            <w:hideMark/>
          </w:tcPr>
          <w:p w14:paraId="0025459D" w14:textId="77777777" w:rsidR="00803F7B" w:rsidRPr="005C133F" w:rsidRDefault="00803F7B" w:rsidP="004C1B2F">
            <w:pPr>
              <w:spacing w:after="0" w:line="240" w:lineRule="auto"/>
              <w:jc w:val="center"/>
              <w:rPr>
                <w:lang w:val="es-DO" w:eastAsia="es-DO"/>
              </w:rPr>
            </w:pPr>
            <w:r w:rsidRPr="005C133F">
              <w:rPr>
                <w:lang w:val="es-DO" w:eastAsia="es-DO"/>
              </w:rPr>
              <w:t>210</w:t>
            </w:r>
          </w:p>
        </w:tc>
        <w:tc>
          <w:tcPr>
            <w:tcW w:w="1572" w:type="dxa"/>
            <w:noWrap/>
            <w:vAlign w:val="center"/>
            <w:hideMark/>
          </w:tcPr>
          <w:p w14:paraId="30EC59D3" w14:textId="77777777" w:rsidR="00803F7B" w:rsidRPr="005C133F" w:rsidRDefault="00803F7B" w:rsidP="004C1B2F">
            <w:pPr>
              <w:spacing w:after="0" w:line="240" w:lineRule="auto"/>
              <w:jc w:val="center"/>
              <w:rPr>
                <w:lang w:val="es-DO" w:eastAsia="es-DO"/>
              </w:rPr>
            </w:pPr>
            <w:r w:rsidRPr="005C133F">
              <w:rPr>
                <w:lang w:val="es-DO" w:eastAsia="es-DO"/>
              </w:rPr>
              <w:t>1,404</w:t>
            </w:r>
          </w:p>
        </w:tc>
        <w:tc>
          <w:tcPr>
            <w:tcW w:w="1391" w:type="dxa"/>
            <w:noWrap/>
            <w:vAlign w:val="center"/>
            <w:hideMark/>
          </w:tcPr>
          <w:p w14:paraId="763EB98F" w14:textId="77777777" w:rsidR="00803F7B" w:rsidRPr="005C133F" w:rsidRDefault="00803F7B" w:rsidP="004C1B2F">
            <w:pPr>
              <w:spacing w:after="0" w:line="240" w:lineRule="auto"/>
              <w:jc w:val="center"/>
              <w:rPr>
                <w:lang w:val="es-DO" w:eastAsia="es-DO"/>
              </w:rPr>
            </w:pPr>
            <w:r w:rsidRPr="005C133F">
              <w:rPr>
                <w:lang w:val="es-DO" w:eastAsia="es-DO"/>
              </w:rPr>
              <w:t>1,957</w:t>
            </w:r>
          </w:p>
        </w:tc>
      </w:tr>
      <w:tr w:rsidR="004921FF" w:rsidRPr="005C133F" w14:paraId="2CC75ADB" w14:textId="77777777" w:rsidTr="00A35F2B">
        <w:trPr>
          <w:trHeight w:val="288"/>
          <w:jc w:val="center"/>
        </w:trPr>
        <w:tc>
          <w:tcPr>
            <w:tcW w:w="2070" w:type="dxa"/>
            <w:noWrap/>
            <w:vAlign w:val="bottom"/>
            <w:hideMark/>
          </w:tcPr>
          <w:p w14:paraId="3ED9CB0F" w14:textId="77777777" w:rsidR="00803F7B" w:rsidRPr="005C133F" w:rsidRDefault="00803F7B" w:rsidP="004C1B2F">
            <w:pPr>
              <w:spacing w:after="0" w:line="240" w:lineRule="auto"/>
              <w:rPr>
                <w:lang w:val="es-DO" w:eastAsia="es-DO"/>
              </w:rPr>
            </w:pPr>
            <w:r w:rsidRPr="005C133F">
              <w:rPr>
                <w:lang w:val="es-DO" w:eastAsia="es-DO"/>
              </w:rPr>
              <w:t>ARS APS</w:t>
            </w:r>
          </w:p>
        </w:tc>
        <w:tc>
          <w:tcPr>
            <w:tcW w:w="1320" w:type="dxa"/>
            <w:noWrap/>
            <w:vAlign w:val="center"/>
            <w:hideMark/>
          </w:tcPr>
          <w:p w14:paraId="444FC422" w14:textId="77777777" w:rsidR="00803F7B" w:rsidRPr="005C133F" w:rsidRDefault="00803F7B" w:rsidP="004C1B2F">
            <w:pPr>
              <w:spacing w:after="0" w:line="240" w:lineRule="auto"/>
              <w:jc w:val="center"/>
              <w:rPr>
                <w:lang w:val="es-DO" w:eastAsia="es-DO"/>
              </w:rPr>
            </w:pPr>
            <w:r w:rsidRPr="005C133F">
              <w:rPr>
                <w:lang w:val="es-DO" w:eastAsia="es-DO"/>
              </w:rPr>
              <w:t>187</w:t>
            </w:r>
          </w:p>
        </w:tc>
        <w:tc>
          <w:tcPr>
            <w:tcW w:w="1557" w:type="dxa"/>
            <w:noWrap/>
            <w:vAlign w:val="center"/>
            <w:hideMark/>
          </w:tcPr>
          <w:p w14:paraId="43242358" w14:textId="77777777" w:rsidR="00803F7B" w:rsidRPr="005C133F" w:rsidRDefault="00803F7B" w:rsidP="004C1B2F">
            <w:pPr>
              <w:spacing w:after="0" w:line="240" w:lineRule="auto"/>
              <w:jc w:val="center"/>
              <w:rPr>
                <w:lang w:val="es-DO" w:eastAsia="es-DO"/>
              </w:rPr>
            </w:pPr>
            <w:r w:rsidRPr="005C133F">
              <w:rPr>
                <w:lang w:val="es-DO" w:eastAsia="es-DO"/>
              </w:rPr>
              <w:t>161</w:t>
            </w:r>
          </w:p>
        </w:tc>
        <w:tc>
          <w:tcPr>
            <w:tcW w:w="1572" w:type="dxa"/>
            <w:noWrap/>
            <w:vAlign w:val="center"/>
            <w:hideMark/>
          </w:tcPr>
          <w:p w14:paraId="5C6CBC63" w14:textId="77777777" w:rsidR="00803F7B" w:rsidRPr="005C133F" w:rsidRDefault="00803F7B" w:rsidP="004C1B2F">
            <w:pPr>
              <w:spacing w:after="0" w:line="240" w:lineRule="auto"/>
              <w:jc w:val="center"/>
              <w:rPr>
                <w:lang w:val="es-DO" w:eastAsia="es-DO"/>
              </w:rPr>
            </w:pPr>
            <w:r w:rsidRPr="005C133F">
              <w:rPr>
                <w:lang w:val="es-DO" w:eastAsia="es-DO"/>
              </w:rPr>
              <w:t>1,697</w:t>
            </w:r>
          </w:p>
        </w:tc>
        <w:tc>
          <w:tcPr>
            <w:tcW w:w="1391" w:type="dxa"/>
            <w:noWrap/>
            <w:vAlign w:val="center"/>
            <w:hideMark/>
          </w:tcPr>
          <w:p w14:paraId="5283FE80" w14:textId="77777777" w:rsidR="00803F7B" w:rsidRPr="005C133F" w:rsidRDefault="00803F7B" w:rsidP="004C1B2F">
            <w:pPr>
              <w:spacing w:after="0" w:line="240" w:lineRule="auto"/>
              <w:jc w:val="center"/>
              <w:rPr>
                <w:lang w:val="es-DO" w:eastAsia="es-DO"/>
              </w:rPr>
            </w:pPr>
            <w:r w:rsidRPr="005C133F">
              <w:rPr>
                <w:lang w:val="es-DO" w:eastAsia="es-DO"/>
              </w:rPr>
              <w:t>2,045</w:t>
            </w:r>
          </w:p>
        </w:tc>
      </w:tr>
      <w:tr w:rsidR="004921FF" w:rsidRPr="005C133F" w14:paraId="4CACB889" w14:textId="77777777" w:rsidTr="00A35F2B">
        <w:trPr>
          <w:trHeight w:val="288"/>
          <w:jc w:val="center"/>
        </w:trPr>
        <w:tc>
          <w:tcPr>
            <w:tcW w:w="2070" w:type="dxa"/>
            <w:noWrap/>
            <w:vAlign w:val="bottom"/>
            <w:hideMark/>
          </w:tcPr>
          <w:p w14:paraId="76F53BAD" w14:textId="77777777" w:rsidR="00803F7B" w:rsidRPr="005C133F" w:rsidRDefault="00803F7B" w:rsidP="004C1B2F">
            <w:pPr>
              <w:spacing w:after="0" w:line="240" w:lineRule="auto"/>
              <w:rPr>
                <w:lang w:val="es-DO" w:eastAsia="es-DO"/>
              </w:rPr>
            </w:pPr>
            <w:r w:rsidRPr="005C133F">
              <w:rPr>
                <w:lang w:val="es-DO" w:eastAsia="es-DO"/>
              </w:rPr>
              <w:t>ARS ASEMAP</w:t>
            </w:r>
          </w:p>
        </w:tc>
        <w:tc>
          <w:tcPr>
            <w:tcW w:w="1320" w:type="dxa"/>
            <w:noWrap/>
            <w:vAlign w:val="center"/>
            <w:hideMark/>
          </w:tcPr>
          <w:p w14:paraId="38FF5DED" w14:textId="77777777" w:rsidR="00803F7B" w:rsidRPr="005C133F" w:rsidRDefault="00803F7B" w:rsidP="004C1B2F">
            <w:pPr>
              <w:spacing w:after="0" w:line="240" w:lineRule="auto"/>
              <w:jc w:val="center"/>
              <w:rPr>
                <w:lang w:val="es-DO" w:eastAsia="es-DO"/>
              </w:rPr>
            </w:pPr>
            <w:r w:rsidRPr="005C133F">
              <w:rPr>
                <w:lang w:val="es-DO" w:eastAsia="es-DO"/>
              </w:rPr>
              <w:t>86</w:t>
            </w:r>
          </w:p>
        </w:tc>
        <w:tc>
          <w:tcPr>
            <w:tcW w:w="1557" w:type="dxa"/>
            <w:noWrap/>
            <w:vAlign w:val="center"/>
            <w:hideMark/>
          </w:tcPr>
          <w:p w14:paraId="37C30D2A" w14:textId="77777777" w:rsidR="00803F7B" w:rsidRPr="005C133F" w:rsidRDefault="00803F7B" w:rsidP="004C1B2F">
            <w:pPr>
              <w:spacing w:after="0" w:line="240" w:lineRule="auto"/>
              <w:jc w:val="center"/>
              <w:rPr>
                <w:lang w:val="es-DO" w:eastAsia="es-DO"/>
              </w:rPr>
            </w:pPr>
            <w:r w:rsidRPr="005C133F">
              <w:rPr>
                <w:lang w:val="es-DO" w:eastAsia="es-DO"/>
              </w:rPr>
              <w:t>184</w:t>
            </w:r>
          </w:p>
        </w:tc>
        <w:tc>
          <w:tcPr>
            <w:tcW w:w="1572" w:type="dxa"/>
            <w:noWrap/>
            <w:vAlign w:val="center"/>
            <w:hideMark/>
          </w:tcPr>
          <w:p w14:paraId="50DCC359" w14:textId="77777777" w:rsidR="00803F7B" w:rsidRPr="005C133F" w:rsidRDefault="00803F7B" w:rsidP="004C1B2F">
            <w:pPr>
              <w:spacing w:after="0" w:line="240" w:lineRule="auto"/>
              <w:jc w:val="center"/>
              <w:rPr>
                <w:lang w:val="es-DO" w:eastAsia="es-DO"/>
              </w:rPr>
            </w:pPr>
            <w:r w:rsidRPr="005C133F">
              <w:rPr>
                <w:lang w:val="es-DO" w:eastAsia="es-DO"/>
              </w:rPr>
              <w:t>1,046</w:t>
            </w:r>
          </w:p>
        </w:tc>
        <w:tc>
          <w:tcPr>
            <w:tcW w:w="1391" w:type="dxa"/>
            <w:noWrap/>
            <w:vAlign w:val="center"/>
            <w:hideMark/>
          </w:tcPr>
          <w:p w14:paraId="403F04EC" w14:textId="77777777" w:rsidR="00803F7B" w:rsidRPr="005C133F" w:rsidRDefault="00803F7B" w:rsidP="004C1B2F">
            <w:pPr>
              <w:spacing w:after="0" w:line="240" w:lineRule="auto"/>
              <w:jc w:val="center"/>
              <w:rPr>
                <w:lang w:val="es-DO" w:eastAsia="es-DO"/>
              </w:rPr>
            </w:pPr>
            <w:r w:rsidRPr="005C133F">
              <w:rPr>
                <w:lang w:val="es-DO" w:eastAsia="es-DO"/>
              </w:rPr>
              <w:t>1,316</w:t>
            </w:r>
          </w:p>
        </w:tc>
      </w:tr>
      <w:tr w:rsidR="004921FF" w:rsidRPr="005C133F" w14:paraId="56C27E36" w14:textId="77777777" w:rsidTr="00A35F2B">
        <w:trPr>
          <w:trHeight w:val="288"/>
          <w:jc w:val="center"/>
        </w:trPr>
        <w:tc>
          <w:tcPr>
            <w:tcW w:w="2070" w:type="dxa"/>
            <w:noWrap/>
            <w:vAlign w:val="bottom"/>
            <w:hideMark/>
          </w:tcPr>
          <w:p w14:paraId="193041B4" w14:textId="77777777" w:rsidR="00803F7B" w:rsidRPr="005C133F" w:rsidRDefault="00803F7B" w:rsidP="004C1B2F">
            <w:pPr>
              <w:spacing w:after="0" w:line="240" w:lineRule="auto"/>
              <w:rPr>
                <w:lang w:val="es-DO" w:eastAsia="es-DO"/>
              </w:rPr>
            </w:pPr>
            <w:r w:rsidRPr="005C133F">
              <w:rPr>
                <w:lang w:val="es-DO" w:eastAsia="es-DO"/>
              </w:rPr>
              <w:t>ARS BANCO CENTRAL</w:t>
            </w:r>
          </w:p>
        </w:tc>
        <w:tc>
          <w:tcPr>
            <w:tcW w:w="1320" w:type="dxa"/>
            <w:noWrap/>
            <w:vAlign w:val="center"/>
            <w:hideMark/>
          </w:tcPr>
          <w:p w14:paraId="6B555960" w14:textId="77777777" w:rsidR="00803F7B" w:rsidRPr="005C133F" w:rsidRDefault="00803F7B" w:rsidP="004C1B2F">
            <w:pPr>
              <w:spacing w:after="0" w:line="240" w:lineRule="auto"/>
              <w:jc w:val="center"/>
              <w:rPr>
                <w:lang w:val="es-DO" w:eastAsia="es-DO"/>
              </w:rPr>
            </w:pPr>
            <w:r w:rsidRPr="005C133F">
              <w:rPr>
                <w:lang w:val="es-DO" w:eastAsia="es-DO"/>
              </w:rPr>
              <w:t>12</w:t>
            </w:r>
          </w:p>
        </w:tc>
        <w:tc>
          <w:tcPr>
            <w:tcW w:w="1557" w:type="dxa"/>
            <w:noWrap/>
            <w:vAlign w:val="center"/>
            <w:hideMark/>
          </w:tcPr>
          <w:p w14:paraId="4452A08D" w14:textId="77777777" w:rsidR="00803F7B" w:rsidRPr="005C133F" w:rsidRDefault="00803F7B" w:rsidP="004C1B2F">
            <w:pPr>
              <w:spacing w:after="0" w:line="240" w:lineRule="auto"/>
              <w:jc w:val="center"/>
              <w:rPr>
                <w:lang w:val="es-DO" w:eastAsia="es-DO"/>
              </w:rPr>
            </w:pPr>
            <w:r w:rsidRPr="005C133F">
              <w:rPr>
                <w:lang w:val="es-DO" w:eastAsia="es-DO"/>
              </w:rPr>
              <w:t>9</w:t>
            </w:r>
          </w:p>
        </w:tc>
        <w:tc>
          <w:tcPr>
            <w:tcW w:w="1572" w:type="dxa"/>
            <w:noWrap/>
            <w:vAlign w:val="center"/>
            <w:hideMark/>
          </w:tcPr>
          <w:p w14:paraId="30E6119F" w14:textId="77777777" w:rsidR="00803F7B" w:rsidRPr="005C133F" w:rsidRDefault="00803F7B" w:rsidP="004C1B2F">
            <w:pPr>
              <w:spacing w:after="0" w:line="240" w:lineRule="auto"/>
              <w:jc w:val="center"/>
              <w:rPr>
                <w:lang w:val="es-DO" w:eastAsia="es-DO"/>
              </w:rPr>
            </w:pPr>
            <w:r w:rsidRPr="005C133F">
              <w:rPr>
                <w:lang w:val="es-DO" w:eastAsia="es-DO"/>
              </w:rPr>
              <w:t>102</w:t>
            </w:r>
          </w:p>
        </w:tc>
        <w:tc>
          <w:tcPr>
            <w:tcW w:w="1391" w:type="dxa"/>
            <w:noWrap/>
            <w:vAlign w:val="center"/>
            <w:hideMark/>
          </w:tcPr>
          <w:p w14:paraId="053ED6C9" w14:textId="77777777" w:rsidR="00803F7B" w:rsidRPr="005C133F" w:rsidRDefault="00803F7B" w:rsidP="004C1B2F">
            <w:pPr>
              <w:spacing w:after="0" w:line="240" w:lineRule="auto"/>
              <w:jc w:val="center"/>
              <w:rPr>
                <w:lang w:val="es-DO" w:eastAsia="es-DO"/>
              </w:rPr>
            </w:pPr>
            <w:r w:rsidRPr="005C133F">
              <w:rPr>
                <w:lang w:val="es-DO" w:eastAsia="es-DO"/>
              </w:rPr>
              <w:t>123</w:t>
            </w:r>
          </w:p>
        </w:tc>
      </w:tr>
      <w:tr w:rsidR="004921FF" w:rsidRPr="005C133F" w14:paraId="33BA7F2A" w14:textId="77777777" w:rsidTr="00A35F2B">
        <w:trPr>
          <w:trHeight w:val="288"/>
          <w:jc w:val="center"/>
        </w:trPr>
        <w:tc>
          <w:tcPr>
            <w:tcW w:w="2070" w:type="dxa"/>
            <w:noWrap/>
            <w:vAlign w:val="bottom"/>
            <w:hideMark/>
          </w:tcPr>
          <w:p w14:paraId="7E70C95C" w14:textId="77777777" w:rsidR="00803F7B" w:rsidRPr="005C133F" w:rsidRDefault="00803F7B" w:rsidP="004C1B2F">
            <w:pPr>
              <w:spacing w:after="0" w:line="240" w:lineRule="auto"/>
              <w:rPr>
                <w:lang w:val="es-DO" w:eastAsia="es-DO"/>
              </w:rPr>
            </w:pPr>
            <w:r w:rsidRPr="005C133F">
              <w:rPr>
                <w:lang w:val="es-DO" w:eastAsia="es-DO"/>
              </w:rPr>
              <w:t>ARS CMD</w:t>
            </w:r>
          </w:p>
        </w:tc>
        <w:tc>
          <w:tcPr>
            <w:tcW w:w="1320" w:type="dxa"/>
            <w:noWrap/>
            <w:vAlign w:val="center"/>
            <w:hideMark/>
          </w:tcPr>
          <w:p w14:paraId="47E9D644" w14:textId="77777777" w:rsidR="00803F7B" w:rsidRPr="005C133F" w:rsidRDefault="00803F7B" w:rsidP="004C1B2F">
            <w:pPr>
              <w:spacing w:after="0" w:line="240" w:lineRule="auto"/>
              <w:jc w:val="center"/>
              <w:rPr>
                <w:lang w:val="es-DO" w:eastAsia="es-DO"/>
              </w:rPr>
            </w:pPr>
            <w:r w:rsidRPr="005C133F">
              <w:rPr>
                <w:lang w:val="es-DO" w:eastAsia="es-DO"/>
              </w:rPr>
              <w:t>176</w:t>
            </w:r>
          </w:p>
        </w:tc>
        <w:tc>
          <w:tcPr>
            <w:tcW w:w="1557" w:type="dxa"/>
            <w:noWrap/>
            <w:vAlign w:val="center"/>
            <w:hideMark/>
          </w:tcPr>
          <w:p w14:paraId="70CDD4AE" w14:textId="77777777" w:rsidR="00803F7B" w:rsidRPr="005C133F" w:rsidRDefault="00803F7B" w:rsidP="004C1B2F">
            <w:pPr>
              <w:spacing w:after="0" w:line="240" w:lineRule="auto"/>
              <w:jc w:val="center"/>
              <w:rPr>
                <w:lang w:val="es-DO" w:eastAsia="es-DO"/>
              </w:rPr>
            </w:pPr>
            <w:r w:rsidRPr="005C133F">
              <w:rPr>
                <w:lang w:val="es-DO" w:eastAsia="es-DO"/>
              </w:rPr>
              <w:t>119</w:t>
            </w:r>
          </w:p>
        </w:tc>
        <w:tc>
          <w:tcPr>
            <w:tcW w:w="1572" w:type="dxa"/>
            <w:noWrap/>
            <w:vAlign w:val="center"/>
            <w:hideMark/>
          </w:tcPr>
          <w:p w14:paraId="2364F938" w14:textId="77777777" w:rsidR="00803F7B" w:rsidRPr="005C133F" w:rsidRDefault="00803F7B" w:rsidP="004C1B2F">
            <w:pPr>
              <w:spacing w:after="0" w:line="240" w:lineRule="auto"/>
              <w:jc w:val="center"/>
              <w:rPr>
                <w:lang w:val="es-DO" w:eastAsia="es-DO"/>
              </w:rPr>
            </w:pPr>
            <w:r w:rsidRPr="005C133F">
              <w:rPr>
                <w:lang w:val="es-DO" w:eastAsia="es-DO"/>
              </w:rPr>
              <w:t>1,138</w:t>
            </w:r>
          </w:p>
        </w:tc>
        <w:tc>
          <w:tcPr>
            <w:tcW w:w="1391" w:type="dxa"/>
            <w:noWrap/>
            <w:vAlign w:val="center"/>
            <w:hideMark/>
          </w:tcPr>
          <w:p w14:paraId="73B9A34C" w14:textId="77777777" w:rsidR="00803F7B" w:rsidRPr="005C133F" w:rsidRDefault="00803F7B" w:rsidP="004C1B2F">
            <w:pPr>
              <w:spacing w:after="0" w:line="240" w:lineRule="auto"/>
              <w:jc w:val="center"/>
              <w:rPr>
                <w:lang w:val="es-DO" w:eastAsia="es-DO"/>
              </w:rPr>
            </w:pPr>
            <w:r w:rsidRPr="005C133F">
              <w:rPr>
                <w:lang w:val="es-DO" w:eastAsia="es-DO"/>
              </w:rPr>
              <w:t>1,433</w:t>
            </w:r>
          </w:p>
        </w:tc>
      </w:tr>
      <w:tr w:rsidR="004921FF" w:rsidRPr="005C133F" w14:paraId="2CC8B361" w14:textId="77777777" w:rsidTr="00A35F2B">
        <w:trPr>
          <w:trHeight w:val="288"/>
          <w:jc w:val="center"/>
        </w:trPr>
        <w:tc>
          <w:tcPr>
            <w:tcW w:w="2070" w:type="dxa"/>
            <w:noWrap/>
            <w:vAlign w:val="bottom"/>
            <w:hideMark/>
          </w:tcPr>
          <w:p w14:paraId="14AD3F1C" w14:textId="77777777" w:rsidR="00803F7B" w:rsidRPr="005C133F" w:rsidRDefault="00803F7B" w:rsidP="004C1B2F">
            <w:pPr>
              <w:spacing w:after="0" w:line="240" w:lineRule="auto"/>
              <w:rPr>
                <w:lang w:eastAsia="es-DO"/>
              </w:rPr>
            </w:pPr>
            <w:r w:rsidRPr="005C133F">
              <w:rPr>
                <w:lang w:eastAsia="es-DO"/>
              </w:rPr>
              <w:t>ARS DR. YUNEN, S. A.</w:t>
            </w:r>
          </w:p>
        </w:tc>
        <w:tc>
          <w:tcPr>
            <w:tcW w:w="1320" w:type="dxa"/>
            <w:noWrap/>
            <w:vAlign w:val="center"/>
            <w:hideMark/>
          </w:tcPr>
          <w:p w14:paraId="555AC846" w14:textId="77777777" w:rsidR="00803F7B" w:rsidRPr="005C133F" w:rsidRDefault="00803F7B" w:rsidP="004C1B2F">
            <w:pPr>
              <w:spacing w:after="0" w:line="240" w:lineRule="auto"/>
              <w:jc w:val="center"/>
              <w:rPr>
                <w:lang w:val="es-DO" w:eastAsia="es-DO"/>
              </w:rPr>
            </w:pPr>
            <w:r w:rsidRPr="005C133F">
              <w:rPr>
                <w:lang w:val="es-DO" w:eastAsia="es-DO"/>
              </w:rPr>
              <w:t>260</w:t>
            </w:r>
          </w:p>
        </w:tc>
        <w:tc>
          <w:tcPr>
            <w:tcW w:w="1557" w:type="dxa"/>
            <w:noWrap/>
            <w:vAlign w:val="center"/>
            <w:hideMark/>
          </w:tcPr>
          <w:p w14:paraId="16C1FAA0" w14:textId="77777777" w:rsidR="00803F7B" w:rsidRPr="005C133F" w:rsidRDefault="00803F7B" w:rsidP="004C1B2F">
            <w:pPr>
              <w:spacing w:after="0" w:line="240" w:lineRule="auto"/>
              <w:jc w:val="center"/>
              <w:rPr>
                <w:lang w:val="es-DO" w:eastAsia="es-DO"/>
              </w:rPr>
            </w:pPr>
            <w:r w:rsidRPr="005C133F">
              <w:rPr>
                <w:lang w:val="es-DO" w:eastAsia="es-DO"/>
              </w:rPr>
              <w:t>485</w:t>
            </w:r>
          </w:p>
        </w:tc>
        <w:tc>
          <w:tcPr>
            <w:tcW w:w="1572" w:type="dxa"/>
            <w:noWrap/>
            <w:vAlign w:val="center"/>
            <w:hideMark/>
          </w:tcPr>
          <w:p w14:paraId="2AB893C2" w14:textId="77777777" w:rsidR="00803F7B" w:rsidRPr="005C133F" w:rsidRDefault="00803F7B" w:rsidP="004C1B2F">
            <w:pPr>
              <w:spacing w:after="0" w:line="240" w:lineRule="auto"/>
              <w:jc w:val="center"/>
              <w:rPr>
                <w:lang w:val="es-DO" w:eastAsia="es-DO"/>
              </w:rPr>
            </w:pPr>
            <w:r w:rsidRPr="005C133F">
              <w:rPr>
                <w:lang w:val="es-DO" w:eastAsia="es-DO"/>
              </w:rPr>
              <w:t>4,906</w:t>
            </w:r>
          </w:p>
        </w:tc>
        <w:tc>
          <w:tcPr>
            <w:tcW w:w="1391" w:type="dxa"/>
            <w:noWrap/>
            <w:vAlign w:val="center"/>
            <w:hideMark/>
          </w:tcPr>
          <w:p w14:paraId="060945D5" w14:textId="77777777" w:rsidR="00803F7B" w:rsidRPr="005C133F" w:rsidRDefault="00803F7B" w:rsidP="004C1B2F">
            <w:pPr>
              <w:spacing w:after="0" w:line="240" w:lineRule="auto"/>
              <w:jc w:val="center"/>
              <w:rPr>
                <w:lang w:val="es-DO" w:eastAsia="es-DO"/>
              </w:rPr>
            </w:pPr>
            <w:r w:rsidRPr="005C133F">
              <w:rPr>
                <w:lang w:val="es-DO" w:eastAsia="es-DO"/>
              </w:rPr>
              <w:t>5,651</w:t>
            </w:r>
          </w:p>
        </w:tc>
      </w:tr>
      <w:tr w:rsidR="004921FF" w:rsidRPr="005C133F" w14:paraId="13E46BE5" w14:textId="77777777" w:rsidTr="00A35F2B">
        <w:trPr>
          <w:trHeight w:val="288"/>
          <w:jc w:val="center"/>
        </w:trPr>
        <w:tc>
          <w:tcPr>
            <w:tcW w:w="2070" w:type="dxa"/>
            <w:noWrap/>
            <w:vAlign w:val="bottom"/>
            <w:hideMark/>
          </w:tcPr>
          <w:p w14:paraId="2A965027" w14:textId="77777777" w:rsidR="00803F7B" w:rsidRPr="005C133F" w:rsidRDefault="00803F7B" w:rsidP="004C1B2F">
            <w:pPr>
              <w:spacing w:after="0" w:line="240" w:lineRule="auto"/>
              <w:rPr>
                <w:lang w:val="es-DO" w:eastAsia="es-DO"/>
              </w:rPr>
            </w:pPr>
            <w:r w:rsidRPr="005C133F">
              <w:rPr>
                <w:lang w:val="es-DO" w:eastAsia="es-DO"/>
              </w:rPr>
              <w:t>ARS FUTURO S. A.</w:t>
            </w:r>
          </w:p>
        </w:tc>
        <w:tc>
          <w:tcPr>
            <w:tcW w:w="1320" w:type="dxa"/>
            <w:noWrap/>
            <w:vAlign w:val="center"/>
            <w:hideMark/>
          </w:tcPr>
          <w:p w14:paraId="638DBFAF" w14:textId="77777777" w:rsidR="00803F7B" w:rsidRPr="005C133F" w:rsidRDefault="00803F7B" w:rsidP="004C1B2F">
            <w:pPr>
              <w:spacing w:after="0" w:line="240" w:lineRule="auto"/>
              <w:jc w:val="center"/>
              <w:rPr>
                <w:lang w:val="es-DO" w:eastAsia="es-DO"/>
              </w:rPr>
            </w:pPr>
            <w:r w:rsidRPr="005C133F">
              <w:rPr>
                <w:lang w:val="es-DO" w:eastAsia="es-DO"/>
              </w:rPr>
              <w:t>1,100</w:t>
            </w:r>
          </w:p>
        </w:tc>
        <w:tc>
          <w:tcPr>
            <w:tcW w:w="1557" w:type="dxa"/>
            <w:noWrap/>
            <w:vAlign w:val="center"/>
            <w:hideMark/>
          </w:tcPr>
          <w:p w14:paraId="4FFF7C68" w14:textId="77777777" w:rsidR="00803F7B" w:rsidRPr="005C133F" w:rsidRDefault="00803F7B" w:rsidP="004C1B2F">
            <w:pPr>
              <w:spacing w:after="0" w:line="240" w:lineRule="auto"/>
              <w:jc w:val="center"/>
              <w:rPr>
                <w:lang w:val="es-DO" w:eastAsia="es-DO"/>
              </w:rPr>
            </w:pPr>
            <w:r w:rsidRPr="005C133F">
              <w:rPr>
                <w:lang w:val="es-DO" w:eastAsia="es-DO"/>
              </w:rPr>
              <w:t>452</w:t>
            </w:r>
          </w:p>
        </w:tc>
        <w:tc>
          <w:tcPr>
            <w:tcW w:w="1572" w:type="dxa"/>
            <w:noWrap/>
            <w:vAlign w:val="center"/>
            <w:hideMark/>
          </w:tcPr>
          <w:p w14:paraId="175487D6" w14:textId="77777777" w:rsidR="00803F7B" w:rsidRPr="005C133F" w:rsidRDefault="00803F7B" w:rsidP="004C1B2F">
            <w:pPr>
              <w:spacing w:after="0" w:line="240" w:lineRule="auto"/>
              <w:jc w:val="center"/>
              <w:rPr>
                <w:lang w:val="es-DO" w:eastAsia="es-DO"/>
              </w:rPr>
            </w:pPr>
            <w:r w:rsidRPr="005C133F">
              <w:rPr>
                <w:lang w:val="es-DO" w:eastAsia="es-DO"/>
              </w:rPr>
              <w:t>5,944</w:t>
            </w:r>
          </w:p>
        </w:tc>
        <w:tc>
          <w:tcPr>
            <w:tcW w:w="1391" w:type="dxa"/>
            <w:noWrap/>
            <w:vAlign w:val="center"/>
            <w:hideMark/>
          </w:tcPr>
          <w:p w14:paraId="20EBDF5B" w14:textId="77777777" w:rsidR="00803F7B" w:rsidRPr="005C133F" w:rsidRDefault="00803F7B" w:rsidP="004C1B2F">
            <w:pPr>
              <w:spacing w:after="0" w:line="240" w:lineRule="auto"/>
              <w:jc w:val="center"/>
              <w:rPr>
                <w:lang w:val="es-DO" w:eastAsia="es-DO"/>
              </w:rPr>
            </w:pPr>
            <w:r w:rsidRPr="005C133F">
              <w:rPr>
                <w:lang w:val="es-DO" w:eastAsia="es-DO"/>
              </w:rPr>
              <w:t>7,496</w:t>
            </w:r>
          </w:p>
        </w:tc>
      </w:tr>
      <w:tr w:rsidR="004921FF" w:rsidRPr="005C133F" w14:paraId="20E7FC78" w14:textId="77777777" w:rsidTr="00A35F2B">
        <w:trPr>
          <w:trHeight w:val="288"/>
          <w:jc w:val="center"/>
        </w:trPr>
        <w:tc>
          <w:tcPr>
            <w:tcW w:w="2070" w:type="dxa"/>
            <w:noWrap/>
            <w:vAlign w:val="bottom"/>
            <w:hideMark/>
          </w:tcPr>
          <w:p w14:paraId="3D0BEEC2" w14:textId="77777777" w:rsidR="00803F7B" w:rsidRPr="005C133F" w:rsidRDefault="00803F7B" w:rsidP="004C1B2F">
            <w:pPr>
              <w:spacing w:after="0" w:line="240" w:lineRule="auto"/>
              <w:rPr>
                <w:lang w:val="es-DO" w:eastAsia="es-DO"/>
              </w:rPr>
            </w:pPr>
            <w:r w:rsidRPr="005C133F">
              <w:rPr>
                <w:lang w:val="es-DO" w:eastAsia="es-DO"/>
              </w:rPr>
              <w:t>ARS GRUPO MEDICO ASOCIADO</w:t>
            </w:r>
          </w:p>
        </w:tc>
        <w:tc>
          <w:tcPr>
            <w:tcW w:w="1320" w:type="dxa"/>
            <w:noWrap/>
            <w:vAlign w:val="center"/>
            <w:hideMark/>
          </w:tcPr>
          <w:p w14:paraId="0DD355A8" w14:textId="77777777" w:rsidR="00803F7B" w:rsidRPr="005C133F" w:rsidRDefault="00803F7B" w:rsidP="004C1B2F">
            <w:pPr>
              <w:spacing w:after="0" w:line="240" w:lineRule="auto"/>
              <w:jc w:val="center"/>
              <w:rPr>
                <w:lang w:val="es-DO" w:eastAsia="es-DO"/>
              </w:rPr>
            </w:pPr>
            <w:r w:rsidRPr="005C133F">
              <w:rPr>
                <w:lang w:val="es-DO" w:eastAsia="es-DO"/>
              </w:rPr>
              <w:t>178</w:t>
            </w:r>
          </w:p>
        </w:tc>
        <w:tc>
          <w:tcPr>
            <w:tcW w:w="1557" w:type="dxa"/>
            <w:noWrap/>
            <w:vAlign w:val="center"/>
            <w:hideMark/>
          </w:tcPr>
          <w:p w14:paraId="7F89C4F3" w14:textId="77777777" w:rsidR="00803F7B" w:rsidRPr="005C133F" w:rsidRDefault="00803F7B" w:rsidP="004C1B2F">
            <w:pPr>
              <w:spacing w:after="0" w:line="240" w:lineRule="auto"/>
              <w:jc w:val="center"/>
              <w:rPr>
                <w:lang w:val="es-DO" w:eastAsia="es-DO"/>
              </w:rPr>
            </w:pPr>
            <w:r w:rsidRPr="005C133F">
              <w:rPr>
                <w:lang w:val="es-DO" w:eastAsia="es-DO"/>
              </w:rPr>
              <w:t>134</w:t>
            </w:r>
          </w:p>
        </w:tc>
        <w:tc>
          <w:tcPr>
            <w:tcW w:w="1572" w:type="dxa"/>
            <w:noWrap/>
            <w:vAlign w:val="center"/>
            <w:hideMark/>
          </w:tcPr>
          <w:p w14:paraId="6355A3F3" w14:textId="77777777" w:rsidR="00803F7B" w:rsidRPr="005C133F" w:rsidRDefault="00803F7B" w:rsidP="004C1B2F">
            <w:pPr>
              <w:spacing w:after="0" w:line="240" w:lineRule="auto"/>
              <w:jc w:val="center"/>
              <w:rPr>
                <w:lang w:val="es-DO" w:eastAsia="es-DO"/>
              </w:rPr>
            </w:pPr>
            <w:r w:rsidRPr="005C133F">
              <w:rPr>
                <w:lang w:val="es-DO" w:eastAsia="es-DO"/>
              </w:rPr>
              <w:t>1,153</w:t>
            </w:r>
          </w:p>
        </w:tc>
        <w:tc>
          <w:tcPr>
            <w:tcW w:w="1391" w:type="dxa"/>
            <w:noWrap/>
            <w:vAlign w:val="center"/>
            <w:hideMark/>
          </w:tcPr>
          <w:p w14:paraId="677F7CEA" w14:textId="77777777" w:rsidR="00803F7B" w:rsidRPr="005C133F" w:rsidRDefault="00803F7B" w:rsidP="004C1B2F">
            <w:pPr>
              <w:spacing w:after="0" w:line="240" w:lineRule="auto"/>
              <w:jc w:val="center"/>
              <w:rPr>
                <w:lang w:val="es-DO" w:eastAsia="es-DO"/>
              </w:rPr>
            </w:pPr>
            <w:r w:rsidRPr="005C133F">
              <w:rPr>
                <w:lang w:val="es-DO" w:eastAsia="es-DO"/>
              </w:rPr>
              <w:t>1,465</w:t>
            </w:r>
          </w:p>
        </w:tc>
      </w:tr>
      <w:tr w:rsidR="004921FF" w:rsidRPr="005C133F" w14:paraId="14DBBF06" w14:textId="77777777" w:rsidTr="00A35F2B">
        <w:trPr>
          <w:trHeight w:val="288"/>
          <w:jc w:val="center"/>
        </w:trPr>
        <w:tc>
          <w:tcPr>
            <w:tcW w:w="2070" w:type="dxa"/>
            <w:noWrap/>
            <w:vAlign w:val="bottom"/>
            <w:hideMark/>
          </w:tcPr>
          <w:p w14:paraId="7ECD4ACD" w14:textId="77777777" w:rsidR="00803F7B" w:rsidRPr="005C133F" w:rsidRDefault="00803F7B" w:rsidP="004C1B2F">
            <w:pPr>
              <w:spacing w:after="0" w:line="240" w:lineRule="auto"/>
              <w:rPr>
                <w:lang w:val="es-DO" w:eastAsia="es-DO"/>
              </w:rPr>
            </w:pPr>
            <w:r w:rsidRPr="005C133F">
              <w:rPr>
                <w:lang w:val="es-DO" w:eastAsia="es-DO"/>
              </w:rPr>
              <w:t>ARS METASALUD</w:t>
            </w:r>
          </w:p>
        </w:tc>
        <w:tc>
          <w:tcPr>
            <w:tcW w:w="1320" w:type="dxa"/>
            <w:noWrap/>
            <w:vAlign w:val="center"/>
            <w:hideMark/>
          </w:tcPr>
          <w:p w14:paraId="24BB980E" w14:textId="77777777" w:rsidR="00803F7B" w:rsidRPr="005C133F" w:rsidRDefault="00803F7B" w:rsidP="004C1B2F">
            <w:pPr>
              <w:spacing w:after="0" w:line="240" w:lineRule="auto"/>
              <w:jc w:val="center"/>
              <w:rPr>
                <w:lang w:val="es-DO" w:eastAsia="es-DO"/>
              </w:rPr>
            </w:pPr>
            <w:r w:rsidRPr="005C133F">
              <w:rPr>
                <w:lang w:val="es-DO" w:eastAsia="es-DO"/>
              </w:rPr>
              <w:t>249</w:t>
            </w:r>
          </w:p>
        </w:tc>
        <w:tc>
          <w:tcPr>
            <w:tcW w:w="1557" w:type="dxa"/>
            <w:noWrap/>
            <w:vAlign w:val="center"/>
            <w:hideMark/>
          </w:tcPr>
          <w:p w14:paraId="4BC5150C" w14:textId="77777777" w:rsidR="00803F7B" w:rsidRPr="005C133F" w:rsidRDefault="00803F7B" w:rsidP="004C1B2F">
            <w:pPr>
              <w:spacing w:after="0" w:line="240" w:lineRule="auto"/>
              <w:jc w:val="center"/>
              <w:rPr>
                <w:lang w:val="es-DO" w:eastAsia="es-DO"/>
              </w:rPr>
            </w:pPr>
            <w:r w:rsidRPr="005C133F">
              <w:rPr>
                <w:lang w:val="es-DO" w:eastAsia="es-DO"/>
              </w:rPr>
              <w:t>87</w:t>
            </w:r>
          </w:p>
        </w:tc>
        <w:tc>
          <w:tcPr>
            <w:tcW w:w="1572" w:type="dxa"/>
            <w:noWrap/>
            <w:vAlign w:val="center"/>
            <w:hideMark/>
          </w:tcPr>
          <w:p w14:paraId="62C53D88" w14:textId="77777777" w:rsidR="00803F7B" w:rsidRPr="005C133F" w:rsidRDefault="00803F7B" w:rsidP="004C1B2F">
            <w:pPr>
              <w:spacing w:after="0" w:line="240" w:lineRule="auto"/>
              <w:jc w:val="center"/>
              <w:rPr>
                <w:lang w:val="es-DO" w:eastAsia="es-DO"/>
              </w:rPr>
            </w:pPr>
            <w:r w:rsidRPr="005C133F">
              <w:rPr>
                <w:lang w:val="es-DO" w:eastAsia="es-DO"/>
              </w:rPr>
              <w:t>976</w:t>
            </w:r>
          </w:p>
        </w:tc>
        <w:tc>
          <w:tcPr>
            <w:tcW w:w="1391" w:type="dxa"/>
            <w:noWrap/>
            <w:vAlign w:val="center"/>
            <w:hideMark/>
          </w:tcPr>
          <w:p w14:paraId="43D671E2" w14:textId="77777777" w:rsidR="00803F7B" w:rsidRPr="005C133F" w:rsidRDefault="00803F7B" w:rsidP="004C1B2F">
            <w:pPr>
              <w:spacing w:after="0" w:line="240" w:lineRule="auto"/>
              <w:jc w:val="center"/>
              <w:rPr>
                <w:lang w:val="es-DO" w:eastAsia="es-DO"/>
              </w:rPr>
            </w:pPr>
            <w:r w:rsidRPr="005C133F">
              <w:rPr>
                <w:lang w:val="es-DO" w:eastAsia="es-DO"/>
              </w:rPr>
              <w:t>1,312</w:t>
            </w:r>
          </w:p>
        </w:tc>
      </w:tr>
      <w:tr w:rsidR="004921FF" w:rsidRPr="005C133F" w14:paraId="271AC795" w14:textId="77777777" w:rsidTr="00A35F2B">
        <w:trPr>
          <w:trHeight w:val="288"/>
          <w:jc w:val="center"/>
        </w:trPr>
        <w:tc>
          <w:tcPr>
            <w:tcW w:w="2070" w:type="dxa"/>
            <w:noWrap/>
            <w:vAlign w:val="bottom"/>
            <w:hideMark/>
          </w:tcPr>
          <w:p w14:paraId="4D3C0D70" w14:textId="77777777" w:rsidR="00803F7B" w:rsidRPr="005C133F" w:rsidRDefault="00803F7B" w:rsidP="004C1B2F">
            <w:pPr>
              <w:spacing w:after="0" w:line="240" w:lineRule="auto"/>
              <w:rPr>
                <w:lang w:val="es-DO" w:eastAsia="es-DO"/>
              </w:rPr>
            </w:pPr>
            <w:r w:rsidRPr="005C133F">
              <w:rPr>
                <w:lang w:val="es-DO" w:eastAsia="es-DO"/>
              </w:rPr>
              <w:t>ARS MONUMENTAL</w:t>
            </w:r>
          </w:p>
        </w:tc>
        <w:tc>
          <w:tcPr>
            <w:tcW w:w="1320" w:type="dxa"/>
            <w:noWrap/>
            <w:vAlign w:val="center"/>
            <w:hideMark/>
          </w:tcPr>
          <w:p w14:paraId="13DC6DBD" w14:textId="77777777" w:rsidR="00803F7B" w:rsidRPr="005C133F" w:rsidRDefault="00803F7B" w:rsidP="004C1B2F">
            <w:pPr>
              <w:spacing w:after="0" w:line="240" w:lineRule="auto"/>
              <w:jc w:val="center"/>
              <w:rPr>
                <w:lang w:val="es-DO" w:eastAsia="es-DO"/>
              </w:rPr>
            </w:pPr>
            <w:r w:rsidRPr="005C133F">
              <w:rPr>
                <w:lang w:val="es-DO" w:eastAsia="es-DO"/>
              </w:rPr>
              <w:t>468</w:t>
            </w:r>
          </w:p>
        </w:tc>
        <w:tc>
          <w:tcPr>
            <w:tcW w:w="1557" w:type="dxa"/>
            <w:noWrap/>
            <w:vAlign w:val="center"/>
            <w:hideMark/>
          </w:tcPr>
          <w:p w14:paraId="0A6A9C4B" w14:textId="77777777" w:rsidR="00803F7B" w:rsidRPr="005C133F" w:rsidRDefault="00803F7B" w:rsidP="004C1B2F">
            <w:pPr>
              <w:spacing w:after="0" w:line="240" w:lineRule="auto"/>
              <w:jc w:val="center"/>
              <w:rPr>
                <w:lang w:val="es-DO" w:eastAsia="es-DO"/>
              </w:rPr>
            </w:pPr>
            <w:r w:rsidRPr="005C133F">
              <w:rPr>
                <w:lang w:val="es-DO" w:eastAsia="es-DO"/>
              </w:rPr>
              <w:t>604</w:t>
            </w:r>
          </w:p>
        </w:tc>
        <w:tc>
          <w:tcPr>
            <w:tcW w:w="1572" w:type="dxa"/>
            <w:noWrap/>
            <w:vAlign w:val="center"/>
            <w:hideMark/>
          </w:tcPr>
          <w:p w14:paraId="36FA984D" w14:textId="77777777" w:rsidR="00803F7B" w:rsidRPr="005C133F" w:rsidRDefault="00803F7B" w:rsidP="004C1B2F">
            <w:pPr>
              <w:spacing w:after="0" w:line="240" w:lineRule="auto"/>
              <w:jc w:val="center"/>
              <w:rPr>
                <w:lang w:val="es-DO" w:eastAsia="es-DO"/>
              </w:rPr>
            </w:pPr>
            <w:r w:rsidRPr="005C133F">
              <w:rPr>
                <w:lang w:val="es-DO" w:eastAsia="es-DO"/>
              </w:rPr>
              <w:t>6,358</w:t>
            </w:r>
          </w:p>
        </w:tc>
        <w:tc>
          <w:tcPr>
            <w:tcW w:w="1391" w:type="dxa"/>
            <w:noWrap/>
            <w:vAlign w:val="center"/>
            <w:hideMark/>
          </w:tcPr>
          <w:p w14:paraId="46B19E82" w14:textId="77777777" w:rsidR="00803F7B" w:rsidRPr="005C133F" w:rsidRDefault="00803F7B" w:rsidP="004C1B2F">
            <w:pPr>
              <w:spacing w:after="0" w:line="240" w:lineRule="auto"/>
              <w:jc w:val="center"/>
              <w:rPr>
                <w:lang w:val="es-DO" w:eastAsia="es-DO"/>
              </w:rPr>
            </w:pPr>
            <w:r w:rsidRPr="005C133F">
              <w:rPr>
                <w:lang w:val="es-DO" w:eastAsia="es-DO"/>
              </w:rPr>
              <w:t>7,430</w:t>
            </w:r>
          </w:p>
        </w:tc>
      </w:tr>
      <w:tr w:rsidR="004921FF" w:rsidRPr="005C133F" w14:paraId="3BCB76B3" w14:textId="77777777" w:rsidTr="00A35F2B">
        <w:trPr>
          <w:trHeight w:val="288"/>
          <w:jc w:val="center"/>
        </w:trPr>
        <w:tc>
          <w:tcPr>
            <w:tcW w:w="2070" w:type="dxa"/>
            <w:noWrap/>
            <w:vAlign w:val="bottom"/>
            <w:hideMark/>
          </w:tcPr>
          <w:p w14:paraId="49675740" w14:textId="51E52BFD" w:rsidR="00803F7B" w:rsidRPr="005C133F" w:rsidRDefault="00803F7B" w:rsidP="004C1B2F">
            <w:pPr>
              <w:spacing w:after="0" w:line="240" w:lineRule="auto"/>
              <w:rPr>
                <w:lang w:val="es-DO" w:eastAsia="es-DO"/>
              </w:rPr>
            </w:pPr>
            <w:r w:rsidRPr="005C133F">
              <w:rPr>
                <w:lang w:val="es-DO" w:eastAsia="es-DO"/>
              </w:rPr>
              <w:t>ARS PRIMERA, S.A</w:t>
            </w:r>
            <w:r w:rsidR="003D58B4" w:rsidRPr="005C133F">
              <w:rPr>
                <w:lang w:val="es-DO" w:eastAsia="es-DO"/>
              </w:rPr>
              <w:t>.</w:t>
            </w:r>
          </w:p>
        </w:tc>
        <w:tc>
          <w:tcPr>
            <w:tcW w:w="1320" w:type="dxa"/>
            <w:noWrap/>
            <w:vAlign w:val="center"/>
            <w:hideMark/>
          </w:tcPr>
          <w:p w14:paraId="1C8B0DF7" w14:textId="77777777" w:rsidR="00803F7B" w:rsidRPr="005C133F" w:rsidRDefault="00803F7B" w:rsidP="004C1B2F">
            <w:pPr>
              <w:spacing w:after="0" w:line="240" w:lineRule="auto"/>
              <w:jc w:val="center"/>
              <w:rPr>
                <w:lang w:val="es-DO" w:eastAsia="es-DO"/>
              </w:rPr>
            </w:pPr>
            <w:r w:rsidRPr="005C133F">
              <w:rPr>
                <w:lang w:val="es-DO" w:eastAsia="es-DO"/>
              </w:rPr>
              <w:t>4,438</w:t>
            </w:r>
          </w:p>
        </w:tc>
        <w:tc>
          <w:tcPr>
            <w:tcW w:w="1557" w:type="dxa"/>
            <w:noWrap/>
            <w:vAlign w:val="center"/>
            <w:hideMark/>
          </w:tcPr>
          <w:p w14:paraId="1DA37CCC" w14:textId="77777777" w:rsidR="00803F7B" w:rsidRPr="005C133F" w:rsidRDefault="00803F7B" w:rsidP="004C1B2F">
            <w:pPr>
              <w:spacing w:after="0" w:line="240" w:lineRule="auto"/>
              <w:jc w:val="center"/>
              <w:rPr>
                <w:lang w:val="es-DO" w:eastAsia="es-DO"/>
              </w:rPr>
            </w:pPr>
            <w:r w:rsidRPr="005C133F">
              <w:rPr>
                <w:lang w:val="es-DO" w:eastAsia="es-DO"/>
              </w:rPr>
              <w:t>4,234</w:t>
            </w:r>
          </w:p>
        </w:tc>
        <w:tc>
          <w:tcPr>
            <w:tcW w:w="1572" w:type="dxa"/>
            <w:noWrap/>
            <w:vAlign w:val="center"/>
            <w:hideMark/>
          </w:tcPr>
          <w:p w14:paraId="23F75D33" w14:textId="77777777" w:rsidR="00803F7B" w:rsidRPr="005C133F" w:rsidRDefault="00803F7B" w:rsidP="004C1B2F">
            <w:pPr>
              <w:spacing w:after="0" w:line="240" w:lineRule="auto"/>
              <w:jc w:val="center"/>
              <w:rPr>
                <w:lang w:val="es-DO" w:eastAsia="es-DO"/>
              </w:rPr>
            </w:pPr>
            <w:r w:rsidRPr="005C133F">
              <w:rPr>
                <w:lang w:val="es-DO" w:eastAsia="es-DO"/>
              </w:rPr>
              <w:t>15,837</w:t>
            </w:r>
          </w:p>
        </w:tc>
        <w:tc>
          <w:tcPr>
            <w:tcW w:w="1391" w:type="dxa"/>
            <w:noWrap/>
            <w:vAlign w:val="center"/>
            <w:hideMark/>
          </w:tcPr>
          <w:p w14:paraId="63BF451E" w14:textId="77777777" w:rsidR="00803F7B" w:rsidRPr="005C133F" w:rsidRDefault="00803F7B" w:rsidP="004C1B2F">
            <w:pPr>
              <w:spacing w:after="0" w:line="240" w:lineRule="auto"/>
              <w:jc w:val="center"/>
              <w:rPr>
                <w:lang w:val="es-DO" w:eastAsia="es-DO"/>
              </w:rPr>
            </w:pPr>
            <w:r w:rsidRPr="005C133F">
              <w:rPr>
                <w:lang w:val="es-DO" w:eastAsia="es-DO"/>
              </w:rPr>
              <w:t>24,509</w:t>
            </w:r>
          </w:p>
        </w:tc>
      </w:tr>
      <w:tr w:rsidR="004921FF" w:rsidRPr="005C133F" w14:paraId="00D0C66E" w14:textId="77777777" w:rsidTr="00A35F2B">
        <w:trPr>
          <w:trHeight w:val="288"/>
          <w:jc w:val="center"/>
        </w:trPr>
        <w:tc>
          <w:tcPr>
            <w:tcW w:w="2070" w:type="dxa"/>
            <w:noWrap/>
            <w:vAlign w:val="bottom"/>
            <w:hideMark/>
          </w:tcPr>
          <w:p w14:paraId="079592F6" w14:textId="77777777" w:rsidR="00803F7B" w:rsidRPr="005C133F" w:rsidRDefault="00803F7B" w:rsidP="004C1B2F">
            <w:pPr>
              <w:spacing w:after="0" w:line="240" w:lineRule="auto"/>
              <w:rPr>
                <w:lang w:val="es-DO" w:eastAsia="es-DO"/>
              </w:rPr>
            </w:pPr>
            <w:r w:rsidRPr="005C133F">
              <w:rPr>
                <w:lang w:val="es-DO" w:eastAsia="es-DO"/>
              </w:rPr>
              <w:t>ARS RENACER</w:t>
            </w:r>
          </w:p>
        </w:tc>
        <w:tc>
          <w:tcPr>
            <w:tcW w:w="1320" w:type="dxa"/>
            <w:noWrap/>
            <w:vAlign w:val="center"/>
            <w:hideMark/>
          </w:tcPr>
          <w:p w14:paraId="1033AA5B" w14:textId="77777777" w:rsidR="00803F7B" w:rsidRPr="005C133F" w:rsidRDefault="00803F7B" w:rsidP="004C1B2F">
            <w:pPr>
              <w:spacing w:after="0" w:line="240" w:lineRule="auto"/>
              <w:jc w:val="center"/>
              <w:rPr>
                <w:lang w:val="es-DO" w:eastAsia="es-DO"/>
              </w:rPr>
            </w:pPr>
            <w:r w:rsidRPr="005C133F">
              <w:rPr>
                <w:lang w:val="es-DO" w:eastAsia="es-DO"/>
              </w:rPr>
              <w:t>451</w:t>
            </w:r>
          </w:p>
        </w:tc>
        <w:tc>
          <w:tcPr>
            <w:tcW w:w="1557" w:type="dxa"/>
            <w:noWrap/>
            <w:vAlign w:val="center"/>
            <w:hideMark/>
          </w:tcPr>
          <w:p w14:paraId="291B275F" w14:textId="77777777" w:rsidR="00803F7B" w:rsidRPr="005C133F" w:rsidRDefault="00803F7B" w:rsidP="004C1B2F">
            <w:pPr>
              <w:spacing w:after="0" w:line="240" w:lineRule="auto"/>
              <w:jc w:val="center"/>
              <w:rPr>
                <w:lang w:val="es-DO" w:eastAsia="es-DO"/>
              </w:rPr>
            </w:pPr>
            <w:r w:rsidRPr="005C133F">
              <w:rPr>
                <w:lang w:val="es-DO" w:eastAsia="es-DO"/>
              </w:rPr>
              <w:t>264</w:t>
            </w:r>
          </w:p>
        </w:tc>
        <w:tc>
          <w:tcPr>
            <w:tcW w:w="1572" w:type="dxa"/>
            <w:noWrap/>
            <w:vAlign w:val="center"/>
            <w:hideMark/>
          </w:tcPr>
          <w:p w14:paraId="11C237D7" w14:textId="77777777" w:rsidR="00803F7B" w:rsidRPr="005C133F" w:rsidRDefault="00803F7B" w:rsidP="004C1B2F">
            <w:pPr>
              <w:spacing w:after="0" w:line="240" w:lineRule="auto"/>
              <w:jc w:val="center"/>
              <w:rPr>
                <w:lang w:val="es-DO" w:eastAsia="es-DO"/>
              </w:rPr>
            </w:pPr>
            <w:r w:rsidRPr="005C133F">
              <w:rPr>
                <w:lang w:val="es-DO" w:eastAsia="es-DO"/>
              </w:rPr>
              <w:t>2,718</w:t>
            </w:r>
          </w:p>
        </w:tc>
        <w:tc>
          <w:tcPr>
            <w:tcW w:w="1391" w:type="dxa"/>
            <w:noWrap/>
            <w:vAlign w:val="center"/>
            <w:hideMark/>
          </w:tcPr>
          <w:p w14:paraId="62E4DBCA" w14:textId="77777777" w:rsidR="00803F7B" w:rsidRPr="005C133F" w:rsidRDefault="00803F7B" w:rsidP="004C1B2F">
            <w:pPr>
              <w:spacing w:after="0" w:line="240" w:lineRule="auto"/>
              <w:jc w:val="center"/>
              <w:rPr>
                <w:lang w:val="es-DO" w:eastAsia="es-DO"/>
              </w:rPr>
            </w:pPr>
            <w:r w:rsidRPr="005C133F">
              <w:rPr>
                <w:lang w:val="es-DO" w:eastAsia="es-DO"/>
              </w:rPr>
              <w:t>3,433</w:t>
            </w:r>
          </w:p>
        </w:tc>
      </w:tr>
      <w:tr w:rsidR="004921FF" w:rsidRPr="005C133F" w14:paraId="0129BCBB" w14:textId="77777777" w:rsidTr="00A35F2B">
        <w:trPr>
          <w:trHeight w:val="288"/>
          <w:jc w:val="center"/>
        </w:trPr>
        <w:tc>
          <w:tcPr>
            <w:tcW w:w="2070" w:type="dxa"/>
            <w:noWrap/>
            <w:vAlign w:val="bottom"/>
            <w:hideMark/>
          </w:tcPr>
          <w:p w14:paraId="6459089B" w14:textId="77777777" w:rsidR="00803F7B" w:rsidRPr="005C133F" w:rsidRDefault="00803F7B" w:rsidP="004C1B2F">
            <w:pPr>
              <w:spacing w:after="0" w:line="240" w:lineRule="auto"/>
              <w:rPr>
                <w:lang w:val="es-DO" w:eastAsia="es-DO"/>
              </w:rPr>
            </w:pPr>
            <w:r w:rsidRPr="005C133F">
              <w:rPr>
                <w:lang w:val="es-DO" w:eastAsia="es-DO"/>
              </w:rPr>
              <w:t>ARS RESERVAS</w:t>
            </w:r>
          </w:p>
        </w:tc>
        <w:tc>
          <w:tcPr>
            <w:tcW w:w="1320" w:type="dxa"/>
            <w:noWrap/>
            <w:vAlign w:val="center"/>
            <w:hideMark/>
          </w:tcPr>
          <w:p w14:paraId="46AC0750" w14:textId="77777777" w:rsidR="00803F7B" w:rsidRPr="005C133F" w:rsidRDefault="00803F7B" w:rsidP="004C1B2F">
            <w:pPr>
              <w:spacing w:after="0" w:line="240" w:lineRule="auto"/>
              <w:jc w:val="center"/>
              <w:rPr>
                <w:lang w:val="es-DO" w:eastAsia="es-DO"/>
              </w:rPr>
            </w:pPr>
            <w:r w:rsidRPr="005C133F">
              <w:rPr>
                <w:lang w:val="es-DO" w:eastAsia="es-DO"/>
              </w:rPr>
              <w:t>300</w:t>
            </w:r>
          </w:p>
        </w:tc>
        <w:tc>
          <w:tcPr>
            <w:tcW w:w="1557" w:type="dxa"/>
            <w:noWrap/>
            <w:vAlign w:val="center"/>
            <w:hideMark/>
          </w:tcPr>
          <w:p w14:paraId="50A167AC" w14:textId="77777777" w:rsidR="00803F7B" w:rsidRPr="005C133F" w:rsidRDefault="00803F7B" w:rsidP="004C1B2F">
            <w:pPr>
              <w:spacing w:after="0" w:line="240" w:lineRule="auto"/>
              <w:jc w:val="center"/>
              <w:rPr>
                <w:lang w:val="es-DO" w:eastAsia="es-DO"/>
              </w:rPr>
            </w:pPr>
            <w:r w:rsidRPr="005C133F">
              <w:rPr>
                <w:lang w:val="es-DO" w:eastAsia="es-DO"/>
              </w:rPr>
              <w:t>409</w:t>
            </w:r>
          </w:p>
        </w:tc>
        <w:tc>
          <w:tcPr>
            <w:tcW w:w="1572" w:type="dxa"/>
            <w:noWrap/>
            <w:vAlign w:val="center"/>
            <w:hideMark/>
          </w:tcPr>
          <w:p w14:paraId="5B1302A1" w14:textId="77777777" w:rsidR="00803F7B" w:rsidRPr="005C133F" w:rsidRDefault="00803F7B" w:rsidP="004C1B2F">
            <w:pPr>
              <w:spacing w:after="0" w:line="240" w:lineRule="auto"/>
              <w:jc w:val="center"/>
              <w:rPr>
                <w:lang w:val="es-DO" w:eastAsia="es-DO"/>
              </w:rPr>
            </w:pPr>
            <w:r w:rsidRPr="005C133F">
              <w:rPr>
                <w:lang w:val="es-DO" w:eastAsia="es-DO"/>
              </w:rPr>
              <w:t>7,225</w:t>
            </w:r>
          </w:p>
        </w:tc>
        <w:tc>
          <w:tcPr>
            <w:tcW w:w="1391" w:type="dxa"/>
            <w:noWrap/>
            <w:vAlign w:val="center"/>
            <w:hideMark/>
          </w:tcPr>
          <w:p w14:paraId="0358CFD4" w14:textId="77777777" w:rsidR="00803F7B" w:rsidRPr="005C133F" w:rsidRDefault="00803F7B" w:rsidP="004C1B2F">
            <w:pPr>
              <w:spacing w:after="0" w:line="240" w:lineRule="auto"/>
              <w:jc w:val="center"/>
              <w:rPr>
                <w:lang w:val="es-DO" w:eastAsia="es-DO"/>
              </w:rPr>
            </w:pPr>
            <w:r w:rsidRPr="005C133F">
              <w:rPr>
                <w:lang w:val="es-DO" w:eastAsia="es-DO"/>
              </w:rPr>
              <w:t>7,934</w:t>
            </w:r>
          </w:p>
        </w:tc>
      </w:tr>
      <w:tr w:rsidR="004921FF" w:rsidRPr="005C133F" w14:paraId="203823FE" w14:textId="77777777" w:rsidTr="00A35F2B">
        <w:trPr>
          <w:trHeight w:val="288"/>
          <w:jc w:val="center"/>
        </w:trPr>
        <w:tc>
          <w:tcPr>
            <w:tcW w:w="2070" w:type="dxa"/>
            <w:noWrap/>
            <w:vAlign w:val="bottom"/>
            <w:hideMark/>
          </w:tcPr>
          <w:p w14:paraId="3939F4B3" w14:textId="77777777" w:rsidR="00803F7B" w:rsidRPr="005C133F" w:rsidRDefault="00803F7B" w:rsidP="004C1B2F">
            <w:pPr>
              <w:spacing w:after="0" w:line="240" w:lineRule="auto"/>
              <w:rPr>
                <w:lang w:val="es-DO" w:eastAsia="es-DO"/>
              </w:rPr>
            </w:pPr>
            <w:r w:rsidRPr="005C133F">
              <w:rPr>
                <w:lang w:val="es-DO" w:eastAsia="es-DO"/>
              </w:rPr>
              <w:t>ARS SEMMA</w:t>
            </w:r>
          </w:p>
        </w:tc>
        <w:tc>
          <w:tcPr>
            <w:tcW w:w="1320" w:type="dxa"/>
            <w:noWrap/>
            <w:vAlign w:val="center"/>
            <w:hideMark/>
          </w:tcPr>
          <w:p w14:paraId="7F6D5BA7" w14:textId="77777777" w:rsidR="00803F7B" w:rsidRPr="005C133F" w:rsidRDefault="00803F7B" w:rsidP="004C1B2F">
            <w:pPr>
              <w:spacing w:after="0" w:line="240" w:lineRule="auto"/>
              <w:jc w:val="center"/>
              <w:rPr>
                <w:lang w:val="es-DO" w:eastAsia="es-DO"/>
              </w:rPr>
            </w:pPr>
            <w:r w:rsidRPr="005C133F">
              <w:rPr>
                <w:lang w:val="es-DO" w:eastAsia="es-DO"/>
              </w:rPr>
              <w:t>1,295</w:t>
            </w:r>
          </w:p>
        </w:tc>
        <w:tc>
          <w:tcPr>
            <w:tcW w:w="1557" w:type="dxa"/>
            <w:noWrap/>
            <w:vAlign w:val="center"/>
            <w:hideMark/>
          </w:tcPr>
          <w:p w14:paraId="21621F2A" w14:textId="77777777" w:rsidR="00803F7B" w:rsidRPr="005C133F" w:rsidRDefault="00803F7B" w:rsidP="004C1B2F">
            <w:pPr>
              <w:spacing w:after="0" w:line="240" w:lineRule="auto"/>
              <w:jc w:val="center"/>
              <w:rPr>
                <w:lang w:val="es-DO" w:eastAsia="es-DO"/>
              </w:rPr>
            </w:pPr>
            <w:r w:rsidRPr="005C133F">
              <w:rPr>
                <w:lang w:val="es-DO" w:eastAsia="es-DO"/>
              </w:rPr>
              <w:t>651</w:t>
            </w:r>
          </w:p>
        </w:tc>
        <w:tc>
          <w:tcPr>
            <w:tcW w:w="1572" w:type="dxa"/>
            <w:noWrap/>
            <w:vAlign w:val="center"/>
            <w:hideMark/>
          </w:tcPr>
          <w:p w14:paraId="4C524DB9" w14:textId="77777777" w:rsidR="00803F7B" w:rsidRPr="005C133F" w:rsidRDefault="00803F7B" w:rsidP="004C1B2F">
            <w:pPr>
              <w:spacing w:after="0" w:line="240" w:lineRule="auto"/>
              <w:jc w:val="center"/>
              <w:rPr>
                <w:lang w:val="es-DO" w:eastAsia="es-DO"/>
              </w:rPr>
            </w:pPr>
            <w:r w:rsidRPr="005C133F">
              <w:rPr>
                <w:lang w:val="es-DO" w:eastAsia="es-DO"/>
              </w:rPr>
              <w:t>5,072</w:t>
            </w:r>
          </w:p>
        </w:tc>
        <w:tc>
          <w:tcPr>
            <w:tcW w:w="1391" w:type="dxa"/>
            <w:noWrap/>
            <w:vAlign w:val="center"/>
            <w:hideMark/>
          </w:tcPr>
          <w:p w14:paraId="0C7C8648" w14:textId="77777777" w:rsidR="00803F7B" w:rsidRPr="005C133F" w:rsidRDefault="00803F7B" w:rsidP="004C1B2F">
            <w:pPr>
              <w:spacing w:after="0" w:line="240" w:lineRule="auto"/>
              <w:jc w:val="center"/>
              <w:rPr>
                <w:lang w:val="es-DO" w:eastAsia="es-DO"/>
              </w:rPr>
            </w:pPr>
            <w:r w:rsidRPr="005C133F">
              <w:rPr>
                <w:lang w:val="es-DO" w:eastAsia="es-DO"/>
              </w:rPr>
              <w:t>7,018</w:t>
            </w:r>
          </w:p>
        </w:tc>
      </w:tr>
      <w:tr w:rsidR="004921FF" w:rsidRPr="005C133F" w14:paraId="2DA85B50" w14:textId="77777777" w:rsidTr="00A35F2B">
        <w:trPr>
          <w:trHeight w:val="288"/>
          <w:jc w:val="center"/>
        </w:trPr>
        <w:tc>
          <w:tcPr>
            <w:tcW w:w="2070" w:type="dxa"/>
            <w:noWrap/>
            <w:vAlign w:val="bottom"/>
            <w:hideMark/>
          </w:tcPr>
          <w:p w14:paraId="24C984B7" w14:textId="77777777" w:rsidR="00803F7B" w:rsidRPr="005C133F" w:rsidRDefault="00803F7B" w:rsidP="004C1B2F">
            <w:pPr>
              <w:spacing w:after="0" w:line="240" w:lineRule="auto"/>
              <w:rPr>
                <w:lang w:val="es-DO" w:eastAsia="es-DO"/>
              </w:rPr>
            </w:pPr>
            <w:r w:rsidRPr="005C133F">
              <w:rPr>
                <w:lang w:val="es-DO" w:eastAsia="es-DO"/>
              </w:rPr>
              <w:t>ARS SENASA</w:t>
            </w:r>
          </w:p>
        </w:tc>
        <w:tc>
          <w:tcPr>
            <w:tcW w:w="1320" w:type="dxa"/>
            <w:noWrap/>
            <w:vAlign w:val="center"/>
            <w:hideMark/>
          </w:tcPr>
          <w:p w14:paraId="61F53838" w14:textId="77777777" w:rsidR="00803F7B" w:rsidRPr="005C133F" w:rsidRDefault="00803F7B" w:rsidP="004C1B2F">
            <w:pPr>
              <w:spacing w:after="0" w:line="240" w:lineRule="auto"/>
              <w:jc w:val="center"/>
              <w:rPr>
                <w:lang w:val="es-DO" w:eastAsia="es-DO"/>
              </w:rPr>
            </w:pPr>
            <w:r w:rsidRPr="005C133F">
              <w:rPr>
                <w:lang w:val="es-DO" w:eastAsia="es-DO"/>
              </w:rPr>
              <w:t>13,252</w:t>
            </w:r>
          </w:p>
        </w:tc>
        <w:tc>
          <w:tcPr>
            <w:tcW w:w="1557" w:type="dxa"/>
            <w:noWrap/>
            <w:vAlign w:val="center"/>
            <w:hideMark/>
          </w:tcPr>
          <w:p w14:paraId="177AB116" w14:textId="77777777" w:rsidR="00803F7B" w:rsidRPr="005C133F" w:rsidRDefault="00803F7B" w:rsidP="004C1B2F">
            <w:pPr>
              <w:spacing w:after="0" w:line="240" w:lineRule="auto"/>
              <w:jc w:val="center"/>
              <w:rPr>
                <w:lang w:val="es-DO" w:eastAsia="es-DO"/>
              </w:rPr>
            </w:pPr>
            <w:r w:rsidRPr="005C133F">
              <w:rPr>
                <w:lang w:val="es-DO" w:eastAsia="es-DO"/>
              </w:rPr>
              <w:t>9,135</w:t>
            </w:r>
          </w:p>
        </w:tc>
        <w:tc>
          <w:tcPr>
            <w:tcW w:w="1572" w:type="dxa"/>
            <w:noWrap/>
            <w:vAlign w:val="center"/>
            <w:hideMark/>
          </w:tcPr>
          <w:p w14:paraId="58E84C51" w14:textId="77777777" w:rsidR="00803F7B" w:rsidRPr="005C133F" w:rsidRDefault="00803F7B" w:rsidP="004C1B2F">
            <w:pPr>
              <w:spacing w:after="0" w:line="240" w:lineRule="auto"/>
              <w:jc w:val="center"/>
              <w:rPr>
                <w:lang w:val="es-DO" w:eastAsia="es-DO"/>
              </w:rPr>
            </w:pPr>
            <w:r w:rsidRPr="005C133F">
              <w:rPr>
                <w:lang w:val="es-DO" w:eastAsia="es-DO"/>
              </w:rPr>
              <w:t>84,526</w:t>
            </w:r>
          </w:p>
        </w:tc>
        <w:tc>
          <w:tcPr>
            <w:tcW w:w="1391" w:type="dxa"/>
            <w:noWrap/>
            <w:vAlign w:val="center"/>
            <w:hideMark/>
          </w:tcPr>
          <w:p w14:paraId="62C4A986" w14:textId="77777777" w:rsidR="00803F7B" w:rsidRPr="005C133F" w:rsidRDefault="00803F7B" w:rsidP="004C1B2F">
            <w:pPr>
              <w:spacing w:after="0" w:line="240" w:lineRule="auto"/>
              <w:jc w:val="center"/>
              <w:rPr>
                <w:lang w:val="es-DO" w:eastAsia="es-DO"/>
              </w:rPr>
            </w:pPr>
            <w:r w:rsidRPr="005C133F">
              <w:rPr>
                <w:lang w:val="es-DO" w:eastAsia="es-DO"/>
              </w:rPr>
              <w:t>106,913</w:t>
            </w:r>
          </w:p>
        </w:tc>
      </w:tr>
      <w:tr w:rsidR="004921FF" w:rsidRPr="005C133F" w14:paraId="45A65072" w14:textId="77777777" w:rsidTr="00A35F2B">
        <w:trPr>
          <w:trHeight w:val="288"/>
          <w:jc w:val="center"/>
        </w:trPr>
        <w:tc>
          <w:tcPr>
            <w:tcW w:w="2070" w:type="dxa"/>
            <w:noWrap/>
            <w:vAlign w:val="bottom"/>
            <w:hideMark/>
          </w:tcPr>
          <w:p w14:paraId="2EC3D98A" w14:textId="77777777" w:rsidR="00803F7B" w:rsidRPr="005C133F" w:rsidRDefault="00803F7B" w:rsidP="004C1B2F">
            <w:pPr>
              <w:spacing w:after="0" w:line="240" w:lineRule="auto"/>
              <w:rPr>
                <w:lang w:val="es-DO" w:eastAsia="es-DO"/>
              </w:rPr>
            </w:pPr>
            <w:r w:rsidRPr="005C133F">
              <w:rPr>
                <w:lang w:val="es-DO" w:eastAsia="es-DO"/>
              </w:rPr>
              <w:lastRenderedPageBreak/>
              <w:t>ARS SENASA - REGIMEN SUBSIDIADO</w:t>
            </w:r>
          </w:p>
        </w:tc>
        <w:tc>
          <w:tcPr>
            <w:tcW w:w="1320" w:type="dxa"/>
            <w:noWrap/>
            <w:vAlign w:val="center"/>
            <w:hideMark/>
          </w:tcPr>
          <w:p w14:paraId="2A7D55EE" w14:textId="77777777" w:rsidR="00803F7B" w:rsidRPr="005C133F" w:rsidRDefault="00803F7B" w:rsidP="004C1B2F">
            <w:pPr>
              <w:spacing w:after="0" w:line="240" w:lineRule="auto"/>
              <w:jc w:val="center"/>
              <w:rPr>
                <w:lang w:val="es-DO" w:eastAsia="es-DO"/>
              </w:rPr>
            </w:pPr>
            <w:r w:rsidRPr="005C133F">
              <w:rPr>
                <w:lang w:val="es-DO" w:eastAsia="es-DO"/>
              </w:rPr>
              <w:t>34,560</w:t>
            </w:r>
          </w:p>
        </w:tc>
        <w:tc>
          <w:tcPr>
            <w:tcW w:w="1557" w:type="dxa"/>
            <w:noWrap/>
            <w:vAlign w:val="center"/>
            <w:hideMark/>
          </w:tcPr>
          <w:p w14:paraId="25565A4A" w14:textId="77777777" w:rsidR="00803F7B" w:rsidRPr="005C133F" w:rsidRDefault="00803F7B" w:rsidP="004C1B2F">
            <w:pPr>
              <w:spacing w:after="0" w:line="240" w:lineRule="auto"/>
              <w:jc w:val="center"/>
              <w:rPr>
                <w:lang w:val="es-DO" w:eastAsia="es-DO"/>
              </w:rPr>
            </w:pPr>
            <w:r w:rsidRPr="005C133F">
              <w:rPr>
                <w:lang w:val="es-DO" w:eastAsia="es-DO"/>
              </w:rPr>
              <w:t>44,744</w:t>
            </w:r>
          </w:p>
        </w:tc>
        <w:tc>
          <w:tcPr>
            <w:tcW w:w="1572" w:type="dxa"/>
            <w:noWrap/>
            <w:vAlign w:val="center"/>
            <w:hideMark/>
          </w:tcPr>
          <w:p w14:paraId="7CD27FA7" w14:textId="77777777" w:rsidR="00803F7B" w:rsidRPr="005C133F" w:rsidRDefault="00803F7B" w:rsidP="004C1B2F">
            <w:pPr>
              <w:spacing w:after="0" w:line="240" w:lineRule="auto"/>
              <w:jc w:val="center"/>
              <w:rPr>
                <w:lang w:val="es-DO" w:eastAsia="es-DO"/>
              </w:rPr>
            </w:pPr>
            <w:r w:rsidRPr="005C133F">
              <w:rPr>
                <w:lang w:val="es-DO" w:eastAsia="es-DO"/>
              </w:rPr>
              <w:t>242,645</w:t>
            </w:r>
          </w:p>
        </w:tc>
        <w:tc>
          <w:tcPr>
            <w:tcW w:w="1391" w:type="dxa"/>
            <w:noWrap/>
            <w:vAlign w:val="center"/>
            <w:hideMark/>
          </w:tcPr>
          <w:p w14:paraId="32782168" w14:textId="77777777" w:rsidR="00803F7B" w:rsidRPr="005C133F" w:rsidRDefault="00803F7B" w:rsidP="004C1B2F">
            <w:pPr>
              <w:spacing w:after="0" w:line="240" w:lineRule="auto"/>
              <w:jc w:val="center"/>
              <w:rPr>
                <w:lang w:val="es-DO" w:eastAsia="es-DO"/>
              </w:rPr>
            </w:pPr>
            <w:r w:rsidRPr="005C133F">
              <w:rPr>
                <w:lang w:val="es-DO" w:eastAsia="es-DO"/>
              </w:rPr>
              <w:t>321,949</w:t>
            </w:r>
          </w:p>
        </w:tc>
      </w:tr>
      <w:tr w:rsidR="004921FF" w:rsidRPr="005C133F" w14:paraId="0D7599B4" w14:textId="77777777" w:rsidTr="00A35F2B">
        <w:trPr>
          <w:trHeight w:val="288"/>
          <w:jc w:val="center"/>
        </w:trPr>
        <w:tc>
          <w:tcPr>
            <w:tcW w:w="2070" w:type="dxa"/>
            <w:noWrap/>
            <w:vAlign w:val="bottom"/>
            <w:hideMark/>
          </w:tcPr>
          <w:p w14:paraId="18691210" w14:textId="77777777" w:rsidR="00803F7B" w:rsidRPr="005C133F" w:rsidRDefault="00803F7B" w:rsidP="004C1B2F">
            <w:pPr>
              <w:spacing w:after="0" w:line="240" w:lineRule="auto"/>
              <w:rPr>
                <w:lang w:val="es-DO" w:eastAsia="es-DO"/>
              </w:rPr>
            </w:pPr>
            <w:r w:rsidRPr="005C133F">
              <w:rPr>
                <w:lang w:val="es-DO" w:eastAsia="es-DO"/>
              </w:rPr>
              <w:t>ARS UNIVERSAL, S.A.</w:t>
            </w:r>
          </w:p>
        </w:tc>
        <w:tc>
          <w:tcPr>
            <w:tcW w:w="1320" w:type="dxa"/>
            <w:noWrap/>
            <w:vAlign w:val="center"/>
            <w:hideMark/>
          </w:tcPr>
          <w:p w14:paraId="11E6B1D4" w14:textId="77777777" w:rsidR="00803F7B" w:rsidRPr="005C133F" w:rsidRDefault="00803F7B" w:rsidP="004C1B2F">
            <w:pPr>
              <w:spacing w:after="0" w:line="240" w:lineRule="auto"/>
              <w:jc w:val="center"/>
              <w:rPr>
                <w:lang w:val="es-DO" w:eastAsia="es-DO"/>
              </w:rPr>
            </w:pPr>
            <w:r w:rsidRPr="005C133F">
              <w:rPr>
                <w:lang w:val="es-DO" w:eastAsia="es-DO"/>
              </w:rPr>
              <w:t>2,387</w:t>
            </w:r>
          </w:p>
        </w:tc>
        <w:tc>
          <w:tcPr>
            <w:tcW w:w="1557" w:type="dxa"/>
            <w:noWrap/>
            <w:vAlign w:val="center"/>
            <w:hideMark/>
          </w:tcPr>
          <w:p w14:paraId="5A40C677" w14:textId="77777777" w:rsidR="00803F7B" w:rsidRPr="005C133F" w:rsidRDefault="00803F7B" w:rsidP="004C1B2F">
            <w:pPr>
              <w:spacing w:after="0" w:line="240" w:lineRule="auto"/>
              <w:jc w:val="center"/>
              <w:rPr>
                <w:lang w:val="es-DO" w:eastAsia="es-DO"/>
              </w:rPr>
            </w:pPr>
            <w:r w:rsidRPr="005C133F">
              <w:rPr>
                <w:lang w:val="es-DO" w:eastAsia="es-DO"/>
              </w:rPr>
              <w:t>1,411</w:t>
            </w:r>
          </w:p>
        </w:tc>
        <w:tc>
          <w:tcPr>
            <w:tcW w:w="1572" w:type="dxa"/>
            <w:noWrap/>
            <w:vAlign w:val="center"/>
            <w:hideMark/>
          </w:tcPr>
          <w:p w14:paraId="020AA2C5" w14:textId="77777777" w:rsidR="00803F7B" w:rsidRPr="005C133F" w:rsidRDefault="00803F7B" w:rsidP="004C1B2F">
            <w:pPr>
              <w:spacing w:after="0" w:line="240" w:lineRule="auto"/>
              <w:jc w:val="center"/>
              <w:rPr>
                <w:lang w:val="es-DO" w:eastAsia="es-DO"/>
              </w:rPr>
            </w:pPr>
            <w:r w:rsidRPr="005C133F">
              <w:rPr>
                <w:lang w:val="es-DO" w:eastAsia="es-DO"/>
              </w:rPr>
              <w:t>15,483</w:t>
            </w:r>
          </w:p>
        </w:tc>
        <w:tc>
          <w:tcPr>
            <w:tcW w:w="1391" w:type="dxa"/>
            <w:noWrap/>
            <w:vAlign w:val="center"/>
            <w:hideMark/>
          </w:tcPr>
          <w:p w14:paraId="6D130361" w14:textId="77777777" w:rsidR="00803F7B" w:rsidRPr="005C133F" w:rsidRDefault="00803F7B" w:rsidP="004C1B2F">
            <w:pPr>
              <w:spacing w:after="0" w:line="240" w:lineRule="auto"/>
              <w:jc w:val="center"/>
              <w:rPr>
                <w:lang w:val="es-DO" w:eastAsia="es-DO"/>
              </w:rPr>
            </w:pPr>
            <w:r w:rsidRPr="005C133F">
              <w:rPr>
                <w:lang w:val="es-DO" w:eastAsia="es-DO"/>
              </w:rPr>
              <w:t>19,281</w:t>
            </w:r>
          </w:p>
        </w:tc>
      </w:tr>
      <w:tr w:rsidR="004921FF" w:rsidRPr="005C133F" w14:paraId="094FD224" w14:textId="77777777" w:rsidTr="00A35F2B">
        <w:trPr>
          <w:trHeight w:val="288"/>
          <w:jc w:val="center"/>
        </w:trPr>
        <w:tc>
          <w:tcPr>
            <w:tcW w:w="2070" w:type="dxa"/>
            <w:noWrap/>
            <w:vAlign w:val="bottom"/>
            <w:hideMark/>
          </w:tcPr>
          <w:p w14:paraId="7396435D" w14:textId="77777777" w:rsidR="00803F7B" w:rsidRPr="005C133F" w:rsidRDefault="00803F7B" w:rsidP="004C1B2F">
            <w:pPr>
              <w:spacing w:after="0" w:line="240" w:lineRule="auto"/>
              <w:rPr>
                <w:lang w:val="es-DO" w:eastAsia="es-DO"/>
              </w:rPr>
            </w:pPr>
            <w:r w:rsidRPr="005C133F">
              <w:rPr>
                <w:lang w:val="es-DO" w:eastAsia="es-DO"/>
              </w:rPr>
              <w:t>MAPFRE SALUD ARS</w:t>
            </w:r>
          </w:p>
        </w:tc>
        <w:tc>
          <w:tcPr>
            <w:tcW w:w="1320" w:type="dxa"/>
            <w:noWrap/>
            <w:vAlign w:val="center"/>
            <w:hideMark/>
          </w:tcPr>
          <w:p w14:paraId="66A330BB" w14:textId="77777777" w:rsidR="00803F7B" w:rsidRPr="005C133F" w:rsidRDefault="00803F7B" w:rsidP="004C1B2F">
            <w:pPr>
              <w:spacing w:after="0" w:line="240" w:lineRule="auto"/>
              <w:jc w:val="center"/>
              <w:rPr>
                <w:lang w:val="es-DO" w:eastAsia="es-DO"/>
              </w:rPr>
            </w:pPr>
            <w:r w:rsidRPr="005C133F">
              <w:rPr>
                <w:lang w:val="es-DO" w:eastAsia="es-DO"/>
              </w:rPr>
              <w:t>2,318</w:t>
            </w:r>
          </w:p>
        </w:tc>
        <w:tc>
          <w:tcPr>
            <w:tcW w:w="1557" w:type="dxa"/>
            <w:noWrap/>
            <w:vAlign w:val="center"/>
            <w:hideMark/>
          </w:tcPr>
          <w:p w14:paraId="1D917025" w14:textId="77777777" w:rsidR="00803F7B" w:rsidRPr="005C133F" w:rsidRDefault="00803F7B" w:rsidP="004C1B2F">
            <w:pPr>
              <w:spacing w:after="0" w:line="240" w:lineRule="auto"/>
              <w:jc w:val="center"/>
              <w:rPr>
                <w:lang w:val="es-DO" w:eastAsia="es-DO"/>
              </w:rPr>
            </w:pPr>
            <w:r w:rsidRPr="005C133F">
              <w:rPr>
                <w:lang w:val="es-DO" w:eastAsia="es-DO"/>
              </w:rPr>
              <w:t>1,969</w:t>
            </w:r>
          </w:p>
        </w:tc>
        <w:tc>
          <w:tcPr>
            <w:tcW w:w="1572" w:type="dxa"/>
            <w:noWrap/>
            <w:vAlign w:val="center"/>
            <w:hideMark/>
          </w:tcPr>
          <w:p w14:paraId="6F87F8BB" w14:textId="77777777" w:rsidR="00803F7B" w:rsidRPr="005C133F" w:rsidRDefault="00803F7B" w:rsidP="004C1B2F">
            <w:pPr>
              <w:spacing w:after="0" w:line="240" w:lineRule="auto"/>
              <w:jc w:val="center"/>
              <w:rPr>
                <w:lang w:val="es-DO" w:eastAsia="es-DO"/>
              </w:rPr>
            </w:pPr>
            <w:r w:rsidRPr="005C133F">
              <w:rPr>
                <w:lang w:val="es-DO" w:eastAsia="es-DO"/>
              </w:rPr>
              <w:t>8,430</w:t>
            </w:r>
          </w:p>
        </w:tc>
        <w:tc>
          <w:tcPr>
            <w:tcW w:w="1391" w:type="dxa"/>
            <w:noWrap/>
            <w:vAlign w:val="center"/>
            <w:hideMark/>
          </w:tcPr>
          <w:p w14:paraId="4E5E0E1A" w14:textId="77777777" w:rsidR="00803F7B" w:rsidRPr="005C133F" w:rsidRDefault="00803F7B" w:rsidP="004C1B2F">
            <w:pPr>
              <w:spacing w:after="0" w:line="240" w:lineRule="auto"/>
              <w:jc w:val="center"/>
              <w:rPr>
                <w:lang w:val="es-DO" w:eastAsia="es-DO"/>
              </w:rPr>
            </w:pPr>
            <w:r w:rsidRPr="005C133F">
              <w:rPr>
                <w:lang w:val="es-DO" w:eastAsia="es-DO"/>
              </w:rPr>
              <w:t>12,717</w:t>
            </w:r>
          </w:p>
        </w:tc>
      </w:tr>
      <w:tr w:rsidR="00246DA5" w:rsidRPr="005C133F" w14:paraId="3B6FA5E3" w14:textId="77777777" w:rsidTr="00A35F2B">
        <w:trPr>
          <w:trHeight w:val="288"/>
          <w:jc w:val="center"/>
        </w:trPr>
        <w:tc>
          <w:tcPr>
            <w:tcW w:w="2070" w:type="dxa"/>
            <w:shd w:val="clear" w:color="auto" w:fill="011C50"/>
            <w:noWrap/>
            <w:vAlign w:val="bottom"/>
            <w:hideMark/>
          </w:tcPr>
          <w:p w14:paraId="563D689F" w14:textId="77777777" w:rsidR="00803F7B" w:rsidRPr="005C133F" w:rsidRDefault="00803F7B" w:rsidP="004C1B2F">
            <w:pPr>
              <w:spacing w:after="0" w:line="240" w:lineRule="auto"/>
              <w:rPr>
                <w:b/>
                <w:bCs/>
                <w:color w:val="FFFFFF" w:themeColor="background1"/>
                <w:lang w:val="es-DO" w:eastAsia="es-DO"/>
              </w:rPr>
            </w:pPr>
            <w:r w:rsidRPr="005C133F">
              <w:rPr>
                <w:b/>
                <w:bCs/>
                <w:color w:val="FFFFFF" w:themeColor="background1"/>
                <w:lang w:val="es-DO" w:eastAsia="es-DO"/>
              </w:rPr>
              <w:t>Total general</w:t>
            </w:r>
          </w:p>
        </w:tc>
        <w:tc>
          <w:tcPr>
            <w:tcW w:w="1320" w:type="dxa"/>
            <w:shd w:val="clear" w:color="auto" w:fill="011C50"/>
            <w:noWrap/>
            <w:vAlign w:val="center"/>
            <w:hideMark/>
          </w:tcPr>
          <w:p w14:paraId="0CE388C9"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59,406</w:t>
            </w:r>
          </w:p>
        </w:tc>
        <w:tc>
          <w:tcPr>
            <w:tcW w:w="1557" w:type="dxa"/>
            <w:shd w:val="clear" w:color="auto" w:fill="011C50"/>
            <w:noWrap/>
            <w:vAlign w:val="center"/>
            <w:hideMark/>
          </w:tcPr>
          <w:p w14:paraId="10034583"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63,317</w:t>
            </w:r>
          </w:p>
        </w:tc>
        <w:tc>
          <w:tcPr>
            <w:tcW w:w="1572" w:type="dxa"/>
            <w:shd w:val="clear" w:color="auto" w:fill="011C50"/>
            <w:noWrap/>
            <w:vAlign w:val="center"/>
            <w:hideMark/>
          </w:tcPr>
          <w:p w14:paraId="688E78CC"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391,154</w:t>
            </w:r>
          </w:p>
        </w:tc>
        <w:tc>
          <w:tcPr>
            <w:tcW w:w="1391" w:type="dxa"/>
            <w:shd w:val="clear" w:color="auto" w:fill="011C50"/>
            <w:noWrap/>
            <w:vAlign w:val="center"/>
            <w:hideMark/>
          </w:tcPr>
          <w:p w14:paraId="3CBD0B84"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513,877</w:t>
            </w:r>
          </w:p>
        </w:tc>
      </w:tr>
    </w:tbl>
    <w:p w14:paraId="05F1D725" w14:textId="77777777" w:rsidR="00A35F2B" w:rsidRPr="00AC2DB2" w:rsidRDefault="00A35F2B" w:rsidP="004C1B2F">
      <w:pPr>
        <w:spacing w:before="3" w:after="0" w:line="360" w:lineRule="auto"/>
        <w:rPr>
          <w:sz w:val="18"/>
          <w:szCs w:val="18"/>
          <w:lang w:val="es-DO"/>
        </w:rPr>
      </w:pPr>
      <w:r w:rsidRPr="00AC2DB2">
        <w:rPr>
          <w:sz w:val="18"/>
          <w:szCs w:val="18"/>
          <w:lang w:val="es-DO"/>
        </w:rPr>
        <w:t>Fuente: Dirección de Gestión Actuarial del SFS y el SRL, SISALRIL.</w:t>
      </w:r>
    </w:p>
    <w:p w14:paraId="2358CBD4" w14:textId="235CD735" w:rsidR="00803F7B" w:rsidRPr="005C133F" w:rsidRDefault="00803F7B" w:rsidP="004C1B2F">
      <w:pPr>
        <w:tabs>
          <w:tab w:val="left" w:pos="2980"/>
        </w:tabs>
        <w:spacing w:after="0" w:line="240" w:lineRule="auto"/>
        <w:rPr>
          <w:b/>
          <w:bCs/>
          <w:lang w:val="es-DO"/>
        </w:rPr>
      </w:pPr>
    </w:p>
    <w:p w14:paraId="5DE84E92" w14:textId="3D7F35DE" w:rsidR="00E251E7" w:rsidRPr="005C133F" w:rsidRDefault="00E251E7" w:rsidP="004C1B2F">
      <w:pPr>
        <w:pStyle w:val="Descripcin"/>
        <w:keepNext/>
        <w:spacing w:after="0"/>
        <w:jc w:val="center"/>
        <w:rPr>
          <w:b/>
          <w:bCs/>
          <w:i w:val="0"/>
          <w:iCs w:val="0"/>
          <w:color w:val="767171"/>
          <w:sz w:val="24"/>
          <w:szCs w:val="24"/>
          <w:lang w:val="es-DO"/>
        </w:rPr>
      </w:pPr>
      <w:bookmarkStart w:id="86" w:name="_Toc218784161"/>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29</w:t>
      </w:r>
      <w:r w:rsidRPr="005C133F">
        <w:rPr>
          <w:b/>
          <w:bCs/>
          <w:i w:val="0"/>
          <w:iCs w:val="0"/>
          <w:color w:val="767171"/>
          <w:sz w:val="24"/>
          <w:szCs w:val="24"/>
          <w:lang w:val="es-DO"/>
        </w:rPr>
        <w:fldChar w:fldCharType="end"/>
      </w:r>
      <w:r w:rsidRPr="005C133F">
        <w:rPr>
          <w:b/>
          <w:bCs/>
          <w:i w:val="0"/>
          <w:iCs w:val="0"/>
          <w:color w:val="767171"/>
          <w:sz w:val="24"/>
          <w:szCs w:val="24"/>
          <w:lang w:val="es-DO"/>
        </w:rPr>
        <w:t>. Plan Básico de Salud. Cantidad de afiliados que han solicitado a las ARS la cobertura para el tratamiento de la Diabetes Mellitus e Hipertensión</w:t>
      </w:r>
      <w:bookmarkEnd w:id="86"/>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77"/>
        <w:gridCol w:w="1236"/>
        <w:gridCol w:w="1556"/>
        <w:gridCol w:w="1455"/>
        <w:gridCol w:w="1686"/>
      </w:tblGrid>
      <w:tr w:rsidR="00246DA5" w:rsidRPr="005C133F" w14:paraId="732D1636" w14:textId="77777777" w:rsidTr="00A35F2B">
        <w:trPr>
          <w:trHeight w:val="288"/>
          <w:tblHeader/>
          <w:jc w:val="center"/>
        </w:trPr>
        <w:tc>
          <w:tcPr>
            <w:tcW w:w="1881" w:type="dxa"/>
            <w:shd w:val="clear" w:color="auto" w:fill="011C50"/>
            <w:noWrap/>
            <w:vAlign w:val="bottom"/>
            <w:hideMark/>
          </w:tcPr>
          <w:p w14:paraId="2090455B" w14:textId="77777777" w:rsidR="00803F7B" w:rsidRPr="005C133F" w:rsidRDefault="00803F7B" w:rsidP="004C1B2F">
            <w:pPr>
              <w:spacing w:after="0" w:line="240" w:lineRule="auto"/>
              <w:rPr>
                <w:b/>
                <w:bCs/>
                <w:color w:val="FFFFFF" w:themeColor="background1"/>
                <w:lang w:val="es-DO" w:eastAsia="es-DO"/>
              </w:rPr>
            </w:pPr>
            <w:r w:rsidRPr="005C133F">
              <w:rPr>
                <w:b/>
                <w:bCs/>
                <w:color w:val="FFFFFF" w:themeColor="background1"/>
                <w:lang w:val="es-DO" w:eastAsia="es-DO"/>
              </w:rPr>
              <w:t>ARS</w:t>
            </w:r>
          </w:p>
        </w:tc>
        <w:tc>
          <w:tcPr>
            <w:tcW w:w="1261" w:type="dxa"/>
            <w:shd w:val="clear" w:color="auto" w:fill="011C50"/>
            <w:noWrap/>
            <w:vAlign w:val="center"/>
            <w:hideMark/>
          </w:tcPr>
          <w:p w14:paraId="59C17685"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w:t>
            </w:r>
          </w:p>
        </w:tc>
        <w:tc>
          <w:tcPr>
            <w:tcW w:w="1631" w:type="dxa"/>
            <w:shd w:val="clear" w:color="auto" w:fill="011C50"/>
            <w:noWrap/>
            <w:vAlign w:val="center"/>
            <w:hideMark/>
          </w:tcPr>
          <w:p w14:paraId="6DECAA93"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Diabético e Hipertenso</w:t>
            </w:r>
          </w:p>
        </w:tc>
        <w:tc>
          <w:tcPr>
            <w:tcW w:w="1524" w:type="dxa"/>
            <w:shd w:val="clear" w:color="auto" w:fill="011C50"/>
            <w:noWrap/>
            <w:vAlign w:val="center"/>
            <w:hideMark/>
          </w:tcPr>
          <w:p w14:paraId="2B58B693"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Hipertenso</w:t>
            </w:r>
          </w:p>
        </w:tc>
        <w:tc>
          <w:tcPr>
            <w:tcW w:w="0" w:type="auto"/>
            <w:shd w:val="clear" w:color="auto" w:fill="011C50"/>
            <w:noWrap/>
            <w:vAlign w:val="center"/>
            <w:hideMark/>
          </w:tcPr>
          <w:p w14:paraId="0560F1E8"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Total general</w:t>
            </w:r>
          </w:p>
        </w:tc>
      </w:tr>
      <w:tr w:rsidR="004921FF" w:rsidRPr="005C133F" w14:paraId="1C63DA8D" w14:textId="77777777" w:rsidTr="00A35F2B">
        <w:trPr>
          <w:trHeight w:val="288"/>
          <w:jc w:val="center"/>
        </w:trPr>
        <w:tc>
          <w:tcPr>
            <w:tcW w:w="1881" w:type="dxa"/>
            <w:noWrap/>
            <w:vAlign w:val="bottom"/>
            <w:hideMark/>
          </w:tcPr>
          <w:p w14:paraId="23BA1A04" w14:textId="77777777" w:rsidR="00803F7B" w:rsidRPr="005C133F" w:rsidRDefault="00803F7B" w:rsidP="004C1B2F">
            <w:pPr>
              <w:spacing w:after="0" w:line="240" w:lineRule="auto"/>
              <w:rPr>
                <w:lang w:val="es-DO" w:eastAsia="es-DO"/>
              </w:rPr>
            </w:pPr>
            <w:r w:rsidRPr="005C133F">
              <w:rPr>
                <w:lang w:val="es-DO" w:eastAsia="es-DO"/>
              </w:rPr>
              <w:t>ARS ABEL GONZALEZ</w:t>
            </w:r>
          </w:p>
        </w:tc>
        <w:tc>
          <w:tcPr>
            <w:tcW w:w="1261" w:type="dxa"/>
            <w:noWrap/>
            <w:vAlign w:val="center"/>
            <w:hideMark/>
          </w:tcPr>
          <w:p w14:paraId="3584E3CB" w14:textId="77777777" w:rsidR="00803F7B" w:rsidRPr="005C133F" w:rsidRDefault="00803F7B" w:rsidP="004C1B2F">
            <w:pPr>
              <w:spacing w:after="0" w:line="240" w:lineRule="auto"/>
              <w:jc w:val="center"/>
              <w:rPr>
                <w:lang w:val="es-DO" w:eastAsia="es-DO"/>
              </w:rPr>
            </w:pPr>
            <w:r w:rsidRPr="005C133F">
              <w:rPr>
                <w:lang w:val="es-DO" w:eastAsia="es-DO"/>
              </w:rPr>
              <w:t>343</w:t>
            </w:r>
          </w:p>
        </w:tc>
        <w:tc>
          <w:tcPr>
            <w:tcW w:w="1631" w:type="dxa"/>
            <w:noWrap/>
            <w:vAlign w:val="center"/>
            <w:hideMark/>
          </w:tcPr>
          <w:p w14:paraId="4623C281" w14:textId="77777777" w:rsidR="00803F7B" w:rsidRPr="005C133F" w:rsidRDefault="00803F7B" w:rsidP="004C1B2F">
            <w:pPr>
              <w:spacing w:after="0" w:line="240" w:lineRule="auto"/>
              <w:jc w:val="center"/>
              <w:rPr>
                <w:lang w:val="es-DO" w:eastAsia="es-DO"/>
              </w:rPr>
            </w:pPr>
            <w:r w:rsidRPr="005C133F">
              <w:rPr>
                <w:lang w:val="es-DO" w:eastAsia="es-DO"/>
              </w:rPr>
              <w:t>210</w:t>
            </w:r>
          </w:p>
        </w:tc>
        <w:tc>
          <w:tcPr>
            <w:tcW w:w="1524" w:type="dxa"/>
            <w:noWrap/>
            <w:vAlign w:val="center"/>
            <w:hideMark/>
          </w:tcPr>
          <w:p w14:paraId="64E9ADF2" w14:textId="77777777" w:rsidR="00803F7B" w:rsidRPr="005C133F" w:rsidRDefault="00803F7B" w:rsidP="004C1B2F">
            <w:pPr>
              <w:spacing w:after="0" w:line="240" w:lineRule="auto"/>
              <w:jc w:val="center"/>
              <w:rPr>
                <w:lang w:val="es-DO" w:eastAsia="es-DO"/>
              </w:rPr>
            </w:pPr>
            <w:r w:rsidRPr="005C133F">
              <w:rPr>
                <w:lang w:val="es-DO" w:eastAsia="es-DO"/>
              </w:rPr>
              <w:t>1,404</w:t>
            </w:r>
          </w:p>
        </w:tc>
        <w:tc>
          <w:tcPr>
            <w:tcW w:w="0" w:type="auto"/>
            <w:noWrap/>
            <w:vAlign w:val="center"/>
            <w:hideMark/>
          </w:tcPr>
          <w:p w14:paraId="73C30A02" w14:textId="77777777" w:rsidR="00803F7B" w:rsidRPr="005C133F" w:rsidRDefault="00803F7B" w:rsidP="004C1B2F">
            <w:pPr>
              <w:spacing w:after="0" w:line="240" w:lineRule="auto"/>
              <w:jc w:val="center"/>
              <w:rPr>
                <w:lang w:val="es-DO" w:eastAsia="es-DO"/>
              </w:rPr>
            </w:pPr>
            <w:r w:rsidRPr="005C133F">
              <w:rPr>
                <w:lang w:val="es-DO" w:eastAsia="es-DO"/>
              </w:rPr>
              <w:t>1,957</w:t>
            </w:r>
          </w:p>
        </w:tc>
      </w:tr>
      <w:tr w:rsidR="004921FF" w:rsidRPr="005C133F" w14:paraId="6FB6D661" w14:textId="77777777" w:rsidTr="00A35F2B">
        <w:trPr>
          <w:trHeight w:val="288"/>
          <w:jc w:val="center"/>
        </w:trPr>
        <w:tc>
          <w:tcPr>
            <w:tcW w:w="1881" w:type="dxa"/>
            <w:noWrap/>
            <w:vAlign w:val="bottom"/>
            <w:hideMark/>
          </w:tcPr>
          <w:p w14:paraId="3DC41563" w14:textId="77777777" w:rsidR="00803F7B" w:rsidRPr="005C133F" w:rsidRDefault="00803F7B" w:rsidP="004C1B2F">
            <w:pPr>
              <w:spacing w:after="0" w:line="240" w:lineRule="auto"/>
              <w:rPr>
                <w:lang w:val="es-DO" w:eastAsia="es-DO"/>
              </w:rPr>
            </w:pPr>
            <w:r w:rsidRPr="005C133F">
              <w:rPr>
                <w:lang w:val="es-DO" w:eastAsia="es-DO"/>
              </w:rPr>
              <w:t>ARS APS</w:t>
            </w:r>
          </w:p>
        </w:tc>
        <w:tc>
          <w:tcPr>
            <w:tcW w:w="1261" w:type="dxa"/>
            <w:noWrap/>
            <w:vAlign w:val="center"/>
            <w:hideMark/>
          </w:tcPr>
          <w:p w14:paraId="2675395A" w14:textId="77777777" w:rsidR="00803F7B" w:rsidRPr="005C133F" w:rsidRDefault="00803F7B" w:rsidP="004C1B2F">
            <w:pPr>
              <w:spacing w:after="0" w:line="240" w:lineRule="auto"/>
              <w:jc w:val="center"/>
              <w:rPr>
                <w:lang w:val="es-DO" w:eastAsia="es-DO"/>
              </w:rPr>
            </w:pPr>
            <w:r w:rsidRPr="005C133F">
              <w:rPr>
                <w:lang w:val="es-DO" w:eastAsia="es-DO"/>
              </w:rPr>
              <w:t>187</w:t>
            </w:r>
          </w:p>
        </w:tc>
        <w:tc>
          <w:tcPr>
            <w:tcW w:w="1631" w:type="dxa"/>
            <w:noWrap/>
            <w:vAlign w:val="center"/>
            <w:hideMark/>
          </w:tcPr>
          <w:p w14:paraId="7A2608FC" w14:textId="77777777" w:rsidR="00803F7B" w:rsidRPr="005C133F" w:rsidRDefault="00803F7B" w:rsidP="004C1B2F">
            <w:pPr>
              <w:spacing w:after="0" w:line="240" w:lineRule="auto"/>
              <w:jc w:val="center"/>
              <w:rPr>
                <w:lang w:val="es-DO" w:eastAsia="es-DO"/>
              </w:rPr>
            </w:pPr>
            <w:r w:rsidRPr="005C133F">
              <w:rPr>
                <w:lang w:val="es-DO" w:eastAsia="es-DO"/>
              </w:rPr>
              <w:t>161</w:t>
            </w:r>
          </w:p>
        </w:tc>
        <w:tc>
          <w:tcPr>
            <w:tcW w:w="1524" w:type="dxa"/>
            <w:noWrap/>
            <w:vAlign w:val="center"/>
            <w:hideMark/>
          </w:tcPr>
          <w:p w14:paraId="20339CD7" w14:textId="77777777" w:rsidR="00803F7B" w:rsidRPr="005C133F" w:rsidRDefault="00803F7B" w:rsidP="004C1B2F">
            <w:pPr>
              <w:spacing w:after="0" w:line="240" w:lineRule="auto"/>
              <w:jc w:val="center"/>
              <w:rPr>
                <w:lang w:val="es-DO" w:eastAsia="es-DO"/>
              </w:rPr>
            </w:pPr>
            <w:r w:rsidRPr="005C133F">
              <w:rPr>
                <w:lang w:val="es-DO" w:eastAsia="es-DO"/>
              </w:rPr>
              <w:t>1,697</w:t>
            </w:r>
          </w:p>
        </w:tc>
        <w:tc>
          <w:tcPr>
            <w:tcW w:w="0" w:type="auto"/>
            <w:noWrap/>
            <w:vAlign w:val="center"/>
            <w:hideMark/>
          </w:tcPr>
          <w:p w14:paraId="7714B028" w14:textId="77777777" w:rsidR="00803F7B" w:rsidRPr="005C133F" w:rsidRDefault="00803F7B" w:rsidP="004C1B2F">
            <w:pPr>
              <w:spacing w:after="0" w:line="240" w:lineRule="auto"/>
              <w:jc w:val="center"/>
              <w:rPr>
                <w:lang w:val="es-DO" w:eastAsia="es-DO"/>
              </w:rPr>
            </w:pPr>
            <w:r w:rsidRPr="005C133F">
              <w:rPr>
                <w:lang w:val="es-DO" w:eastAsia="es-DO"/>
              </w:rPr>
              <w:t>2,045</w:t>
            </w:r>
          </w:p>
        </w:tc>
      </w:tr>
      <w:tr w:rsidR="004921FF" w:rsidRPr="005C133F" w14:paraId="646A8396" w14:textId="77777777" w:rsidTr="00A35F2B">
        <w:trPr>
          <w:trHeight w:val="288"/>
          <w:jc w:val="center"/>
        </w:trPr>
        <w:tc>
          <w:tcPr>
            <w:tcW w:w="1881" w:type="dxa"/>
            <w:noWrap/>
            <w:vAlign w:val="bottom"/>
            <w:hideMark/>
          </w:tcPr>
          <w:p w14:paraId="544B3E26" w14:textId="77777777" w:rsidR="00803F7B" w:rsidRPr="005C133F" w:rsidRDefault="00803F7B" w:rsidP="004C1B2F">
            <w:pPr>
              <w:spacing w:after="0" w:line="240" w:lineRule="auto"/>
              <w:rPr>
                <w:lang w:val="es-DO" w:eastAsia="es-DO"/>
              </w:rPr>
            </w:pPr>
            <w:r w:rsidRPr="005C133F">
              <w:rPr>
                <w:lang w:val="es-DO" w:eastAsia="es-DO"/>
              </w:rPr>
              <w:t>ARS ASEMAP</w:t>
            </w:r>
          </w:p>
        </w:tc>
        <w:tc>
          <w:tcPr>
            <w:tcW w:w="1261" w:type="dxa"/>
            <w:noWrap/>
            <w:vAlign w:val="center"/>
            <w:hideMark/>
          </w:tcPr>
          <w:p w14:paraId="659C1BD5" w14:textId="77777777" w:rsidR="00803F7B" w:rsidRPr="005C133F" w:rsidRDefault="00803F7B" w:rsidP="004C1B2F">
            <w:pPr>
              <w:spacing w:after="0" w:line="240" w:lineRule="auto"/>
              <w:jc w:val="center"/>
              <w:rPr>
                <w:lang w:val="es-DO" w:eastAsia="es-DO"/>
              </w:rPr>
            </w:pPr>
            <w:r w:rsidRPr="005C133F">
              <w:rPr>
                <w:lang w:val="es-DO" w:eastAsia="es-DO"/>
              </w:rPr>
              <w:t>86</w:t>
            </w:r>
          </w:p>
        </w:tc>
        <w:tc>
          <w:tcPr>
            <w:tcW w:w="1631" w:type="dxa"/>
            <w:noWrap/>
            <w:vAlign w:val="center"/>
            <w:hideMark/>
          </w:tcPr>
          <w:p w14:paraId="30E4A707" w14:textId="77777777" w:rsidR="00803F7B" w:rsidRPr="005C133F" w:rsidRDefault="00803F7B" w:rsidP="004C1B2F">
            <w:pPr>
              <w:spacing w:after="0" w:line="240" w:lineRule="auto"/>
              <w:jc w:val="center"/>
              <w:rPr>
                <w:lang w:val="es-DO" w:eastAsia="es-DO"/>
              </w:rPr>
            </w:pPr>
            <w:r w:rsidRPr="005C133F">
              <w:rPr>
                <w:lang w:val="es-DO" w:eastAsia="es-DO"/>
              </w:rPr>
              <w:t>184</w:t>
            </w:r>
          </w:p>
        </w:tc>
        <w:tc>
          <w:tcPr>
            <w:tcW w:w="1524" w:type="dxa"/>
            <w:noWrap/>
            <w:vAlign w:val="center"/>
            <w:hideMark/>
          </w:tcPr>
          <w:p w14:paraId="4EE8798E" w14:textId="77777777" w:rsidR="00803F7B" w:rsidRPr="005C133F" w:rsidRDefault="00803F7B" w:rsidP="004C1B2F">
            <w:pPr>
              <w:spacing w:after="0" w:line="240" w:lineRule="auto"/>
              <w:jc w:val="center"/>
              <w:rPr>
                <w:lang w:val="es-DO" w:eastAsia="es-DO"/>
              </w:rPr>
            </w:pPr>
            <w:r w:rsidRPr="005C133F">
              <w:rPr>
                <w:lang w:val="es-DO" w:eastAsia="es-DO"/>
              </w:rPr>
              <w:t>1,046</w:t>
            </w:r>
          </w:p>
        </w:tc>
        <w:tc>
          <w:tcPr>
            <w:tcW w:w="0" w:type="auto"/>
            <w:noWrap/>
            <w:vAlign w:val="center"/>
            <w:hideMark/>
          </w:tcPr>
          <w:p w14:paraId="478C1766" w14:textId="77777777" w:rsidR="00803F7B" w:rsidRPr="005C133F" w:rsidRDefault="00803F7B" w:rsidP="004C1B2F">
            <w:pPr>
              <w:spacing w:after="0" w:line="240" w:lineRule="auto"/>
              <w:jc w:val="center"/>
              <w:rPr>
                <w:lang w:val="es-DO" w:eastAsia="es-DO"/>
              </w:rPr>
            </w:pPr>
            <w:r w:rsidRPr="005C133F">
              <w:rPr>
                <w:lang w:val="es-DO" w:eastAsia="es-DO"/>
              </w:rPr>
              <w:t>1,316</w:t>
            </w:r>
          </w:p>
        </w:tc>
      </w:tr>
      <w:tr w:rsidR="004921FF" w:rsidRPr="005C133F" w14:paraId="6EA84F37" w14:textId="77777777" w:rsidTr="00A35F2B">
        <w:trPr>
          <w:trHeight w:val="288"/>
          <w:jc w:val="center"/>
        </w:trPr>
        <w:tc>
          <w:tcPr>
            <w:tcW w:w="1881" w:type="dxa"/>
            <w:noWrap/>
            <w:vAlign w:val="bottom"/>
            <w:hideMark/>
          </w:tcPr>
          <w:p w14:paraId="65470208" w14:textId="77777777" w:rsidR="00803F7B" w:rsidRPr="005C133F" w:rsidRDefault="00803F7B" w:rsidP="004C1B2F">
            <w:pPr>
              <w:spacing w:after="0" w:line="240" w:lineRule="auto"/>
              <w:rPr>
                <w:lang w:val="es-DO" w:eastAsia="es-DO"/>
              </w:rPr>
            </w:pPr>
            <w:r w:rsidRPr="005C133F">
              <w:rPr>
                <w:lang w:val="es-DO" w:eastAsia="es-DO"/>
              </w:rPr>
              <w:t>ARS BANCO CENTRAL</w:t>
            </w:r>
          </w:p>
        </w:tc>
        <w:tc>
          <w:tcPr>
            <w:tcW w:w="1261" w:type="dxa"/>
            <w:noWrap/>
            <w:vAlign w:val="center"/>
            <w:hideMark/>
          </w:tcPr>
          <w:p w14:paraId="7025E65D" w14:textId="77777777" w:rsidR="00803F7B" w:rsidRPr="005C133F" w:rsidRDefault="00803F7B" w:rsidP="004C1B2F">
            <w:pPr>
              <w:spacing w:after="0" w:line="240" w:lineRule="auto"/>
              <w:jc w:val="center"/>
              <w:rPr>
                <w:lang w:val="es-DO" w:eastAsia="es-DO"/>
              </w:rPr>
            </w:pPr>
            <w:r w:rsidRPr="005C133F">
              <w:rPr>
                <w:lang w:val="es-DO" w:eastAsia="es-DO"/>
              </w:rPr>
              <w:t>12</w:t>
            </w:r>
          </w:p>
        </w:tc>
        <w:tc>
          <w:tcPr>
            <w:tcW w:w="1631" w:type="dxa"/>
            <w:noWrap/>
            <w:vAlign w:val="center"/>
            <w:hideMark/>
          </w:tcPr>
          <w:p w14:paraId="7903687B" w14:textId="77777777" w:rsidR="00803F7B" w:rsidRPr="005C133F" w:rsidRDefault="00803F7B" w:rsidP="004C1B2F">
            <w:pPr>
              <w:spacing w:after="0" w:line="240" w:lineRule="auto"/>
              <w:jc w:val="center"/>
              <w:rPr>
                <w:lang w:val="es-DO" w:eastAsia="es-DO"/>
              </w:rPr>
            </w:pPr>
            <w:r w:rsidRPr="005C133F">
              <w:rPr>
                <w:lang w:val="es-DO" w:eastAsia="es-DO"/>
              </w:rPr>
              <w:t>9</w:t>
            </w:r>
          </w:p>
        </w:tc>
        <w:tc>
          <w:tcPr>
            <w:tcW w:w="1524" w:type="dxa"/>
            <w:noWrap/>
            <w:vAlign w:val="center"/>
            <w:hideMark/>
          </w:tcPr>
          <w:p w14:paraId="12CC29B4" w14:textId="77777777" w:rsidR="00803F7B" w:rsidRPr="005C133F" w:rsidRDefault="00803F7B" w:rsidP="004C1B2F">
            <w:pPr>
              <w:spacing w:after="0" w:line="240" w:lineRule="auto"/>
              <w:jc w:val="center"/>
              <w:rPr>
                <w:lang w:val="es-DO" w:eastAsia="es-DO"/>
              </w:rPr>
            </w:pPr>
            <w:r w:rsidRPr="005C133F">
              <w:rPr>
                <w:lang w:val="es-DO" w:eastAsia="es-DO"/>
              </w:rPr>
              <w:t>102</w:t>
            </w:r>
          </w:p>
        </w:tc>
        <w:tc>
          <w:tcPr>
            <w:tcW w:w="0" w:type="auto"/>
            <w:noWrap/>
            <w:vAlign w:val="center"/>
            <w:hideMark/>
          </w:tcPr>
          <w:p w14:paraId="3D688AF9" w14:textId="77777777" w:rsidR="00803F7B" w:rsidRPr="005C133F" w:rsidRDefault="00803F7B" w:rsidP="004C1B2F">
            <w:pPr>
              <w:spacing w:after="0" w:line="240" w:lineRule="auto"/>
              <w:jc w:val="center"/>
              <w:rPr>
                <w:lang w:val="es-DO" w:eastAsia="es-DO"/>
              </w:rPr>
            </w:pPr>
            <w:r w:rsidRPr="005C133F">
              <w:rPr>
                <w:lang w:val="es-DO" w:eastAsia="es-DO"/>
              </w:rPr>
              <w:t>123</w:t>
            </w:r>
          </w:p>
        </w:tc>
      </w:tr>
      <w:tr w:rsidR="004921FF" w:rsidRPr="005C133F" w14:paraId="32893902" w14:textId="77777777" w:rsidTr="00A35F2B">
        <w:trPr>
          <w:trHeight w:val="288"/>
          <w:jc w:val="center"/>
        </w:trPr>
        <w:tc>
          <w:tcPr>
            <w:tcW w:w="1881" w:type="dxa"/>
            <w:noWrap/>
            <w:vAlign w:val="bottom"/>
            <w:hideMark/>
          </w:tcPr>
          <w:p w14:paraId="49F3EC3D" w14:textId="77777777" w:rsidR="00803F7B" w:rsidRPr="005C133F" w:rsidRDefault="00803F7B" w:rsidP="004C1B2F">
            <w:pPr>
              <w:spacing w:after="0" w:line="240" w:lineRule="auto"/>
              <w:rPr>
                <w:lang w:val="es-DO" w:eastAsia="es-DO"/>
              </w:rPr>
            </w:pPr>
            <w:r w:rsidRPr="005C133F">
              <w:rPr>
                <w:lang w:val="es-DO" w:eastAsia="es-DO"/>
              </w:rPr>
              <w:t>ARS CMD</w:t>
            </w:r>
          </w:p>
        </w:tc>
        <w:tc>
          <w:tcPr>
            <w:tcW w:w="1261" w:type="dxa"/>
            <w:noWrap/>
            <w:vAlign w:val="center"/>
            <w:hideMark/>
          </w:tcPr>
          <w:p w14:paraId="2DBAB25C" w14:textId="77777777" w:rsidR="00803F7B" w:rsidRPr="005C133F" w:rsidRDefault="00803F7B" w:rsidP="004C1B2F">
            <w:pPr>
              <w:spacing w:after="0" w:line="240" w:lineRule="auto"/>
              <w:jc w:val="center"/>
              <w:rPr>
                <w:lang w:val="es-DO" w:eastAsia="es-DO"/>
              </w:rPr>
            </w:pPr>
            <w:r w:rsidRPr="005C133F">
              <w:rPr>
                <w:lang w:val="es-DO" w:eastAsia="es-DO"/>
              </w:rPr>
              <w:t>176</w:t>
            </w:r>
          </w:p>
        </w:tc>
        <w:tc>
          <w:tcPr>
            <w:tcW w:w="1631" w:type="dxa"/>
            <w:noWrap/>
            <w:vAlign w:val="center"/>
            <w:hideMark/>
          </w:tcPr>
          <w:p w14:paraId="6E5930DC" w14:textId="77777777" w:rsidR="00803F7B" w:rsidRPr="005C133F" w:rsidRDefault="00803F7B" w:rsidP="004C1B2F">
            <w:pPr>
              <w:spacing w:after="0" w:line="240" w:lineRule="auto"/>
              <w:jc w:val="center"/>
              <w:rPr>
                <w:lang w:val="es-DO" w:eastAsia="es-DO"/>
              </w:rPr>
            </w:pPr>
            <w:r w:rsidRPr="005C133F">
              <w:rPr>
                <w:lang w:val="es-DO" w:eastAsia="es-DO"/>
              </w:rPr>
              <w:t>119</w:t>
            </w:r>
          </w:p>
        </w:tc>
        <w:tc>
          <w:tcPr>
            <w:tcW w:w="1524" w:type="dxa"/>
            <w:noWrap/>
            <w:vAlign w:val="center"/>
            <w:hideMark/>
          </w:tcPr>
          <w:p w14:paraId="6EB46606" w14:textId="77777777" w:rsidR="00803F7B" w:rsidRPr="005C133F" w:rsidRDefault="00803F7B" w:rsidP="004C1B2F">
            <w:pPr>
              <w:spacing w:after="0" w:line="240" w:lineRule="auto"/>
              <w:jc w:val="center"/>
              <w:rPr>
                <w:lang w:val="es-DO" w:eastAsia="es-DO"/>
              </w:rPr>
            </w:pPr>
            <w:r w:rsidRPr="005C133F">
              <w:rPr>
                <w:lang w:val="es-DO" w:eastAsia="es-DO"/>
              </w:rPr>
              <w:t>1,138</w:t>
            </w:r>
          </w:p>
        </w:tc>
        <w:tc>
          <w:tcPr>
            <w:tcW w:w="0" w:type="auto"/>
            <w:noWrap/>
            <w:vAlign w:val="center"/>
            <w:hideMark/>
          </w:tcPr>
          <w:p w14:paraId="19BAE8FF" w14:textId="77777777" w:rsidR="00803F7B" w:rsidRPr="005C133F" w:rsidRDefault="00803F7B" w:rsidP="004C1B2F">
            <w:pPr>
              <w:spacing w:after="0" w:line="240" w:lineRule="auto"/>
              <w:jc w:val="center"/>
              <w:rPr>
                <w:lang w:val="es-DO" w:eastAsia="es-DO"/>
              </w:rPr>
            </w:pPr>
            <w:r w:rsidRPr="005C133F">
              <w:rPr>
                <w:lang w:val="es-DO" w:eastAsia="es-DO"/>
              </w:rPr>
              <w:t>1,433</w:t>
            </w:r>
          </w:p>
        </w:tc>
      </w:tr>
      <w:tr w:rsidR="004921FF" w:rsidRPr="005C133F" w14:paraId="74768B49" w14:textId="77777777" w:rsidTr="00A35F2B">
        <w:trPr>
          <w:trHeight w:val="288"/>
          <w:jc w:val="center"/>
        </w:trPr>
        <w:tc>
          <w:tcPr>
            <w:tcW w:w="1881" w:type="dxa"/>
            <w:noWrap/>
            <w:vAlign w:val="bottom"/>
            <w:hideMark/>
          </w:tcPr>
          <w:p w14:paraId="555CC84F" w14:textId="77777777" w:rsidR="00803F7B" w:rsidRPr="005C133F" w:rsidRDefault="00803F7B" w:rsidP="004C1B2F">
            <w:pPr>
              <w:spacing w:after="0" w:line="240" w:lineRule="auto"/>
              <w:rPr>
                <w:lang w:eastAsia="es-DO"/>
              </w:rPr>
            </w:pPr>
            <w:r w:rsidRPr="005C133F">
              <w:rPr>
                <w:lang w:eastAsia="es-DO"/>
              </w:rPr>
              <w:t>ARS DR. YUNEN, S. A.</w:t>
            </w:r>
          </w:p>
        </w:tc>
        <w:tc>
          <w:tcPr>
            <w:tcW w:w="1261" w:type="dxa"/>
            <w:noWrap/>
            <w:vAlign w:val="center"/>
            <w:hideMark/>
          </w:tcPr>
          <w:p w14:paraId="637D5C95" w14:textId="77777777" w:rsidR="00803F7B" w:rsidRPr="005C133F" w:rsidRDefault="00803F7B" w:rsidP="004C1B2F">
            <w:pPr>
              <w:spacing w:after="0" w:line="240" w:lineRule="auto"/>
              <w:jc w:val="center"/>
              <w:rPr>
                <w:lang w:val="es-DO" w:eastAsia="es-DO"/>
              </w:rPr>
            </w:pPr>
            <w:r w:rsidRPr="005C133F">
              <w:rPr>
                <w:lang w:val="es-DO" w:eastAsia="es-DO"/>
              </w:rPr>
              <w:t>260</w:t>
            </w:r>
          </w:p>
        </w:tc>
        <w:tc>
          <w:tcPr>
            <w:tcW w:w="1631" w:type="dxa"/>
            <w:noWrap/>
            <w:vAlign w:val="center"/>
            <w:hideMark/>
          </w:tcPr>
          <w:p w14:paraId="5B55B0D2" w14:textId="77777777" w:rsidR="00803F7B" w:rsidRPr="005C133F" w:rsidRDefault="00803F7B" w:rsidP="004C1B2F">
            <w:pPr>
              <w:spacing w:after="0" w:line="240" w:lineRule="auto"/>
              <w:jc w:val="center"/>
              <w:rPr>
                <w:lang w:val="es-DO" w:eastAsia="es-DO"/>
              </w:rPr>
            </w:pPr>
            <w:r w:rsidRPr="005C133F">
              <w:rPr>
                <w:lang w:val="es-DO" w:eastAsia="es-DO"/>
              </w:rPr>
              <w:t>485</w:t>
            </w:r>
          </w:p>
        </w:tc>
        <w:tc>
          <w:tcPr>
            <w:tcW w:w="1524" w:type="dxa"/>
            <w:noWrap/>
            <w:vAlign w:val="center"/>
            <w:hideMark/>
          </w:tcPr>
          <w:p w14:paraId="016D4953" w14:textId="77777777" w:rsidR="00803F7B" w:rsidRPr="005C133F" w:rsidRDefault="00803F7B" w:rsidP="004C1B2F">
            <w:pPr>
              <w:spacing w:after="0" w:line="240" w:lineRule="auto"/>
              <w:jc w:val="center"/>
              <w:rPr>
                <w:lang w:val="es-DO" w:eastAsia="es-DO"/>
              </w:rPr>
            </w:pPr>
            <w:r w:rsidRPr="005C133F">
              <w:rPr>
                <w:lang w:val="es-DO" w:eastAsia="es-DO"/>
              </w:rPr>
              <w:t>4,906</w:t>
            </w:r>
          </w:p>
        </w:tc>
        <w:tc>
          <w:tcPr>
            <w:tcW w:w="0" w:type="auto"/>
            <w:noWrap/>
            <w:vAlign w:val="center"/>
            <w:hideMark/>
          </w:tcPr>
          <w:p w14:paraId="58A2B13E" w14:textId="77777777" w:rsidR="00803F7B" w:rsidRPr="005C133F" w:rsidRDefault="00803F7B" w:rsidP="004C1B2F">
            <w:pPr>
              <w:spacing w:after="0" w:line="240" w:lineRule="auto"/>
              <w:jc w:val="center"/>
              <w:rPr>
                <w:lang w:val="es-DO" w:eastAsia="es-DO"/>
              </w:rPr>
            </w:pPr>
            <w:r w:rsidRPr="005C133F">
              <w:rPr>
                <w:lang w:val="es-DO" w:eastAsia="es-DO"/>
              </w:rPr>
              <w:t>5,651</w:t>
            </w:r>
          </w:p>
        </w:tc>
      </w:tr>
      <w:tr w:rsidR="004921FF" w:rsidRPr="005C133F" w14:paraId="2D0C3042" w14:textId="77777777" w:rsidTr="00A35F2B">
        <w:trPr>
          <w:trHeight w:val="288"/>
          <w:jc w:val="center"/>
        </w:trPr>
        <w:tc>
          <w:tcPr>
            <w:tcW w:w="1881" w:type="dxa"/>
            <w:noWrap/>
            <w:vAlign w:val="bottom"/>
            <w:hideMark/>
          </w:tcPr>
          <w:p w14:paraId="02CA6D2E" w14:textId="77777777" w:rsidR="00803F7B" w:rsidRPr="005C133F" w:rsidRDefault="00803F7B" w:rsidP="004C1B2F">
            <w:pPr>
              <w:spacing w:after="0" w:line="240" w:lineRule="auto"/>
              <w:rPr>
                <w:lang w:val="es-DO" w:eastAsia="es-DO"/>
              </w:rPr>
            </w:pPr>
            <w:r w:rsidRPr="005C133F">
              <w:rPr>
                <w:lang w:val="es-DO" w:eastAsia="es-DO"/>
              </w:rPr>
              <w:t>ARS FUTURO S. A.</w:t>
            </w:r>
          </w:p>
        </w:tc>
        <w:tc>
          <w:tcPr>
            <w:tcW w:w="1261" w:type="dxa"/>
            <w:noWrap/>
            <w:vAlign w:val="center"/>
            <w:hideMark/>
          </w:tcPr>
          <w:p w14:paraId="2ACB225A" w14:textId="77777777" w:rsidR="00803F7B" w:rsidRPr="005C133F" w:rsidRDefault="00803F7B" w:rsidP="004C1B2F">
            <w:pPr>
              <w:spacing w:after="0" w:line="240" w:lineRule="auto"/>
              <w:jc w:val="center"/>
              <w:rPr>
                <w:lang w:val="es-DO" w:eastAsia="es-DO"/>
              </w:rPr>
            </w:pPr>
            <w:r w:rsidRPr="005C133F">
              <w:rPr>
                <w:lang w:val="es-DO" w:eastAsia="es-DO"/>
              </w:rPr>
              <w:t>1,100</w:t>
            </w:r>
          </w:p>
        </w:tc>
        <w:tc>
          <w:tcPr>
            <w:tcW w:w="1631" w:type="dxa"/>
            <w:noWrap/>
            <w:vAlign w:val="center"/>
            <w:hideMark/>
          </w:tcPr>
          <w:p w14:paraId="4DF1A9B8" w14:textId="77777777" w:rsidR="00803F7B" w:rsidRPr="005C133F" w:rsidRDefault="00803F7B" w:rsidP="004C1B2F">
            <w:pPr>
              <w:spacing w:after="0" w:line="240" w:lineRule="auto"/>
              <w:jc w:val="center"/>
              <w:rPr>
                <w:lang w:val="es-DO" w:eastAsia="es-DO"/>
              </w:rPr>
            </w:pPr>
            <w:r w:rsidRPr="005C133F">
              <w:rPr>
                <w:lang w:val="es-DO" w:eastAsia="es-DO"/>
              </w:rPr>
              <w:t>452</w:t>
            </w:r>
          </w:p>
        </w:tc>
        <w:tc>
          <w:tcPr>
            <w:tcW w:w="1524" w:type="dxa"/>
            <w:noWrap/>
            <w:vAlign w:val="center"/>
            <w:hideMark/>
          </w:tcPr>
          <w:p w14:paraId="4B08CC36" w14:textId="77777777" w:rsidR="00803F7B" w:rsidRPr="005C133F" w:rsidRDefault="00803F7B" w:rsidP="004C1B2F">
            <w:pPr>
              <w:spacing w:after="0" w:line="240" w:lineRule="auto"/>
              <w:jc w:val="center"/>
              <w:rPr>
                <w:lang w:val="es-DO" w:eastAsia="es-DO"/>
              </w:rPr>
            </w:pPr>
            <w:r w:rsidRPr="005C133F">
              <w:rPr>
                <w:lang w:val="es-DO" w:eastAsia="es-DO"/>
              </w:rPr>
              <w:t>5,944</w:t>
            </w:r>
          </w:p>
        </w:tc>
        <w:tc>
          <w:tcPr>
            <w:tcW w:w="0" w:type="auto"/>
            <w:noWrap/>
            <w:vAlign w:val="center"/>
            <w:hideMark/>
          </w:tcPr>
          <w:p w14:paraId="2B8F21B0" w14:textId="77777777" w:rsidR="00803F7B" w:rsidRPr="005C133F" w:rsidRDefault="00803F7B" w:rsidP="004C1B2F">
            <w:pPr>
              <w:spacing w:after="0" w:line="240" w:lineRule="auto"/>
              <w:jc w:val="center"/>
              <w:rPr>
                <w:lang w:val="es-DO" w:eastAsia="es-DO"/>
              </w:rPr>
            </w:pPr>
            <w:r w:rsidRPr="005C133F">
              <w:rPr>
                <w:lang w:val="es-DO" w:eastAsia="es-DO"/>
              </w:rPr>
              <w:t>7,496</w:t>
            </w:r>
          </w:p>
        </w:tc>
      </w:tr>
      <w:tr w:rsidR="004921FF" w:rsidRPr="005C133F" w14:paraId="3603AB7D" w14:textId="77777777" w:rsidTr="00A35F2B">
        <w:trPr>
          <w:trHeight w:val="288"/>
          <w:jc w:val="center"/>
        </w:trPr>
        <w:tc>
          <w:tcPr>
            <w:tcW w:w="1881" w:type="dxa"/>
            <w:noWrap/>
            <w:vAlign w:val="bottom"/>
            <w:hideMark/>
          </w:tcPr>
          <w:p w14:paraId="47A42D37" w14:textId="77777777" w:rsidR="00803F7B" w:rsidRPr="005C133F" w:rsidRDefault="00803F7B" w:rsidP="004C1B2F">
            <w:pPr>
              <w:spacing w:after="0" w:line="240" w:lineRule="auto"/>
              <w:rPr>
                <w:lang w:val="es-DO" w:eastAsia="es-DO"/>
              </w:rPr>
            </w:pPr>
            <w:r w:rsidRPr="005C133F">
              <w:rPr>
                <w:lang w:val="es-DO" w:eastAsia="es-DO"/>
              </w:rPr>
              <w:t>ARS GRUPO MEDICO ASOCIADO</w:t>
            </w:r>
          </w:p>
        </w:tc>
        <w:tc>
          <w:tcPr>
            <w:tcW w:w="1261" w:type="dxa"/>
            <w:noWrap/>
            <w:vAlign w:val="center"/>
            <w:hideMark/>
          </w:tcPr>
          <w:p w14:paraId="00677DA3" w14:textId="77777777" w:rsidR="00803F7B" w:rsidRPr="005C133F" w:rsidRDefault="00803F7B" w:rsidP="004C1B2F">
            <w:pPr>
              <w:spacing w:after="0" w:line="240" w:lineRule="auto"/>
              <w:jc w:val="center"/>
              <w:rPr>
                <w:lang w:val="es-DO" w:eastAsia="es-DO"/>
              </w:rPr>
            </w:pPr>
            <w:r w:rsidRPr="005C133F">
              <w:rPr>
                <w:lang w:val="es-DO" w:eastAsia="es-DO"/>
              </w:rPr>
              <w:t>178</w:t>
            </w:r>
          </w:p>
        </w:tc>
        <w:tc>
          <w:tcPr>
            <w:tcW w:w="1631" w:type="dxa"/>
            <w:noWrap/>
            <w:vAlign w:val="center"/>
            <w:hideMark/>
          </w:tcPr>
          <w:p w14:paraId="1D4B83D9" w14:textId="77777777" w:rsidR="00803F7B" w:rsidRPr="005C133F" w:rsidRDefault="00803F7B" w:rsidP="004C1B2F">
            <w:pPr>
              <w:spacing w:after="0" w:line="240" w:lineRule="auto"/>
              <w:jc w:val="center"/>
              <w:rPr>
                <w:lang w:val="es-DO" w:eastAsia="es-DO"/>
              </w:rPr>
            </w:pPr>
            <w:r w:rsidRPr="005C133F">
              <w:rPr>
                <w:lang w:val="es-DO" w:eastAsia="es-DO"/>
              </w:rPr>
              <w:t>134</w:t>
            </w:r>
          </w:p>
        </w:tc>
        <w:tc>
          <w:tcPr>
            <w:tcW w:w="1524" w:type="dxa"/>
            <w:noWrap/>
            <w:vAlign w:val="center"/>
            <w:hideMark/>
          </w:tcPr>
          <w:p w14:paraId="750DE70F" w14:textId="77777777" w:rsidR="00803F7B" w:rsidRPr="005C133F" w:rsidRDefault="00803F7B" w:rsidP="004C1B2F">
            <w:pPr>
              <w:spacing w:after="0" w:line="240" w:lineRule="auto"/>
              <w:jc w:val="center"/>
              <w:rPr>
                <w:lang w:val="es-DO" w:eastAsia="es-DO"/>
              </w:rPr>
            </w:pPr>
            <w:r w:rsidRPr="005C133F">
              <w:rPr>
                <w:lang w:val="es-DO" w:eastAsia="es-DO"/>
              </w:rPr>
              <w:t>1,153</w:t>
            </w:r>
          </w:p>
        </w:tc>
        <w:tc>
          <w:tcPr>
            <w:tcW w:w="0" w:type="auto"/>
            <w:noWrap/>
            <w:vAlign w:val="center"/>
            <w:hideMark/>
          </w:tcPr>
          <w:p w14:paraId="316620C3" w14:textId="77777777" w:rsidR="00803F7B" w:rsidRPr="005C133F" w:rsidRDefault="00803F7B" w:rsidP="004C1B2F">
            <w:pPr>
              <w:spacing w:after="0" w:line="240" w:lineRule="auto"/>
              <w:jc w:val="center"/>
              <w:rPr>
                <w:lang w:val="es-DO" w:eastAsia="es-DO"/>
              </w:rPr>
            </w:pPr>
            <w:r w:rsidRPr="005C133F">
              <w:rPr>
                <w:lang w:val="es-DO" w:eastAsia="es-DO"/>
              </w:rPr>
              <w:t>1,465</w:t>
            </w:r>
          </w:p>
        </w:tc>
      </w:tr>
      <w:tr w:rsidR="004921FF" w:rsidRPr="005C133F" w14:paraId="47FDAC48" w14:textId="77777777" w:rsidTr="00A35F2B">
        <w:trPr>
          <w:trHeight w:val="288"/>
          <w:jc w:val="center"/>
        </w:trPr>
        <w:tc>
          <w:tcPr>
            <w:tcW w:w="1881" w:type="dxa"/>
            <w:noWrap/>
            <w:vAlign w:val="bottom"/>
            <w:hideMark/>
          </w:tcPr>
          <w:p w14:paraId="45D69B4C" w14:textId="77777777" w:rsidR="00803F7B" w:rsidRPr="005C133F" w:rsidRDefault="00803F7B" w:rsidP="004C1B2F">
            <w:pPr>
              <w:spacing w:after="0" w:line="240" w:lineRule="auto"/>
              <w:rPr>
                <w:lang w:val="es-DO" w:eastAsia="es-DO"/>
              </w:rPr>
            </w:pPr>
            <w:r w:rsidRPr="005C133F">
              <w:rPr>
                <w:lang w:val="es-DO" w:eastAsia="es-DO"/>
              </w:rPr>
              <w:t>ARS METASALUD</w:t>
            </w:r>
          </w:p>
        </w:tc>
        <w:tc>
          <w:tcPr>
            <w:tcW w:w="1261" w:type="dxa"/>
            <w:noWrap/>
            <w:vAlign w:val="center"/>
            <w:hideMark/>
          </w:tcPr>
          <w:p w14:paraId="551097FD" w14:textId="77777777" w:rsidR="00803F7B" w:rsidRPr="005C133F" w:rsidRDefault="00803F7B" w:rsidP="004C1B2F">
            <w:pPr>
              <w:spacing w:after="0" w:line="240" w:lineRule="auto"/>
              <w:jc w:val="center"/>
              <w:rPr>
                <w:lang w:val="es-DO" w:eastAsia="es-DO"/>
              </w:rPr>
            </w:pPr>
            <w:r w:rsidRPr="005C133F">
              <w:rPr>
                <w:lang w:val="es-DO" w:eastAsia="es-DO"/>
              </w:rPr>
              <w:t>249</w:t>
            </w:r>
          </w:p>
        </w:tc>
        <w:tc>
          <w:tcPr>
            <w:tcW w:w="1631" w:type="dxa"/>
            <w:noWrap/>
            <w:vAlign w:val="center"/>
            <w:hideMark/>
          </w:tcPr>
          <w:p w14:paraId="78A39588" w14:textId="77777777" w:rsidR="00803F7B" w:rsidRPr="005C133F" w:rsidRDefault="00803F7B" w:rsidP="004C1B2F">
            <w:pPr>
              <w:spacing w:after="0" w:line="240" w:lineRule="auto"/>
              <w:jc w:val="center"/>
              <w:rPr>
                <w:lang w:val="es-DO" w:eastAsia="es-DO"/>
              </w:rPr>
            </w:pPr>
            <w:r w:rsidRPr="005C133F">
              <w:rPr>
                <w:lang w:val="es-DO" w:eastAsia="es-DO"/>
              </w:rPr>
              <w:t>87</w:t>
            </w:r>
          </w:p>
        </w:tc>
        <w:tc>
          <w:tcPr>
            <w:tcW w:w="1524" w:type="dxa"/>
            <w:noWrap/>
            <w:vAlign w:val="center"/>
            <w:hideMark/>
          </w:tcPr>
          <w:p w14:paraId="36AC6D54" w14:textId="77777777" w:rsidR="00803F7B" w:rsidRPr="005C133F" w:rsidRDefault="00803F7B" w:rsidP="004C1B2F">
            <w:pPr>
              <w:spacing w:after="0" w:line="240" w:lineRule="auto"/>
              <w:jc w:val="center"/>
              <w:rPr>
                <w:lang w:val="es-DO" w:eastAsia="es-DO"/>
              </w:rPr>
            </w:pPr>
            <w:r w:rsidRPr="005C133F">
              <w:rPr>
                <w:lang w:val="es-DO" w:eastAsia="es-DO"/>
              </w:rPr>
              <w:t>976</w:t>
            </w:r>
          </w:p>
        </w:tc>
        <w:tc>
          <w:tcPr>
            <w:tcW w:w="0" w:type="auto"/>
            <w:noWrap/>
            <w:vAlign w:val="center"/>
            <w:hideMark/>
          </w:tcPr>
          <w:p w14:paraId="0FEB1127" w14:textId="77777777" w:rsidR="00803F7B" w:rsidRPr="005C133F" w:rsidRDefault="00803F7B" w:rsidP="004C1B2F">
            <w:pPr>
              <w:spacing w:after="0" w:line="240" w:lineRule="auto"/>
              <w:jc w:val="center"/>
              <w:rPr>
                <w:lang w:val="es-DO" w:eastAsia="es-DO"/>
              </w:rPr>
            </w:pPr>
            <w:r w:rsidRPr="005C133F">
              <w:rPr>
                <w:lang w:val="es-DO" w:eastAsia="es-DO"/>
              </w:rPr>
              <w:t>1,312</w:t>
            </w:r>
          </w:p>
        </w:tc>
      </w:tr>
      <w:tr w:rsidR="004921FF" w:rsidRPr="005C133F" w14:paraId="6EF946DF" w14:textId="77777777" w:rsidTr="00A35F2B">
        <w:trPr>
          <w:trHeight w:val="288"/>
          <w:jc w:val="center"/>
        </w:trPr>
        <w:tc>
          <w:tcPr>
            <w:tcW w:w="1881" w:type="dxa"/>
            <w:noWrap/>
            <w:vAlign w:val="bottom"/>
            <w:hideMark/>
          </w:tcPr>
          <w:p w14:paraId="69C718F3" w14:textId="77777777" w:rsidR="00803F7B" w:rsidRPr="005C133F" w:rsidRDefault="00803F7B" w:rsidP="004C1B2F">
            <w:pPr>
              <w:spacing w:after="0" w:line="240" w:lineRule="auto"/>
              <w:rPr>
                <w:lang w:val="es-DO" w:eastAsia="es-DO"/>
              </w:rPr>
            </w:pPr>
            <w:r w:rsidRPr="005C133F">
              <w:rPr>
                <w:lang w:val="es-DO" w:eastAsia="es-DO"/>
              </w:rPr>
              <w:t>ARS MONUMENTAL</w:t>
            </w:r>
          </w:p>
        </w:tc>
        <w:tc>
          <w:tcPr>
            <w:tcW w:w="1261" w:type="dxa"/>
            <w:noWrap/>
            <w:vAlign w:val="center"/>
            <w:hideMark/>
          </w:tcPr>
          <w:p w14:paraId="16151778" w14:textId="77777777" w:rsidR="00803F7B" w:rsidRPr="005C133F" w:rsidRDefault="00803F7B" w:rsidP="004C1B2F">
            <w:pPr>
              <w:spacing w:after="0" w:line="240" w:lineRule="auto"/>
              <w:jc w:val="center"/>
              <w:rPr>
                <w:lang w:val="es-DO" w:eastAsia="es-DO"/>
              </w:rPr>
            </w:pPr>
            <w:r w:rsidRPr="005C133F">
              <w:rPr>
                <w:lang w:val="es-DO" w:eastAsia="es-DO"/>
              </w:rPr>
              <w:t>468</w:t>
            </w:r>
          </w:p>
        </w:tc>
        <w:tc>
          <w:tcPr>
            <w:tcW w:w="1631" w:type="dxa"/>
            <w:noWrap/>
            <w:vAlign w:val="center"/>
            <w:hideMark/>
          </w:tcPr>
          <w:p w14:paraId="42320D5E" w14:textId="77777777" w:rsidR="00803F7B" w:rsidRPr="005C133F" w:rsidRDefault="00803F7B" w:rsidP="004C1B2F">
            <w:pPr>
              <w:spacing w:after="0" w:line="240" w:lineRule="auto"/>
              <w:jc w:val="center"/>
              <w:rPr>
                <w:lang w:val="es-DO" w:eastAsia="es-DO"/>
              </w:rPr>
            </w:pPr>
            <w:r w:rsidRPr="005C133F">
              <w:rPr>
                <w:lang w:val="es-DO" w:eastAsia="es-DO"/>
              </w:rPr>
              <w:t>604</w:t>
            </w:r>
          </w:p>
        </w:tc>
        <w:tc>
          <w:tcPr>
            <w:tcW w:w="1524" w:type="dxa"/>
            <w:noWrap/>
            <w:vAlign w:val="center"/>
            <w:hideMark/>
          </w:tcPr>
          <w:p w14:paraId="1537A086" w14:textId="77777777" w:rsidR="00803F7B" w:rsidRPr="005C133F" w:rsidRDefault="00803F7B" w:rsidP="004C1B2F">
            <w:pPr>
              <w:spacing w:after="0" w:line="240" w:lineRule="auto"/>
              <w:jc w:val="center"/>
              <w:rPr>
                <w:lang w:val="es-DO" w:eastAsia="es-DO"/>
              </w:rPr>
            </w:pPr>
            <w:r w:rsidRPr="005C133F">
              <w:rPr>
                <w:lang w:val="es-DO" w:eastAsia="es-DO"/>
              </w:rPr>
              <w:t>6,358</w:t>
            </w:r>
          </w:p>
        </w:tc>
        <w:tc>
          <w:tcPr>
            <w:tcW w:w="0" w:type="auto"/>
            <w:noWrap/>
            <w:vAlign w:val="center"/>
            <w:hideMark/>
          </w:tcPr>
          <w:p w14:paraId="1215F233" w14:textId="77777777" w:rsidR="00803F7B" w:rsidRPr="005C133F" w:rsidRDefault="00803F7B" w:rsidP="004C1B2F">
            <w:pPr>
              <w:spacing w:after="0" w:line="240" w:lineRule="auto"/>
              <w:jc w:val="center"/>
              <w:rPr>
                <w:lang w:val="es-DO" w:eastAsia="es-DO"/>
              </w:rPr>
            </w:pPr>
            <w:r w:rsidRPr="005C133F">
              <w:rPr>
                <w:lang w:val="es-DO" w:eastAsia="es-DO"/>
              </w:rPr>
              <w:t>7,430</w:t>
            </w:r>
          </w:p>
        </w:tc>
      </w:tr>
      <w:tr w:rsidR="004921FF" w:rsidRPr="005C133F" w14:paraId="68823C07" w14:textId="77777777" w:rsidTr="00A35F2B">
        <w:trPr>
          <w:trHeight w:val="288"/>
          <w:jc w:val="center"/>
        </w:trPr>
        <w:tc>
          <w:tcPr>
            <w:tcW w:w="1881" w:type="dxa"/>
            <w:noWrap/>
            <w:vAlign w:val="bottom"/>
            <w:hideMark/>
          </w:tcPr>
          <w:p w14:paraId="6C20C9A0" w14:textId="4C6E3DC9" w:rsidR="00803F7B" w:rsidRPr="005C133F" w:rsidRDefault="00803F7B" w:rsidP="004C1B2F">
            <w:pPr>
              <w:spacing w:after="0" w:line="240" w:lineRule="auto"/>
              <w:rPr>
                <w:lang w:val="es-DO" w:eastAsia="es-DO"/>
              </w:rPr>
            </w:pPr>
            <w:r w:rsidRPr="005C133F">
              <w:rPr>
                <w:lang w:val="es-DO" w:eastAsia="es-DO"/>
              </w:rPr>
              <w:t>ARS PRIMERA, S.A</w:t>
            </w:r>
            <w:r w:rsidR="003D58B4" w:rsidRPr="005C133F">
              <w:rPr>
                <w:lang w:val="es-DO" w:eastAsia="es-DO"/>
              </w:rPr>
              <w:t>.</w:t>
            </w:r>
          </w:p>
        </w:tc>
        <w:tc>
          <w:tcPr>
            <w:tcW w:w="1261" w:type="dxa"/>
            <w:noWrap/>
            <w:vAlign w:val="center"/>
            <w:hideMark/>
          </w:tcPr>
          <w:p w14:paraId="40E3FFA1" w14:textId="77777777" w:rsidR="00803F7B" w:rsidRPr="005C133F" w:rsidRDefault="00803F7B" w:rsidP="004C1B2F">
            <w:pPr>
              <w:spacing w:after="0" w:line="240" w:lineRule="auto"/>
              <w:jc w:val="center"/>
              <w:rPr>
                <w:lang w:val="es-DO" w:eastAsia="es-DO"/>
              </w:rPr>
            </w:pPr>
            <w:r w:rsidRPr="005C133F">
              <w:rPr>
                <w:lang w:val="es-DO" w:eastAsia="es-DO"/>
              </w:rPr>
              <w:t>4,438</w:t>
            </w:r>
          </w:p>
        </w:tc>
        <w:tc>
          <w:tcPr>
            <w:tcW w:w="1631" w:type="dxa"/>
            <w:noWrap/>
            <w:vAlign w:val="center"/>
            <w:hideMark/>
          </w:tcPr>
          <w:p w14:paraId="05D28AC0" w14:textId="77777777" w:rsidR="00803F7B" w:rsidRPr="005C133F" w:rsidRDefault="00803F7B" w:rsidP="004C1B2F">
            <w:pPr>
              <w:spacing w:after="0" w:line="240" w:lineRule="auto"/>
              <w:jc w:val="center"/>
              <w:rPr>
                <w:lang w:val="es-DO" w:eastAsia="es-DO"/>
              </w:rPr>
            </w:pPr>
            <w:r w:rsidRPr="005C133F">
              <w:rPr>
                <w:lang w:val="es-DO" w:eastAsia="es-DO"/>
              </w:rPr>
              <w:t>4,234</w:t>
            </w:r>
          </w:p>
        </w:tc>
        <w:tc>
          <w:tcPr>
            <w:tcW w:w="1524" w:type="dxa"/>
            <w:noWrap/>
            <w:vAlign w:val="center"/>
            <w:hideMark/>
          </w:tcPr>
          <w:p w14:paraId="79219142" w14:textId="77777777" w:rsidR="00803F7B" w:rsidRPr="005C133F" w:rsidRDefault="00803F7B" w:rsidP="004C1B2F">
            <w:pPr>
              <w:spacing w:after="0" w:line="240" w:lineRule="auto"/>
              <w:jc w:val="center"/>
              <w:rPr>
                <w:lang w:val="es-DO" w:eastAsia="es-DO"/>
              </w:rPr>
            </w:pPr>
            <w:r w:rsidRPr="005C133F">
              <w:rPr>
                <w:lang w:val="es-DO" w:eastAsia="es-DO"/>
              </w:rPr>
              <w:t>15,837</w:t>
            </w:r>
          </w:p>
        </w:tc>
        <w:tc>
          <w:tcPr>
            <w:tcW w:w="0" w:type="auto"/>
            <w:noWrap/>
            <w:vAlign w:val="center"/>
            <w:hideMark/>
          </w:tcPr>
          <w:p w14:paraId="17CE82F2" w14:textId="77777777" w:rsidR="00803F7B" w:rsidRPr="005C133F" w:rsidRDefault="00803F7B" w:rsidP="004C1B2F">
            <w:pPr>
              <w:spacing w:after="0" w:line="240" w:lineRule="auto"/>
              <w:jc w:val="center"/>
              <w:rPr>
                <w:lang w:val="es-DO" w:eastAsia="es-DO"/>
              </w:rPr>
            </w:pPr>
            <w:r w:rsidRPr="005C133F">
              <w:rPr>
                <w:lang w:val="es-DO" w:eastAsia="es-DO"/>
              </w:rPr>
              <w:t>24,509</w:t>
            </w:r>
          </w:p>
        </w:tc>
      </w:tr>
      <w:tr w:rsidR="004921FF" w:rsidRPr="005C133F" w14:paraId="23AE84BA" w14:textId="77777777" w:rsidTr="00A35F2B">
        <w:trPr>
          <w:trHeight w:val="288"/>
          <w:jc w:val="center"/>
        </w:trPr>
        <w:tc>
          <w:tcPr>
            <w:tcW w:w="1881" w:type="dxa"/>
            <w:noWrap/>
            <w:vAlign w:val="bottom"/>
            <w:hideMark/>
          </w:tcPr>
          <w:p w14:paraId="6745C8A2" w14:textId="77777777" w:rsidR="00803F7B" w:rsidRPr="005C133F" w:rsidRDefault="00803F7B" w:rsidP="004C1B2F">
            <w:pPr>
              <w:spacing w:after="0" w:line="240" w:lineRule="auto"/>
              <w:rPr>
                <w:lang w:val="es-DO" w:eastAsia="es-DO"/>
              </w:rPr>
            </w:pPr>
            <w:r w:rsidRPr="005C133F">
              <w:rPr>
                <w:lang w:val="es-DO" w:eastAsia="es-DO"/>
              </w:rPr>
              <w:t>ARS RENACER</w:t>
            </w:r>
          </w:p>
        </w:tc>
        <w:tc>
          <w:tcPr>
            <w:tcW w:w="1261" w:type="dxa"/>
            <w:noWrap/>
            <w:vAlign w:val="center"/>
            <w:hideMark/>
          </w:tcPr>
          <w:p w14:paraId="7B2EE4DC" w14:textId="77777777" w:rsidR="00803F7B" w:rsidRPr="005C133F" w:rsidRDefault="00803F7B" w:rsidP="004C1B2F">
            <w:pPr>
              <w:spacing w:after="0" w:line="240" w:lineRule="auto"/>
              <w:jc w:val="center"/>
              <w:rPr>
                <w:lang w:val="es-DO" w:eastAsia="es-DO"/>
              </w:rPr>
            </w:pPr>
            <w:r w:rsidRPr="005C133F">
              <w:rPr>
                <w:lang w:val="es-DO" w:eastAsia="es-DO"/>
              </w:rPr>
              <w:t>451</w:t>
            </w:r>
          </w:p>
        </w:tc>
        <w:tc>
          <w:tcPr>
            <w:tcW w:w="1631" w:type="dxa"/>
            <w:noWrap/>
            <w:vAlign w:val="center"/>
            <w:hideMark/>
          </w:tcPr>
          <w:p w14:paraId="510ECF58" w14:textId="77777777" w:rsidR="00803F7B" w:rsidRPr="005C133F" w:rsidRDefault="00803F7B" w:rsidP="004C1B2F">
            <w:pPr>
              <w:spacing w:after="0" w:line="240" w:lineRule="auto"/>
              <w:jc w:val="center"/>
              <w:rPr>
                <w:lang w:val="es-DO" w:eastAsia="es-DO"/>
              </w:rPr>
            </w:pPr>
            <w:r w:rsidRPr="005C133F">
              <w:rPr>
                <w:lang w:val="es-DO" w:eastAsia="es-DO"/>
              </w:rPr>
              <w:t>264</w:t>
            </w:r>
          </w:p>
        </w:tc>
        <w:tc>
          <w:tcPr>
            <w:tcW w:w="1524" w:type="dxa"/>
            <w:noWrap/>
            <w:vAlign w:val="center"/>
            <w:hideMark/>
          </w:tcPr>
          <w:p w14:paraId="403553E3" w14:textId="77777777" w:rsidR="00803F7B" w:rsidRPr="005C133F" w:rsidRDefault="00803F7B" w:rsidP="004C1B2F">
            <w:pPr>
              <w:spacing w:after="0" w:line="240" w:lineRule="auto"/>
              <w:jc w:val="center"/>
              <w:rPr>
                <w:lang w:val="es-DO" w:eastAsia="es-DO"/>
              </w:rPr>
            </w:pPr>
            <w:r w:rsidRPr="005C133F">
              <w:rPr>
                <w:lang w:val="es-DO" w:eastAsia="es-DO"/>
              </w:rPr>
              <w:t>2,718</w:t>
            </w:r>
          </w:p>
        </w:tc>
        <w:tc>
          <w:tcPr>
            <w:tcW w:w="0" w:type="auto"/>
            <w:noWrap/>
            <w:vAlign w:val="center"/>
            <w:hideMark/>
          </w:tcPr>
          <w:p w14:paraId="58DFFB0A" w14:textId="77777777" w:rsidR="00803F7B" w:rsidRPr="005C133F" w:rsidRDefault="00803F7B" w:rsidP="004C1B2F">
            <w:pPr>
              <w:spacing w:after="0" w:line="240" w:lineRule="auto"/>
              <w:jc w:val="center"/>
              <w:rPr>
                <w:lang w:val="es-DO" w:eastAsia="es-DO"/>
              </w:rPr>
            </w:pPr>
            <w:r w:rsidRPr="005C133F">
              <w:rPr>
                <w:lang w:val="es-DO" w:eastAsia="es-DO"/>
              </w:rPr>
              <w:t>3,433</w:t>
            </w:r>
          </w:p>
        </w:tc>
      </w:tr>
      <w:tr w:rsidR="004921FF" w:rsidRPr="005C133F" w14:paraId="42DC748B" w14:textId="77777777" w:rsidTr="00A35F2B">
        <w:trPr>
          <w:trHeight w:val="288"/>
          <w:jc w:val="center"/>
        </w:trPr>
        <w:tc>
          <w:tcPr>
            <w:tcW w:w="1881" w:type="dxa"/>
            <w:noWrap/>
            <w:vAlign w:val="bottom"/>
            <w:hideMark/>
          </w:tcPr>
          <w:p w14:paraId="7926A218" w14:textId="77777777" w:rsidR="00803F7B" w:rsidRPr="005C133F" w:rsidRDefault="00803F7B" w:rsidP="004C1B2F">
            <w:pPr>
              <w:spacing w:after="0" w:line="240" w:lineRule="auto"/>
              <w:rPr>
                <w:lang w:val="es-DO" w:eastAsia="es-DO"/>
              </w:rPr>
            </w:pPr>
            <w:r w:rsidRPr="005C133F">
              <w:rPr>
                <w:lang w:val="es-DO" w:eastAsia="es-DO"/>
              </w:rPr>
              <w:lastRenderedPageBreak/>
              <w:t>ARS RESERVAS</w:t>
            </w:r>
          </w:p>
        </w:tc>
        <w:tc>
          <w:tcPr>
            <w:tcW w:w="1261" w:type="dxa"/>
            <w:noWrap/>
            <w:vAlign w:val="center"/>
            <w:hideMark/>
          </w:tcPr>
          <w:p w14:paraId="5A255A58" w14:textId="77777777" w:rsidR="00803F7B" w:rsidRPr="005C133F" w:rsidRDefault="00803F7B" w:rsidP="004C1B2F">
            <w:pPr>
              <w:spacing w:after="0" w:line="240" w:lineRule="auto"/>
              <w:jc w:val="center"/>
              <w:rPr>
                <w:lang w:val="es-DO" w:eastAsia="es-DO"/>
              </w:rPr>
            </w:pPr>
            <w:r w:rsidRPr="005C133F">
              <w:rPr>
                <w:lang w:val="es-DO" w:eastAsia="es-DO"/>
              </w:rPr>
              <w:t>300</w:t>
            </w:r>
          </w:p>
        </w:tc>
        <w:tc>
          <w:tcPr>
            <w:tcW w:w="1631" w:type="dxa"/>
            <w:noWrap/>
            <w:vAlign w:val="center"/>
            <w:hideMark/>
          </w:tcPr>
          <w:p w14:paraId="6607C3E6" w14:textId="77777777" w:rsidR="00803F7B" w:rsidRPr="005C133F" w:rsidRDefault="00803F7B" w:rsidP="004C1B2F">
            <w:pPr>
              <w:spacing w:after="0" w:line="240" w:lineRule="auto"/>
              <w:jc w:val="center"/>
              <w:rPr>
                <w:lang w:val="es-DO" w:eastAsia="es-DO"/>
              </w:rPr>
            </w:pPr>
            <w:r w:rsidRPr="005C133F">
              <w:rPr>
                <w:lang w:val="es-DO" w:eastAsia="es-DO"/>
              </w:rPr>
              <w:t>409</w:t>
            </w:r>
          </w:p>
        </w:tc>
        <w:tc>
          <w:tcPr>
            <w:tcW w:w="1524" w:type="dxa"/>
            <w:noWrap/>
            <w:vAlign w:val="center"/>
            <w:hideMark/>
          </w:tcPr>
          <w:p w14:paraId="52F337E7" w14:textId="77777777" w:rsidR="00803F7B" w:rsidRPr="005C133F" w:rsidRDefault="00803F7B" w:rsidP="004C1B2F">
            <w:pPr>
              <w:spacing w:after="0" w:line="240" w:lineRule="auto"/>
              <w:jc w:val="center"/>
              <w:rPr>
                <w:lang w:val="es-DO" w:eastAsia="es-DO"/>
              </w:rPr>
            </w:pPr>
            <w:r w:rsidRPr="005C133F">
              <w:rPr>
                <w:lang w:val="es-DO" w:eastAsia="es-DO"/>
              </w:rPr>
              <w:t>7,225</w:t>
            </w:r>
          </w:p>
        </w:tc>
        <w:tc>
          <w:tcPr>
            <w:tcW w:w="0" w:type="auto"/>
            <w:noWrap/>
            <w:vAlign w:val="center"/>
            <w:hideMark/>
          </w:tcPr>
          <w:p w14:paraId="57B48197" w14:textId="77777777" w:rsidR="00803F7B" w:rsidRPr="005C133F" w:rsidRDefault="00803F7B" w:rsidP="004C1B2F">
            <w:pPr>
              <w:spacing w:after="0" w:line="240" w:lineRule="auto"/>
              <w:jc w:val="center"/>
              <w:rPr>
                <w:lang w:val="es-DO" w:eastAsia="es-DO"/>
              </w:rPr>
            </w:pPr>
            <w:r w:rsidRPr="005C133F">
              <w:rPr>
                <w:lang w:val="es-DO" w:eastAsia="es-DO"/>
              </w:rPr>
              <w:t>7,934</w:t>
            </w:r>
          </w:p>
        </w:tc>
      </w:tr>
      <w:tr w:rsidR="004921FF" w:rsidRPr="005C133F" w14:paraId="3C473418" w14:textId="77777777" w:rsidTr="00A35F2B">
        <w:trPr>
          <w:trHeight w:val="288"/>
          <w:jc w:val="center"/>
        </w:trPr>
        <w:tc>
          <w:tcPr>
            <w:tcW w:w="1881" w:type="dxa"/>
            <w:noWrap/>
            <w:vAlign w:val="bottom"/>
            <w:hideMark/>
          </w:tcPr>
          <w:p w14:paraId="1E6FC78C" w14:textId="77777777" w:rsidR="00803F7B" w:rsidRPr="005C133F" w:rsidRDefault="00803F7B" w:rsidP="004C1B2F">
            <w:pPr>
              <w:spacing w:after="0" w:line="240" w:lineRule="auto"/>
              <w:rPr>
                <w:lang w:val="es-DO" w:eastAsia="es-DO"/>
              </w:rPr>
            </w:pPr>
            <w:r w:rsidRPr="005C133F">
              <w:rPr>
                <w:lang w:val="es-DO" w:eastAsia="es-DO"/>
              </w:rPr>
              <w:t>ARS SEMMA</w:t>
            </w:r>
          </w:p>
        </w:tc>
        <w:tc>
          <w:tcPr>
            <w:tcW w:w="1261" w:type="dxa"/>
            <w:noWrap/>
            <w:vAlign w:val="center"/>
            <w:hideMark/>
          </w:tcPr>
          <w:p w14:paraId="4147118A" w14:textId="77777777" w:rsidR="00803F7B" w:rsidRPr="005C133F" w:rsidRDefault="00803F7B" w:rsidP="004C1B2F">
            <w:pPr>
              <w:spacing w:after="0" w:line="240" w:lineRule="auto"/>
              <w:jc w:val="center"/>
              <w:rPr>
                <w:lang w:val="es-DO" w:eastAsia="es-DO"/>
              </w:rPr>
            </w:pPr>
            <w:r w:rsidRPr="005C133F">
              <w:rPr>
                <w:lang w:val="es-DO" w:eastAsia="es-DO"/>
              </w:rPr>
              <w:t>1,295</w:t>
            </w:r>
          </w:p>
        </w:tc>
        <w:tc>
          <w:tcPr>
            <w:tcW w:w="1631" w:type="dxa"/>
            <w:noWrap/>
            <w:vAlign w:val="center"/>
            <w:hideMark/>
          </w:tcPr>
          <w:p w14:paraId="5E78A024" w14:textId="77777777" w:rsidR="00803F7B" w:rsidRPr="005C133F" w:rsidRDefault="00803F7B" w:rsidP="004C1B2F">
            <w:pPr>
              <w:spacing w:after="0" w:line="240" w:lineRule="auto"/>
              <w:jc w:val="center"/>
              <w:rPr>
                <w:lang w:val="es-DO" w:eastAsia="es-DO"/>
              </w:rPr>
            </w:pPr>
            <w:r w:rsidRPr="005C133F">
              <w:rPr>
                <w:lang w:val="es-DO" w:eastAsia="es-DO"/>
              </w:rPr>
              <w:t>651</w:t>
            </w:r>
          </w:p>
        </w:tc>
        <w:tc>
          <w:tcPr>
            <w:tcW w:w="1524" w:type="dxa"/>
            <w:noWrap/>
            <w:vAlign w:val="center"/>
            <w:hideMark/>
          </w:tcPr>
          <w:p w14:paraId="54A46A15" w14:textId="77777777" w:rsidR="00803F7B" w:rsidRPr="005C133F" w:rsidRDefault="00803F7B" w:rsidP="004C1B2F">
            <w:pPr>
              <w:spacing w:after="0" w:line="240" w:lineRule="auto"/>
              <w:jc w:val="center"/>
              <w:rPr>
                <w:lang w:val="es-DO" w:eastAsia="es-DO"/>
              </w:rPr>
            </w:pPr>
            <w:r w:rsidRPr="005C133F">
              <w:rPr>
                <w:lang w:val="es-DO" w:eastAsia="es-DO"/>
              </w:rPr>
              <w:t>5,072</w:t>
            </w:r>
          </w:p>
        </w:tc>
        <w:tc>
          <w:tcPr>
            <w:tcW w:w="0" w:type="auto"/>
            <w:noWrap/>
            <w:vAlign w:val="center"/>
            <w:hideMark/>
          </w:tcPr>
          <w:p w14:paraId="42867BC6" w14:textId="77777777" w:rsidR="00803F7B" w:rsidRPr="005C133F" w:rsidRDefault="00803F7B" w:rsidP="004C1B2F">
            <w:pPr>
              <w:spacing w:after="0" w:line="240" w:lineRule="auto"/>
              <w:jc w:val="center"/>
              <w:rPr>
                <w:lang w:val="es-DO" w:eastAsia="es-DO"/>
              </w:rPr>
            </w:pPr>
            <w:r w:rsidRPr="005C133F">
              <w:rPr>
                <w:lang w:val="es-DO" w:eastAsia="es-DO"/>
              </w:rPr>
              <w:t>7,018</w:t>
            </w:r>
          </w:p>
        </w:tc>
      </w:tr>
      <w:tr w:rsidR="004921FF" w:rsidRPr="005C133F" w14:paraId="7C457E17" w14:textId="77777777" w:rsidTr="00A35F2B">
        <w:trPr>
          <w:trHeight w:val="288"/>
          <w:jc w:val="center"/>
        </w:trPr>
        <w:tc>
          <w:tcPr>
            <w:tcW w:w="1881" w:type="dxa"/>
            <w:noWrap/>
            <w:vAlign w:val="bottom"/>
            <w:hideMark/>
          </w:tcPr>
          <w:p w14:paraId="12A65C68" w14:textId="77777777" w:rsidR="00803F7B" w:rsidRPr="005C133F" w:rsidRDefault="00803F7B" w:rsidP="004C1B2F">
            <w:pPr>
              <w:spacing w:after="0" w:line="240" w:lineRule="auto"/>
              <w:rPr>
                <w:lang w:val="es-DO" w:eastAsia="es-DO"/>
              </w:rPr>
            </w:pPr>
            <w:r w:rsidRPr="005C133F">
              <w:rPr>
                <w:lang w:val="es-DO" w:eastAsia="es-DO"/>
              </w:rPr>
              <w:t>ARS SENASA</w:t>
            </w:r>
          </w:p>
        </w:tc>
        <w:tc>
          <w:tcPr>
            <w:tcW w:w="1261" w:type="dxa"/>
            <w:noWrap/>
            <w:vAlign w:val="center"/>
            <w:hideMark/>
          </w:tcPr>
          <w:p w14:paraId="1333B389" w14:textId="77777777" w:rsidR="00803F7B" w:rsidRPr="005C133F" w:rsidRDefault="00803F7B" w:rsidP="004C1B2F">
            <w:pPr>
              <w:spacing w:after="0" w:line="240" w:lineRule="auto"/>
              <w:jc w:val="center"/>
              <w:rPr>
                <w:lang w:val="es-DO" w:eastAsia="es-DO"/>
              </w:rPr>
            </w:pPr>
            <w:r w:rsidRPr="005C133F">
              <w:rPr>
                <w:lang w:val="es-DO" w:eastAsia="es-DO"/>
              </w:rPr>
              <w:t>13,252</w:t>
            </w:r>
          </w:p>
        </w:tc>
        <w:tc>
          <w:tcPr>
            <w:tcW w:w="1631" w:type="dxa"/>
            <w:noWrap/>
            <w:vAlign w:val="center"/>
            <w:hideMark/>
          </w:tcPr>
          <w:p w14:paraId="417B59A0" w14:textId="77777777" w:rsidR="00803F7B" w:rsidRPr="005C133F" w:rsidRDefault="00803F7B" w:rsidP="004C1B2F">
            <w:pPr>
              <w:spacing w:after="0" w:line="240" w:lineRule="auto"/>
              <w:jc w:val="center"/>
              <w:rPr>
                <w:lang w:val="es-DO" w:eastAsia="es-DO"/>
              </w:rPr>
            </w:pPr>
            <w:r w:rsidRPr="005C133F">
              <w:rPr>
                <w:lang w:val="es-DO" w:eastAsia="es-DO"/>
              </w:rPr>
              <w:t>9,135</w:t>
            </w:r>
          </w:p>
        </w:tc>
        <w:tc>
          <w:tcPr>
            <w:tcW w:w="1524" w:type="dxa"/>
            <w:noWrap/>
            <w:vAlign w:val="center"/>
            <w:hideMark/>
          </w:tcPr>
          <w:p w14:paraId="342A1436" w14:textId="77777777" w:rsidR="00803F7B" w:rsidRPr="005C133F" w:rsidRDefault="00803F7B" w:rsidP="004C1B2F">
            <w:pPr>
              <w:spacing w:after="0" w:line="240" w:lineRule="auto"/>
              <w:jc w:val="center"/>
              <w:rPr>
                <w:lang w:val="es-DO" w:eastAsia="es-DO"/>
              </w:rPr>
            </w:pPr>
            <w:r w:rsidRPr="005C133F">
              <w:rPr>
                <w:lang w:val="es-DO" w:eastAsia="es-DO"/>
              </w:rPr>
              <w:t>84,526</w:t>
            </w:r>
          </w:p>
        </w:tc>
        <w:tc>
          <w:tcPr>
            <w:tcW w:w="0" w:type="auto"/>
            <w:noWrap/>
            <w:vAlign w:val="center"/>
            <w:hideMark/>
          </w:tcPr>
          <w:p w14:paraId="4D56213A" w14:textId="77777777" w:rsidR="00803F7B" w:rsidRPr="005C133F" w:rsidRDefault="00803F7B" w:rsidP="004C1B2F">
            <w:pPr>
              <w:spacing w:after="0" w:line="240" w:lineRule="auto"/>
              <w:jc w:val="center"/>
              <w:rPr>
                <w:lang w:val="es-DO" w:eastAsia="es-DO"/>
              </w:rPr>
            </w:pPr>
            <w:r w:rsidRPr="005C133F">
              <w:rPr>
                <w:lang w:val="es-DO" w:eastAsia="es-DO"/>
              </w:rPr>
              <w:t>106,913</w:t>
            </w:r>
          </w:p>
        </w:tc>
      </w:tr>
      <w:tr w:rsidR="004921FF" w:rsidRPr="005C133F" w14:paraId="201A2123" w14:textId="77777777" w:rsidTr="00A35F2B">
        <w:trPr>
          <w:trHeight w:val="288"/>
          <w:jc w:val="center"/>
        </w:trPr>
        <w:tc>
          <w:tcPr>
            <w:tcW w:w="1881" w:type="dxa"/>
            <w:noWrap/>
            <w:vAlign w:val="bottom"/>
            <w:hideMark/>
          </w:tcPr>
          <w:p w14:paraId="11033843" w14:textId="77777777" w:rsidR="00803F7B" w:rsidRPr="005C133F" w:rsidRDefault="00803F7B" w:rsidP="004C1B2F">
            <w:pPr>
              <w:spacing w:after="0" w:line="240" w:lineRule="auto"/>
              <w:rPr>
                <w:lang w:val="es-DO" w:eastAsia="es-DO"/>
              </w:rPr>
            </w:pPr>
            <w:r w:rsidRPr="005C133F">
              <w:rPr>
                <w:lang w:val="es-DO" w:eastAsia="es-DO"/>
              </w:rPr>
              <w:t>ARS SENASA - REGIMEN SUBSIDIADO</w:t>
            </w:r>
          </w:p>
        </w:tc>
        <w:tc>
          <w:tcPr>
            <w:tcW w:w="1261" w:type="dxa"/>
            <w:noWrap/>
            <w:vAlign w:val="center"/>
            <w:hideMark/>
          </w:tcPr>
          <w:p w14:paraId="43921837" w14:textId="77777777" w:rsidR="00803F7B" w:rsidRPr="005C133F" w:rsidRDefault="00803F7B" w:rsidP="004C1B2F">
            <w:pPr>
              <w:spacing w:after="0" w:line="240" w:lineRule="auto"/>
              <w:jc w:val="center"/>
              <w:rPr>
                <w:lang w:val="es-DO" w:eastAsia="es-DO"/>
              </w:rPr>
            </w:pPr>
            <w:r w:rsidRPr="005C133F">
              <w:rPr>
                <w:lang w:val="es-DO" w:eastAsia="es-DO"/>
              </w:rPr>
              <w:t>34,560</w:t>
            </w:r>
          </w:p>
        </w:tc>
        <w:tc>
          <w:tcPr>
            <w:tcW w:w="1631" w:type="dxa"/>
            <w:noWrap/>
            <w:vAlign w:val="center"/>
            <w:hideMark/>
          </w:tcPr>
          <w:p w14:paraId="56B7C075" w14:textId="77777777" w:rsidR="00803F7B" w:rsidRPr="005C133F" w:rsidRDefault="00803F7B" w:rsidP="004C1B2F">
            <w:pPr>
              <w:spacing w:after="0" w:line="240" w:lineRule="auto"/>
              <w:jc w:val="center"/>
              <w:rPr>
                <w:lang w:val="es-DO" w:eastAsia="es-DO"/>
              </w:rPr>
            </w:pPr>
            <w:r w:rsidRPr="005C133F">
              <w:rPr>
                <w:lang w:val="es-DO" w:eastAsia="es-DO"/>
              </w:rPr>
              <w:t>44,744</w:t>
            </w:r>
          </w:p>
        </w:tc>
        <w:tc>
          <w:tcPr>
            <w:tcW w:w="1524" w:type="dxa"/>
            <w:noWrap/>
            <w:vAlign w:val="center"/>
            <w:hideMark/>
          </w:tcPr>
          <w:p w14:paraId="625F3779" w14:textId="77777777" w:rsidR="00803F7B" w:rsidRPr="005C133F" w:rsidRDefault="00803F7B" w:rsidP="004C1B2F">
            <w:pPr>
              <w:spacing w:after="0" w:line="240" w:lineRule="auto"/>
              <w:jc w:val="center"/>
              <w:rPr>
                <w:lang w:val="es-DO" w:eastAsia="es-DO"/>
              </w:rPr>
            </w:pPr>
            <w:r w:rsidRPr="005C133F">
              <w:rPr>
                <w:lang w:val="es-DO" w:eastAsia="es-DO"/>
              </w:rPr>
              <w:t>242,645</w:t>
            </w:r>
          </w:p>
        </w:tc>
        <w:tc>
          <w:tcPr>
            <w:tcW w:w="0" w:type="auto"/>
            <w:noWrap/>
            <w:vAlign w:val="center"/>
            <w:hideMark/>
          </w:tcPr>
          <w:p w14:paraId="79DFF72B" w14:textId="77777777" w:rsidR="00803F7B" w:rsidRPr="005C133F" w:rsidRDefault="00803F7B" w:rsidP="004C1B2F">
            <w:pPr>
              <w:spacing w:after="0" w:line="240" w:lineRule="auto"/>
              <w:jc w:val="center"/>
              <w:rPr>
                <w:lang w:val="es-DO" w:eastAsia="es-DO"/>
              </w:rPr>
            </w:pPr>
            <w:r w:rsidRPr="005C133F">
              <w:rPr>
                <w:lang w:val="es-DO" w:eastAsia="es-DO"/>
              </w:rPr>
              <w:t>321,949</w:t>
            </w:r>
          </w:p>
        </w:tc>
      </w:tr>
      <w:tr w:rsidR="004921FF" w:rsidRPr="005C133F" w14:paraId="482D03A9" w14:textId="77777777" w:rsidTr="00A35F2B">
        <w:trPr>
          <w:trHeight w:val="288"/>
          <w:jc w:val="center"/>
        </w:trPr>
        <w:tc>
          <w:tcPr>
            <w:tcW w:w="1881" w:type="dxa"/>
            <w:noWrap/>
            <w:vAlign w:val="bottom"/>
            <w:hideMark/>
          </w:tcPr>
          <w:p w14:paraId="25760093" w14:textId="77777777" w:rsidR="00803F7B" w:rsidRPr="005C133F" w:rsidRDefault="00803F7B" w:rsidP="004C1B2F">
            <w:pPr>
              <w:spacing w:after="0" w:line="240" w:lineRule="auto"/>
              <w:rPr>
                <w:lang w:val="es-DO" w:eastAsia="es-DO"/>
              </w:rPr>
            </w:pPr>
            <w:r w:rsidRPr="005C133F">
              <w:rPr>
                <w:lang w:val="es-DO" w:eastAsia="es-DO"/>
              </w:rPr>
              <w:t>ARS UNIVERSAL, S.A.</w:t>
            </w:r>
          </w:p>
        </w:tc>
        <w:tc>
          <w:tcPr>
            <w:tcW w:w="1261" w:type="dxa"/>
            <w:noWrap/>
            <w:vAlign w:val="center"/>
            <w:hideMark/>
          </w:tcPr>
          <w:p w14:paraId="3B00DE78" w14:textId="77777777" w:rsidR="00803F7B" w:rsidRPr="005C133F" w:rsidRDefault="00803F7B" w:rsidP="004C1B2F">
            <w:pPr>
              <w:spacing w:after="0" w:line="240" w:lineRule="auto"/>
              <w:jc w:val="center"/>
              <w:rPr>
                <w:lang w:val="es-DO" w:eastAsia="es-DO"/>
              </w:rPr>
            </w:pPr>
            <w:r w:rsidRPr="005C133F">
              <w:rPr>
                <w:lang w:val="es-DO" w:eastAsia="es-DO"/>
              </w:rPr>
              <w:t>2,387</w:t>
            </w:r>
          </w:p>
        </w:tc>
        <w:tc>
          <w:tcPr>
            <w:tcW w:w="1631" w:type="dxa"/>
            <w:noWrap/>
            <w:vAlign w:val="center"/>
            <w:hideMark/>
          </w:tcPr>
          <w:p w14:paraId="2B637DFB" w14:textId="77777777" w:rsidR="00803F7B" w:rsidRPr="005C133F" w:rsidRDefault="00803F7B" w:rsidP="004C1B2F">
            <w:pPr>
              <w:spacing w:after="0" w:line="240" w:lineRule="auto"/>
              <w:jc w:val="center"/>
              <w:rPr>
                <w:lang w:val="es-DO" w:eastAsia="es-DO"/>
              </w:rPr>
            </w:pPr>
            <w:r w:rsidRPr="005C133F">
              <w:rPr>
                <w:lang w:val="es-DO" w:eastAsia="es-DO"/>
              </w:rPr>
              <w:t>1,411</w:t>
            </w:r>
          </w:p>
        </w:tc>
        <w:tc>
          <w:tcPr>
            <w:tcW w:w="1524" w:type="dxa"/>
            <w:noWrap/>
            <w:vAlign w:val="center"/>
            <w:hideMark/>
          </w:tcPr>
          <w:p w14:paraId="22E4DE9A" w14:textId="77777777" w:rsidR="00803F7B" w:rsidRPr="005C133F" w:rsidRDefault="00803F7B" w:rsidP="004C1B2F">
            <w:pPr>
              <w:spacing w:after="0" w:line="240" w:lineRule="auto"/>
              <w:jc w:val="center"/>
              <w:rPr>
                <w:lang w:val="es-DO" w:eastAsia="es-DO"/>
              </w:rPr>
            </w:pPr>
            <w:r w:rsidRPr="005C133F">
              <w:rPr>
                <w:lang w:val="es-DO" w:eastAsia="es-DO"/>
              </w:rPr>
              <w:t>15,483</w:t>
            </w:r>
          </w:p>
        </w:tc>
        <w:tc>
          <w:tcPr>
            <w:tcW w:w="0" w:type="auto"/>
            <w:noWrap/>
            <w:vAlign w:val="center"/>
            <w:hideMark/>
          </w:tcPr>
          <w:p w14:paraId="413C7A4F" w14:textId="77777777" w:rsidR="00803F7B" w:rsidRPr="005C133F" w:rsidRDefault="00803F7B" w:rsidP="004C1B2F">
            <w:pPr>
              <w:spacing w:after="0" w:line="240" w:lineRule="auto"/>
              <w:jc w:val="center"/>
              <w:rPr>
                <w:lang w:val="es-DO" w:eastAsia="es-DO"/>
              </w:rPr>
            </w:pPr>
            <w:r w:rsidRPr="005C133F">
              <w:rPr>
                <w:lang w:val="es-DO" w:eastAsia="es-DO"/>
              </w:rPr>
              <w:t>19,281</w:t>
            </w:r>
          </w:p>
        </w:tc>
      </w:tr>
      <w:tr w:rsidR="004921FF" w:rsidRPr="005C133F" w14:paraId="08A2A67A" w14:textId="77777777" w:rsidTr="00A35F2B">
        <w:trPr>
          <w:trHeight w:val="288"/>
          <w:jc w:val="center"/>
        </w:trPr>
        <w:tc>
          <w:tcPr>
            <w:tcW w:w="1881" w:type="dxa"/>
            <w:noWrap/>
            <w:vAlign w:val="bottom"/>
            <w:hideMark/>
          </w:tcPr>
          <w:p w14:paraId="01F257DE" w14:textId="77777777" w:rsidR="00803F7B" w:rsidRPr="005C133F" w:rsidRDefault="00803F7B" w:rsidP="004C1B2F">
            <w:pPr>
              <w:spacing w:after="0" w:line="240" w:lineRule="auto"/>
              <w:rPr>
                <w:lang w:val="es-DO" w:eastAsia="es-DO"/>
              </w:rPr>
            </w:pPr>
            <w:r w:rsidRPr="005C133F">
              <w:rPr>
                <w:lang w:val="es-DO" w:eastAsia="es-DO"/>
              </w:rPr>
              <w:t>MAPFRE SALUD ARS</w:t>
            </w:r>
          </w:p>
        </w:tc>
        <w:tc>
          <w:tcPr>
            <w:tcW w:w="1261" w:type="dxa"/>
            <w:noWrap/>
            <w:vAlign w:val="center"/>
            <w:hideMark/>
          </w:tcPr>
          <w:p w14:paraId="4921A196" w14:textId="77777777" w:rsidR="00803F7B" w:rsidRPr="005C133F" w:rsidRDefault="00803F7B" w:rsidP="004C1B2F">
            <w:pPr>
              <w:spacing w:after="0" w:line="240" w:lineRule="auto"/>
              <w:jc w:val="center"/>
              <w:rPr>
                <w:lang w:val="es-DO" w:eastAsia="es-DO"/>
              </w:rPr>
            </w:pPr>
            <w:r w:rsidRPr="005C133F">
              <w:rPr>
                <w:lang w:val="es-DO" w:eastAsia="es-DO"/>
              </w:rPr>
              <w:t>2,318</w:t>
            </w:r>
          </w:p>
        </w:tc>
        <w:tc>
          <w:tcPr>
            <w:tcW w:w="1631" w:type="dxa"/>
            <w:noWrap/>
            <w:vAlign w:val="center"/>
            <w:hideMark/>
          </w:tcPr>
          <w:p w14:paraId="2A40CB57" w14:textId="77777777" w:rsidR="00803F7B" w:rsidRPr="005C133F" w:rsidRDefault="00803F7B" w:rsidP="004C1B2F">
            <w:pPr>
              <w:spacing w:after="0" w:line="240" w:lineRule="auto"/>
              <w:jc w:val="center"/>
              <w:rPr>
                <w:lang w:val="es-DO" w:eastAsia="es-DO"/>
              </w:rPr>
            </w:pPr>
            <w:r w:rsidRPr="005C133F">
              <w:rPr>
                <w:lang w:val="es-DO" w:eastAsia="es-DO"/>
              </w:rPr>
              <w:t>1,969</w:t>
            </w:r>
          </w:p>
        </w:tc>
        <w:tc>
          <w:tcPr>
            <w:tcW w:w="1524" w:type="dxa"/>
            <w:noWrap/>
            <w:vAlign w:val="center"/>
            <w:hideMark/>
          </w:tcPr>
          <w:p w14:paraId="12C59CE7" w14:textId="77777777" w:rsidR="00803F7B" w:rsidRPr="005C133F" w:rsidRDefault="00803F7B" w:rsidP="004C1B2F">
            <w:pPr>
              <w:spacing w:after="0" w:line="240" w:lineRule="auto"/>
              <w:jc w:val="center"/>
              <w:rPr>
                <w:lang w:val="es-DO" w:eastAsia="es-DO"/>
              </w:rPr>
            </w:pPr>
            <w:r w:rsidRPr="005C133F">
              <w:rPr>
                <w:lang w:val="es-DO" w:eastAsia="es-DO"/>
              </w:rPr>
              <w:t>8,430</w:t>
            </w:r>
          </w:p>
        </w:tc>
        <w:tc>
          <w:tcPr>
            <w:tcW w:w="0" w:type="auto"/>
            <w:noWrap/>
            <w:vAlign w:val="center"/>
            <w:hideMark/>
          </w:tcPr>
          <w:p w14:paraId="42210AA8" w14:textId="77777777" w:rsidR="00803F7B" w:rsidRPr="005C133F" w:rsidRDefault="00803F7B" w:rsidP="004C1B2F">
            <w:pPr>
              <w:spacing w:after="0" w:line="240" w:lineRule="auto"/>
              <w:jc w:val="center"/>
              <w:rPr>
                <w:lang w:val="es-DO" w:eastAsia="es-DO"/>
              </w:rPr>
            </w:pPr>
            <w:r w:rsidRPr="005C133F">
              <w:rPr>
                <w:lang w:val="es-DO" w:eastAsia="es-DO"/>
              </w:rPr>
              <w:t>12,717</w:t>
            </w:r>
          </w:p>
        </w:tc>
      </w:tr>
      <w:tr w:rsidR="00246DA5" w:rsidRPr="005C133F" w14:paraId="3A2DB115" w14:textId="77777777" w:rsidTr="00A35F2B">
        <w:trPr>
          <w:trHeight w:val="288"/>
          <w:jc w:val="center"/>
        </w:trPr>
        <w:tc>
          <w:tcPr>
            <w:tcW w:w="1881" w:type="dxa"/>
            <w:shd w:val="clear" w:color="auto" w:fill="011C50"/>
            <w:noWrap/>
            <w:vAlign w:val="bottom"/>
            <w:hideMark/>
          </w:tcPr>
          <w:p w14:paraId="62D948D2" w14:textId="77777777" w:rsidR="00803F7B" w:rsidRPr="005C133F" w:rsidRDefault="00803F7B" w:rsidP="004C1B2F">
            <w:pPr>
              <w:spacing w:after="0" w:line="240" w:lineRule="auto"/>
              <w:rPr>
                <w:b/>
                <w:bCs/>
                <w:color w:val="FFFFFF" w:themeColor="background1"/>
                <w:lang w:val="es-DO" w:eastAsia="es-DO"/>
              </w:rPr>
            </w:pPr>
            <w:r w:rsidRPr="005C133F">
              <w:rPr>
                <w:b/>
                <w:bCs/>
                <w:color w:val="FFFFFF" w:themeColor="background1"/>
                <w:lang w:val="es-DO" w:eastAsia="es-DO"/>
              </w:rPr>
              <w:t>Total general</w:t>
            </w:r>
          </w:p>
        </w:tc>
        <w:tc>
          <w:tcPr>
            <w:tcW w:w="1261" w:type="dxa"/>
            <w:shd w:val="clear" w:color="auto" w:fill="011C50"/>
            <w:noWrap/>
            <w:vAlign w:val="center"/>
            <w:hideMark/>
          </w:tcPr>
          <w:p w14:paraId="44CB8A76"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59,406</w:t>
            </w:r>
          </w:p>
        </w:tc>
        <w:tc>
          <w:tcPr>
            <w:tcW w:w="1631" w:type="dxa"/>
            <w:shd w:val="clear" w:color="auto" w:fill="011C50"/>
            <w:noWrap/>
            <w:vAlign w:val="center"/>
            <w:hideMark/>
          </w:tcPr>
          <w:p w14:paraId="4F8BB977"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63,317</w:t>
            </w:r>
          </w:p>
        </w:tc>
        <w:tc>
          <w:tcPr>
            <w:tcW w:w="1524" w:type="dxa"/>
            <w:shd w:val="clear" w:color="auto" w:fill="011C50"/>
            <w:noWrap/>
            <w:vAlign w:val="center"/>
            <w:hideMark/>
          </w:tcPr>
          <w:p w14:paraId="3E56F9F3"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391,154</w:t>
            </w:r>
          </w:p>
        </w:tc>
        <w:tc>
          <w:tcPr>
            <w:tcW w:w="0" w:type="auto"/>
            <w:shd w:val="clear" w:color="auto" w:fill="011C50"/>
            <w:noWrap/>
            <w:vAlign w:val="center"/>
            <w:hideMark/>
          </w:tcPr>
          <w:p w14:paraId="29BFB273" w14:textId="77777777" w:rsidR="00803F7B" w:rsidRPr="005C133F" w:rsidRDefault="00803F7B" w:rsidP="004C1B2F">
            <w:pPr>
              <w:spacing w:after="0" w:line="240" w:lineRule="auto"/>
              <w:jc w:val="center"/>
              <w:rPr>
                <w:b/>
                <w:bCs/>
                <w:color w:val="FFFFFF" w:themeColor="background1"/>
                <w:lang w:val="es-DO" w:eastAsia="es-DO"/>
              </w:rPr>
            </w:pPr>
            <w:r w:rsidRPr="005C133F">
              <w:rPr>
                <w:b/>
                <w:bCs/>
                <w:color w:val="FFFFFF" w:themeColor="background1"/>
                <w:lang w:val="es-DO" w:eastAsia="es-DO"/>
              </w:rPr>
              <w:t>513,877</w:t>
            </w:r>
          </w:p>
        </w:tc>
      </w:tr>
    </w:tbl>
    <w:p w14:paraId="467054BB" w14:textId="77777777" w:rsidR="00A35F2B" w:rsidRPr="00AC2DB2" w:rsidRDefault="00A35F2B" w:rsidP="004C1B2F">
      <w:pPr>
        <w:spacing w:before="3" w:after="0" w:line="240" w:lineRule="auto"/>
        <w:rPr>
          <w:sz w:val="18"/>
          <w:szCs w:val="18"/>
          <w:lang w:val="es-DO"/>
        </w:rPr>
      </w:pPr>
      <w:r w:rsidRPr="00AC2DB2">
        <w:rPr>
          <w:sz w:val="18"/>
          <w:szCs w:val="18"/>
          <w:lang w:val="es-DO"/>
        </w:rPr>
        <w:t>Fuente: Dirección de Gestión Actuarial del SFS y el SRL, SISALRIL.</w:t>
      </w:r>
    </w:p>
    <w:p w14:paraId="2D4A987D" w14:textId="453BD4A0" w:rsidR="00803F7B" w:rsidRPr="005C133F" w:rsidRDefault="00803F7B" w:rsidP="005C133F">
      <w:pPr>
        <w:tabs>
          <w:tab w:val="left" w:pos="1646"/>
        </w:tabs>
        <w:spacing w:after="0" w:line="360" w:lineRule="auto"/>
        <w:rPr>
          <w:lang w:val="es-DO"/>
        </w:rPr>
      </w:pPr>
    </w:p>
    <w:p w14:paraId="650B1AFB" w14:textId="788BB263" w:rsidR="00382CC7" w:rsidRPr="004C1B2F" w:rsidRDefault="00382CC7" w:rsidP="004C1B2F">
      <w:pPr>
        <w:pStyle w:val="Descripcin"/>
        <w:keepNext/>
        <w:spacing w:after="0"/>
        <w:jc w:val="center"/>
        <w:rPr>
          <w:b/>
          <w:bCs/>
          <w:i w:val="0"/>
          <w:iCs w:val="0"/>
          <w:color w:val="767171"/>
          <w:sz w:val="24"/>
          <w:szCs w:val="24"/>
          <w:lang w:val="es-DO"/>
        </w:rPr>
      </w:pPr>
      <w:bookmarkStart w:id="87" w:name="_Toc218784162"/>
      <w:r w:rsidRPr="004C1B2F">
        <w:rPr>
          <w:b/>
          <w:bCs/>
          <w:i w:val="0"/>
          <w:iCs w:val="0"/>
          <w:color w:val="767171"/>
          <w:sz w:val="24"/>
          <w:szCs w:val="24"/>
          <w:lang w:val="es-DO"/>
        </w:rPr>
        <w:t xml:space="preserve">Tabla </w:t>
      </w:r>
      <w:r w:rsidRPr="004C1B2F">
        <w:rPr>
          <w:b/>
          <w:bCs/>
          <w:i w:val="0"/>
          <w:iCs w:val="0"/>
          <w:color w:val="767171"/>
          <w:sz w:val="24"/>
          <w:szCs w:val="24"/>
          <w:lang w:val="es-DO"/>
        </w:rPr>
        <w:fldChar w:fldCharType="begin"/>
      </w:r>
      <w:r w:rsidRPr="004C1B2F">
        <w:rPr>
          <w:b/>
          <w:bCs/>
          <w:i w:val="0"/>
          <w:iCs w:val="0"/>
          <w:color w:val="767171"/>
          <w:sz w:val="24"/>
          <w:szCs w:val="24"/>
          <w:lang w:val="es-DO"/>
        </w:rPr>
        <w:instrText xml:space="preserve"> SEQ Tabla \* ARABIC </w:instrText>
      </w:r>
      <w:r w:rsidRPr="004C1B2F">
        <w:rPr>
          <w:b/>
          <w:bCs/>
          <w:i w:val="0"/>
          <w:iCs w:val="0"/>
          <w:color w:val="767171"/>
          <w:sz w:val="24"/>
          <w:szCs w:val="24"/>
          <w:lang w:val="es-DO"/>
        </w:rPr>
        <w:fldChar w:fldCharType="separate"/>
      </w:r>
      <w:r w:rsidR="00814341">
        <w:rPr>
          <w:b/>
          <w:bCs/>
          <w:i w:val="0"/>
          <w:iCs w:val="0"/>
          <w:noProof/>
          <w:color w:val="767171"/>
          <w:sz w:val="24"/>
          <w:szCs w:val="24"/>
          <w:lang w:val="es-DO"/>
        </w:rPr>
        <w:t>30</w:t>
      </w:r>
      <w:r w:rsidRPr="004C1B2F">
        <w:rPr>
          <w:b/>
          <w:bCs/>
          <w:i w:val="0"/>
          <w:iCs w:val="0"/>
          <w:color w:val="767171"/>
          <w:sz w:val="24"/>
          <w:szCs w:val="24"/>
          <w:lang w:val="es-DO"/>
        </w:rPr>
        <w:fldChar w:fldCharType="end"/>
      </w:r>
      <w:r w:rsidRPr="004C1B2F">
        <w:rPr>
          <w:b/>
          <w:bCs/>
          <w:i w:val="0"/>
          <w:iCs w:val="0"/>
          <w:color w:val="767171"/>
          <w:sz w:val="24"/>
          <w:szCs w:val="24"/>
          <w:lang w:val="es-DO"/>
        </w:rPr>
        <w:t>. Cantidad de servicios solicitados pagados por las ARS la cobertura para el tratamiento de la Diabetes Mellitus e Hipertensión</w:t>
      </w:r>
      <w:bookmarkEnd w:id="87"/>
    </w:p>
    <w:tbl>
      <w:tblPr>
        <w:tblW w:w="8874"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074"/>
        <w:gridCol w:w="1607"/>
        <w:gridCol w:w="1984"/>
        <w:gridCol w:w="1625"/>
        <w:gridCol w:w="1584"/>
      </w:tblGrid>
      <w:tr w:rsidR="00246DA5" w:rsidRPr="004C1B2F" w14:paraId="14AB4117" w14:textId="77777777" w:rsidTr="00761840">
        <w:trPr>
          <w:trHeight w:val="588"/>
          <w:tblHeader/>
          <w:jc w:val="center"/>
        </w:trPr>
        <w:tc>
          <w:tcPr>
            <w:tcW w:w="2074" w:type="dxa"/>
            <w:shd w:val="clear" w:color="auto" w:fill="011C50"/>
            <w:noWrap/>
            <w:vAlign w:val="center"/>
            <w:hideMark/>
          </w:tcPr>
          <w:p w14:paraId="75C3A893"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ARS</w:t>
            </w:r>
          </w:p>
        </w:tc>
        <w:tc>
          <w:tcPr>
            <w:tcW w:w="1607" w:type="dxa"/>
            <w:shd w:val="clear" w:color="auto" w:fill="011C50"/>
            <w:noWrap/>
            <w:vAlign w:val="center"/>
            <w:hideMark/>
          </w:tcPr>
          <w:p w14:paraId="6E270CFB"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Diabético</w:t>
            </w:r>
          </w:p>
        </w:tc>
        <w:tc>
          <w:tcPr>
            <w:tcW w:w="1984" w:type="dxa"/>
            <w:shd w:val="clear" w:color="auto" w:fill="011C50"/>
            <w:noWrap/>
            <w:vAlign w:val="center"/>
            <w:hideMark/>
          </w:tcPr>
          <w:p w14:paraId="6B29E381"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Hipertenso</w:t>
            </w:r>
          </w:p>
        </w:tc>
        <w:tc>
          <w:tcPr>
            <w:tcW w:w="1625" w:type="dxa"/>
            <w:shd w:val="clear" w:color="auto" w:fill="011C50"/>
            <w:noWrap/>
            <w:vAlign w:val="center"/>
            <w:hideMark/>
          </w:tcPr>
          <w:p w14:paraId="4109C27A"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Diabético e Hipertenso</w:t>
            </w:r>
          </w:p>
        </w:tc>
        <w:tc>
          <w:tcPr>
            <w:tcW w:w="1584" w:type="dxa"/>
            <w:shd w:val="clear" w:color="auto" w:fill="011C50"/>
            <w:noWrap/>
            <w:vAlign w:val="center"/>
            <w:hideMark/>
          </w:tcPr>
          <w:p w14:paraId="2E768A7A"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Total general</w:t>
            </w:r>
          </w:p>
        </w:tc>
      </w:tr>
      <w:tr w:rsidR="004921FF" w:rsidRPr="004C1B2F" w14:paraId="252EA3CF" w14:textId="77777777" w:rsidTr="00761840">
        <w:trPr>
          <w:trHeight w:val="294"/>
          <w:jc w:val="center"/>
        </w:trPr>
        <w:tc>
          <w:tcPr>
            <w:tcW w:w="2074" w:type="dxa"/>
            <w:noWrap/>
            <w:vAlign w:val="center"/>
            <w:hideMark/>
          </w:tcPr>
          <w:p w14:paraId="08ECCFDF" w14:textId="77777777" w:rsidR="004E35D4" w:rsidRPr="004C1B2F" w:rsidRDefault="004E35D4" w:rsidP="004C1B2F">
            <w:pPr>
              <w:spacing w:after="0" w:line="240" w:lineRule="auto"/>
              <w:rPr>
                <w:lang w:val="es-DO" w:eastAsia="es-DO"/>
              </w:rPr>
            </w:pPr>
            <w:r w:rsidRPr="004C1B2F">
              <w:rPr>
                <w:lang w:val="es-DO" w:eastAsia="es-DO"/>
              </w:rPr>
              <w:t>ARS ABEL GONZALEZ</w:t>
            </w:r>
          </w:p>
        </w:tc>
        <w:tc>
          <w:tcPr>
            <w:tcW w:w="1607" w:type="dxa"/>
            <w:noWrap/>
            <w:vAlign w:val="center"/>
            <w:hideMark/>
          </w:tcPr>
          <w:p w14:paraId="7FEF608B" w14:textId="77777777" w:rsidR="004E35D4" w:rsidRPr="004C1B2F" w:rsidRDefault="004E35D4" w:rsidP="004C1B2F">
            <w:pPr>
              <w:spacing w:after="0" w:line="240" w:lineRule="auto"/>
              <w:jc w:val="center"/>
              <w:rPr>
                <w:lang w:val="es-DO" w:eastAsia="es-DO"/>
              </w:rPr>
            </w:pPr>
            <w:r w:rsidRPr="004C1B2F">
              <w:rPr>
                <w:lang w:val="es-DO" w:eastAsia="es-DO"/>
              </w:rPr>
              <w:t>14,626</w:t>
            </w:r>
          </w:p>
        </w:tc>
        <w:tc>
          <w:tcPr>
            <w:tcW w:w="1984" w:type="dxa"/>
            <w:noWrap/>
            <w:vAlign w:val="center"/>
            <w:hideMark/>
          </w:tcPr>
          <w:p w14:paraId="1D57C017" w14:textId="77777777" w:rsidR="004E35D4" w:rsidRPr="004C1B2F" w:rsidRDefault="004E35D4" w:rsidP="004C1B2F">
            <w:pPr>
              <w:spacing w:after="0" w:line="240" w:lineRule="auto"/>
              <w:jc w:val="center"/>
              <w:rPr>
                <w:lang w:val="es-DO" w:eastAsia="es-DO"/>
              </w:rPr>
            </w:pPr>
            <w:r w:rsidRPr="004C1B2F">
              <w:rPr>
                <w:lang w:val="es-DO" w:eastAsia="es-DO"/>
              </w:rPr>
              <w:t>51,120</w:t>
            </w:r>
          </w:p>
        </w:tc>
        <w:tc>
          <w:tcPr>
            <w:tcW w:w="1625" w:type="dxa"/>
            <w:vAlign w:val="center"/>
            <w:hideMark/>
          </w:tcPr>
          <w:p w14:paraId="4A70F51E" w14:textId="77777777" w:rsidR="004E35D4" w:rsidRPr="004C1B2F" w:rsidRDefault="004E35D4" w:rsidP="004C1B2F">
            <w:pPr>
              <w:spacing w:after="0" w:line="240" w:lineRule="auto"/>
              <w:jc w:val="center"/>
              <w:rPr>
                <w:lang w:val="es-DO" w:eastAsia="es-DO"/>
              </w:rPr>
            </w:pPr>
            <w:r w:rsidRPr="004C1B2F">
              <w:rPr>
                <w:lang w:val="es-DO" w:eastAsia="es-DO"/>
              </w:rPr>
              <w:t>11,876</w:t>
            </w:r>
          </w:p>
        </w:tc>
        <w:tc>
          <w:tcPr>
            <w:tcW w:w="1584" w:type="dxa"/>
            <w:noWrap/>
            <w:vAlign w:val="center"/>
            <w:hideMark/>
          </w:tcPr>
          <w:p w14:paraId="6A7853AA" w14:textId="77777777" w:rsidR="004E35D4" w:rsidRPr="004C1B2F" w:rsidRDefault="004E35D4" w:rsidP="004C1B2F">
            <w:pPr>
              <w:spacing w:after="0" w:line="240" w:lineRule="auto"/>
              <w:jc w:val="center"/>
              <w:rPr>
                <w:lang w:val="es-DO" w:eastAsia="es-DO"/>
              </w:rPr>
            </w:pPr>
            <w:r w:rsidRPr="004C1B2F">
              <w:rPr>
                <w:lang w:val="es-DO" w:eastAsia="es-DO"/>
              </w:rPr>
              <w:t>77,622</w:t>
            </w:r>
          </w:p>
        </w:tc>
      </w:tr>
      <w:tr w:rsidR="004921FF" w:rsidRPr="004C1B2F" w14:paraId="1D0B2624" w14:textId="77777777" w:rsidTr="00761840">
        <w:trPr>
          <w:trHeight w:val="294"/>
          <w:jc w:val="center"/>
        </w:trPr>
        <w:tc>
          <w:tcPr>
            <w:tcW w:w="2074" w:type="dxa"/>
            <w:noWrap/>
            <w:vAlign w:val="center"/>
            <w:hideMark/>
          </w:tcPr>
          <w:p w14:paraId="094F0A21" w14:textId="77777777" w:rsidR="004E35D4" w:rsidRPr="004C1B2F" w:rsidRDefault="004E35D4" w:rsidP="004C1B2F">
            <w:pPr>
              <w:spacing w:after="0" w:line="240" w:lineRule="auto"/>
              <w:rPr>
                <w:lang w:val="es-DO" w:eastAsia="es-DO"/>
              </w:rPr>
            </w:pPr>
            <w:r w:rsidRPr="004C1B2F">
              <w:rPr>
                <w:lang w:val="es-DO" w:eastAsia="es-DO"/>
              </w:rPr>
              <w:t>ARS APS</w:t>
            </w:r>
          </w:p>
        </w:tc>
        <w:tc>
          <w:tcPr>
            <w:tcW w:w="1607" w:type="dxa"/>
            <w:noWrap/>
            <w:vAlign w:val="center"/>
            <w:hideMark/>
          </w:tcPr>
          <w:p w14:paraId="384443DE" w14:textId="77777777" w:rsidR="004E35D4" w:rsidRPr="004C1B2F" w:rsidRDefault="004E35D4" w:rsidP="004C1B2F">
            <w:pPr>
              <w:spacing w:after="0" w:line="240" w:lineRule="auto"/>
              <w:jc w:val="center"/>
              <w:rPr>
                <w:lang w:val="es-DO" w:eastAsia="es-DO"/>
              </w:rPr>
            </w:pPr>
            <w:r w:rsidRPr="004C1B2F">
              <w:rPr>
                <w:lang w:val="es-DO" w:eastAsia="es-DO"/>
              </w:rPr>
              <w:t>5,194</w:t>
            </w:r>
          </w:p>
        </w:tc>
        <w:tc>
          <w:tcPr>
            <w:tcW w:w="1984" w:type="dxa"/>
            <w:noWrap/>
            <w:vAlign w:val="center"/>
            <w:hideMark/>
          </w:tcPr>
          <w:p w14:paraId="2DEC781D" w14:textId="77777777" w:rsidR="004E35D4" w:rsidRPr="004C1B2F" w:rsidRDefault="004E35D4" w:rsidP="004C1B2F">
            <w:pPr>
              <w:spacing w:after="0" w:line="240" w:lineRule="auto"/>
              <w:jc w:val="center"/>
              <w:rPr>
                <w:lang w:val="es-DO" w:eastAsia="es-DO"/>
              </w:rPr>
            </w:pPr>
            <w:r w:rsidRPr="004C1B2F">
              <w:rPr>
                <w:lang w:val="es-DO" w:eastAsia="es-DO"/>
              </w:rPr>
              <w:t>43,090</w:t>
            </w:r>
          </w:p>
        </w:tc>
        <w:tc>
          <w:tcPr>
            <w:tcW w:w="1625" w:type="dxa"/>
            <w:vAlign w:val="center"/>
            <w:hideMark/>
          </w:tcPr>
          <w:p w14:paraId="63C8A98E" w14:textId="77777777" w:rsidR="004E35D4" w:rsidRPr="004C1B2F" w:rsidRDefault="004E35D4" w:rsidP="004C1B2F">
            <w:pPr>
              <w:spacing w:after="0" w:line="240" w:lineRule="auto"/>
              <w:jc w:val="center"/>
              <w:rPr>
                <w:lang w:val="es-DO" w:eastAsia="es-DO"/>
              </w:rPr>
            </w:pPr>
            <w:r w:rsidRPr="004C1B2F">
              <w:rPr>
                <w:lang w:val="es-DO" w:eastAsia="es-DO"/>
              </w:rPr>
              <w:t>5,736</w:t>
            </w:r>
          </w:p>
        </w:tc>
        <w:tc>
          <w:tcPr>
            <w:tcW w:w="1584" w:type="dxa"/>
            <w:noWrap/>
            <w:vAlign w:val="center"/>
            <w:hideMark/>
          </w:tcPr>
          <w:p w14:paraId="241D8F32" w14:textId="77777777" w:rsidR="004E35D4" w:rsidRPr="004C1B2F" w:rsidRDefault="004E35D4" w:rsidP="004C1B2F">
            <w:pPr>
              <w:spacing w:after="0" w:line="240" w:lineRule="auto"/>
              <w:jc w:val="center"/>
              <w:rPr>
                <w:lang w:val="es-DO" w:eastAsia="es-DO"/>
              </w:rPr>
            </w:pPr>
            <w:r w:rsidRPr="004C1B2F">
              <w:rPr>
                <w:lang w:val="es-DO" w:eastAsia="es-DO"/>
              </w:rPr>
              <w:t>54,020</w:t>
            </w:r>
          </w:p>
        </w:tc>
      </w:tr>
      <w:tr w:rsidR="004921FF" w:rsidRPr="004C1B2F" w14:paraId="6681DF59" w14:textId="77777777" w:rsidTr="00761840">
        <w:trPr>
          <w:trHeight w:val="294"/>
          <w:jc w:val="center"/>
        </w:trPr>
        <w:tc>
          <w:tcPr>
            <w:tcW w:w="2074" w:type="dxa"/>
            <w:noWrap/>
            <w:vAlign w:val="center"/>
            <w:hideMark/>
          </w:tcPr>
          <w:p w14:paraId="4FC2F6AA" w14:textId="77777777" w:rsidR="004E35D4" w:rsidRPr="004C1B2F" w:rsidRDefault="004E35D4" w:rsidP="004C1B2F">
            <w:pPr>
              <w:spacing w:after="0" w:line="240" w:lineRule="auto"/>
              <w:rPr>
                <w:lang w:val="es-DO" w:eastAsia="es-DO"/>
              </w:rPr>
            </w:pPr>
            <w:r w:rsidRPr="004C1B2F">
              <w:rPr>
                <w:lang w:val="es-DO" w:eastAsia="es-DO"/>
              </w:rPr>
              <w:t>ARS ASEMAP</w:t>
            </w:r>
          </w:p>
        </w:tc>
        <w:tc>
          <w:tcPr>
            <w:tcW w:w="1607" w:type="dxa"/>
            <w:noWrap/>
            <w:vAlign w:val="center"/>
            <w:hideMark/>
          </w:tcPr>
          <w:p w14:paraId="057DAB75" w14:textId="77777777" w:rsidR="004E35D4" w:rsidRPr="004C1B2F" w:rsidRDefault="004E35D4" w:rsidP="004C1B2F">
            <w:pPr>
              <w:spacing w:after="0" w:line="240" w:lineRule="auto"/>
              <w:jc w:val="center"/>
              <w:rPr>
                <w:lang w:val="es-DO" w:eastAsia="es-DO"/>
              </w:rPr>
            </w:pPr>
            <w:r w:rsidRPr="004C1B2F">
              <w:rPr>
                <w:lang w:val="es-DO" w:eastAsia="es-DO"/>
              </w:rPr>
              <w:t>2,947</w:t>
            </w:r>
          </w:p>
        </w:tc>
        <w:tc>
          <w:tcPr>
            <w:tcW w:w="1984" w:type="dxa"/>
            <w:noWrap/>
            <w:vAlign w:val="center"/>
            <w:hideMark/>
          </w:tcPr>
          <w:p w14:paraId="412756DC" w14:textId="77777777" w:rsidR="004E35D4" w:rsidRPr="004C1B2F" w:rsidRDefault="004E35D4" w:rsidP="004C1B2F">
            <w:pPr>
              <w:spacing w:after="0" w:line="240" w:lineRule="auto"/>
              <w:jc w:val="center"/>
              <w:rPr>
                <w:lang w:val="es-DO" w:eastAsia="es-DO"/>
              </w:rPr>
            </w:pPr>
            <w:r w:rsidRPr="004C1B2F">
              <w:rPr>
                <w:lang w:val="es-DO" w:eastAsia="es-DO"/>
              </w:rPr>
              <w:t>29,738</w:t>
            </w:r>
          </w:p>
        </w:tc>
        <w:tc>
          <w:tcPr>
            <w:tcW w:w="1625" w:type="dxa"/>
            <w:vAlign w:val="center"/>
            <w:hideMark/>
          </w:tcPr>
          <w:p w14:paraId="1D3C07F9" w14:textId="77777777" w:rsidR="004E35D4" w:rsidRPr="004C1B2F" w:rsidRDefault="004E35D4" w:rsidP="004C1B2F">
            <w:pPr>
              <w:spacing w:after="0" w:line="240" w:lineRule="auto"/>
              <w:jc w:val="center"/>
              <w:rPr>
                <w:lang w:val="es-DO" w:eastAsia="es-DO"/>
              </w:rPr>
            </w:pPr>
            <w:r w:rsidRPr="004C1B2F">
              <w:rPr>
                <w:lang w:val="es-DO" w:eastAsia="es-DO"/>
              </w:rPr>
              <w:t>8,703</w:t>
            </w:r>
          </w:p>
        </w:tc>
        <w:tc>
          <w:tcPr>
            <w:tcW w:w="1584" w:type="dxa"/>
            <w:noWrap/>
            <w:vAlign w:val="center"/>
            <w:hideMark/>
          </w:tcPr>
          <w:p w14:paraId="230A8AF7" w14:textId="77777777" w:rsidR="004E35D4" w:rsidRPr="004C1B2F" w:rsidRDefault="004E35D4" w:rsidP="004C1B2F">
            <w:pPr>
              <w:spacing w:after="0" w:line="240" w:lineRule="auto"/>
              <w:jc w:val="center"/>
              <w:rPr>
                <w:lang w:val="es-DO" w:eastAsia="es-DO"/>
              </w:rPr>
            </w:pPr>
            <w:r w:rsidRPr="004C1B2F">
              <w:rPr>
                <w:lang w:val="es-DO" w:eastAsia="es-DO"/>
              </w:rPr>
              <w:t>41,388</w:t>
            </w:r>
          </w:p>
        </w:tc>
      </w:tr>
      <w:tr w:rsidR="004921FF" w:rsidRPr="004C1B2F" w14:paraId="302ADB17" w14:textId="77777777" w:rsidTr="00761840">
        <w:trPr>
          <w:trHeight w:val="294"/>
          <w:jc w:val="center"/>
        </w:trPr>
        <w:tc>
          <w:tcPr>
            <w:tcW w:w="2074" w:type="dxa"/>
            <w:noWrap/>
            <w:vAlign w:val="center"/>
            <w:hideMark/>
          </w:tcPr>
          <w:p w14:paraId="1F624D53" w14:textId="77777777" w:rsidR="004E35D4" w:rsidRPr="004C1B2F" w:rsidRDefault="004E35D4" w:rsidP="004C1B2F">
            <w:pPr>
              <w:spacing w:after="0" w:line="240" w:lineRule="auto"/>
              <w:rPr>
                <w:lang w:val="es-DO" w:eastAsia="es-DO"/>
              </w:rPr>
            </w:pPr>
            <w:r w:rsidRPr="004C1B2F">
              <w:rPr>
                <w:lang w:val="es-DO" w:eastAsia="es-DO"/>
              </w:rPr>
              <w:t>ARS BANCO CENTRAL</w:t>
            </w:r>
          </w:p>
        </w:tc>
        <w:tc>
          <w:tcPr>
            <w:tcW w:w="1607" w:type="dxa"/>
            <w:noWrap/>
            <w:vAlign w:val="center"/>
            <w:hideMark/>
          </w:tcPr>
          <w:p w14:paraId="193D2386" w14:textId="77777777" w:rsidR="004E35D4" w:rsidRPr="004C1B2F" w:rsidRDefault="004E35D4" w:rsidP="004C1B2F">
            <w:pPr>
              <w:spacing w:after="0" w:line="240" w:lineRule="auto"/>
              <w:jc w:val="center"/>
              <w:rPr>
                <w:lang w:val="es-DO" w:eastAsia="es-DO"/>
              </w:rPr>
            </w:pPr>
            <w:r w:rsidRPr="004C1B2F">
              <w:rPr>
                <w:lang w:val="es-DO" w:eastAsia="es-DO"/>
              </w:rPr>
              <w:t>589</w:t>
            </w:r>
          </w:p>
        </w:tc>
        <w:tc>
          <w:tcPr>
            <w:tcW w:w="1984" w:type="dxa"/>
            <w:noWrap/>
            <w:vAlign w:val="center"/>
            <w:hideMark/>
          </w:tcPr>
          <w:p w14:paraId="59889243" w14:textId="77777777" w:rsidR="004E35D4" w:rsidRPr="004C1B2F" w:rsidRDefault="004E35D4" w:rsidP="004C1B2F">
            <w:pPr>
              <w:spacing w:after="0" w:line="240" w:lineRule="auto"/>
              <w:jc w:val="center"/>
              <w:rPr>
                <w:lang w:val="es-DO" w:eastAsia="es-DO"/>
              </w:rPr>
            </w:pPr>
            <w:r w:rsidRPr="004C1B2F">
              <w:rPr>
                <w:lang w:val="es-DO" w:eastAsia="es-DO"/>
              </w:rPr>
              <w:t>4,173</w:t>
            </w:r>
          </w:p>
        </w:tc>
        <w:tc>
          <w:tcPr>
            <w:tcW w:w="1625" w:type="dxa"/>
            <w:vAlign w:val="center"/>
            <w:hideMark/>
          </w:tcPr>
          <w:p w14:paraId="675FF239" w14:textId="77777777" w:rsidR="004E35D4" w:rsidRPr="004C1B2F" w:rsidRDefault="004E35D4" w:rsidP="004C1B2F">
            <w:pPr>
              <w:spacing w:after="0" w:line="240" w:lineRule="auto"/>
              <w:jc w:val="center"/>
              <w:rPr>
                <w:lang w:val="es-DO" w:eastAsia="es-DO"/>
              </w:rPr>
            </w:pPr>
            <w:r w:rsidRPr="004C1B2F">
              <w:rPr>
                <w:lang w:val="es-DO" w:eastAsia="es-DO"/>
              </w:rPr>
              <w:t>1,043</w:t>
            </w:r>
          </w:p>
        </w:tc>
        <w:tc>
          <w:tcPr>
            <w:tcW w:w="1584" w:type="dxa"/>
            <w:noWrap/>
            <w:vAlign w:val="center"/>
            <w:hideMark/>
          </w:tcPr>
          <w:p w14:paraId="66DC6566" w14:textId="77777777" w:rsidR="004E35D4" w:rsidRPr="004C1B2F" w:rsidRDefault="004E35D4" w:rsidP="004C1B2F">
            <w:pPr>
              <w:spacing w:after="0" w:line="240" w:lineRule="auto"/>
              <w:jc w:val="center"/>
              <w:rPr>
                <w:lang w:val="es-DO" w:eastAsia="es-DO"/>
              </w:rPr>
            </w:pPr>
            <w:r w:rsidRPr="004C1B2F">
              <w:rPr>
                <w:lang w:val="es-DO" w:eastAsia="es-DO"/>
              </w:rPr>
              <w:t>5,805</w:t>
            </w:r>
          </w:p>
        </w:tc>
      </w:tr>
      <w:tr w:rsidR="004921FF" w:rsidRPr="004C1B2F" w14:paraId="693928A3" w14:textId="77777777" w:rsidTr="00761840">
        <w:trPr>
          <w:trHeight w:val="294"/>
          <w:jc w:val="center"/>
        </w:trPr>
        <w:tc>
          <w:tcPr>
            <w:tcW w:w="2074" w:type="dxa"/>
            <w:noWrap/>
            <w:vAlign w:val="center"/>
            <w:hideMark/>
          </w:tcPr>
          <w:p w14:paraId="7723BD72" w14:textId="77777777" w:rsidR="004E35D4" w:rsidRPr="004C1B2F" w:rsidRDefault="004E35D4" w:rsidP="004C1B2F">
            <w:pPr>
              <w:spacing w:after="0" w:line="240" w:lineRule="auto"/>
              <w:rPr>
                <w:lang w:val="es-DO" w:eastAsia="es-DO"/>
              </w:rPr>
            </w:pPr>
            <w:r w:rsidRPr="004C1B2F">
              <w:rPr>
                <w:lang w:val="es-DO" w:eastAsia="es-DO"/>
              </w:rPr>
              <w:t>ARS CMD</w:t>
            </w:r>
          </w:p>
        </w:tc>
        <w:tc>
          <w:tcPr>
            <w:tcW w:w="1607" w:type="dxa"/>
            <w:noWrap/>
            <w:vAlign w:val="center"/>
            <w:hideMark/>
          </w:tcPr>
          <w:p w14:paraId="3127B22E" w14:textId="77777777" w:rsidR="004E35D4" w:rsidRPr="004C1B2F" w:rsidRDefault="004E35D4" w:rsidP="004C1B2F">
            <w:pPr>
              <w:spacing w:after="0" w:line="240" w:lineRule="auto"/>
              <w:jc w:val="center"/>
              <w:rPr>
                <w:lang w:val="es-DO" w:eastAsia="es-DO"/>
              </w:rPr>
            </w:pPr>
            <w:r w:rsidRPr="004C1B2F">
              <w:rPr>
                <w:lang w:val="es-DO" w:eastAsia="es-DO"/>
              </w:rPr>
              <w:t>4,715</w:t>
            </w:r>
          </w:p>
        </w:tc>
        <w:tc>
          <w:tcPr>
            <w:tcW w:w="1984" w:type="dxa"/>
            <w:noWrap/>
            <w:vAlign w:val="center"/>
            <w:hideMark/>
          </w:tcPr>
          <w:p w14:paraId="5AEB5A9D" w14:textId="77777777" w:rsidR="004E35D4" w:rsidRPr="004C1B2F" w:rsidRDefault="004E35D4" w:rsidP="004C1B2F">
            <w:pPr>
              <w:spacing w:after="0" w:line="240" w:lineRule="auto"/>
              <w:jc w:val="center"/>
              <w:rPr>
                <w:lang w:val="es-DO" w:eastAsia="es-DO"/>
              </w:rPr>
            </w:pPr>
            <w:r w:rsidRPr="004C1B2F">
              <w:rPr>
                <w:lang w:val="es-DO" w:eastAsia="es-DO"/>
              </w:rPr>
              <w:t>26,183</w:t>
            </w:r>
          </w:p>
        </w:tc>
        <w:tc>
          <w:tcPr>
            <w:tcW w:w="1625" w:type="dxa"/>
            <w:vAlign w:val="center"/>
            <w:hideMark/>
          </w:tcPr>
          <w:p w14:paraId="120012F4" w14:textId="77777777" w:rsidR="004E35D4" w:rsidRPr="004C1B2F" w:rsidRDefault="004E35D4" w:rsidP="004C1B2F">
            <w:pPr>
              <w:spacing w:after="0" w:line="240" w:lineRule="auto"/>
              <w:jc w:val="center"/>
              <w:rPr>
                <w:lang w:val="es-DO" w:eastAsia="es-DO"/>
              </w:rPr>
            </w:pPr>
            <w:r w:rsidRPr="004C1B2F">
              <w:rPr>
                <w:lang w:val="es-DO" w:eastAsia="es-DO"/>
              </w:rPr>
              <w:t>3,566</w:t>
            </w:r>
          </w:p>
        </w:tc>
        <w:tc>
          <w:tcPr>
            <w:tcW w:w="1584" w:type="dxa"/>
            <w:noWrap/>
            <w:vAlign w:val="center"/>
            <w:hideMark/>
          </w:tcPr>
          <w:p w14:paraId="27E3CCEB" w14:textId="77777777" w:rsidR="004E35D4" w:rsidRPr="004C1B2F" w:rsidRDefault="004E35D4" w:rsidP="004C1B2F">
            <w:pPr>
              <w:spacing w:after="0" w:line="240" w:lineRule="auto"/>
              <w:jc w:val="center"/>
              <w:rPr>
                <w:lang w:val="es-DO" w:eastAsia="es-DO"/>
              </w:rPr>
            </w:pPr>
            <w:r w:rsidRPr="004C1B2F">
              <w:rPr>
                <w:lang w:val="es-DO" w:eastAsia="es-DO"/>
              </w:rPr>
              <w:t>34,464</w:t>
            </w:r>
          </w:p>
        </w:tc>
      </w:tr>
      <w:tr w:rsidR="004921FF" w:rsidRPr="004C1B2F" w14:paraId="1840891A" w14:textId="77777777" w:rsidTr="00761840">
        <w:trPr>
          <w:trHeight w:val="294"/>
          <w:jc w:val="center"/>
        </w:trPr>
        <w:tc>
          <w:tcPr>
            <w:tcW w:w="2074" w:type="dxa"/>
            <w:noWrap/>
            <w:vAlign w:val="center"/>
            <w:hideMark/>
          </w:tcPr>
          <w:p w14:paraId="50D8EA2D" w14:textId="77777777" w:rsidR="004E35D4" w:rsidRPr="004C1B2F" w:rsidRDefault="004E35D4" w:rsidP="004C1B2F">
            <w:pPr>
              <w:spacing w:after="0" w:line="240" w:lineRule="auto"/>
              <w:rPr>
                <w:lang w:eastAsia="es-DO"/>
              </w:rPr>
            </w:pPr>
            <w:r w:rsidRPr="004C1B2F">
              <w:rPr>
                <w:lang w:eastAsia="es-DO"/>
              </w:rPr>
              <w:t>ARS DR. YUNEN, S. A.</w:t>
            </w:r>
          </w:p>
        </w:tc>
        <w:tc>
          <w:tcPr>
            <w:tcW w:w="1607" w:type="dxa"/>
            <w:noWrap/>
            <w:vAlign w:val="center"/>
            <w:hideMark/>
          </w:tcPr>
          <w:p w14:paraId="2C9CAEF1" w14:textId="77777777" w:rsidR="004E35D4" w:rsidRPr="004C1B2F" w:rsidRDefault="004E35D4" w:rsidP="004C1B2F">
            <w:pPr>
              <w:spacing w:after="0" w:line="240" w:lineRule="auto"/>
              <w:jc w:val="center"/>
              <w:rPr>
                <w:lang w:val="es-DO" w:eastAsia="es-DO"/>
              </w:rPr>
            </w:pPr>
            <w:r w:rsidRPr="004C1B2F">
              <w:rPr>
                <w:lang w:val="es-DO" w:eastAsia="es-DO"/>
              </w:rPr>
              <w:t>6,937</w:t>
            </w:r>
          </w:p>
        </w:tc>
        <w:tc>
          <w:tcPr>
            <w:tcW w:w="1984" w:type="dxa"/>
            <w:noWrap/>
            <w:vAlign w:val="center"/>
            <w:hideMark/>
          </w:tcPr>
          <w:p w14:paraId="11F0314A" w14:textId="77777777" w:rsidR="004E35D4" w:rsidRPr="004C1B2F" w:rsidRDefault="004E35D4" w:rsidP="004C1B2F">
            <w:pPr>
              <w:spacing w:after="0" w:line="240" w:lineRule="auto"/>
              <w:jc w:val="center"/>
              <w:rPr>
                <w:lang w:val="es-DO" w:eastAsia="es-DO"/>
              </w:rPr>
            </w:pPr>
            <w:r w:rsidRPr="004C1B2F">
              <w:rPr>
                <w:lang w:val="es-DO" w:eastAsia="es-DO"/>
              </w:rPr>
              <w:t>142,821</w:t>
            </w:r>
          </w:p>
        </w:tc>
        <w:tc>
          <w:tcPr>
            <w:tcW w:w="1625" w:type="dxa"/>
            <w:vAlign w:val="center"/>
            <w:hideMark/>
          </w:tcPr>
          <w:p w14:paraId="469FA046" w14:textId="77777777" w:rsidR="004E35D4" w:rsidRPr="004C1B2F" w:rsidRDefault="004E35D4" w:rsidP="004C1B2F">
            <w:pPr>
              <w:spacing w:after="0" w:line="240" w:lineRule="auto"/>
              <w:jc w:val="center"/>
              <w:rPr>
                <w:lang w:val="es-DO" w:eastAsia="es-DO"/>
              </w:rPr>
            </w:pPr>
            <w:r w:rsidRPr="004C1B2F">
              <w:rPr>
                <w:lang w:val="es-DO" w:eastAsia="es-DO"/>
              </w:rPr>
              <w:t>18,788</w:t>
            </w:r>
          </w:p>
        </w:tc>
        <w:tc>
          <w:tcPr>
            <w:tcW w:w="1584" w:type="dxa"/>
            <w:noWrap/>
            <w:vAlign w:val="center"/>
            <w:hideMark/>
          </w:tcPr>
          <w:p w14:paraId="74D486B3" w14:textId="77777777" w:rsidR="004E35D4" w:rsidRPr="004C1B2F" w:rsidRDefault="004E35D4" w:rsidP="004C1B2F">
            <w:pPr>
              <w:spacing w:after="0" w:line="240" w:lineRule="auto"/>
              <w:jc w:val="center"/>
              <w:rPr>
                <w:lang w:val="es-DO" w:eastAsia="es-DO"/>
              </w:rPr>
            </w:pPr>
            <w:r w:rsidRPr="004C1B2F">
              <w:rPr>
                <w:lang w:val="es-DO" w:eastAsia="es-DO"/>
              </w:rPr>
              <w:t>168,546</w:t>
            </w:r>
          </w:p>
        </w:tc>
      </w:tr>
      <w:tr w:rsidR="004921FF" w:rsidRPr="004C1B2F" w14:paraId="1CE207A2" w14:textId="77777777" w:rsidTr="00761840">
        <w:trPr>
          <w:trHeight w:val="294"/>
          <w:jc w:val="center"/>
        </w:trPr>
        <w:tc>
          <w:tcPr>
            <w:tcW w:w="2074" w:type="dxa"/>
            <w:noWrap/>
            <w:vAlign w:val="center"/>
            <w:hideMark/>
          </w:tcPr>
          <w:p w14:paraId="7ED85886" w14:textId="77777777" w:rsidR="004E35D4" w:rsidRPr="004C1B2F" w:rsidRDefault="004E35D4" w:rsidP="004C1B2F">
            <w:pPr>
              <w:spacing w:after="0" w:line="240" w:lineRule="auto"/>
              <w:rPr>
                <w:lang w:val="es-DO" w:eastAsia="es-DO"/>
              </w:rPr>
            </w:pPr>
            <w:r w:rsidRPr="004C1B2F">
              <w:rPr>
                <w:lang w:val="es-DO" w:eastAsia="es-DO"/>
              </w:rPr>
              <w:t>ARS FUTURO S. A.</w:t>
            </w:r>
          </w:p>
        </w:tc>
        <w:tc>
          <w:tcPr>
            <w:tcW w:w="1607" w:type="dxa"/>
            <w:noWrap/>
            <w:vAlign w:val="center"/>
            <w:hideMark/>
          </w:tcPr>
          <w:p w14:paraId="4CC901B8" w14:textId="77777777" w:rsidR="004E35D4" w:rsidRPr="004C1B2F" w:rsidRDefault="004E35D4" w:rsidP="004C1B2F">
            <w:pPr>
              <w:spacing w:after="0" w:line="240" w:lineRule="auto"/>
              <w:jc w:val="center"/>
              <w:rPr>
                <w:lang w:val="es-DO" w:eastAsia="es-DO"/>
              </w:rPr>
            </w:pPr>
            <w:r w:rsidRPr="004C1B2F">
              <w:rPr>
                <w:lang w:val="es-DO" w:eastAsia="es-DO"/>
              </w:rPr>
              <w:t>31,174</w:t>
            </w:r>
          </w:p>
        </w:tc>
        <w:tc>
          <w:tcPr>
            <w:tcW w:w="1984" w:type="dxa"/>
            <w:noWrap/>
            <w:vAlign w:val="center"/>
            <w:hideMark/>
          </w:tcPr>
          <w:p w14:paraId="5653BF31" w14:textId="77777777" w:rsidR="004E35D4" w:rsidRPr="004C1B2F" w:rsidRDefault="004E35D4" w:rsidP="004C1B2F">
            <w:pPr>
              <w:spacing w:after="0" w:line="240" w:lineRule="auto"/>
              <w:jc w:val="center"/>
              <w:rPr>
                <w:lang w:val="es-DO" w:eastAsia="es-DO"/>
              </w:rPr>
            </w:pPr>
            <w:r w:rsidRPr="004C1B2F">
              <w:rPr>
                <w:lang w:val="es-DO" w:eastAsia="es-DO"/>
              </w:rPr>
              <w:t>143,271</w:t>
            </w:r>
          </w:p>
        </w:tc>
        <w:tc>
          <w:tcPr>
            <w:tcW w:w="1625" w:type="dxa"/>
            <w:vAlign w:val="center"/>
            <w:hideMark/>
          </w:tcPr>
          <w:p w14:paraId="65DAA25A" w14:textId="77777777" w:rsidR="004E35D4" w:rsidRPr="004C1B2F" w:rsidRDefault="004E35D4" w:rsidP="004C1B2F">
            <w:pPr>
              <w:spacing w:after="0" w:line="240" w:lineRule="auto"/>
              <w:jc w:val="center"/>
              <w:rPr>
                <w:lang w:val="es-DO" w:eastAsia="es-DO"/>
              </w:rPr>
            </w:pPr>
            <w:r w:rsidRPr="004C1B2F">
              <w:rPr>
                <w:lang w:val="es-DO" w:eastAsia="es-DO"/>
              </w:rPr>
              <w:t>17,440</w:t>
            </w:r>
          </w:p>
        </w:tc>
        <w:tc>
          <w:tcPr>
            <w:tcW w:w="1584" w:type="dxa"/>
            <w:noWrap/>
            <w:vAlign w:val="center"/>
            <w:hideMark/>
          </w:tcPr>
          <w:p w14:paraId="0F933196" w14:textId="77777777" w:rsidR="004E35D4" w:rsidRPr="004C1B2F" w:rsidRDefault="004E35D4" w:rsidP="004C1B2F">
            <w:pPr>
              <w:spacing w:after="0" w:line="240" w:lineRule="auto"/>
              <w:jc w:val="center"/>
              <w:rPr>
                <w:lang w:val="es-DO" w:eastAsia="es-DO"/>
              </w:rPr>
            </w:pPr>
            <w:r w:rsidRPr="004C1B2F">
              <w:rPr>
                <w:lang w:val="es-DO" w:eastAsia="es-DO"/>
              </w:rPr>
              <w:t>191,885</w:t>
            </w:r>
          </w:p>
        </w:tc>
      </w:tr>
      <w:tr w:rsidR="004921FF" w:rsidRPr="004C1B2F" w14:paraId="5D58E491" w14:textId="77777777" w:rsidTr="00761840">
        <w:trPr>
          <w:trHeight w:val="294"/>
          <w:jc w:val="center"/>
        </w:trPr>
        <w:tc>
          <w:tcPr>
            <w:tcW w:w="2074" w:type="dxa"/>
            <w:noWrap/>
            <w:vAlign w:val="center"/>
            <w:hideMark/>
          </w:tcPr>
          <w:p w14:paraId="264B97E9" w14:textId="77777777" w:rsidR="004E35D4" w:rsidRPr="004C1B2F" w:rsidRDefault="004E35D4" w:rsidP="004C1B2F">
            <w:pPr>
              <w:spacing w:after="0" w:line="240" w:lineRule="auto"/>
              <w:rPr>
                <w:lang w:val="es-DO" w:eastAsia="es-DO"/>
              </w:rPr>
            </w:pPr>
            <w:r w:rsidRPr="004C1B2F">
              <w:rPr>
                <w:lang w:val="es-DO" w:eastAsia="es-DO"/>
              </w:rPr>
              <w:t>ARS GRUPO MEDICO ASOCIADO</w:t>
            </w:r>
          </w:p>
        </w:tc>
        <w:tc>
          <w:tcPr>
            <w:tcW w:w="1607" w:type="dxa"/>
            <w:noWrap/>
            <w:vAlign w:val="center"/>
            <w:hideMark/>
          </w:tcPr>
          <w:p w14:paraId="3D0F991D" w14:textId="77777777" w:rsidR="004E35D4" w:rsidRPr="004C1B2F" w:rsidRDefault="004E35D4" w:rsidP="004C1B2F">
            <w:pPr>
              <w:spacing w:after="0" w:line="240" w:lineRule="auto"/>
              <w:jc w:val="center"/>
              <w:rPr>
                <w:lang w:val="es-DO" w:eastAsia="es-DO"/>
              </w:rPr>
            </w:pPr>
            <w:r w:rsidRPr="004C1B2F">
              <w:rPr>
                <w:lang w:val="es-DO" w:eastAsia="es-DO"/>
              </w:rPr>
              <w:t>4,973</w:t>
            </w:r>
          </w:p>
        </w:tc>
        <w:tc>
          <w:tcPr>
            <w:tcW w:w="1984" w:type="dxa"/>
            <w:noWrap/>
            <w:vAlign w:val="center"/>
            <w:hideMark/>
          </w:tcPr>
          <w:p w14:paraId="1A71D4B7" w14:textId="77777777" w:rsidR="004E35D4" w:rsidRPr="004C1B2F" w:rsidRDefault="004E35D4" w:rsidP="004C1B2F">
            <w:pPr>
              <w:spacing w:after="0" w:line="240" w:lineRule="auto"/>
              <w:jc w:val="center"/>
              <w:rPr>
                <w:lang w:val="es-DO" w:eastAsia="es-DO"/>
              </w:rPr>
            </w:pPr>
            <w:r w:rsidRPr="004C1B2F">
              <w:rPr>
                <w:lang w:val="es-DO" w:eastAsia="es-DO"/>
              </w:rPr>
              <w:t>25,526</w:t>
            </w:r>
          </w:p>
        </w:tc>
        <w:tc>
          <w:tcPr>
            <w:tcW w:w="1625" w:type="dxa"/>
            <w:vAlign w:val="center"/>
            <w:hideMark/>
          </w:tcPr>
          <w:p w14:paraId="1BFA2888" w14:textId="77777777" w:rsidR="004E35D4" w:rsidRPr="004C1B2F" w:rsidRDefault="004E35D4" w:rsidP="004C1B2F">
            <w:pPr>
              <w:spacing w:after="0" w:line="240" w:lineRule="auto"/>
              <w:jc w:val="center"/>
              <w:rPr>
                <w:lang w:val="es-DO" w:eastAsia="es-DO"/>
              </w:rPr>
            </w:pPr>
            <w:r w:rsidRPr="004C1B2F">
              <w:rPr>
                <w:lang w:val="es-DO" w:eastAsia="es-DO"/>
              </w:rPr>
              <w:t>4,003</w:t>
            </w:r>
          </w:p>
        </w:tc>
        <w:tc>
          <w:tcPr>
            <w:tcW w:w="1584" w:type="dxa"/>
            <w:noWrap/>
            <w:vAlign w:val="center"/>
            <w:hideMark/>
          </w:tcPr>
          <w:p w14:paraId="66F197C9" w14:textId="77777777" w:rsidR="004E35D4" w:rsidRPr="004C1B2F" w:rsidRDefault="004E35D4" w:rsidP="004C1B2F">
            <w:pPr>
              <w:spacing w:after="0" w:line="240" w:lineRule="auto"/>
              <w:jc w:val="center"/>
              <w:rPr>
                <w:lang w:val="es-DO" w:eastAsia="es-DO"/>
              </w:rPr>
            </w:pPr>
            <w:r w:rsidRPr="004C1B2F">
              <w:rPr>
                <w:lang w:val="es-DO" w:eastAsia="es-DO"/>
              </w:rPr>
              <w:t>34,502</w:t>
            </w:r>
          </w:p>
        </w:tc>
      </w:tr>
      <w:tr w:rsidR="004921FF" w:rsidRPr="004C1B2F" w14:paraId="0E01DB2D" w14:textId="77777777" w:rsidTr="00761840">
        <w:trPr>
          <w:trHeight w:val="294"/>
          <w:jc w:val="center"/>
        </w:trPr>
        <w:tc>
          <w:tcPr>
            <w:tcW w:w="2074" w:type="dxa"/>
            <w:noWrap/>
            <w:vAlign w:val="center"/>
            <w:hideMark/>
          </w:tcPr>
          <w:p w14:paraId="364573C1" w14:textId="77777777" w:rsidR="004E35D4" w:rsidRPr="004C1B2F" w:rsidRDefault="004E35D4" w:rsidP="004C1B2F">
            <w:pPr>
              <w:spacing w:after="0" w:line="240" w:lineRule="auto"/>
              <w:rPr>
                <w:lang w:val="es-DO" w:eastAsia="es-DO"/>
              </w:rPr>
            </w:pPr>
            <w:r w:rsidRPr="004C1B2F">
              <w:rPr>
                <w:lang w:val="es-DO" w:eastAsia="es-DO"/>
              </w:rPr>
              <w:t>ARS METASALUD</w:t>
            </w:r>
          </w:p>
        </w:tc>
        <w:tc>
          <w:tcPr>
            <w:tcW w:w="1607" w:type="dxa"/>
            <w:noWrap/>
            <w:vAlign w:val="center"/>
            <w:hideMark/>
          </w:tcPr>
          <w:p w14:paraId="21768E3A" w14:textId="77777777" w:rsidR="004E35D4" w:rsidRPr="004C1B2F" w:rsidRDefault="004E35D4" w:rsidP="004C1B2F">
            <w:pPr>
              <w:spacing w:after="0" w:line="240" w:lineRule="auto"/>
              <w:jc w:val="center"/>
              <w:rPr>
                <w:lang w:val="es-DO" w:eastAsia="es-DO"/>
              </w:rPr>
            </w:pPr>
            <w:r w:rsidRPr="004C1B2F">
              <w:rPr>
                <w:lang w:val="es-DO" w:eastAsia="es-DO"/>
              </w:rPr>
              <w:t>10,324</w:t>
            </w:r>
          </w:p>
        </w:tc>
        <w:tc>
          <w:tcPr>
            <w:tcW w:w="1984" w:type="dxa"/>
            <w:noWrap/>
            <w:vAlign w:val="center"/>
            <w:hideMark/>
          </w:tcPr>
          <w:p w14:paraId="5C3B1C1D" w14:textId="77777777" w:rsidR="004E35D4" w:rsidRPr="004C1B2F" w:rsidRDefault="004E35D4" w:rsidP="004C1B2F">
            <w:pPr>
              <w:spacing w:after="0" w:line="240" w:lineRule="auto"/>
              <w:jc w:val="center"/>
              <w:rPr>
                <w:lang w:val="es-DO" w:eastAsia="es-DO"/>
              </w:rPr>
            </w:pPr>
            <w:r w:rsidRPr="004C1B2F">
              <w:rPr>
                <w:lang w:val="es-DO" w:eastAsia="es-DO"/>
              </w:rPr>
              <w:t>29,205</w:t>
            </w:r>
          </w:p>
        </w:tc>
        <w:tc>
          <w:tcPr>
            <w:tcW w:w="1625" w:type="dxa"/>
            <w:vAlign w:val="center"/>
            <w:hideMark/>
          </w:tcPr>
          <w:p w14:paraId="62B26497" w14:textId="77777777" w:rsidR="004E35D4" w:rsidRPr="004C1B2F" w:rsidRDefault="004E35D4" w:rsidP="004C1B2F">
            <w:pPr>
              <w:spacing w:after="0" w:line="240" w:lineRule="auto"/>
              <w:jc w:val="center"/>
              <w:rPr>
                <w:lang w:val="es-DO" w:eastAsia="es-DO"/>
              </w:rPr>
            </w:pPr>
            <w:r w:rsidRPr="004C1B2F">
              <w:rPr>
                <w:lang w:val="es-DO" w:eastAsia="es-DO"/>
              </w:rPr>
              <w:t>3,126</w:t>
            </w:r>
          </w:p>
        </w:tc>
        <w:tc>
          <w:tcPr>
            <w:tcW w:w="1584" w:type="dxa"/>
            <w:noWrap/>
            <w:vAlign w:val="center"/>
            <w:hideMark/>
          </w:tcPr>
          <w:p w14:paraId="70C9EFCF" w14:textId="77777777" w:rsidR="004E35D4" w:rsidRPr="004C1B2F" w:rsidRDefault="004E35D4" w:rsidP="004C1B2F">
            <w:pPr>
              <w:spacing w:after="0" w:line="240" w:lineRule="auto"/>
              <w:jc w:val="center"/>
              <w:rPr>
                <w:lang w:val="es-DO" w:eastAsia="es-DO"/>
              </w:rPr>
            </w:pPr>
            <w:r w:rsidRPr="004C1B2F">
              <w:rPr>
                <w:lang w:val="es-DO" w:eastAsia="es-DO"/>
              </w:rPr>
              <w:t>42,655</w:t>
            </w:r>
          </w:p>
        </w:tc>
      </w:tr>
      <w:tr w:rsidR="004921FF" w:rsidRPr="004C1B2F" w14:paraId="5BF0406C" w14:textId="77777777" w:rsidTr="00761840">
        <w:trPr>
          <w:trHeight w:val="294"/>
          <w:jc w:val="center"/>
        </w:trPr>
        <w:tc>
          <w:tcPr>
            <w:tcW w:w="2074" w:type="dxa"/>
            <w:noWrap/>
            <w:vAlign w:val="center"/>
            <w:hideMark/>
          </w:tcPr>
          <w:p w14:paraId="7842144D" w14:textId="77777777" w:rsidR="004E35D4" w:rsidRPr="004C1B2F" w:rsidRDefault="004E35D4" w:rsidP="004C1B2F">
            <w:pPr>
              <w:spacing w:after="0" w:line="240" w:lineRule="auto"/>
              <w:rPr>
                <w:lang w:val="es-DO" w:eastAsia="es-DO"/>
              </w:rPr>
            </w:pPr>
            <w:r w:rsidRPr="004C1B2F">
              <w:rPr>
                <w:lang w:val="es-DO" w:eastAsia="es-DO"/>
              </w:rPr>
              <w:t>ARS MONUMENTAL</w:t>
            </w:r>
          </w:p>
        </w:tc>
        <w:tc>
          <w:tcPr>
            <w:tcW w:w="1607" w:type="dxa"/>
            <w:noWrap/>
            <w:vAlign w:val="center"/>
            <w:hideMark/>
          </w:tcPr>
          <w:p w14:paraId="1A11CEB4" w14:textId="77777777" w:rsidR="004E35D4" w:rsidRPr="004C1B2F" w:rsidRDefault="004E35D4" w:rsidP="004C1B2F">
            <w:pPr>
              <w:spacing w:after="0" w:line="240" w:lineRule="auto"/>
              <w:jc w:val="center"/>
              <w:rPr>
                <w:lang w:val="es-DO" w:eastAsia="es-DO"/>
              </w:rPr>
            </w:pPr>
            <w:r w:rsidRPr="004C1B2F">
              <w:rPr>
                <w:lang w:val="es-DO" w:eastAsia="es-DO"/>
              </w:rPr>
              <w:t>16,756</w:t>
            </w:r>
          </w:p>
        </w:tc>
        <w:tc>
          <w:tcPr>
            <w:tcW w:w="1984" w:type="dxa"/>
            <w:noWrap/>
            <w:vAlign w:val="center"/>
            <w:hideMark/>
          </w:tcPr>
          <w:p w14:paraId="38338544" w14:textId="77777777" w:rsidR="004E35D4" w:rsidRPr="004C1B2F" w:rsidRDefault="004E35D4" w:rsidP="004C1B2F">
            <w:pPr>
              <w:spacing w:after="0" w:line="240" w:lineRule="auto"/>
              <w:jc w:val="center"/>
              <w:rPr>
                <w:lang w:val="es-DO" w:eastAsia="es-DO"/>
              </w:rPr>
            </w:pPr>
            <w:r w:rsidRPr="004C1B2F">
              <w:rPr>
                <w:lang w:val="es-DO" w:eastAsia="es-DO"/>
              </w:rPr>
              <w:t>211,691</w:t>
            </w:r>
          </w:p>
        </w:tc>
        <w:tc>
          <w:tcPr>
            <w:tcW w:w="1625" w:type="dxa"/>
            <w:vAlign w:val="center"/>
            <w:hideMark/>
          </w:tcPr>
          <w:p w14:paraId="2B8C4C2F" w14:textId="77777777" w:rsidR="004E35D4" w:rsidRPr="004C1B2F" w:rsidRDefault="004E35D4" w:rsidP="004C1B2F">
            <w:pPr>
              <w:spacing w:after="0" w:line="240" w:lineRule="auto"/>
              <w:jc w:val="center"/>
              <w:rPr>
                <w:lang w:val="es-DO" w:eastAsia="es-DO"/>
              </w:rPr>
            </w:pPr>
            <w:r w:rsidRPr="004C1B2F">
              <w:rPr>
                <w:lang w:val="es-DO" w:eastAsia="es-DO"/>
              </w:rPr>
              <w:t>33,526</w:t>
            </w:r>
          </w:p>
        </w:tc>
        <w:tc>
          <w:tcPr>
            <w:tcW w:w="1584" w:type="dxa"/>
            <w:noWrap/>
            <w:vAlign w:val="center"/>
            <w:hideMark/>
          </w:tcPr>
          <w:p w14:paraId="40536FAE" w14:textId="77777777" w:rsidR="004E35D4" w:rsidRPr="004C1B2F" w:rsidRDefault="004E35D4" w:rsidP="004C1B2F">
            <w:pPr>
              <w:spacing w:after="0" w:line="240" w:lineRule="auto"/>
              <w:jc w:val="center"/>
              <w:rPr>
                <w:lang w:val="es-DO" w:eastAsia="es-DO"/>
              </w:rPr>
            </w:pPr>
            <w:r w:rsidRPr="004C1B2F">
              <w:rPr>
                <w:lang w:val="es-DO" w:eastAsia="es-DO"/>
              </w:rPr>
              <w:t>261,973</w:t>
            </w:r>
          </w:p>
        </w:tc>
      </w:tr>
      <w:tr w:rsidR="004921FF" w:rsidRPr="004C1B2F" w14:paraId="647C9A49" w14:textId="77777777" w:rsidTr="00761840">
        <w:trPr>
          <w:trHeight w:val="294"/>
          <w:jc w:val="center"/>
        </w:trPr>
        <w:tc>
          <w:tcPr>
            <w:tcW w:w="2074" w:type="dxa"/>
            <w:noWrap/>
            <w:vAlign w:val="center"/>
            <w:hideMark/>
          </w:tcPr>
          <w:p w14:paraId="2AE463C0" w14:textId="4CF555D8" w:rsidR="004E35D4" w:rsidRPr="004C1B2F" w:rsidRDefault="004E35D4" w:rsidP="004C1B2F">
            <w:pPr>
              <w:spacing w:after="0" w:line="240" w:lineRule="auto"/>
              <w:rPr>
                <w:lang w:val="es-DO" w:eastAsia="es-DO"/>
              </w:rPr>
            </w:pPr>
            <w:r w:rsidRPr="004C1B2F">
              <w:rPr>
                <w:lang w:val="es-DO" w:eastAsia="es-DO"/>
              </w:rPr>
              <w:lastRenderedPageBreak/>
              <w:t>ARS PRIMERA, S.A</w:t>
            </w:r>
            <w:r w:rsidR="00761840" w:rsidRPr="004C1B2F">
              <w:rPr>
                <w:lang w:val="es-DO" w:eastAsia="es-DO"/>
              </w:rPr>
              <w:t>.</w:t>
            </w:r>
          </w:p>
        </w:tc>
        <w:tc>
          <w:tcPr>
            <w:tcW w:w="1607" w:type="dxa"/>
            <w:noWrap/>
            <w:vAlign w:val="center"/>
            <w:hideMark/>
          </w:tcPr>
          <w:p w14:paraId="16D38189" w14:textId="77777777" w:rsidR="004E35D4" w:rsidRPr="004C1B2F" w:rsidRDefault="004E35D4" w:rsidP="004C1B2F">
            <w:pPr>
              <w:spacing w:after="0" w:line="240" w:lineRule="auto"/>
              <w:jc w:val="center"/>
              <w:rPr>
                <w:lang w:val="es-DO" w:eastAsia="es-DO"/>
              </w:rPr>
            </w:pPr>
            <w:r w:rsidRPr="004C1B2F">
              <w:rPr>
                <w:lang w:val="es-DO" w:eastAsia="es-DO"/>
              </w:rPr>
              <w:t>190,516</w:t>
            </w:r>
          </w:p>
        </w:tc>
        <w:tc>
          <w:tcPr>
            <w:tcW w:w="1984" w:type="dxa"/>
            <w:noWrap/>
            <w:vAlign w:val="center"/>
            <w:hideMark/>
          </w:tcPr>
          <w:p w14:paraId="4B1D34DE" w14:textId="77777777" w:rsidR="004E35D4" w:rsidRPr="004C1B2F" w:rsidRDefault="004E35D4" w:rsidP="004C1B2F">
            <w:pPr>
              <w:spacing w:after="0" w:line="240" w:lineRule="auto"/>
              <w:jc w:val="center"/>
              <w:rPr>
                <w:lang w:val="es-DO" w:eastAsia="es-DO"/>
              </w:rPr>
            </w:pPr>
            <w:r w:rsidRPr="004C1B2F">
              <w:rPr>
                <w:lang w:val="es-DO" w:eastAsia="es-DO"/>
              </w:rPr>
              <w:t>626,226</w:t>
            </w:r>
          </w:p>
        </w:tc>
        <w:tc>
          <w:tcPr>
            <w:tcW w:w="1625" w:type="dxa"/>
            <w:vAlign w:val="center"/>
            <w:hideMark/>
          </w:tcPr>
          <w:p w14:paraId="3A820928" w14:textId="77777777" w:rsidR="004E35D4" w:rsidRPr="004C1B2F" w:rsidRDefault="004E35D4" w:rsidP="004C1B2F">
            <w:pPr>
              <w:spacing w:after="0" w:line="240" w:lineRule="auto"/>
              <w:jc w:val="center"/>
              <w:rPr>
                <w:lang w:val="es-DO" w:eastAsia="es-DO"/>
              </w:rPr>
            </w:pPr>
            <w:r w:rsidRPr="004C1B2F">
              <w:rPr>
                <w:lang w:val="es-DO" w:eastAsia="es-DO"/>
              </w:rPr>
              <w:t>268,384</w:t>
            </w:r>
          </w:p>
        </w:tc>
        <w:tc>
          <w:tcPr>
            <w:tcW w:w="1584" w:type="dxa"/>
            <w:noWrap/>
            <w:vAlign w:val="center"/>
            <w:hideMark/>
          </w:tcPr>
          <w:p w14:paraId="29A61B93" w14:textId="77777777" w:rsidR="004E35D4" w:rsidRPr="004C1B2F" w:rsidRDefault="004E35D4" w:rsidP="004C1B2F">
            <w:pPr>
              <w:spacing w:after="0" w:line="240" w:lineRule="auto"/>
              <w:jc w:val="center"/>
              <w:rPr>
                <w:lang w:val="es-DO" w:eastAsia="es-DO"/>
              </w:rPr>
            </w:pPr>
            <w:r w:rsidRPr="004C1B2F">
              <w:rPr>
                <w:lang w:val="es-DO" w:eastAsia="es-DO"/>
              </w:rPr>
              <w:t>1,085,126</w:t>
            </w:r>
          </w:p>
        </w:tc>
      </w:tr>
      <w:tr w:rsidR="004921FF" w:rsidRPr="004C1B2F" w14:paraId="64A8B10B" w14:textId="77777777" w:rsidTr="00761840">
        <w:trPr>
          <w:trHeight w:val="294"/>
          <w:jc w:val="center"/>
        </w:trPr>
        <w:tc>
          <w:tcPr>
            <w:tcW w:w="2074" w:type="dxa"/>
            <w:noWrap/>
            <w:vAlign w:val="center"/>
            <w:hideMark/>
          </w:tcPr>
          <w:p w14:paraId="1B37D217" w14:textId="77777777" w:rsidR="004E35D4" w:rsidRPr="004C1B2F" w:rsidRDefault="004E35D4" w:rsidP="004C1B2F">
            <w:pPr>
              <w:spacing w:after="0" w:line="240" w:lineRule="auto"/>
              <w:rPr>
                <w:lang w:val="es-DO" w:eastAsia="es-DO"/>
              </w:rPr>
            </w:pPr>
            <w:r w:rsidRPr="004C1B2F">
              <w:rPr>
                <w:lang w:val="es-DO" w:eastAsia="es-DO"/>
              </w:rPr>
              <w:t>ARS RENACER</w:t>
            </w:r>
          </w:p>
        </w:tc>
        <w:tc>
          <w:tcPr>
            <w:tcW w:w="1607" w:type="dxa"/>
            <w:noWrap/>
            <w:vAlign w:val="center"/>
            <w:hideMark/>
          </w:tcPr>
          <w:p w14:paraId="47838197" w14:textId="77777777" w:rsidR="004E35D4" w:rsidRPr="004C1B2F" w:rsidRDefault="004E35D4" w:rsidP="004C1B2F">
            <w:pPr>
              <w:spacing w:after="0" w:line="240" w:lineRule="auto"/>
              <w:jc w:val="center"/>
              <w:rPr>
                <w:lang w:val="es-DO" w:eastAsia="es-DO"/>
              </w:rPr>
            </w:pPr>
            <w:r w:rsidRPr="004C1B2F">
              <w:rPr>
                <w:lang w:val="es-DO" w:eastAsia="es-DO"/>
              </w:rPr>
              <w:t>17,417</w:t>
            </w:r>
          </w:p>
        </w:tc>
        <w:tc>
          <w:tcPr>
            <w:tcW w:w="1984" w:type="dxa"/>
            <w:noWrap/>
            <w:vAlign w:val="center"/>
            <w:hideMark/>
          </w:tcPr>
          <w:p w14:paraId="1B0F5167" w14:textId="77777777" w:rsidR="004E35D4" w:rsidRPr="004C1B2F" w:rsidRDefault="004E35D4" w:rsidP="004C1B2F">
            <w:pPr>
              <w:spacing w:after="0" w:line="240" w:lineRule="auto"/>
              <w:jc w:val="center"/>
              <w:rPr>
                <w:lang w:val="es-DO" w:eastAsia="es-DO"/>
              </w:rPr>
            </w:pPr>
            <w:r w:rsidRPr="004C1B2F">
              <w:rPr>
                <w:lang w:val="es-DO" w:eastAsia="es-DO"/>
              </w:rPr>
              <w:t>79,252</w:t>
            </w:r>
          </w:p>
        </w:tc>
        <w:tc>
          <w:tcPr>
            <w:tcW w:w="1625" w:type="dxa"/>
            <w:vAlign w:val="center"/>
            <w:hideMark/>
          </w:tcPr>
          <w:p w14:paraId="35B2A433" w14:textId="77777777" w:rsidR="004E35D4" w:rsidRPr="004C1B2F" w:rsidRDefault="004E35D4" w:rsidP="004C1B2F">
            <w:pPr>
              <w:spacing w:after="0" w:line="240" w:lineRule="auto"/>
              <w:jc w:val="center"/>
              <w:rPr>
                <w:lang w:val="es-DO" w:eastAsia="es-DO"/>
              </w:rPr>
            </w:pPr>
            <w:r w:rsidRPr="004C1B2F">
              <w:rPr>
                <w:lang w:val="es-DO" w:eastAsia="es-DO"/>
              </w:rPr>
              <w:t>14,407</w:t>
            </w:r>
          </w:p>
        </w:tc>
        <w:tc>
          <w:tcPr>
            <w:tcW w:w="1584" w:type="dxa"/>
            <w:noWrap/>
            <w:vAlign w:val="center"/>
            <w:hideMark/>
          </w:tcPr>
          <w:p w14:paraId="215212D1" w14:textId="77777777" w:rsidR="004E35D4" w:rsidRPr="004C1B2F" w:rsidRDefault="004E35D4" w:rsidP="004C1B2F">
            <w:pPr>
              <w:spacing w:after="0" w:line="240" w:lineRule="auto"/>
              <w:jc w:val="center"/>
              <w:rPr>
                <w:lang w:val="es-DO" w:eastAsia="es-DO"/>
              </w:rPr>
            </w:pPr>
            <w:r w:rsidRPr="004C1B2F">
              <w:rPr>
                <w:lang w:val="es-DO" w:eastAsia="es-DO"/>
              </w:rPr>
              <w:t>111,076</w:t>
            </w:r>
          </w:p>
        </w:tc>
      </w:tr>
      <w:tr w:rsidR="004921FF" w:rsidRPr="004C1B2F" w14:paraId="68B4BEA7" w14:textId="77777777" w:rsidTr="00761840">
        <w:trPr>
          <w:trHeight w:val="294"/>
          <w:jc w:val="center"/>
        </w:trPr>
        <w:tc>
          <w:tcPr>
            <w:tcW w:w="2074" w:type="dxa"/>
            <w:noWrap/>
            <w:vAlign w:val="center"/>
            <w:hideMark/>
          </w:tcPr>
          <w:p w14:paraId="369CDA06" w14:textId="77777777" w:rsidR="004E35D4" w:rsidRPr="004C1B2F" w:rsidRDefault="004E35D4" w:rsidP="004C1B2F">
            <w:pPr>
              <w:spacing w:after="0" w:line="240" w:lineRule="auto"/>
              <w:rPr>
                <w:lang w:val="es-DO" w:eastAsia="es-DO"/>
              </w:rPr>
            </w:pPr>
            <w:r w:rsidRPr="004C1B2F">
              <w:rPr>
                <w:lang w:val="es-DO" w:eastAsia="es-DO"/>
              </w:rPr>
              <w:t>ARS RESERVAS</w:t>
            </w:r>
          </w:p>
        </w:tc>
        <w:tc>
          <w:tcPr>
            <w:tcW w:w="1607" w:type="dxa"/>
            <w:noWrap/>
            <w:vAlign w:val="center"/>
            <w:hideMark/>
          </w:tcPr>
          <w:p w14:paraId="3A64E8A7" w14:textId="77777777" w:rsidR="004E35D4" w:rsidRPr="004C1B2F" w:rsidRDefault="004E35D4" w:rsidP="004C1B2F">
            <w:pPr>
              <w:spacing w:after="0" w:line="240" w:lineRule="auto"/>
              <w:jc w:val="center"/>
              <w:rPr>
                <w:lang w:val="es-DO" w:eastAsia="es-DO"/>
              </w:rPr>
            </w:pPr>
            <w:r w:rsidRPr="004C1B2F">
              <w:rPr>
                <w:lang w:val="es-DO" w:eastAsia="es-DO"/>
              </w:rPr>
              <w:t>11,000</w:t>
            </w:r>
          </w:p>
        </w:tc>
        <w:tc>
          <w:tcPr>
            <w:tcW w:w="1984" w:type="dxa"/>
            <w:noWrap/>
            <w:vAlign w:val="center"/>
            <w:hideMark/>
          </w:tcPr>
          <w:p w14:paraId="4C3E2BA7" w14:textId="77777777" w:rsidR="004E35D4" w:rsidRPr="004C1B2F" w:rsidRDefault="004E35D4" w:rsidP="004C1B2F">
            <w:pPr>
              <w:spacing w:after="0" w:line="240" w:lineRule="auto"/>
              <w:jc w:val="center"/>
              <w:rPr>
                <w:lang w:val="es-DO" w:eastAsia="es-DO"/>
              </w:rPr>
            </w:pPr>
            <w:r w:rsidRPr="004C1B2F">
              <w:rPr>
                <w:lang w:val="es-DO" w:eastAsia="es-DO"/>
              </w:rPr>
              <w:t>275,774</w:t>
            </w:r>
          </w:p>
        </w:tc>
        <w:tc>
          <w:tcPr>
            <w:tcW w:w="1625" w:type="dxa"/>
            <w:vAlign w:val="center"/>
            <w:hideMark/>
          </w:tcPr>
          <w:p w14:paraId="081D8F78" w14:textId="77777777" w:rsidR="004E35D4" w:rsidRPr="004C1B2F" w:rsidRDefault="004E35D4" w:rsidP="004C1B2F">
            <w:pPr>
              <w:spacing w:after="0" w:line="240" w:lineRule="auto"/>
              <w:jc w:val="center"/>
              <w:rPr>
                <w:lang w:val="es-DO" w:eastAsia="es-DO"/>
              </w:rPr>
            </w:pPr>
            <w:r w:rsidRPr="004C1B2F">
              <w:rPr>
                <w:lang w:val="es-DO" w:eastAsia="es-DO"/>
              </w:rPr>
              <w:t>22,573</w:t>
            </w:r>
          </w:p>
        </w:tc>
        <w:tc>
          <w:tcPr>
            <w:tcW w:w="1584" w:type="dxa"/>
            <w:noWrap/>
            <w:vAlign w:val="center"/>
            <w:hideMark/>
          </w:tcPr>
          <w:p w14:paraId="7115B459" w14:textId="77777777" w:rsidR="004E35D4" w:rsidRPr="004C1B2F" w:rsidRDefault="004E35D4" w:rsidP="004C1B2F">
            <w:pPr>
              <w:spacing w:after="0" w:line="240" w:lineRule="auto"/>
              <w:jc w:val="center"/>
              <w:rPr>
                <w:lang w:val="es-DO" w:eastAsia="es-DO"/>
              </w:rPr>
            </w:pPr>
            <w:r w:rsidRPr="004C1B2F">
              <w:rPr>
                <w:lang w:val="es-DO" w:eastAsia="es-DO"/>
              </w:rPr>
              <w:t>309,347</w:t>
            </w:r>
          </w:p>
        </w:tc>
      </w:tr>
      <w:tr w:rsidR="004921FF" w:rsidRPr="004C1B2F" w14:paraId="5B0FFE56" w14:textId="77777777" w:rsidTr="00761840">
        <w:trPr>
          <w:trHeight w:val="294"/>
          <w:jc w:val="center"/>
        </w:trPr>
        <w:tc>
          <w:tcPr>
            <w:tcW w:w="2074" w:type="dxa"/>
            <w:noWrap/>
            <w:vAlign w:val="center"/>
            <w:hideMark/>
          </w:tcPr>
          <w:p w14:paraId="7903047A" w14:textId="77777777" w:rsidR="004E35D4" w:rsidRPr="004C1B2F" w:rsidRDefault="004E35D4" w:rsidP="004C1B2F">
            <w:pPr>
              <w:spacing w:after="0" w:line="240" w:lineRule="auto"/>
              <w:rPr>
                <w:lang w:val="es-DO" w:eastAsia="es-DO"/>
              </w:rPr>
            </w:pPr>
            <w:r w:rsidRPr="004C1B2F">
              <w:rPr>
                <w:lang w:val="es-DO" w:eastAsia="es-DO"/>
              </w:rPr>
              <w:t>ARS SEMMA</w:t>
            </w:r>
          </w:p>
        </w:tc>
        <w:tc>
          <w:tcPr>
            <w:tcW w:w="1607" w:type="dxa"/>
            <w:noWrap/>
            <w:vAlign w:val="center"/>
            <w:hideMark/>
          </w:tcPr>
          <w:p w14:paraId="03CFA72C" w14:textId="77777777" w:rsidR="004E35D4" w:rsidRPr="004C1B2F" w:rsidRDefault="004E35D4" w:rsidP="004C1B2F">
            <w:pPr>
              <w:spacing w:after="0" w:line="240" w:lineRule="auto"/>
              <w:jc w:val="center"/>
              <w:rPr>
                <w:lang w:val="es-DO" w:eastAsia="es-DO"/>
              </w:rPr>
            </w:pPr>
            <w:r w:rsidRPr="004C1B2F">
              <w:rPr>
                <w:lang w:val="es-DO" w:eastAsia="es-DO"/>
              </w:rPr>
              <w:t>66,356</w:t>
            </w:r>
          </w:p>
        </w:tc>
        <w:tc>
          <w:tcPr>
            <w:tcW w:w="1984" w:type="dxa"/>
            <w:noWrap/>
            <w:vAlign w:val="center"/>
            <w:hideMark/>
          </w:tcPr>
          <w:p w14:paraId="504CF75C" w14:textId="77777777" w:rsidR="004E35D4" w:rsidRPr="004C1B2F" w:rsidRDefault="004E35D4" w:rsidP="004C1B2F">
            <w:pPr>
              <w:spacing w:after="0" w:line="240" w:lineRule="auto"/>
              <w:jc w:val="center"/>
              <w:rPr>
                <w:lang w:val="es-DO" w:eastAsia="es-DO"/>
              </w:rPr>
            </w:pPr>
            <w:r w:rsidRPr="004C1B2F">
              <w:rPr>
                <w:lang w:val="es-DO" w:eastAsia="es-DO"/>
              </w:rPr>
              <w:t>199,162</w:t>
            </w:r>
          </w:p>
        </w:tc>
        <w:tc>
          <w:tcPr>
            <w:tcW w:w="1625" w:type="dxa"/>
            <w:vAlign w:val="center"/>
            <w:hideMark/>
          </w:tcPr>
          <w:p w14:paraId="33BA5CFD" w14:textId="77777777" w:rsidR="004E35D4" w:rsidRPr="004C1B2F" w:rsidRDefault="004E35D4" w:rsidP="004C1B2F">
            <w:pPr>
              <w:spacing w:after="0" w:line="240" w:lineRule="auto"/>
              <w:jc w:val="center"/>
              <w:rPr>
                <w:lang w:val="es-DO" w:eastAsia="es-DO"/>
              </w:rPr>
            </w:pPr>
            <w:r w:rsidRPr="004C1B2F">
              <w:rPr>
                <w:lang w:val="es-DO" w:eastAsia="es-DO"/>
              </w:rPr>
              <w:t>36,050</w:t>
            </w:r>
          </w:p>
        </w:tc>
        <w:tc>
          <w:tcPr>
            <w:tcW w:w="1584" w:type="dxa"/>
            <w:noWrap/>
            <w:vAlign w:val="center"/>
            <w:hideMark/>
          </w:tcPr>
          <w:p w14:paraId="0F8E2437" w14:textId="77777777" w:rsidR="004E35D4" w:rsidRPr="004C1B2F" w:rsidRDefault="004E35D4" w:rsidP="004C1B2F">
            <w:pPr>
              <w:spacing w:after="0" w:line="240" w:lineRule="auto"/>
              <w:jc w:val="center"/>
              <w:rPr>
                <w:lang w:val="es-DO" w:eastAsia="es-DO"/>
              </w:rPr>
            </w:pPr>
            <w:r w:rsidRPr="004C1B2F">
              <w:rPr>
                <w:lang w:val="es-DO" w:eastAsia="es-DO"/>
              </w:rPr>
              <w:t>301,568</w:t>
            </w:r>
          </w:p>
        </w:tc>
      </w:tr>
      <w:tr w:rsidR="004921FF" w:rsidRPr="004C1B2F" w14:paraId="79E851FF" w14:textId="77777777" w:rsidTr="00761840">
        <w:trPr>
          <w:trHeight w:val="294"/>
          <w:jc w:val="center"/>
        </w:trPr>
        <w:tc>
          <w:tcPr>
            <w:tcW w:w="2074" w:type="dxa"/>
            <w:noWrap/>
            <w:vAlign w:val="center"/>
            <w:hideMark/>
          </w:tcPr>
          <w:p w14:paraId="0F9D1777" w14:textId="77777777" w:rsidR="004E35D4" w:rsidRPr="004C1B2F" w:rsidRDefault="004E35D4" w:rsidP="004C1B2F">
            <w:pPr>
              <w:spacing w:after="0" w:line="240" w:lineRule="auto"/>
              <w:rPr>
                <w:lang w:val="es-DO" w:eastAsia="es-DO"/>
              </w:rPr>
            </w:pPr>
            <w:r w:rsidRPr="004C1B2F">
              <w:rPr>
                <w:lang w:val="es-DO" w:eastAsia="es-DO"/>
              </w:rPr>
              <w:t>ARS SENASA</w:t>
            </w:r>
          </w:p>
        </w:tc>
        <w:tc>
          <w:tcPr>
            <w:tcW w:w="1607" w:type="dxa"/>
            <w:noWrap/>
            <w:vAlign w:val="center"/>
            <w:hideMark/>
          </w:tcPr>
          <w:p w14:paraId="1899EB20" w14:textId="77777777" w:rsidR="004E35D4" w:rsidRPr="004C1B2F" w:rsidRDefault="004E35D4" w:rsidP="004C1B2F">
            <w:pPr>
              <w:spacing w:after="0" w:line="240" w:lineRule="auto"/>
              <w:jc w:val="center"/>
              <w:rPr>
                <w:lang w:val="es-DO" w:eastAsia="es-DO"/>
              </w:rPr>
            </w:pPr>
            <w:r w:rsidRPr="004C1B2F">
              <w:rPr>
                <w:lang w:val="es-DO" w:eastAsia="es-DO"/>
              </w:rPr>
              <w:t>457,011</w:t>
            </w:r>
          </w:p>
        </w:tc>
        <w:tc>
          <w:tcPr>
            <w:tcW w:w="1984" w:type="dxa"/>
            <w:noWrap/>
            <w:vAlign w:val="center"/>
            <w:hideMark/>
          </w:tcPr>
          <w:p w14:paraId="63DDFB9F" w14:textId="77777777" w:rsidR="004E35D4" w:rsidRPr="004C1B2F" w:rsidRDefault="004E35D4" w:rsidP="004C1B2F">
            <w:pPr>
              <w:spacing w:after="0" w:line="240" w:lineRule="auto"/>
              <w:jc w:val="center"/>
              <w:rPr>
                <w:lang w:val="es-DO" w:eastAsia="es-DO"/>
              </w:rPr>
            </w:pPr>
            <w:r w:rsidRPr="004C1B2F">
              <w:rPr>
                <w:lang w:val="es-DO" w:eastAsia="es-DO"/>
              </w:rPr>
              <w:t>2,605,120</w:t>
            </w:r>
          </w:p>
        </w:tc>
        <w:tc>
          <w:tcPr>
            <w:tcW w:w="1625" w:type="dxa"/>
            <w:vAlign w:val="center"/>
            <w:hideMark/>
          </w:tcPr>
          <w:p w14:paraId="560AEA29" w14:textId="77777777" w:rsidR="004E35D4" w:rsidRPr="004C1B2F" w:rsidRDefault="004E35D4" w:rsidP="004C1B2F">
            <w:pPr>
              <w:spacing w:after="0" w:line="240" w:lineRule="auto"/>
              <w:jc w:val="center"/>
              <w:rPr>
                <w:lang w:val="es-DO" w:eastAsia="es-DO"/>
              </w:rPr>
            </w:pPr>
            <w:r w:rsidRPr="004C1B2F">
              <w:rPr>
                <w:lang w:val="es-DO" w:eastAsia="es-DO"/>
              </w:rPr>
              <w:t>400,067</w:t>
            </w:r>
          </w:p>
        </w:tc>
        <w:tc>
          <w:tcPr>
            <w:tcW w:w="1584" w:type="dxa"/>
            <w:noWrap/>
            <w:vAlign w:val="center"/>
            <w:hideMark/>
          </w:tcPr>
          <w:p w14:paraId="7BC61A35" w14:textId="77777777" w:rsidR="004E35D4" w:rsidRPr="004C1B2F" w:rsidRDefault="004E35D4" w:rsidP="004C1B2F">
            <w:pPr>
              <w:spacing w:after="0" w:line="240" w:lineRule="auto"/>
              <w:jc w:val="center"/>
              <w:rPr>
                <w:lang w:val="es-DO" w:eastAsia="es-DO"/>
              </w:rPr>
            </w:pPr>
            <w:r w:rsidRPr="004C1B2F">
              <w:rPr>
                <w:lang w:val="es-DO" w:eastAsia="es-DO"/>
              </w:rPr>
              <w:t>3,462,198</w:t>
            </w:r>
          </w:p>
        </w:tc>
      </w:tr>
      <w:tr w:rsidR="004921FF" w:rsidRPr="004C1B2F" w14:paraId="5DA747DD" w14:textId="77777777" w:rsidTr="00761840">
        <w:trPr>
          <w:trHeight w:val="294"/>
          <w:jc w:val="center"/>
        </w:trPr>
        <w:tc>
          <w:tcPr>
            <w:tcW w:w="2074" w:type="dxa"/>
            <w:noWrap/>
            <w:vAlign w:val="center"/>
            <w:hideMark/>
          </w:tcPr>
          <w:p w14:paraId="609E8F75" w14:textId="77777777" w:rsidR="004E35D4" w:rsidRPr="004C1B2F" w:rsidRDefault="004E35D4" w:rsidP="004C1B2F">
            <w:pPr>
              <w:spacing w:after="0" w:line="240" w:lineRule="auto"/>
              <w:rPr>
                <w:lang w:val="es-DO" w:eastAsia="es-DO"/>
              </w:rPr>
            </w:pPr>
            <w:r w:rsidRPr="004C1B2F">
              <w:rPr>
                <w:lang w:val="es-DO" w:eastAsia="es-DO"/>
              </w:rPr>
              <w:t>ARS SENASA - REGIMEN SUBSIDIADO</w:t>
            </w:r>
          </w:p>
        </w:tc>
        <w:tc>
          <w:tcPr>
            <w:tcW w:w="1607" w:type="dxa"/>
            <w:noWrap/>
            <w:vAlign w:val="center"/>
            <w:hideMark/>
          </w:tcPr>
          <w:p w14:paraId="3DF26408" w14:textId="77777777" w:rsidR="004E35D4" w:rsidRPr="004C1B2F" w:rsidRDefault="004E35D4" w:rsidP="004C1B2F">
            <w:pPr>
              <w:spacing w:after="0" w:line="240" w:lineRule="auto"/>
              <w:jc w:val="center"/>
              <w:rPr>
                <w:lang w:val="es-DO" w:eastAsia="es-DO"/>
              </w:rPr>
            </w:pPr>
            <w:r w:rsidRPr="004C1B2F">
              <w:rPr>
                <w:lang w:val="es-DO" w:eastAsia="es-DO"/>
              </w:rPr>
              <w:t>742,200</w:t>
            </w:r>
          </w:p>
        </w:tc>
        <w:tc>
          <w:tcPr>
            <w:tcW w:w="1984" w:type="dxa"/>
            <w:noWrap/>
            <w:vAlign w:val="center"/>
            <w:hideMark/>
          </w:tcPr>
          <w:p w14:paraId="16F4494C" w14:textId="77777777" w:rsidR="004E35D4" w:rsidRPr="004C1B2F" w:rsidRDefault="004E35D4" w:rsidP="004C1B2F">
            <w:pPr>
              <w:spacing w:after="0" w:line="240" w:lineRule="auto"/>
              <w:jc w:val="center"/>
              <w:rPr>
                <w:lang w:val="es-DO" w:eastAsia="es-DO"/>
              </w:rPr>
            </w:pPr>
            <w:r w:rsidRPr="004C1B2F">
              <w:rPr>
                <w:lang w:val="es-DO" w:eastAsia="es-DO"/>
              </w:rPr>
              <w:t>4,672,219</w:t>
            </w:r>
          </w:p>
        </w:tc>
        <w:tc>
          <w:tcPr>
            <w:tcW w:w="1625" w:type="dxa"/>
            <w:vAlign w:val="center"/>
            <w:hideMark/>
          </w:tcPr>
          <w:p w14:paraId="34AC998A" w14:textId="77777777" w:rsidR="004E35D4" w:rsidRPr="004C1B2F" w:rsidRDefault="004E35D4" w:rsidP="004C1B2F">
            <w:pPr>
              <w:spacing w:after="0" w:line="240" w:lineRule="auto"/>
              <w:jc w:val="center"/>
              <w:rPr>
                <w:lang w:val="es-DO" w:eastAsia="es-DO"/>
              </w:rPr>
            </w:pPr>
            <w:r w:rsidRPr="004C1B2F">
              <w:rPr>
                <w:lang w:val="es-DO" w:eastAsia="es-DO"/>
              </w:rPr>
              <w:t>1,174,747</w:t>
            </w:r>
          </w:p>
        </w:tc>
        <w:tc>
          <w:tcPr>
            <w:tcW w:w="1584" w:type="dxa"/>
            <w:noWrap/>
            <w:vAlign w:val="center"/>
            <w:hideMark/>
          </w:tcPr>
          <w:p w14:paraId="5C8B0E0F" w14:textId="77777777" w:rsidR="004E35D4" w:rsidRPr="004C1B2F" w:rsidRDefault="004E35D4" w:rsidP="004C1B2F">
            <w:pPr>
              <w:spacing w:after="0" w:line="240" w:lineRule="auto"/>
              <w:jc w:val="center"/>
              <w:rPr>
                <w:lang w:val="es-DO" w:eastAsia="es-DO"/>
              </w:rPr>
            </w:pPr>
            <w:r w:rsidRPr="004C1B2F">
              <w:rPr>
                <w:lang w:val="es-DO" w:eastAsia="es-DO"/>
              </w:rPr>
              <w:t>6,589,166</w:t>
            </w:r>
          </w:p>
        </w:tc>
      </w:tr>
      <w:tr w:rsidR="004921FF" w:rsidRPr="004C1B2F" w14:paraId="66E74956" w14:textId="77777777" w:rsidTr="00761840">
        <w:trPr>
          <w:trHeight w:val="294"/>
          <w:jc w:val="center"/>
        </w:trPr>
        <w:tc>
          <w:tcPr>
            <w:tcW w:w="2074" w:type="dxa"/>
            <w:noWrap/>
            <w:vAlign w:val="center"/>
            <w:hideMark/>
          </w:tcPr>
          <w:p w14:paraId="757CD122" w14:textId="77777777" w:rsidR="004E35D4" w:rsidRPr="004C1B2F" w:rsidRDefault="004E35D4" w:rsidP="004C1B2F">
            <w:pPr>
              <w:spacing w:after="0" w:line="240" w:lineRule="auto"/>
              <w:rPr>
                <w:lang w:val="es-DO" w:eastAsia="es-DO"/>
              </w:rPr>
            </w:pPr>
            <w:r w:rsidRPr="004C1B2F">
              <w:rPr>
                <w:lang w:val="es-DO" w:eastAsia="es-DO"/>
              </w:rPr>
              <w:t>ARS UNIVERSAL, S.A.</w:t>
            </w:r>
          </w:p>
        </w:tc>
        <w:tc>
          <w:tcPr>
            <w:tcW w:w="1607" w:type="dxa"/>
            <w:noWrap/>
            <w:vAlign w:val="center"/>
            <w:hideMark/>
          </w:tcPr>
          <w:p w14:paraId="506FFC1D" w14:textId="77777777" w:rsidR="004E35D4" w:rsidRPr="004C1B2F" w:rsidRDefault="004E35D4" w:rsidP="004C1B2F">
            <w:pPr>
              <w:spacing w:after="0" w:line="240" w:lineRule="auto"/>
              <w:jc w:val="center"/>
              <w:rPr>
                <w:lang w:val="es-DO" w:eastAsia="es-DO"/>
              </w:rPr>
            </w:pPr>
            <w:r w:rsidRPr="004C1B2F">
              <w:rPr>
                <w:lang w:val="es-DO" w:eastAsia="es-DO"/>
              </w:rPr>
              <w:t>107,412</w:t>
            </w:r>
          </w:p>
        </w:tc>
        <w:tc>
          <w:tcPr>
            <w:tcW w:w="1984" w:type="dxa"/>
            <w:noWrap/>
            <w:vAlign w:val="center"/>
            <w:hideMark/>
          </w:tcPr>
          <w:p w14:paraId="7327BAA0" w14:textId="77777777" w:rsidR="004E35D4" w:rsidRPr="004C1B2F" w:rsidRDefault="004E35D4" w:rsidP="004C1B2F">
            <w:pPr>
              <w:spacing w:after="0" w:line="240" w:lineRule="auto"/>
              <w:jc w:val="center"/>
              <w:rPr>
                <w:lang w:val="es-DO" w:eastAsia="es-DO"/>
              </w:rPr>
            </w:pPr>
            <w:r w:rsidRPr="004C1B2F">
              <w:rPr>
                <w:lang w:val="es-DO" w:eastAsia="es-DO"/>
              </w:rPr>
              <w:t>611,635</w:t>
            </w:r>
          </w:p>
        </w:tc>
        <w:tc>
          <w:tcPr>
            <w:tcW w:w="1625" w:type="dxa"/>
            <w:vAlign w:val="center"/>
            <w:hideMark/>
          </w:tcPr>
          <w:p w14:paraId="562F8103" w14:textId="77777777" w:rsidR="004E35D4" w:rsidRPr="004C1B2F" w:rsidRDefault="004E35D4" w:rsidP="004C1B2F">
            <w:pPr>
              <w:spacing w:after="0" w:line="240" w:lineRule="auto"/>
              <w:jc w:val="center"/>
              <w:rPr>
                <w:lang w:val="es-DO" w:eastAsia="es-DO"/>
              </w:rPr>
            </w:pPr>
            <w:r w:rsidRPr="004C1B2F">
              <w:rPr>
                <w:lang w:val="es-DO" w:eastAsia="es-DO"/>
              </w:rPr>
              <w:t>82,437</w:t>
            </w:r>
          </w:p>
        </w:tc>
        <w:tc>
          <w:tcPr>
            <w:tcW w:w="1584" w:type="dxa"/>
            <w:noWrap/>
            <w:vAlign w:val="center"/>
            <w:hideMark/>
          </w:tcPr>
          <w:p w14:paraId="777537B6" w14:textId="77777777" w:rsidR="004E35D4" w:rsidRPr="004C1B2F" w:rsidRDefault="004E35D4" w:rsidP="004C1B2F">
            <w:pPr>
              <w:spacing w:after="0" w:line="240" w:lineRule="auto"/>
              <w:jc w:val="center"/>
              <w:rPr>
                <w:lang w:val="es-DO" w:eastAsia="es-DO"/>
              </w:rPr>
            </w:pPr>
            <w:r w:rsidRPr="004C1B2F">
              <w:rPr>
                <w:lang w:val="es-DO" w:eastAsia="es-DO"/>
              </w:rPr>
              <w:t>801,484</w:t>
            </w:r>
          </w:p>
        </w:tc>
      </w:tr>
      <w:tr w:rsidR="004921FF" w:rsidRPr="004C1B2F" w14:paraId="678DDFAA" w14:textId="77777777" w:rsidTr="00761840">
        <w:trPr>
          <w:trHeight w:val="294"/>
          <w:jc w:val="center"/>
        </w:trPr>
        <w:tc>
          <w:tcPr>
            <w:tcW w:w="2074" w:type="dxa"/>
            <w:noWrap/>
            <w:vAlign w:val="center"/>
            <w:hideMark/>
          </w:tcPr>
          <w:p w14:paraId="51F54AC6" w14:textId="77777777" w:rsidR="004E35D4" w:rsidRPr="004C1B2F" w:rsidRDefault="004E35D4" w:rsidP="004C1B2F">
            <w:pPr>
              <w:spacing w:after="0" w:line="240" w:lineRule="auto"/>
              <w:rPr>
                <w:lang w:val="es-DO" w:eastAsia="es-DO"/>
              </w:rPr>
            </w:pPr>
            <w:r w:rsidRPr="004C1B2F">
              <w:rPr>
                <w:lang w:val="es-DO" w:eastAsia="es-DO"/>
              </w:rPr>
              <w:t>MAPFRE SALUD ARS</w:t>
            </w:r>
          </w:p>
        </w:tc>
        <w:tc>
          <w:tcPr>
            <w:tcW w:w="1607" w:type="dxa"/>
            <w:noWrap/>
            <w:vAlign w:val="center"/>
            <w:hideMark/>
          </w:tcPr>
          <w:p w14:paraId="4A42624C" w14:textId="77777777" w:rsidR="004E35D4" w:rsidRPr="004C1B2F" w:rsidRDefault="004E35D4" w:rsidP="004C1B2F">
            <w:pPr>
              <w:spacing w:after="0" w:line="240" w:lineRule="auto"/>
              <w:jc w:val="center"/>
              <w:rPr>
                <w:lang w:val="es-DO" w:eastAsia="es-DO"/>
              </w:rPr>
            </w:pPr>
            <w:r w:rsidRPr="004C1B2F">
              <w:rPr>
                <w:lang w:val="es-DO" w:eastAsia="es-DO"/>
              </w:rPr>
              <w:t>98,939</w:t>
            </w:r>
          </w:p>
        </w:tc>
        <w:tc>
          <w:tcPr>
            <w:tcW w:w="1984" w:type="dxa"/>
            <w:noWrap/>
            <w:vAlign w:val="center"/>
            <w:hideMark/>
          </w:tcPr>
          <w:p w14:paraId="6FC1EBAD" w14:textId="77777777" w:rsidR="004E35D4" w:rsidRPr="004C1B2F" w:rsidRDefault="004E35D4" w:rsidP="004C1B2F">
            <w:pPr>
              <w:spacing w:after="0" w:line="240" w:lineRule="auto"/>
              <w:jc w:val="center"/>
              <w:rPr>
                <w:lang w:val="es-DO" w:eastAsia="es-DO"/>
              </w:rPr>
            </w:pPr>
            <w:r w:rsidRPr="004C1B2F">
              <w:rPr>
                <w:lang w:val="es-DO" w:eastAsia="es-DO"/>
              </w:rPr>
              <w:t>331,997</w:t>
            </w:r>
          </w:p>
        </w:tc>
        <w:tc>
          <w:tcPr>
            <w:tcW w:w="1625" w:type="dxa"/>
            <w:vAlign w:val="center"/>
            <w:hideMark/>
          </w:tcPr>
          <w:p w14:paraId="7D7B4587" w14:textId="77777777" w:rsidR="004E35D4" w:rsidRPr="004C1B2F" w:rsidRDefault="004E35D4" w:rsidP="004C1B2F">
            <w:pPr>
              <w:spacing w:after="0" w:line="240" w:lineRule="auto"/>
              <w:jc w:val="center"/>
              <w:rPr>
                <w:lang w:val="es-DO" w:eastAsia="es-DO"/>
              </w:rPr>
            </w:pPr>
            <w:r w:rsidRPr="004C1B2F">
              <w:rPr>
                <w:lang w:val="es-DO" w:eastAsia="es-DO"/>
              </w:rPr>
              <w:t>109,908</w:t>
            </w:r>
          </w:p>
        </w:tc>
        <w:tc>
          <w:tcPr>
            <w:tcW w:w="1584" w:type="dxa"/>
            <w:noWrap/>
            <w:vAlign w:val="center"/>
            <w:hideMark/>
          </w:tcPr>
          <w:p w14:paraId="7D274BA4" w14:textId="77777777" w:rsidR="004E35D4" w:rsidRPr="004C1B2F" w:rsidRDefault="004E35D4" w:rsidP="004C1B2F">
            <w:pPr>
              <w:spacing w:after="0" w:line="240" w:lineRule="auto"/>
              <w:jc w:val="center"/>
              <w:rPr>
                <w:lang w:val="es-DO" w:eastAsia="es-DO"/>
              </w:rPr>
            </w:pPr>
            <w:r w:rsidRPr="004C1B2F">
              <w:rPr>
                <w:lang w:val="es-DO" w:eastAsia="es-DO"/>
              </w:rPr>
              <w:t>540,844</w:t>
            </w:r>
          </w:p>
        </w:tc>
      </w:tr>
      <w:tr w:rsidR="00246DA5" w:rsidRPr="004C1B2F" w14:paraId="602E7B40" w14:textId="77777777" w:rsidTr="00761840">
        <w:trPr>
          <w:trHeight w:val="294"/>
          <w:jc w:val="center"/>
        </w:trPr>
        <w:tc>
          <w:tcPr>
            <w:tcW w:w="2074" w:type="dxa"/>
            <w:shd w:val="clear" w:color="auto" w:fill="011C50"/>
            <w:noWrap/>
            <w:vAlign w:val="center"/>
            <w:hideMark/>
          </w:tcPr>
          <w:p w14:paraId="48CA7E29"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Total general</w:t>
            </w:r>
          </w:p>
        </w:tc>
        <w:tc>
          <w:tcPr>
            <w:tcW w:w="1607" w:type="dxa"/>
            <w:shd w:val="clear" w:color="auto" w:fill="011C50"/>
            <w:noWrap/>
            <w:vAlign w:val="center"/>
            <w:hideMark/>
          </w:tcPr>
          <w:p w14:paraId="1B56B8F9"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1,789,086</w:t>
            </w:r>
          </w:p>
        </w:tc>
        <w:tc>
          <w:tcPr>
            <w:tcW w:w="1984" w:type="dxa"/>
            <w:shd w:val="clear" w:color="auto" w:fill="011C50"/>
            <w:noWrap/>
            <w:vAlign w:val="center"/>
            <w:hideMark/>
          </w:tcPr>
          <w:p w14:paraId="6902E645"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10,108,203</w:t>
            </w:r>
          </w:p>
        </w:tc>
        <w:tc>
          <w:tcPr>
            <w:tcW w:w="1625" w:type="dxa"/>
            <w:shd w:val="clear" w:color="auto" w:fill="011C50"/>
            <w:vAlign w:val="center"/>
            <w:hideMark/>
          </w:tcPr>
          <w:p w14:paraId="2F48DFA7"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2,216,380</w:t>
            </w:r>
          </w:p>
        </w:tc>
        <w:tc>
          <w:tcPr>
            <w:tcW w:w="1584" w:type="dxa"/>
            <w:shd w:val="clear" w:color="auto" w:fill="011C50"/>
            <w:noWrap/>
            <w:vAlign w:val="center"/>
            <w:hideMark/>
          </w:tcPr>
          <w:p w14:paraId="19B8C371" w14:textId="77777777" w:rsidR="004E35D4" w:rsidRPr="004C1B2F" w:rsidRDefault="004E35D4" w:rsidP="004C1B2F">
            <w:pPr>
              <w:spacing w:after="0" w:line="240" w:lineRule="auto"/>
              <w:jc w:val="center"/>
              <w:rPr>
                <w:b/>
                <w:bCs/>
                <w:color w:val="FFFFFF" w:themeColor="background1"/>
                <w:lang w:val="es-DO" w:eastAsia="es-DO"/>
              </w:rPr>
            </w:pPr>
            <w:r w:rsidRPr="004C1B2F">
              <w:rPr>
                <w:b/>
                <w:bCs/>
                <w:color w:val="FFFFFF" w:themeColor="background1"/>
                <w:lang w:val="es-DO" w:eastAsia="es-DO"/>
              </w:rPr>
              <w:t>14,113,669</w:t>
            </w:r>
          </w:p>
        </w:tc>
      </w:tr>
    </w:tbl>
    <w:p w14:paraId="60891F09" w14:textId="77777777" w:rsidR="00A35F2B" w:rsidRPr="00AC2DB2" w:rsidRDefault="00A35F2B" w:rsidP="004C1B2F">
      <w:pPr>
        <w:spacing w:before="3" w:after="0" w:line="360" w:lineRule="auto"/>
        <w:rPr>
          <w:sz w:val="18"/>
          <w:szCs w:val="18"/>
          <w:lang w:val="es-DO"/>
        </w:rPr>
      </w:pPr>
      <w:r w:rsidRPr="00AC2DB2">
        <w:rPr>
          <w:sz w:val="18"/>
          <w:szCs w:val="18"/>
          <w:lang w:val="es-DO"/>
        </w:rPr>
        <w:t>Fuente: Dirección de Gestión Actuarial del SFS y el SRL, SISALRIL.</w:t>
      </w:r>
    </w:p>
    <w:p w14:paraId="1367E709" w14:textId="77777777" w:rsidR="004E35D4" w:rsidRPr="005C133F" w:rsidRDefault="004E35D4" w:rsidP="005C133F">
      <w:pPr>
        <w:tabs>
          <w:tab w:val="left" w:pos="1646"/>
        </w:tabs>
        <w:spacing w:after="0" w:line="360" w:lineRule="auto"/>
        <w:jc w:val="center"/>
        <w:rPr>
          <w:lang w:val="es-DO"/>
        </w:rPr>
      </w:pPr>
    </w:p>
    <w:p w14:paraId="1F40EF91" w14:textId="77777777" w:rsidR="004E35D4" w:rsidRPr="005C133F" w:rsidRDefault="004E35D4">
      <w:pPr>
        <w:pStyle w:val="Prrafodelista"/>
        <w:numPr>
          <w:ilvl w:val="0"/>
          <w:numId w:val="64"/>
        </w:numPr>
        <w:spacing w:after="0" w:line="360" w:lineRule="auto"/>
        <w:jc w:val="both"/>
        <w:rPr>
          <w:lang w:val="es-DO"/>
        </w:rPr>
      </w:pPr>
      <w:r w:rsidRPr="005C133F">
        <w:rPr>
          <w:lang w:val="es-DO"/>
        </w:rPr>
        <w:t xml:space="preserve">Se elaboraron los cuadros correspondientes a la comparación de esquemas 35, 7 y 5 de la SISALRIL, verificando lo recaudado vs lo dispersado por ARS y régimen. </w:t>
      </w:r>
    </w:p>
    <w:p w14:paraId="19335DED" w14:textId="77777777" w:rsidR="004E35D4" w:rsidRPr="005C133F" w:rsidRDefault="004E35D4">
      <w:pPr>
        <w:pStyle w:val="Prrafodelista"/>
        <w:numPr>
          <w:ilvl w:val="0"/>
          <w:numId w:val="64"/>
        </w:numPr>
        <w:spacing w:after="0" w:line="360" w:lineRule="auto"/>
        <w:jc w:val="both"/>
        <w:rPr>
          <w:lang w:val="es-DO"/>
        </w:rPr>
      </w:pPr>
      <w:r w:rsidRPr="005C133F">
        <w:rPr>
          <w:lang w:val="es-DO"/>
        </w:rPr>
        <w:t>Se elaboró una (1) infografía sobre las cifras en el Seguro Familiar de Salud correspondiente al día internacional de la mujer con información de afiliación del año 2024, desagregada por sexo y régimen.</w:t>
      </w:r>
    </w:p>
    <w:p w14:paraId="24E9FB51" w14:textId="77777777" w:rsidR="0077333E" w:rsidRPr="005C133F" w:rsidRDefault="0077333E">
      <w:pPr>
        <w:pStyle w:val="Prrafodelista"/>
        <w:numPr>
          <w:ilvl w:val="0"/>
          <w:numId w:val="64"/>
        </w:numPr>
        <w:spacing w:after="0" w:line="360" w:lineRule="auto"/>
        <w:jc w:val="both"/>
        <w:rPr>
          <w:lang w:val="es-DO"/>
        </w:rPr>
      </w:pPr>
      <w:r w:rsidRPr="005C133F">
        <w:rPr>
          <w:lang w:val="es-DO"/>
        </w:rPr>
        <w:t>Se realizó un (1) análisis sobre el monto autorizado por la ARS SENASA y pendiente de pago a las Prestadoras de Servicios de Salud por tipo de situación para su pago y clasificación del Prestador de Servicios de Salud según Plan de Servicios de Salud y estado de situación de la reclamación hasta febrero 2025.</w:t>
      </w:r>
    </w:p>
    <w:p w14:paraId="40099221" w14:textId="77777777" w:rsidR="0077333E" w:rsidRPr="005C133F" w:rsidRDefault="0077333E">
      <w:pPr>
        <w:pStyle w:val="Prrafodelista"/>
        <w:numPr>
          <w:ilvl w:val="0"/>
          <w:numId w:val="64"/>
        </w:numPr>
        <w:spacing w:after="0" w:line="360" w:lineRule="auto"/>
        <w:jc w:val="both"/>
        <w:rPr>
          <w:lang w:val="es-DO"/>
        </w:rPr>
      </w:pPr>
      <w:r w:rsidRPr="005C133F">
        <w:rPr>
          <w:lang w:val="es-DO"/>
        </w:rPr>
        <w:t xml:space="preserve">Se realizó un (1) análisis sobre los afiliados diagnosticados con cáncer de mama en el Régimen Subsidiado con consumo en </w:t>
      </w:r>
      <w:r w:rsidRPr="005C133F">
        <w:rPr>
          <w:lang w:val="es-DO"/>
        </w:rPr>
        <w:lastRenderedPageBreak/>
        <w:t>medicamentos de alto costo y su aplicación (acorde a lo listado en el subgrupo 9.19) por rango máximo de consumo del año 2024. El análisis arrojó que el 77.3% de los afiliados consumieron, por concepto de medicamentos de alto costo, una suma menor a RD$100,000 pesos anual.</w:t>
      </w:r>
    </w:p>
    <w:p w14:paraId="427B8DA3" w14:textId="77777777" w:rsidR="0077333E" w:rsidRPr="005C133F" w:rsidRDefault="0077333E">
      <w:pPr>
        <w:pStyle w:val="Prrafodelista"/>
        <w:numPr>
          <w:ilvl w:val="0"/>
          <w:numId w:val="64"/>
        </w:numPr>
        <w:spacing w:after="0" w:line="360" w:lineRule="auto"/>
        <w:jc w:val="both"/>
        <w:rPr>
          <w:lang w:val="es-DO"/>
        </w:rPr>
      </w:pPr>
      <w:r w:rsidRPr="005C133F">
        <w:rPr>
          <w:lang w:val="es-DO"/>
        </w:rPr>
        <w:t xml:space="preserve">Se actualizó el monitoreo de las PSS en los distintos regímenes del SFS para el Plan Básico del RC en el año cobertura 2024. En monitoreo se observó un gasto de RD$85,745,009,368.09, de las cuales, RD$83,350,981,780.62 correspondieron a PSS Privadas, y RD$2,394,027,587.47 pertenecen a PSS Públicas. En el caso del Plan Básico de Salud para el RS en el año cobertura 2024, se observó un gasto de RD$19,784,668,095.68, en la cual, RD$13,165,924,250.57 correspondieron a PSS Privadas, y RD$6,618,743,845.11 correspondieron a PSS Públicas. Por último, para los Planes de Servicios de Salud de Pensionados y Jubilados en el año cobertura 2024, se observó un gasto de RD$568,329,435.21, de los cuales, RD$539,916,097.42 correspondieron a las PSS Privadas, y RD$28,413,337.79 a las PSS Públicas. </w:t>
      </w:r>
    </w:p>
    <w:p w14:paraId="45900E25" w14:textId="6B1D009F" w:rsidR="0077333E" w:rsidRDefault="0077333E">
      <w:pPr>
        <w:pStyle w:val="Prrafodelista"/>
        <w:numPr>
          <w:ilvl w:val="0"/>
          <w:numId w:val="64"/>
        </w:numPr>
        <w:spacing w:after="0" w:line="360" w:lineRule="auto"/>
        <w:jc w:val="both"/>
        <w:rPr>
          <w:lang w:val="es-DO"/>
        </w:rPr>
      </w:pPr>
      <w:r w:rsidRPr="005C133F">
        <w:rPr>
          <w:lang w:val="es-DO"/>
        </w:rPr>
        <w:t>Se actualizó una (1) visualización de los afiliados en el Régimen Subsidiado que presentaron algún Plan Alternativo de Salud durante el período de enero a noviembre 2024:</w:t>
      </w:r>
    </w:p>
    <w:p w14:paraId="5130B5AC" w14:textId="77777777" w:rsidR="00A3381D" w:rsidRPr="005C133F" w:rsidRDefault="00A3381D" w:rsidP="00A3381D">
      <w:pPr>
        <w:pStyle w:val="Prrafodelista"/>
        <w:spacing w:after="0" w:line="360" w:lineRule="auto"/>
        <w:ind w:left="360"/>
        <w:jc w:val="both"/>
        <w:rPr>
          <w:lang w:val="es-DO"/>
        </w:rPr>
      </w:pPr>
    </w:p>
    <w:p w14:paraId="4E79EFFA" w14:textId="64FFF789" w:rsidR="00382CC7" w:rsidRPr="005C133F" w:rsidRDefault="00382CC7" w:rsidP="004C1B2F">
      <w:pPr>
        <w:pStyle w:val="Descripcin"/>
        <w:keepNext/>
        <w:spacing w:after="0"/>
        <w:jc w:val="center"/>
        <w:rPr>
          <w:b/>
          <w:bCs/>
          <w:i w:val="0"/>
          <w:iCs w:val="0"/>
          <w:color w:val="767171"/>
          <w:sz w:val="24"/>
          <w:szCs w:val="24"/>
          <w:lang w:val="es-DO"/>
        </w:rPr>
      </w:pPr>
      <w:bookmarkStart w:id="88" w:name="_Toc218784163"/>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31</w:t>
      </w:r>
      <w:r w:rsidRPr="005C133F">
        <w:rPr>
          <w:b/>
          <w:bCs/>
          <w:i w:val="0"/>
          <w:iCs w:val="0"/>
          <w:color w:val="767171"/>
          <w:sz w:val="24"/>
          <w:szCs w:val="24"/>
          <w:lang w:val="es-DO"/>
        </w:rPr>
        <w:fldChar w:fldCharType="end"/>
      </w:r>
      <w:r w:rsidRPr="005C133F">
        <w:rPr>
          <w:b/>
          <w:bCs/>
          <w:i w:val="0"/>
          <w:iCs w:val="0"/>
          <w:color w:val="767171"/>
          <w:sz w:val="24"/>
          <w:szCs w:val="24"/>
          <w:lang w:val="es-DO"/>
        </w:rPr>
        <w:t>. Afiliados en el Régimen Subsidiado con Planes Alternativos de Salud por Período de Seguimiento y Tipo de Plan.</w:t>
      </w:r>
      <w:bookmarkEnd w:id="88"/>
    </w:p>
    <w:tbl>
      <w:tblPr>
        <w:tblW w:w="0" w:type="auto"/>
        <w:tblInd w:w="-5" w:type="dxa"/>
        <w:tblCellMar>
          <w:left w:w="70" w:type="dxa"/>
          <w:right w:w="70" w:type="dxa"/>
        </w:tblCellMar>
        <w:tblLook w:val="04A0" w:firstRow="1" w:lastRow="0" w:firstColumn="1" w:lastColumn="0" w:noHBand="0" w:noVBand="1"/>
      </w:tblPr>
      <w:tblGrid>
        <w:gridCol w:w="2087"/>
        <w:gridCol w:w="2153"/>
        <w:gridCol w:w="1154"/>
        <w:gridCol w:w="1461"/>
        <w:gridCol w:w="1060"/>
      </w:tblGrid>
      <w:tr w:rsidR="00246DA5" w:rsidRPr="005C133F" w14:paraId="73C4BD5A" w14:textId="77777777" w:rsidTr="00FC13BB">
        <w:trPr>
          <w:trHeight w:val="114"/>
          <w:tblHeader/>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776FEF26"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Periodo de Seguimiento</w:t>
            </w:r>
          </w:p>
        </w:tc>
        <w:tc>
          <w:tcPr>
            <w:tcW w:w="0" w:type="auto"/>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1C367E0B"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Tipo de Plan</w:t>
            </w:r>
          </w:p>
        </w:tc>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718E1B93"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Total</w:t>
            </w:r>
          </w:p>
        </w:tc>
      </w:tr>
      <w:tr w:rsidR="004921FF" w:rsidRPr="005C133F" w14:paraId="7C0D5682" w14:textId="77777777" w:rsidTr="00FC13BB">
        <w:trPr>
          <w:trHeight w:val="20"/>
          <w:tblHeader/>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5DA115B6" w14:textId="77777777" w:rsidR="0047711D" w:rsidRPr="005C133F" w:rsidRDefault="0047711D" w:rsidP="004C1B2F">
            <w:pPr>
              <w:spacing w:after="0" w:line="240" w:lineRule="auto"/>
              <w:jc w:val="center"/>
              <w:rPr>
                <w:b/>
                <w:bCs/>
                <w:lang w:val="es-DO" w:eastAsia="es-DO"/>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07CAD63D"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Complementario</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0B89A3F3"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Especial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3A636730" w14:textId="77777777" w:rsidR="0047711D" w:rsidRPr="005C133F" w:rsidRDefault="0047711D" w:rsidP="004C1B2F">
            <w:pPr>
              <w:spacing w:after="0" w:line="240" w:lineRule="auto"/>
              <w:jc w:val="center"/>
              <w:rPr>
                <w:b/>
                <w:bCs/>
                <w:color w:val="FFFFFF" w:themeColor="background1"/>
                <w:lang w:val="es-DO" w:eastAsia="es-DO"/>
              </w:rPr>
            </w:pPr>
            <w:r w:rsidRPr="005C133F">
              <w:rPr>
                <w:b/>
                <w:bCs/>
                <w:color w:val="FFFFFF" w:themeColor="background1"/>
                <w:lang w:val="es-DO" w:eastAsia="es-DO"/>
              </w:rPr>
              <w:t>Voluntario</w:t>
            </w:r>
          </w:p>
        </w:tc>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127A61F9" w14:textId="77777777" w:rsidR="0047711D" w:rsidRPr="005C133F" w:rsidRDefault="0047711D" w:rsidP="004C1B2F">
            <w:pPr>
              <w:spacing w:after="0" w:line="240" w:lineRule="auto"/>
              <w:jc w:val="center"/>
              <w:rPr>
                <w:lang w:val="es-DO" w:eastAsia="es-DO"/>
              </w:rPr>
            </w:pPr>
          </w:p>
        </w:tc>
      </w:tr>
      <w:tr w:rsidR="004921FF" w:rsidRPr="005C133F" w14:paraId="42A56ACF"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6BCBD41" w14:textId="77777777" w:rsidR="0047711D" w:rsidRPr="005C133F" w:rsidRDefault="0047711D" w:rsidP="004C1B2F">
            <w:pPr>
              <w:spacing w:after="0" w:line="240" w:lineRule="auto"/>
              <w:jc w:val="center"/>
              <w:rPr>
                <w:lang w:val="es-DO" w:eastAsia="es-DO"/>
              </w:rPr>
            </w:pPr>
            <w:r w:rsidRPr="005C133F">
              <w:rPr>
                <w:lang w:val="es-DO" w:eastAsia="es-DO"/>
              </w:rPr>
              <w:t>2024-01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1B51C30" w14:textId="77777777" w:rsidR="0047711D" w:rsidRPr="005C133F" w:rsidRDefault="0047711D" w:rsidP="004C1B2F">
            <w:pPr>
              <w:spacing w:after="0" w:line="240" w:lineRule="auto"/>
              <w:jc w:val="center"/>
              <w:rPr>
                <w:lang w:val="es-DO" w:eastAsia="es-DO"/>
              </w:rPr>
            </w:pPr>
            <w:r w:rsidRPr="005C133F">
              <w:rPr>
                <w:lang w:val="es-DO" w:eastAsia="es-DO"/>
              </w:rPr>
              <w:t>117,503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C073269" w14:textId="77777777" w:rsidR="0047711D" w:rsidRPr="005C133F" w:rsidRDefault="0047711D" w:rsidP="004C1B2F">
            <w:pPr>
              <w:spacing w:after="0" w:line="240" w:lineRule="auto"/>
              <w:jc w:val="center"/>
              <w:rPr>
                <w:lang w:val="es-DO" w:eastAsia="es-DO"/>
              </w:rPr>
            </w:pPr>
            <w:r w:rsidRPr="005C133F">
              <w:rPr>
                <w:lang w:val="es-DO" w:eastAsia="es-DO"/>
              </w:rPr>
              <w:t>5,395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B2598E0" w14:textId="77777777" w:rsidR="0047711D" w:rsidRPr="005C133F" w:rsidRDefault="0047711D" w:rsidP="004C1B2F">
            <w:pPr>
              <w:spacing w:after="0" w:line="240" w:lineRule="auto"/>
              <w:jc w:val="center"/>
              <w:rPr>
                <w:lang w:val="es-DO" w:eastAsia="es-DO"/>
              </w:rPr>
            </w:pPr>
            <w:r w:rsidRPr="005C133F">
              <w:rPr>
                <w:lang w:val="es-DO" w:eastAsia="es-DO"/>
              </w:rPr>
              <w:t>137,199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C667BBA" w14:textId="77777777" w:rsidR="0047711D" w:rsidRPr="005C133F" w:rsidRDefault="0047711D" w:rsidP="004C1B2F">
            <w:pPr>
              <w:spacing w:after="0" w:line="240" w:lineRule="auto"/>
              <w:jc w:val="center"/>
              <w:rPr>
                <w:b/>
                <w:bCs/>
                <w:lang w:val="es-DO" w:eastAsia="es-DO"/>
              </w:rPr>
            </w:pPr>
            <w:r w:rsidRPr="005C133F">
              <w:rPr>
                <w:b/>
                <w:bCs/>
                <w:lang w:val="es-DO" w:eastAsia="es-DO"/>
              </w:rPr>
              <w:t>260,097</w:t>
            </w:r>
          </w:p>
        </w:tc>
      </w:tr>
      <w:tr w:rsidR="004921FF" w:rsidRPr="005C133F" w14:paraId="5FF48F71"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EFF51AD" w14:textId="77777777" w:rsidR="0047711D" w:rsidRPr="005C133F" w:rsidRDefault="0047711D" w:rsidP="004C1B2F">
            <w:pPr>
              <w:spacing w:after="0" w:line="240" w:lineRule="auto"/>
              <w:jc w:val="center"/>
              <w:rPr>
                <w:lang w:val="es-DO" w:eastAsia="es-DO"/>
              </w:rPr>
            </w:pPr>
            <w:r w:rsidRPr="005C133F">
              <w:rPr>
                <w:lang w:val="es-DO" w:eastAsia="es-DO"/>
              </w:rPr>
              <w:t>2024-02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3ED48D2" w14:textId="77777777" w:rsidR="0047711D" w:rsidRPr="005C133F" w:rsidRDefault="0047711D" w:rsidP="004C1B2F">
            <w:pPr>
              <w:spacing w:after="0" w:line="240" w:lineRule="auto"/>
              <w:jc w:val="center"/>
              <w:rPr>
                <w:lang w:val="es-DO" w:eastAsia="es-DO"/>
              </w:rPr>
            </w:pPr>
            <w:r w:rsidRPr="005C133F">
              <w:rPr>
                <w:lang w:val="es-DO" w:eastAsia="es-DO"/>
              </w:rPr>
              <w:t>118,323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10F5424" w14:textId="77777777" w:rsidR="0047711D" w:rsidRPr="005C133F" w:rsidRDefault="0047711D" w:rsidP="004C1B2F">
            <w:pPr>
              <w:spacing w:after="0" w:line="240" w:lineRule="auto"/>
              <w:jc w:val="center"/>
              <w:rPr>
                <w:lang w:val="es-DO" w:eastAsia="es-DO"/>
              </w:rPr>
            </w:pPr>
            <w:r w:rsidRPr="005C133F">
              <w:rPr>
                <w:lang w:val="es-DO" w:eastAsia="es-DO"/>
              </w:rPr>
              <w:t>5,391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41BB73B" w14:textId="77777777" w:rsidR="0047711D" w:rsidRPr="005C133F" w:rsidRDefault="0047711D" w:rsidP="004C1B2F">
            <w:pPr>
              <w:spacing w:after="0" w:line="240" w:lineRule="auto"/>
              <w:jc w:val="center"/>
              <w:rPr>
                <w:lang w:val="es-DO" w:eastAsia="es-DO"/>
              </w:rPr>
            </w:pPr>
            <w:r w:rsidRPr="005C133F">
              <w:rPr>
                <w:lang w:val="es-DO" w:eastAsia="es-DO"/>
              </w:rPr>
              <w:t>138,080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6511738" w14:textId="77777777" w:rsidR="0047711D" w:rsidRPr="005C133F" w:rsidRDefault="0047711D" w:rsidP="004C1B2F">
            <w:pPr>
              <w:spacing w:after="0" w:line="240" w:lineRule="auto"/>
              <w:jc w:val="center"/>
              <w:rPr>
                <w:b/>
                <w:bCs/>
                <w:lang w:val="es-DO" w:eastAsia="es-DO"/>
              </w:rPr>
            </w:pPr>
            <w:r w:rsidRPr="005C133F">
              <w:rPr>
                <w:b/>
                <w:bCs/>
                <w:lang w:val="es-DO" w:eastAsia="es-DO"/>
              </w:rPr>
              <w:t>261,794</w:t>
            </w:r>
          </w:p>
        </w:tc>
      </w:tr>
      <w:tr w:rsidR="004921FF" w:rsidRPr="005C133F" w14:paraId="2C9A6D8A"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42FC28F" w14:textId="77777777" w:rsidR="0047711D" w:rsidRPr="005C133F" w:rsidRDefault="0047711D" w:rsidP="004C1B2F">
            <w:pPr>
              <w:spacing w:after="0" w:line="240" w:lineRule="auto"/>
              <w:jc w:val="center"/>
              <w:rPr>
                <w:lang w:val="es-DO" w:eastAsia="es-DO"/>
              </w:rPr>
            </w:pPr>
            <w:r w:rsidRPr="005C133F">
              <w:rPr>
                <w:lang w:val="es-DO" w:eastAsia="es-DO"/>
              </w:rPr>
              <w:t>2024-03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7747BFFD" w14:textId="77777777" w:rsidR="0047711D" w:rsidRPr="005C133F" w:rsidRDefault="0047711D" w:rsidP="004C1B2F">
            <w:pPr>
              <w:spacing w:after="0" w:line="240" w:lineRule="auto"/>
              <w:jc w:val="center"/>
              <w:rPr>
                <w:lang w:val="es-DO" w:eastAsia="es-DO"/>
              </w:rPr>
            </w:pPr>
            <w:r w:rsidRPr="005C133F">
              <w:rPr>
                <w:lang w:val="es-DO" w:eastAsia="es-DO"/>
              </w:rPr>
              <w:t>118,518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69D3729" w14:textId="77777777" w:rsidR="0047711D" w:rsidRPr="005C133F" w:rsidRDefault="0047711D" w:rsidP="004C1B2F">
            <w:pPr>
              <w:spacing w:after="0" w:line="240" w:lineRule="auto"/>
              <w:jc w:val="center"/>
              <w:rPr>
                <w:lang w:val="es-DO" w:eastAsia="es-DO"/>
              </w:rPr>
            </w:pPr>
            <w:r w:rsidRPr="005C133F">
              <w:rPr>
                <w:lang w:val="es-DO" w:eastAsia="es-DO"/>
              </w:rPr>
              <w:t>4,963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859E940" w14:textId="77777777" w:rsidR="0047711D" w:rsidRPr="005C133F" w:rsidRDefault="0047711D" w:rsidP="004C1B2F">
            <w:pPr>
              <w:spacing w:after="0" w:line="240" w:lineRule="auto"/>
              <w:jc w:val="center"/>
              <w:rPr>
                <w:lang w:val="es-DO" w:eastAsia="es-DO"/>
              </w:rPr>
            </w:pPr>
            <w:r w:rsidRPr="005C133F">
              <w:rPr>
                <w:lang w:val="es-DO" w:eastAsia="es-DO"/>
              </w:rPr>
              <w:t>137,744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C560F6C" w14:textId="77777777" w:rsidR="0047711D" w:rsidRPr="005C133F" w:rsidRDefault="0047711D" w:rsidP="004C1B2F">
            <w:pPr>
              <w:spacing w:after="0" w:line="240" w:lineRule="auto"/>
              <w:jc w:val="center"/>
              <w:rPr>
                <w:b/>
                <w:bCs/>
                <w:lang w:val="es-DO" w:eastAsia="es-DO"/>
              </w:rPr>
            </w:pPr>
            <w:r w:rsidRPr="005C133F">
              <w:rPr>
                <w:b/>
                <w:bCs/>
                <w:lang w:val="es-DO" w:eastAsia="es-DO"/>
              </w:rPr>
              <w:t>261,225</w:t>
            </w:r>
          </w:p>
        </w:tc>
      </w:tr>
      <w:tr w:rsidR="004921FF" w:rsidRPr="005C133F" w14:paraId="5FDDF823"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B690FAA" w14:textId="77777777" w:rsidR="0047711D" w:rsidRPr="005C133F" w:rsidRDefault="0047711D" w:rsidP="004C1B2F">
            <w:pPr>
              <w:spacing w:after="0" w:line="240" w:lineRule="auto"/>
              <w:jc w:val="center"/>
              <w:rPr>
                <w:lang w:val="es-DO" w:eastAsia="es-DO"/>
              </w:rPr>
            </w:pPr>
            <w:r w:rsidRPr="005C133F">
              <w:rPr>
                <w:lang w:val="es-DO" w:eastAsia="es-DO"/>
              </w:rPr>
              <w:lastRenderedPageBreak/>
              <w:t>2024-04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88AC001" w14:textId="77777777" w:rsidR="0047711D" w:rsidRPr="005C133F" w:rsidRDefault="0047711D" w:rsidP="004C1B2F">
            <w:pPr>
              <w:spacing w:after="0" w:line="240" w:lineRule="auto"/>
              <w:jc w:val="center"/>
              <w:rPr>
                <w:lang w:val="es-DO" w:eastAsia="es-DO"/>
              </w:rPr>
            </w:pPr>
            <w:r w:rsidRPr="005C133F">
              <w:rPr>
                <w:lang w:val="es-DO" w:eastAsia="es-DO"/>
              </w:rPr>
              <w:t>118,131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DF4B8A3" w14:textId="77777777" w:rsidR="0047711D" w:rsidRPr="005C133F" w:rsidRDefault="0047711D" w:rsidP="004C1B2F">
            <w:pPr>
              <w:spacing w:after="0" w:line="240" w:lineRule="auto"/>
              <w:jc w:val="center"/>
              <w:rPr>
                <w:lang w:val="es-DO" w:eastAsia="es-DO"/>
              </w:rPr>
            </w:pPr>
            <w:r w:rsidRPr="005C133F">
              <w:rPr>
                <w:lang w:val="es-DO" w:eastAsia="es-DO"/>
              </w:rPr>
              <w:t>5,059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05C09A1" w14:textId="77777777" w:rsidR="0047711D" w:rsidRPr="005C133F" w:rsidRDefault="0047711D" w:rsidP="004C1B2F">
            <w:pPr>
              <w:spacing w:after="0" w:line="240" w:lineRule="auto"/>
              <w:jc w:val="center"/>
              <w:rPr>
                <w:lang w:val="es-DO" w:eastAsia="es-DO"/>
              </w:rPr>
            </w:pPr>
            <w:r w:rsidRPr="005C133F">
              <w:rPr>
                <w:lang w:val="es-DO" w:eastAsia="es-DO"/>
              </w:rPr>
              <w:t>138,311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5EA12BE" w14:textId="77777777" w:rsidR="0047711D" w:rsidRPr="005C133F" w:rsidRDefault="0047711D" w:rsidP="004C1B2F">
            <w:pPr>
              <w:spacing w:after="0" w:line="240" w:lineRule="auto"/>
              <w:jc w:val="center"/>
              <w:rPr>
                <w:b/>
                <w:bCs/>
                <w:lang w:val="es-DO" w:eastAsia="es-DO"/>
              </w:rPr>
            </w:pPr>
            <w:r w:rsidRPr="005C133F">
              <w:rPr>
                <w:b/>
                <w:bCs/>
                <w:lang w:val="es-DO" w:eastAsia="es-DO"/>
              </w:rPr>
              <w:t>261,501</w:t>
            </w:r>
          </w:p>
        </w:tc>
      </w:tr>
      <w:tr w:rsidR="004921FF" w:rsidRPr="005C133F" w14:paraId="74F59015"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1853B44" w14:textId="77777777" w:rsidR="0047711D" w:rsidRPr="005C133F" w:rsidRDefault="0047711D" w:rsidP="004C1B2F">
            <w:pPr>
              <w:spacing w:after="0" w:line="240" w:lineRule="auto"/>
              <w:jc w:val="center"/>
              <w:rPr>
                <w:lang w:val="es-DO" w:eastAsia="es-DO"/>
              </w:rPr>
            </w:pPr>
            <w:r w:rsidRPr="005C133F">
              <w:rPr>
                <w:lang w:val="es-DO" w:eastAsia="es-DO"/>
              </w:rPr>
              <w:t>2024-05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F3F96C3" w14:textId="77777777" w:rsidR="0047711D" w:rsidRPr="005C133F" w:rsidRDefault="0047711D" w:rsidP="004C1B2F">
            <w:pPr>
              <w:spacing w:after="0" w:line="240" w:lineRule="auto"/>
              <w:jc w:val="center"/>
              <w:rPr>
                <w:lang w:val="es-DO" w:eastAsia="es-DO"/>
              </w:rPr>
            </w:pPr>
            <w:r w:rsidRPr="005C133F">
              <w:rPr>
                <w:lang w:val="es-DO" w:eastAsia="es-DO"/>
              </w:rPr>
              <w:t>118,441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587A8BB" w14:textId="77777777" w:rsidR="0047711D" w:rsidRPr="005C133F" w:rsidRDefault="0047711D" w:rsidP="004C1B2F">
            <w:pPr>
              <w:spacing w:after="0" w:line="240" w:lineRule="auto"/>
              <w:jc w:val="center"/>
              <w:rPr>
                <w:lang w:val="es-DO" w:eastAsia="es-DO"/>
              </w:rPr>
            </w:pPr>
            <w:r w:rsidRPr="005C133F">
              <w:rPr>
                <w:lang w:val="es-DO" w:eastAsia="es-DO"/>
              </w:rPr>
              <w:t>4,865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060EB5E" w14:textId="77777777" w:rsidR="0047711D" w:rsidRPr="005C133F" w:rsidRDefault="0047711D" w:rsidP="004C1B2F">
            <w:pPr>
              <w:spacing w:after="0" w:line="240" w:lineRule="auto"/>
              <w:jc w:val="center"/>
              <w:rPr>
                <w:lang w:val="es-DO" w:eastAsia="es-DO"/>
              </w:rPr>
            </w:pPr>
            <w:r w:rsidRPr="005C133F">
              <w:rPr>
                <w:lang w:val="es-DO" w:eastAsia="es-DO"/>
              </w:rPr>
              <w:t>139,231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1326265" w14:textId="77777777" w:rsidR="0047711D" w:rsidRPr="005C133F" w:rsidRDefault="0047711D" w:rsidP="004C1B2F">
            <w:pPr>
              <w:spacing w:after="0" w:line="240" w:lineRule="auto"/>
              <w:jc w:val="center"/>
              <w:rPr>
                <w:b/>
                <w:bCs/>
                <w:lang w:val="es-DO" w:eastAsia="es-DO"/>
              </w:rPr>
            </w:pPr>
            <w:r w:rsidRPr="005C133F">
              <w:rPr>
                <w:b/>
                <w:bCs/>
                <w:lang w:val="es-DO" w:eastAsia="es-DO"/>
              </w:rPr>
              <w:t>262,537</w:t>
            </w:r>
          </w:p>
        </w:tc>
      </w:tr>
      <w:tr w:rsidR="004921FF" w:rsidRPr="005C133F" w14:paraId="5DCCAE3E"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BA57C34" w14:textId="77777777" w:rsidR="0047711D" w:rsidRPr="005C133F" w:rsidRDefault="0047711D" w:rsidP="004C1B2F">
            <w:pPr>
              <w:spacing w:after="0" w:line="240" w:lineRule="auto"/>
              <w:jc w:val="center"/>
              <w:rPr>
                <w:lang w:val="es-DO" w:eastAsia="es-DO"/>
              </w:rPr>
            </w:pPr>
            <w:r w:rsidRPr="005C133F">
              <w:rPr>
                <w:lang w:val="es-DO" w:eastAsia="es-DO"/>
              </w:rPr>
              <w:t>2024-06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69A930E" w14:textId="77777777" w:rsidR="0047711D" w:rsidRPr="005C133F" w:rsidRDefault="0047711D" w:rsidP="004C1B2F">
            <w:pPr>
              <w:spacing w:after="0" w:line="240" w:lineRule="auto"/>
              <w:jc w:val="center"/>
              <w:rPr>
                <w:lang w:val="es-DO" w:eastAsia="es-DO"/>
              </w:rPr>
            </w:pPr>
            <w:r w:rsidRPr="005C133F">
              <w:rPr>
                <w:lang w:val="es-DO" w:eastAsia="es-DO"/>
              </w:rPr>
              <w:t>118,723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3087AD1" w14:textId="77777777" w:rsidR="0047711D" w:rsidRPr="005C133F" w:rsidRDefault="0047711D" w:rsidP="004C1B2F">
            <w:pPr>
              <w:spacing w:after="0" w:line="240" w:lineRule="auto"/>
              <w:jc w:val="center"/>
              <w:rPr>
                <w:lang w:val="es-DO" w:eastAsia="es-DO"/>
              </w:rPr>
            </w:pPr>
            <w:r w:rsidRPr="005C133F">
              <w:rPr>
                <w:lang w:val="es-DO" w:eastAsia="es-DO"/>
              </w:rPr>
              <w:t>4,806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75C9200" w14:textId="77777777" w:rsidR="0047711D" w:rsidRPr="005C133F" w:rsidRDefault="0047711D" w:rsidP="004C1B2F">
            <w:pPr>
              <w:spacing w:after="0" w:line="240" w:lineRule="auto"/>
              <w:jc w:val="center"/>
              <w:rPr>
                <w:lang w:val="es-DO" w:eastAsia="es-DO"/>
              </w:rPr>
            </w:pPr>
            <w:r w:rsidRPr="005C133F">
              <w:rPr>
                <w:lang w:val="es-DO" w:eastAsia="es-DO"/>
              </w:rPr>
              <w:t>139,272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559B6F6" w14:textId="77777777" w:rsidR="0047711D" w:rsidRPr="005C133F" w:rsidRDefault="0047711D" w:rsidP="004C1B2F">
            <w:pPr>
              <w:spacing w:after="0" w:line="240" w:lineRule="auto"/>
              <w:jc w:val="center"/>
              <w:rPr>
                <w:b/>
                <w:bCs/>
                <w:lang w:val="es-DO" w:eastAsia="es-DO"/>
              </w:rPr>
            </w:pPr>
            <w:r w:rsidRPr="005C133F">
              <w:rPr>
                <w:b/>
                <w:bCs/>
                <w:lang w:val="es-DO" w:eastAsia="es-DO"/>
              </w:rPr>
              <w:t>262,801</w:t>
            </w:r>
          </w:p>
        </w:tc>
      </w:tr>
      <w:tr w:rsidR="004921FF" w:rsidRPr="005C133F" w14:paraId="40719A1B"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045672E" w14:textId="77777777" w:rsidR="0047711D" w:rsidRPr="005C133F" w:rsidRDefault="0047711D" w:rsidP="004C1B2F">
            <w:pPr>
              <w:spacing w:after="0" w:line="240" w:lineRule="auto"/>
              <w:jc w:val="center"/>
              <w:rPr>
                <w:lang w:val="es-DO" w:eastAsia="es-DO"/>
              </w:rPr>
            </w:pPr>
            <w:r w:rsidRPr="005C133F">
              <w:rPr>
                <w:lang w:val="es-DO" w:eastAsia="es-DO"/>
              </w:rPr>
              <w:t>2024-07</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193FD57" w14:textId="77777777" w:rsidR="0047711D" w:rsidRPr="005C133F" w:rsidRDefault="0047711D" w:rsidP="004C1B2F">
            <w:pPr>
              <w:spacing w:after="0" w:line="240" w:lineRule="auto"/>
              <w:jc w:val="center"/>
              <w:rPr>
                <w:lang w:val="es-DO" w:eastAsia="es-DO"/>
              </w:rPr>
            </w:pPr>
            <w:r w:rsidRPr="005C133F">
              <w:rPr>
                <w:lang w:val="es-DO" w:eastAsia="es-DO"/>
              </w:rPr>
              <w:t>120,056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56AE433" w14:textId="77777777" w:rsidR="0047711D" w:rsidRPr="005C133F" w:rsidRDefault="0047711D" w:rsidP="004C1B2F">
            <w:pPr>
              <w:spacing w:after="0" w:line="240" w:lineRule="auto"/>
              <w:jc w:val="center"/>
              <w:rPr>
                <w:lang w:val="es-DO" w:eastAsia="es-DO"/>
              </w:rPr>
            </w:pPr>
            <w:r w:rsidRPr="005C133F">
              <w:rPr>
                <w:lang w:val="es-DO" w:eastAsia="es-DO"/>
              </w:rPr>
              <w:t>4,803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0C13A17" w14:textId="77777777" w:rsidR="0047711D" w:rsidRPr="005C133F" w:rsidRDefault="0047711D" w:rsidP="004C1B2F">
            <w:pPr>
              <w:spacing w:after="0" w:line="240" w:lineRule="auto"/>
              <w:jc w:val="center"/>
              <w:rPr>
                <w:lang w:val="es-DO" w:eastAsia="es-DO"/>
              </w:rPr>
            </w:pPr>
            <w:r w:rsidRPr="005C133F">
              <w:rPr>
                <w:lang w:val="es-DO" w:eastAsia="es-DO"/>
              </w:rPr>
              <w:t>139,351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FDE5BB8" w14:textId="77777777" w:rsidR="0047711D" w:rsidRPr="005C133F" w:rsidRDefault="0047711D" w:rsidP="004C1B2F">
            <w:pPr>
              <w:spacing w:after="0" w:line="240" w:lineRule="auto"/>
              <w:jc w:val="center"/>
              <w:rPr>
                <w:b/>
                <w:bCs/>
                <w:lang w:val="es-DO" w:eastAsia="es-DO"/>
              </w:rPr>
            </w:pPr>
            <w:r w:rsidRPr="005C133F">
              <w:rPr>
                <w:b/>
                <w:bCs/>
                <w:lang w:val="es-DO" w:eastAsia="es-DO"/>
              </w:rPr>
              <w:t>264,210</w:t>
            </w:r>
          </w:p>
        </w:tc>
      </w:tr>
      <w:tr w:rsidR="004921FF" w:rsidRPr="005C133F" w14:paraId="5CA04DF3"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131C5D0" w14:textId="77777777" w:rsidR="0047711D" w:rsidRPr="005C133F" w:rsidRDefault="0047711D" w:rsidP="004C1B2F">
            <w:pPr>
              <w:spacing w:after="0" w:line="240" w:lineRule="auto"/>
              <w:jc w:val="center"/>
              <w:rPr>
                <w:lang w:val="es-DO" w:eastAsia="es-DO"/>
              </w:rPr>
            </w:pPr>
            <w:r w:rsidRPr="005C133F">
              <w:rPr>
                <w:lang w:val="es-DO" w:eastAsia="es-DO"/>
              </w:rPr>
              <w:t>2024-08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D7EABC1" w14:textId="77777777" w:rsidR="0047711D" w:rsidRPr="005C133F" w:rsidRDefault="0047711D" w:rsidP="004C1B2F">
            <w:pPr>
              <w:spacing w:after="0" w:line="240" w:lineRule="auto"/>
              <w:jc w:val="center"/>
              <w:rPr>
                <w:lang w:val="es-DO" w:eastAsia="es-DO"/>
              </w:rPr>
            </w:pPr>
            <w:r w:rsidRPr="005C133F">
              <w:rPr>
                <w:lang w:val="es-DO" w:eastAsia="es-DO"/>
              </w:rPr>
              <w:t>121,908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F8FFA3C" w14:textId="77777777" w:rsidR="0047711D" w:rsidRPr="005C133F" w:rsidRDefault="0047711D" w:rsidP="004C1B2F">
            <w:pPr>
              <w:spacing w:after="0" w:line="240" w:lineRule="auto"/>
              <w:jc w:val="center"/>
              <w:rPr>
                <w:lang w:val="es-DO" w:eastAsia="es-DO"/>
              </w:rPr>
            </w:pPr>
            <w:r w:rsidRPr="005C133F">
              <w:rPr>
                <w:lang w:val="es-DO" w:eastAsia="es-DO"/>
              </w:rPr>
              <w:t>4,693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17F9196" w14:textId="77777777" w:rsidR="0047711D" w:rsidRPr="005C133F" w:rsidRDefault="0047711D" w:rsidP="004C1B2F">
            <w:pPr>
              <w:spacing w:after="0" w:line="240" w:lineRule="auto"/>
              <w:jc w:val="center"/>
              <w:rPr>
                <w:lang w:val="es-DO" w:eastAsia="es-DO"/>
              </w:rPr>
            </w:pPr>
            <w:r w:rsidRPr="005C133F">
              <w:rPr>
                <w:lang w:val="es-DO" w:eastAsia="es-DO"/>
              </w:rPr>
              <w:t>140,552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600ED67" w14:textId="77777777" w:rsidR="0047711D" w:rsidRPr="005C133F" w:rsidRDefault="0047711D" w:rsidP="004C1B2F">
            <w:pPr>
              <w:spacing w:after="0" w:line="240" w:lineRule="auto"/>
              <w:jc w:val="center"/>
              <w:rPr>
                <w:b/>
                <w:bCs/>
                <w:lang w:val="es-DO" w:eastAsia="es-DO"/>
              </w:rPr>
            </w:pPr>
            <w:r w:rsidRPr="005C133F">
              <w:rPr>
                <w:b/>
                <w:bCs/>
                <w:lang w:val="es-DO" w:eastAsia="es-DO"/>
              </w:rPr>
              <w:t>267,153</w:t>
            </w:r>
          </w:p>
        </w:tc>
      </w:tr>
      <w:tr w:rsidR="004921FF" w:rsidRPr="005C133F" w14:paraId="60A4D6D5"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CDB52B3" w14:textId="77777777" w:rsidR="0047711D" w:rsidRPr="005C133F" w:rsidRDefault="0047711D" w:rsidP="004C1B2F">
            <w:pPr>
              <w:spacing w:after="0" w:line="240" w:lineRule="auto"/>
              <w:jc w:val="center"/>
              <w:rPr>
                <w:lang w:val="es-DO" w:eastAsia="es-DO"/>
              </w:rPr>
            </w:pPr>
            <w:r w:rsidRPr="005C133F">
              <w:rPr>
                <w:lang w:val="es-DO" w:eastAsia="es-DO"/>
              </w:rPr>
              <w:t>2024-09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5005453" w14:textId="77777777" w:rsidR="0047711D" w:rsidRPr="005C133F" w:rsidRDefault="0047711D" w:rsidP="004C1B2F">
            <w:pPr>
              <w:spacing w:after="0" w:line="240" w:lineRule="auto"/>
              <w:jc w:val="center"/>
              <w:rPr>
                <w:lang w:val="es-DO" w:eastAsia="es-DO"/>
              </w:rPr>
            </w:pPr>
            <w:r w:rsidRPr="005C133F">
              <w:rPr>
                <w:lang w:val="es-DO" w:eastAsia="es-DO"/>
              </w:rPr>
              <w:t>121,935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08AFCFF1" w14:textId="77777777" w:rsidR="0047711D" w:rsidRPr="005C133F" w:rsidRDefault="0047711D" w:rsidP="004C1B2F">
            <w:pPr>
              <w:spacing w:after="0" w:line="240" w:lineRule="auto"/>
              <w:jc w:val="center"/>
              <w:rPr>
                <w:lang w:val="es-DO" w:eastAsia="es-DO"/>
              </w:rPr>
            </w:pPr>
            <w:r w:rsidRPr="005C133F">
              <w:rPr>
                <w:lang w:val="es-DO" w:eastAsia="es-DO"/>
              </w:rPr>
              <w:t>4,703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BC91795" w14:textId="77777777" w:rsidR="0047711D" w:rsidRPr="005C133F" w:rsidRDefault="0047711D" w:rsidP="004C1B2F">
            <w:pPr>
              <w:spacing w:after="0" w:line="240" w:lineRule="auto"/>
              <w:jc w:val="center"/>
              <w:rPr>
                <w:lang w:val="es-DO" w:eastAsia="es-DO"/>
              </w:rPr>
            </w:pPr>
            <w:r w:rsidRPr="005C133F">
              <w:rPr>
                <w:lang w:val="es-DO" w:eastAsia="es-DO"/>
              </w:rPr>
              <w:t>139,309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C9A9076" w14:textId="77777777" w:rsidR="0047711D" w:rsidRPr="005C133F" w:rsidRDefault="0047711D" w:rsidP="004C1B2F">
            <w:pPr>
              <w:spacing w:after="0" w:line="240" w:lineRule="auto"/>
              <w:jc w:val="center"/>
              <w:rPr>
                <w:b/>
                <w:bCs/>
                <w:lang w:val="es-DO" w:eastAsia="es-DO"/>
              </w:rPr>
            </w:pPr>
            <w:r w:rsidRPr="005C133F">
              <w:rPr>
                <w:b/>
                <w:bCs/>
                <w:lang w:val="es-DO" w:eastAsia="es-DO"/>
              </w:rPr>
              <w:t>265,947</w:t>
            </w:r>
          </w:p>
        </w:tc>
      </w:tr>
      <w:tr w:rsidR="004921FF" w:rsidRPr="005C133F" w14:paraId="59017E0F"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ED28CA9" w14:textId="77777777" w:rsidR="0047711D" w:rsidRPr="005C133F" w:rsidRDefault="0047711D" w:rsidP="004C1B2F">
            <w:pPr>
              <w:spacing w:after="0" w:line="240" w:lineRule="auto"/>
              <w:jc w:val="center"/>
              <w:rPr>
                <w:lang w:val="es-DO" w:eastAsia="es-DO"/>
              </w:rPr>
            </w:pPr>
            <w:r w:rsidRPr="005C133F">
              <w:rPr>
                <w:lang w:val="es-DO" w:eastAsia="es-DO"/>
              </w:rPr>
              <w:t>2024-10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5E6AFCB8" w14:textId="77777777" w:rsidR="0047711D" w:rsidRPr="005C133F" w:rsidRDefault="0047711D" w:rsidP="004C1B2F">
            <w:pPr>
              <w:spacing w:after="0" w:line="240" w:lineRule="auto"/>
              <w:jc w:val="center"/>
              <w:rPr>
                <w:lang w:val="es-DO" w:eastAsia="es-DO"/>
              </w:rPr>
            </w:pPr>
            <w:r w:rsidRPr="005C133F">
              <w:rPr>
                <w:lang w:val="es-DO" w:eastAsia="es-DO"/>
              </w:rPr>
              <w:t>126,332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496E0A11" w14:textId="77777777" w:rsidR="0047711D" w:rsidRPr="005C133F" w:rsidRDefault="0047711D" w:rsidP="004C1B2F">
            <w:pPr>
              <w:spacing w:after="0" w:line="240" w:lineRule="auto"/>
              <w:jc w:val="center"/>
              <w:rPr>
                <w:lang w:val="es-DO" w:eastAsia="es-DO"/>
              </w:rPr>
            </w:pPr>
            <w:r w:rsidRPr="005C133F">
              <w:rPr>
                <w:lang w:val="es-DO" w:eastAsia="es-DO"/>
              </w:rPr>
              <w:t>4,669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D85053F" w14:textId="77777777" w:rsidR="0047711D" w:rsidRPr="005C133F" w:rsidRDefault="0047711D" w:rsidP="004C1B2F">
            <w:pPr>
              <w:spacing w:after="0" w:line="240" w:lineRule="auto"/>
              <w:jc w:val="center"/>
              <w:rPr>
                <w:lang w:val="es-DO" w:eastAsia="es-DO"/>
              </w:rPr>
            </w:pPr>
            <w:r w:rsidRPr="005C133F">
              <w:rPr>
                <w:lang w:val="es-DO" w:eastAsia="es-DO"/>
              </w:rPr>
              <w:t>138,816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1326F7EA" w14:textId="77777777" w:rsidR="0047711D" w:rsidRPr="005C133F" w:rsidRDefault="0047711D" w:rsidP="004C1B2F">
            <w:pPr>
              <w:spacing w:after="0" w:line="240" w:lineRule="auto"/>
              <w:jc w:val="center"/>
              <w:rPr>
                <w:b/>
                <w:bCs/>
                <w:lang w:val="es-DO" w:eastAsia="es-DO"/>
              </w:rPr>
            </w:pPr>
            <w:r w:rsidRPr="005C133F">
              <w:rPr>
                <w:b/>
                <w:bCs/>
                <w:lang w:val="es-DO" w:eastAsia="es-DO"/>
              </w:rPr>
              <w:t>269,817</w:t>
            </w:r>
          </w:p>
        </w:tc>
      </w:tr>
      <w:tr w:rsidR="004921FF" w:rsidRPr="005C133F" w14:paraId="7D6EF86B" w14:textId="77777777" w:rsidTr="009769A1">
        <w:trPr>
          <w:trHeight w:val="2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94DEC2D" w14:textId="77777777" w:rsidR="0047711D" w:rsidRPr="005C133F" w:rsidRDefault="0047711D" w:rsidP="004C1B2F">
            <w:pPr>
              <w:spacing w:after="0" w:line="240" w:lineRule="auto"/>
              <w:jc w:val="center"/>
              <w:rPr>
                <w:lang w:val="es-DO" w:eastAsia="es-DO"/>
              </w:rPr>
            </w:pPr>
            <w:r w:rsidRPr="005C133F">
              <w:rPr>
                <w:lang w:val="es-DO" w:eastAsia="es-DO"/>
              </w:rPr>
              <w:t>2024-11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D6A5550" w14:textId="77777777" w:rsidR="0047711D" w:rsidRPr="005C133F" w:rsidRDefault="0047711D" w:rsidP="004C1B2F">
            <w:pPr>
              <w:spacing w:after="0" w:line="240" w:lineRule="auto"/>
              <w:jc w:val="center"/>
              <w:rPr>
                <w:lang w:val="es-DO" w:eastAsia="es-DO"/>
              </w:rPr>
            </w:pPr>
            <w:r w:rsidRPr="005C133F">
              <w:rPr>
                <w:lang w:val="es-DO" w:eastAsia="es-DO"/>
              </w:rPr>
              <w:t>132,356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6357A52B" w14:textId="77777777" w:rsidR="0047711D" w:rsidRPr="005C133F" w:rsidRDefault="0047711D" w:rsidP="004C1B2F">
            <w:pPr>
              <w:spacing w:after="0" w:line="240" w:lineRule="auto"/>
              <w:jc w:val="center"/>
              <w:rPr>
                <w:lang w:val="es-DO" w:eastAsia="es-DO"/>
              </w:rPr>
            </w:pPr>
            <w:r w:rsidRPr="005C133F">
              <w:rPr>
                <w:lang w:val="es-DO" w:eastAsia="es-DO"/>
              </w:rPr>
              <w:t>4,630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34684AEC" w14:textId="77777777" w:rsidR="0047711D" w:rsidRPr="005C133F" w:rsidRDefault="0047711D" w:rsidP="004C1B2F">
            <w:pPr>
              <w:spacing w:after="0" w:line="240" w:lineRule="auto"/>
              <w:jc w:val="center"/>
              <w:rPr>
                <w:lang w:val="es-DO" w:eastAsia="es-DO"/>
              </w:rPr>
            </w:pPr>
            <w:r w:rsidRPr="005C133F">
              <w:rPr>
                <w:lang w:val="es-DO" w:eastAsia="es-DO"/>
              </w:rPr>
              <w:t>138,905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bottom"/>
            <w:hideMark/>
          </w:tcPr>
          <w:p w14:paraId="200F1395" w14:textId="77777777" w:rsidR="0047711D" w:rsidRPr="005C133F" w:rsidRDefault="0047711D" w:rsidP="004C1B2F">
            <w:pPr>
              <w:spacing w:after="0" w:line="240" w:lineRule="auto"/>
              <w:jc w:val="center"/>
              <w:rPr>
                <w:b/>
                <w:bCs/>
                <w:lang w:val="es-DO" w:eastAsia="es-DO"/>
              </w:rPr>
            </w:pPr>
            <w:r w:rsidRPr="005C133F">
              <w:rPr>
                <w:b/>
                <w:bCs/>
                <w:lang w:val="es-DO" w:eastAsia="es-DO"/>
              </w:rPr>
              <w:t>275,891</w:t>
            </w:r>
          </w:p>
        </w:tc>
      </w:tr>
    </w:tbl>
    <w:p w14:paraId="36741E05" w14:textId="77777777" w:rsidR="00A35F2B" w:rsidRPr="00AC2DB2" w:rsidRDefault="00A35F2B" w:rsidP="004C1B2F">
      <w:pPr>
        <w:spacing w:before="3" w:after="0" w:line="240" w:lineRule="auto"/>
        <w:rPr>
          <w:sz w:val="18"/>
          <w:szCs w:val="18"/>
          <w:lang w:val="es-DO"/>
        </w:rPr>
      </w:pPr>
      <w:r w:rsidRPr="00AC2DB2">
        <w:rPr>
          <w:sz w:val="18"/>
          <w:szCs w:val="18"/>
          <w:lang w:val="es-DO"/>
        </w:rPr>
        <w:t>Fuente: Dirección de Gestión Actuarial del SFS y el SRL, SISALRIL.</w:t>
      </w:r>
    </w:p>
    <w:p w14:paraId="4EAFBD21" w14:textId="77777777" w:rsidR="004E35D4" w:rsidRPr="005C133F" w:rsidRDefault="004E35D4" w:rsidP="005C133F">
      <w:pPr>
        <w:spacing w:after="0" w:line="360" w:lineRule="auto"/>
        <w:rPr>
          <w:lang w:val="es-DO"/>
        </w:rPr>
      </w:pPr>
    </w:p>
    <w:p w14:paraId="15A2F394" w14:textId="4C129EEC" w:rsidR="0047711D" w:rsidRPr="005C133F" w:rsidRDefault="0047711D">
      <w:pPr>
        <w:pStyle w:val="Prrafodelista"/>
        <w:numPr>
          <w:ilvl w:val="0"/>
          <w:numId w:val="64"/>
        </w:numPr>
        <w:spacing w:after="0" w:line="360" w:lineRule="auto"/>
        <w:jc w:val="both"/>
        <w:rPr>
          <w:lang w:val="es-DO"/>
        </w:rPr>
      </w:pPr>
      <w:r w:rsidRPr="005C133F">
        <w:rPr>
          <w:lang w:val="es-DO"/>
        </w:rPr>
        <w:t xml:space="preserve">Se actualizó un (1) informe sobre materiales de osteosíntesis en el Régimen Contributivo. El informé arrojó </w:t>
      </w:r>
      <w:r w:rsidR="00761840" w:rsidRPr="005C133F">
        <w:rPr>
          <w:lang w:val="es-DO"/>
        </w:rPr>
        <w:t>que,</w:t>
      </w:r>
      <w:r w:rsidRPr="005C133F">
        <w:rPr>
          <w:lang w:val="es-DO"/>
        </w:rPr>
        <w:t xml:space="preserve"> en el año 2024, el monto pagado a los PSS clasificados como comercializadoras de suministros en el Régimen Contributivo en los subgrupos correspondientes a procedimientos asociados a ortopedia y traumatología asciende a RD$621.84 millones, de los cuales, RD$447.03 millones correspondieron al Plan Básico de Salud, RD$131.92 millones a accidentes de tránsito, y RD$42.90 millones a los Planes de Pensionados y Jubilados. </w:t>
      </w:r>
    </w:p>
    <w:p w14:paraId="2D66B4D2" w14:textId="7DDCF98F" w:rsidR="0047711D" w:rsidRPr="005C133F" w:rsidRDefault="0047711D">
      <w:pPr>
        <w:pStyle w:val="Prrafodelista"/>
        <w:numPr>
          <w:ilvl w:val="0"/>
          <w:numId w:val="64"/>
        </w:numPr>
        <w:spacing w:after="0" w:line="360" w:lineRule="auto"/>
        <w:jc w:val="both"/>
        <w:rPr>
          <w:lang w:val="es-DO"/>
        </w:rPr>
      </w:pPr>
      <w:r w:rsidRPr="005C133F">
        <w:rPr>
          <w:lang w:val="es-DO"/>
        </w:rPr>
        <w:t>Se actualizó un (1) estudio sobre la siniestralidad en el SFS con respecto a los accidentes de tránsito en el Régimen Contributivo y Régimen Subsidiado. Se estimó un per cápita observado de RD$11.45 para el Régimen Subsidiado, superando lo que en ese entonces se dispersaba como per cápita por afiliado (RD$6.00), corregido mediante la aprobación de la Resolución del CNSS No. 610-04. Para el Régimen Contributivo se estimó un per cápita observado de RD$37.52, siendo mayor al per cápita vigente de RD$32.24. Además, es importante resaltar las siguientes características:</w:t>
      </w:r>
    </w:p>
    <w:p w14:paraId="5833A066" w14:textId="77777777" w:rsidR="0047711D" w:rsidRPr="005C133F" w:rsidRDefault="0047711D">
      <w:pPr>
        <w:pStyle w:val="Prrafodelista"/>
        <w:numPr>
          <w:ilvl w:val="0"/>
          <w:numId w:val="66"/>
        </w:numPr>
        <w:spacing w:after="0" w:line="360" w:lineRule="auto"/>
        <w:jc w:val="both"/>
        <w:rPr>
          <w:lang w:val="es-DO"/>
        </w:rPr>
      </w:pPr>
      <w:r w:rsidRPr="005C133F">
        <w:rPr>
          <w:lang w:val="es-DO"/>
        </w:rPr>
        <w:lastRenderedPageBreak/>
        <w:t>De la población que demandó servicios de salud debido a que sufrió un accidente de tránsito en el año 2024 se tiene que: El 73.8% son Hombres y 26.2% son mujeres; en el Régimen Contributivo la relación es de 72.0% hombres y 28.0% mujeres; y finalmente, dentro del Régimen Subsidiado, 76 de cada 100 personas que demandaron atenciones médicas porque tuvieron un accidente son hombres y 24 son mujeres.</w:t>
      </w:r>
    </w:p>
    <w:p w14:paraId="4F9D472A" w14:textId="77777777" w:rsidR="0047711D" w:rsidRPr="005C133F" w:rsidRDefault="0047711D">
      <w:pPr>
        <w:pStyle w:val="Prrafodelista"/>
        <w:numPr>
          <w:ilvl w:val="0"/>
          <w:numId w:val="66"/>
        </w:numPr>
        <w:spacing w:after="0" w:line="360" w:lineRule="auto"/>
        <w:jc w:val="both"/>
        <w:rPr>
          <w:lang w:val="es-DO"/>
        </w:rPr>
      </w:pPr>
      <w:r w:rsidRPr="005C133F">
        <w:rPr>
          <w:lang w:val="es-DO"/>
        </w:rPr>
        <w:t>Por cada 100 personas con un Accidente de Tránsito en Trayecto y reciben una prestación económica (Subsidio, Indemnización o pensión) 36.81% tienen menos de 30 años. Ese 36.81% está compuesto por 24.78% de hombres y el restante 12.03% de mujeres.</w:t>
      </w:r>
    </w:p>
    <w:p w14:paraId="5FBFF57D" w14:textId="77777777" w:rsidR="0047711D" w:rsidRPr="005C133F" w:rsidRDefault="0047711D">
      <w:pPr>
        <w:pStyle w:val="Prrafodelista"/>
        <w:numPr>
          <w:ilvl w:val="0"/>
          <w:numId w:val="66"/>
        </w:numPr>
        <w:spacing w:after="0" w:line="360" w:lineRule="auto"/>
        <w:jc w:val="both"/>
        <w:rPr>
          <w:lang w:val="es-DO"/>
        </w:rPr>
      </w:pPr>
      <w:r w:rsidRPr="005C133F">
        <w:rPr>
          <w:lang w:val="es-DO"/>
        </w:rPr>
        <w:t>Por cada 100 personas que sufrieron un accidente de tránsito y demandaron servicio de salud dentro del Régimen Contributivo 35 son jóvenes de 20 a 29 años, de los cuales 26 son hombres y 9 son mujeres.</w:t>
      </w:r>
    </w:p>
    <w:p w14:paraId="6239B771" w14:textId="77777777" w:rsidR="0047711D" w:rsidRPr="005C133F" w:rsidRDefault="0047711D">
      <w:pPr>
        <w:pStyle w:val="Prrafodelista"/>
        <w:numPr>
          <w:ilvl w:val="0"/>
          <w:numId w:val="66"/>
        </w:numPr>
        <w:spacing w:after="0" w:line="360" w:lineRule="auto"/>
        <w:jc w:val="both"/>
        <w:rPr>
          <w:lang w:val="es-DO"/>
        </w:rPr>
      </w:pPr>
      <w:r w:rsidRPr="005C133F">
        <w:rPr>
          <w:lang w:val="es-DO"/>
        </w:rPr>
        <w:t>En el Régimen Contributivo el monto pagado por la atención médica a hombres con un AT es 3.5 veces el monto pagado por la atención médica a mujeres con un AT en 2024.</w:t>
      </w:r>
    </w:p>
    <w:p w14:paraId="6B2F0753" w14:textId="18816ED4" w:rsidR="004F6195" w:rsidRPr="005C133F" w:rsidRDefault="0047711D">
      <w:pPr>
        <w:pStyle w:val="Prrafodelista"/>
        <w:numPr>
          <w:ilvl w:val="0"/>
          <w:numId w:val="66"/>
        </w:numPr>
        <w:spacing w:after="0" w:line="360" w:lineRule="auto"/>
        <w:jc w:val="both"/>
        <w:rPr>
          <w:lang w:val="es-DO"/>
        </w:rPr>
      </w:pPr>
      <w:r w:rsidRPr="005C133F">
        <w:rPr>
          <w:lang w:val="es-DO"/>
        </w:rPr>
        <w:t>En el Régimen Subsidiado el monto pagado por la atención médica a hombres con un AT es 5.3 veces el monto pagado por la atención médica a mujeres con un AT en 2024.</w:t>
      </w:r>
    </w:p>
    <w:p w14:paraId="2C7B039E" w14:textId="3E8FBD37" w:rsidR="00815358" w:rsidRPr="005C133F" w:rsidRDefault="00115415">
      <w:pPr>
        <w:pStyle w:val="Prrafodelista"/>
        <w:numPr>
          <w:ilvl w:val="0"/>
          <w:numId w:val="64"/>
        </w:numPr>
        <w:spacing w:after="0" w:line="360" w:lineRule="auto"/>
        <w:jc w:val="both"/>
        <w:rPr>
          <w:lang w:val="es-DO"/>
        </w:rPr>
      </w:pPr>
      <w:r w:rsidRPr="005C133F">
        <w:rPr>
          <w:lang w:val="es-DO"/>
        </w:rPr>
        <w:t xml:space="preserve">Se realizaron </w:t>
      </w:r>
      <w:r w:rsidR="00815358" w:rsidRPr="005C133F">
        <w:rPr>
          <w:lang w:val="es-DO"/>
        </w:rPr>
        <w:t>de varios seguimientos acorde a los archivos remitidos por las ARS correspondiente a tarifas.</w:t>
      </w:r>
    </w:p>
    <w:p w14:paraId="06469F84" w14:textId="5167EC8C" w:rsidR="00815358" w:rsidRPr="005C133F" w:rsidRDefault="00C3579F">
      <w:pPr>
        <w:pStyle w:val="Prrafodelista"/>
        <w:numPr>
          <w:ilvl w:val="0"/>
          <w:numId w:val="64"/>
        </w:numPr>
        <w:spacing w:after="0" w:line="360" w:lineRule="auto"/>
        <w:jc w:val="both"/>
        <w:rPr>
          <w:lang w:val="es-DO"/>
        </w:rPr>
      </w:pPr>
      <w:r w:rsidRPr="005C133F">
        <w:rPr>
          <w:lang w:val="es-DO"/>
        </w:rPr>
        <w:t>Se actualizó</w:t>
      </w:r>
      <w:r w:rsidR="00815358" w:rsidRPr="005C133F">
        <w:rPr>
          <w:lang w:val="es-DO"/>
        </w:rPr>
        <w:t xml:space="preserve"> una (1) presentación sobre elementos variados del Seguro Familiar de Salud ​desde la perspectiva de género, </w:t>
      </w:r>
      <w:r w:rsidR="00144354" w:rsidRPr="005C133F">
        <w:rPr>
          <w:lang w:val="es-DO"/>
        </w:rPr>
        <w:t xml:space="preserve">con </w:t>
      </w:r>
      <w:r w:rsidR="008E3EBA" w:rsidRPr="005C133F">
        <w:rPr>
          <w:lang w:val="es-DO"/>
        </w:rPr>
        <w:t xml:space="preserve">información </w:t>
      </w:r>
      <w:r w:rsidR="00B1433B" w:rsidRPr="005C133F">
        <w:rPr>
          <w:lang w:val="es-DO"/>
        </w:rPr>
        <w:t>sobre la demanda de servicios del Plan Básico</w:t>
      </w:r>
      <w:r w:rsidR="00DC7718" w:rsidRPr="005C133F">
        <w:rPr>
          <w:lang w:val="es-DO"/>
        </w:rPr>
        <w:t xml:space="preserve"> de Sal</w:t>
      </w:r>
      <w:r w:rsidR="00142B04" w:rsidRPr="005C133F">
        <w:rPr>
          <w:lang w:val="es-DO"/>
        </w:rPr>
        <w:t>ud</w:t>
      </w:r>
      <w:r w:rsidR="00DC7718" w:rsidRPr="005C133F">
        <w:rPr>
          <w:lang w:val="es-DO"/>
        </w:rPr>
        <w:t xml:space="preserve"> </w:t>
      </w:r>
      <w:r w:rsidR="00173F53" w:rsidRPr="005C133F">
        <w:rPr>
          <w:lang w:val="es-DO"/>
        </w:rPr>
        <w:t xml:space="preserve">desagrada por sexo de los años 2018 al 2024: </w:t>
      </w:r>
    </w:p>
    <w:p w14:paraId="69DD698C" w14:textId="77777777" w:rsidR="0023125E" w:rsidRPr="005C133F" w:rsidRDefault="0023125E" w:rsidP="005C133F">
      <w:pPr>
        <w:pStyle w:val="Prrafodelista"/>
        <w:spacing w:after="0" w:line="360" w:lineRule="auto"/>
        <w:ind w:left="360"/>
        <w:jc w:val="both"/>
        <w:rPr>
          <w:lang w:val="es-DO"/>
        </w:rPr>
        <w:sectPr w:rsidR="0023125E" w:rsidRPr="005C133F" w:rsidSect="00D75EEC">
          <w:pgSz w:w="12240" w:h="15840"/>
          <w:pgMar w:top="1440" w:right="2160" w:bottom="1440" w:left="2160" w:header="0" w:footer="1361" w:gutter="0"/>
          <w:cols w:space="720"/>
        </w:sectPr>
      </w:pPr>
    </w:p>
    <w:p w14:paraId="48553CCA" w14:textId="06AA894B" w:rsidR="0082166E" w:rsidRPr="005C133F" w:rsidRDefault="0082166E" w:rsidP="00FE28A0">
      <w:pPr>
        <w:tabs>
          <w:tab w:val="left" w:pos="1080"/>
        </w:tabs>
        <w:spacing w:after="0" w:line="240" w:lineRule="auto"/>
        <w:ind w:right="1077"/>
        <w:jc w:val="center"/>
        <w:rPr>
          <w:b/>
          <w:bCs/>
          <w:lang w:val="es-DO"/>
        </w:rPr>
      </w:pPr>
    </w:p>
    <w:p w14:paraId="6DB81780" w14:textId="13A6675D" w:rsidR="00AC1558" w:rsidRPr="005C133F" w:rsidRDefault="00AC1558" w:rsidP="00FE28A0">
      <w:pPr>
        <w:pStyle w:val="Descripcin"/>
        <w:keepNext/>
        <w:spacing w:after="0"/>
        <w:jc w:val="center"/>
        <w:rPr>
          <w:b/>
          <w:bCs/>
          <w:i w:val="0"/>
          <w:iCs w:val="0"/>
          <w:color w:val="767171"/>
          <w:sz w:val="24"/>
          <w:szCs w:val="24"/>
          <w:lang w:val="es-DO"/>
        </w:rPr>
      </w:pPr>
      <w:bookmarkStart w:id="89" w:name="_Toc218784164"/>
      <w:r w:rsidRPr="005C133F">
        <w:rPr>
          <w:b/>
          <w:bCs/>
          <w:i w:val="0"/>
          <w:iCs w:val="0"/>
          <w:color w:val="767171"/>
          <w:sz w:val="24"/>
          <w:szCs w:val="24"/>
          <w:lang w:val="es-DO"/>
        </w:rPr>
        <w:t xml:space="preserve">Tabla </w:t>
      </w:r>
      <w:r w:rsidRPr="005C133F">
        <w:rPr>
          <w:b/>
          <w:bCs/>
          <w:i w:val="0"/>
          <w:iCs w:val="0"/>
          <w:color w:val="767171"/>
          <w:sz w:val="24"/>
          <w:szCs w:val="24"/>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rPr>
        <w:fldChar w:fldCharType="separate"/>
      </w:r>
      <w:r w:rsidR="00814341">
        <w:rPr>
          <w:b/>
          <w:bCs/>
          <w:i w:val="0"/>
          <w:iCs w:val="0"/>
          <w:noProof/>
          <w:color w:val="767171"/>
          <w:sz w:val="24"/>
          <w:szCs w:val="24"/>
          <w:lang w:val="es-DO"/>
        </w:rPr>
        <w:t>32</w:t>
      </w:r>
      <w:r w:rsidRPr="005C133F">
        <w:rPr>
          <w:b/>
          <w:bCs/>
          <w:i w:val="0"/>
          <w:iCs w:val="0"/>
          <w:color w:val="767171"/>
          <w:sz w:val="24"/>
          <w:szCs w:val="24"/>
        </w:rPr>
        <w:fldChar w:fldCharType="end"/>
      </w:r>
      <w:r w:rsidRPr="005C133F">
        <w:rPr>
          <w:b/>
          <w:i w:val="0"/>
          <w:color w:val="767171"/>
          <w:sz w:val="24"/>
          <w:szCs w:val="24"/>
          <w:lang w:val="es-DO"/>
        </w:rPr>
        <w:t xml:space="preserve">. </w:t>
      </w:r>
      <w:r w:rsidRPr="005C133F">
        <w:rPr>
          <w:b/>
          <w:bCs/>
          <w:i w:val="0"/>
          <w:iCs w:val="0"/>
          <w:color w:val="767171"/>
          <w:sz w:val="24"/>
          <w:szCs w:val="24"/>
          <w:lang w:val="es-DO"/>
        </w:rPr>
        <w:t>Régimen Contributivo (RC). Proporción de la población afiliada que utilizó los servicios del Plan Básico de Salud, por año y sexo, cobertura  2018-2024</w:t>
      </w:r>
      <w:bookmarkEnd w:id="89"/>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590"/>
        <w:gridCol w:w="2797"/>
        <w:gridCol w:w="1250"/>
        <w:gridCol w:w="1363"/>
        <w:gridCol w:w="2797"/>
        <w:gridCol w:w="1250"/>
        <w:gridCol w:w="1363"/>
        <w:gridCol w:w="2797"/>
        <w:gridCol w:w="1250"/>
        <w:gridCol w:w="1363"/>
      </w:tblGrid>
      <w:tr w:rsidR="00246DA5" w:rsidRPr="004C1B2F" w14:paraId="618A72CF" w14:textId="77777777" w:rsidTr="0067066E">
        <w:trPr>
          <w:trHeight w:val="20"/>
          <w:jc w:val="center"/>
        </w:trPr>
        <w:tc>
          <w:tcPr>
            <w:tcW w:w="0" w:type="auto"/>
            <w:tcBorders>
              <w:top w:val="nil"/>
            </w:tcBorders>
            <w:shd w:val="clear" w:color="auto" w:fill="011C50"/>
            <w:vAlign w:val="center"/>
            <w:hideMark/>
          </w:tcPr>
          <w:p w14:paraId="3A894899" w14:textId="0CAAF683"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R</w:t>
            </w:r>
            <w:r w:rsidR="00C23B68" w:rsidRPr="004C1B2F">
              <w:rPr>
                <w:b/>
                <w:bCs/>
                <w:color w:val="FFFFFF" w:themeColor="background1"/>
                <w:lang w:val="es-DO" w:eastAsia="es-DO"/>
              </w:rPr>
              <w:t>C</w:t>
            </w:r>
          </w:p>
        </w:tc>
        <w:tc>
          <w:tcPr>
            <w:tcW w:w="0" w:type="auto"/>
            <w:gridSpan w:val="3"/>
            <w:tcBorders>
              <w:top w:val="nil"/>
            </w:tcBorders>
            <w:shd w:val="clear" w:color="auto" w:fill="011C50"/>
            <w:vAlign w:val="center"/>
            <w:hideMark/>
          </w:tcPr>
          <w:p w14:paraId="3FB2E754"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Ambos sexos</w:t>
            </w:r>
            <w:r w:rsidRPr="004C1B2F">
              <w:rPr>
                <w:color w:val="FFFFFF" w:themeColor="background1"/>
                <w:lang w:eastAsia="es-DO"/>
              </w:rPr>
              <w:t>​</w:t>
            </w:r>
          </w:p>
        </w:tc>
        <w:tc>
          <w:tcPr>
            <w:tcW w:w="0" w:type="auto"/>
            <w:gridSpan w:val="3"/>
            <w:tcBorders>
              <w:top w:val="nil"/>
            </w:tcBorders>
            <w:shd w:val="clear" w:color="auto" w:fill="011C50"/>
            <w:vAlign w:val="center"/>
            <w:hideMark/>
          </w:tcPr>
          <w:p w14:paraId="4D6161DF"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Hombres</w:t>
            </w:r>
            <w:r w:rsidRPr="004C1B2F">
              <w:rPr>
                <w:color w:val="FFFFFF" w:themeColor="background1"/>
                <w:lang w:eastAsia="es-DO"/>
              </w:rPr>
              <w:t>​</w:t>
            </w:r>
          </w:p>
        </w:tc>
        <w:tc>
          <w:tcPr>
            <w:tcW w:w="0" w:type="auto"/>
            <w:gridSpan w:val="3"/>
            <w:tcBorders>
              <w:top w:val="nil"/>
            </w:tcBorders>
            <w:shd w:val="clear" w:color="auto" w:fill="011C50"/>
            <w:vAlign w:val="center"/>
            <w:hideMark/>
          </w:tcPr>
          <w:p w14:paraId="2BF4987B"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Mujeres</w:t>
            </w:r>
            <w:r w:rsidRPr="004C1B2F">
              <w:rPr>
                <w:color w:val="FFFFFF" w:themeColor="background1"/>
                <w:lang w:eastAsia="es-DO"/>
              </w:rPr>
              <w:t>​</w:t>
            </w:r>
          </w:p>
        </w:tc>
      </w:tr>
      <w:tr w:rsidR="00246DA5" w:rsidRPr="004C1B2F" w14:paraId="0F6606AF" w14:textId="77777777" w:rsidTr="0067066E">
        <w:trPr>
          <w:trHeight w:val="20"/>
          <w:jc w:val="center"/>
        </w:trPr>
        <w:tc>
          <w:tcPr>
            <w:tcW w:w="0" w:type="auto"/>
            <w:shd w:val="clear" w:color="auto" w:fill="011C50"/>
            <w:vAlign w:val="center"/>
            <w:hideMark/>
          </w:tcPr>
          <w:p w14:paraId="17635E05" w14:textId="7F068DF3"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w:t>
            </w:r>
            <w:r w:rsidR="004C1B2F" w:rsidRPr="004C1B2F">
              <w:rPr>
                <w:b/>
                <w:bCs/>
                <w:color w:val="FFFFFF" w:themeColor="background1"/>
                <w:lang w:val="es-DO" w:eastAsia="es-DO"/>
              </w:rPr>
              <w:t>ñ</w:t>
            </w:r>
            <w:r w:rsidRPr="004C1B2F">
              <w:rPr>
                <w:b/>
                <w:bCs/>
                <w:color w:val="FFFFFF" w:themeColor="background1"/>
                <w:lang w:val="es-DO" w:eastAsia="es-DO"/>
              </w:rPr>
              <w:t>o</w:t>
            </w:r>
            <w:r w:rsidRPr="004C1B2F">
              <w:rPr>
                <w:color w:val="FFFFFF" w:themeColor="background1"/>
                <w:lang w:eastAsia="es-DO"/>
              </w:rPr>
              <w:t>​</w:t>
            </w:r>
          </w:p>
        </w:tc>
        <w:tc>
          <w:tcPr>
            <w:tcW w:w="0" w:type="auto"/>
            <w:shd w:val="clear" w:color="auto" w:fill="011C50"/>
            <w:vAlign w:val="center"/>
            <w:hideMark/>
          </w:tcPr>
          <w:p w14:paraId="5A1AB218"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4D2F191C"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22E33192"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c>
          <w:tcPr>
            <w:tcW w:w="0" w:type="auto"/>
            <w:shd w:val="clear" w:color="auto" w:fill="011C50"/>
            <w:vAlign w:val="center"/>
            <w:hideMark/>
          </w:tcPr>
          <w:p w14:paraId="00F1852F"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4C8F1911"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28C17579"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c>
          <w:tcPr>
            <w:tcW w:w="0" w:type="auto"/>
            <w:shd w:val="clear" w:color="auto" w:fill="011C50"/>
            <w:vAlign w:val="center"/>
            <w:hideMark/>
          </w:tcPr>
          <w:p w14:paraId="20C46F29"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2AE94752"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5261DCF2" w14:textId="77777777" w:rsidR="00D5654D" w:rsidRPr="004C1B2F" w:rsidRDefault="00D5654D"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r>
      <w:tr w:rsidR="004921FF" w:rsidRPr="004C1B2F" w14:paraId="3A0D393D" w14:textId="77777777" w:rsidTr="0067066E">
        <w:trPr>
          <w:trHeight w:val="20"/>
          <w:jc w:val="center"/>
        </w:trPr>
        <w:tc>
          <w:tcPr>
            <w:tcW w:w="0" w:type="auto"/>
            <w:vAlign w:val="center"/>
            <w:hideMark/>
          </w:tcPr>
          <w:p w14:paraId="581B2816" w14:textId="77777777" w:rsidR="00D5654D" w:rsidRPr="004C1B2F" w:rsidRDefault="00D5654D" w:rsidP="00FE28A0">
            <w:pPr>
              <w:spacing w:after="0" w:line="240" w:lineRule="auto"/>
              <w:jc w:val="center"/>
              <w:textAlignment w:val="baseline"/>
              <w:rPr>
                <w:lang w:eastAsia="es-DO"/>
              </w:rPr>
            </w:pPr>
            <w:r w:rsidRPr="004C1B2F">
              <w:rPr>
                <w:lang w:val="es-DO" w:eastAsia="es-DO"/>
              </w:rPr>
              <w:t>2018</w:t>
            </w:r>
            <w:r w:rsidRPr="004C1B2F">
              <w:rPr>
                <w:lang w:eastAsia="es-DO"/>
              </w:rPr>
              <w:t>​</w:t>
            </w:r>
          </w:p>
        </w:tc>
        <w:tc>
          <w:tcPr>
            <w:tcW w:w="0" w:type="auto"/>
            <w:vAlign w:val="center"/>
            <w:hideMark/>
          </w:tcPr>
          <w:p w14:paraId="24DDBCE5" w14:textId="77777777" w:rsidR="00D5654D" w:rsidRPr="004C1B2F" w:rsidRDefault="00D5654D" w:rsidP="00FE28A0">
            <w:pPr>
              <w:spacing w:after="0" w:line="240" w:lineRule="auto"/>
              <w:jc w:val="center"/>
              <w:textAlignment w:val="baseline"/>
              <w:rPr>
                <w:lang w:eastAsia="es-DO"/>
              </w:rPr>
            </w:pPr>
            <w:r w:rsidRPr="004C1B2F">
              <w:rPr>
                <w:lang w:val="es-DO" w:eastAsia="es-DO"/>
              </w:rPr>
              <w:t>3,374,573 </w:t>
            </w:r>
            <w:r w:rsidRPr="004C1B2F">
              <w:rPr>
                <w:lang w:eastAsia="es-DO"/>
              </w:rPr>
              <w:t>​</w:t>
            </w:r>
          </w:p>
        </w:tc>
        <w:tc>
          <w:tcPr>
            <w:tcW w:w="0" w:type="auto"/>
            <w:vAlign w:val="center"/>
            <w:hideMark/>
          </w:tcPr>
          <w:p w14:paraId="69A45C0E" w14:textId="77777777" w:rsidR="00D5654D" w:rsidRPr="004C1B2F" w:rsidRDefault="00D5654D" w:rsidP="00FE28A0">
            <w:pPr>
              <w:spacing w:after="0" w:line="240" w:lineRule="auto"/>
              <w:jc w:val="center"/>
              <w:textAlignment w:val="baseline"/>
              <w:rPr>
                <w:lang w:eastAsia="es-DO"/>
              </w:rPr>
            </w:pPr>
            <w:r w:rsidRPr="004C1B2F">
              <w:rPr>
                <w:lang w:val="es-DO" w:eastAsia="es-DO"/>
              </w:rPr>
              <w:t>4,025,230 </w:t>
            </w:r>
            <w:r w:rsidRPr="004C1B2F">
              <w:rPr>
                <w:lang w:eastAsia="es-DO"/>
              </w:rPr>
              <w:t>​</w:t>
            </w:r>
          </w:p>
        </w:tc>
        <w:tc>
          <w:tcPr>
            <w:tcW w:w="0" w:type="auto"/>
            <w:vAlign w:val="center"/>
            <w:hideMark/>
          </w:tcPr>
          <w:p w14:paraId="616C6E22" w14:textId="77777777" w:rsidR="00D5654D" w:rsidRPr="004C1B2F" w:rsidRDefault="00D5654D" w:rsidP="00FE28A0">
            <w:pPr>
              <w:spacing w:after="0" w:line="240" w:lineRule="auto"/>
              <w:jc w:val="center"/>
              <w:textAlignment w:val="baseline"/>
              <w:rPr>
                <w:lang w:eastAsia="es-DO"/>
              </w:rPr>
            </w:pPr>
            <w:r w:rsidRPr="004C1B2F">
              <w:rPr>
                <w:lang w:val="es-DO" w:eastAsia="es-DO"/>
              </w:rPr>
              <w:t>83.84%</w:t>
            </w:r>
            <w:r w:rsidRPr="004C1B2F">
              <w:rPr>
                <w:lang w:eastAsia="es-DO"/>
              </w:rPr>
              <w:t>​</w:t>
            </w:r>
          </w:p>
        </w:tc>
        <w:tc>
          <w:tcPr>
            <w:tcW w:w="0" w:type="auto"/>
            <w:vAlign w:val="center"/>
            <w:hideMark/>
          </w:tcPr>
          <w:p w14:paraId="17CA0185" w14:textId="77777777" w:rsidR="00D5654D" w:rsidRPr="004C1B2F" w:rsidRDefault="00D5654D" w:rsidP="00FE28A0">
            <w:pPr>
              <w:spacing w:after="0" w:line="240" w:lineRule="auto"/>
              <w:jc w:val="center"/>
              <w:textAlignment w:val="baseline"/>
              <w:rPr>
                <w:lang w:eastAsia="es-DO"/>
              </w:rPr>
            </w:pPr>
            <w:r w:rsidRPr="004C1B2F">
              <w:rPr>
                <w:lang w:val="es-DO" w:eastAsia="es-DO"/>
              </w:rPr>
              <w:t>1,565,536 </w:t>
            </w:r>
            <w:r w:rsidRPr="004C1B2F">
              <w:rPr>
                <w:lang w:eastAsia="es-DO"/>
              </w:rPr>
              <w:t>​</w:t>
            </w:r>
          </w:p>
        </w:tc>
        <w:tc>
          <w:tcPr>
            <w:tcW w:w="0" w:type="auto"/>
            <w:vAlign w:val="center"/>
            <w:hideMark/>
          </w:tcPr>
          <w:p w14:paraId="3BA905C3" w14:textId="77777777" w:rsidR="00D5654D" w:rsidRPr="004C1B2F" w:rsidRDefault="00D5654D" w:rsidP="00FE28A0">
            <w:pPr>
              <w:spacing w:after="0" w:line="240" w:lineRule="auto"/>
              <w:jc w:val="center"/>
              <w:textAlignment w:val="baseline"/>
              <w:rPr>
                <w:lang w:eastAsia="es-DO"/>
              </w:rPr>
            </w:pPr>
            <w:r w:rsidRPr="004C1B2F">
              <w:rPr>
                <w:lang w:val="es-DO" w:eastAsia="es-DO"/>
              </w:rPr>
              <w:t>2,035,384 </w:t>
            </w:r>
            <w:r w:rsidRPr="004C1B2F">
              <w:rPr>
                <w:lang w:eastAsia="es-DO"/>
              </w:rPr>
              <w:t>​</w:t>
            </w:r>
          </w:p>
        </w:tc>
        <w:tc>
          <w:tcPr>
            <w:tcW w:w="0" w:type="auto"/>
            <w:vAlign w:val="center"/>
            <w:hideMark/>
          </w:tcPr>
          <w:p w14:paraId="5E4ED764" w14:textId="77777777" w:rsidR="00D5654D" w:rsidRPr="004C1B2F" w:rsidRDefault="00D5654D" w:rsidP="00FE28A0">
            <w:pPr>
              <w:spacing w:after="0" w:line="240" w:lineRule="auto"/>
              <w:jc w:val="center"/>
              <w:textAlignment w:val="baseline"/>
              <w:rPr>
                <w:lang w:eastAsia="es-DO"/>
              </w:rPr>
            </w:pPr>
            <w:r w:rsidRPr="004C1B2F">
              <w:rPr>
                <w:lang w:val="es-DO" w:eastAsia="es-DO"/>
              </w:rPr>
              <w:t>76.92%</w:t>
            </w:r>
            <w:r w:rsidRPr="004C1B2F">
              <w:rPr>
                <w:lang w:eastAsia="es-DO"/>
              </w:rPr>
              <w:t>​</w:t>
            </w:r>
          </w:p>
        </w:tc>
        <w:tc>
          <w:tcPr>
            <w:tcW w:w="0" w:type="auto"/>
            <w:vAlign w:val="center"/>
            <w:hideMark/>
          </w:tcPr>
          <w:p w14:paraId="11A9F118" w14:textId="77777777" w:rsidR="00D5654D" w:rsidRPr="004C1B2F" w:rsidRDefault="00D5654D" w:rsidP="00FE28A0">
            <w:pPr>
              <w:spacing w:after="0" w:line="240" w:lineRule="auto"/>
              <w:jc w:val="center"/>
              <w:textAlignment w:val="baseline"/>
              <w:rPr>
                <w:lang w:eastAsia="es-DO"/>
              </w:rPr>
            </w:pPr>
            <w:r w:rsidRPr="004C1B2F">
              <w:rPr>
                <w:lang w:val="es-DO" w:eastAsia="es-DO"/>
              </w:rPr>
              <w:t>1,809,037 </w:t>
            </w:r>
            <w:r w:rsidRPr="004C1B2F">
              <w:rPr>
                <w:lang w:eastAsia="es-DO"/>
              </w:rPr>
              <w:t>​</w:t>
            </w:r>
          </w:p>
        </w:tc>
        <w:tc>
          <w:tcPr>
            <w:tcW w:w="0" w:type="auto"/>
            <w:vAlign w:val="center"/>
            <w:hideMark/>
          </w:tcPr>
          <w:p w14:paraId="3F92F06C" w14:textId="77777777" w:rsidR="00D5654D" w:rsidRPr="004C1B2F" w:rsidRDefault="00D5654D" w:rsidP="00FE28A0">
            <w:pPr>
              <w:spacing w:after="0" w:line="240" w:lineRule="auto"/>
              <w:jc w:val="center"/>
              <w:textAlignment w:val="baseline"/>
              <w:rPr>
                <w:lang w:eastAsia="es-DO"/>
              </w:rPr>
            </w:pPr>
            <w:r w:rsidRPr="004C1B2F">
              <w:rPr>
                <w:lang w:val="es-DO" w:eastAsia="es-DO"/>
              </w:rPr>
              <w:t>1,989,846 </w:t>
            </w:r>
            <w:r w:rsidRPr="004C1B2F">
              <w:rPr>
                <w:lang w:eastAsia="es-DO"/>
              </w:rPr>
              <w:t>​</w:t>
            </w:r>
          </w:p>
        </w:tc>
        <w:tc>
          <w:tcPr>
            <w:tcW w:w="0" w:type="auto"/>
            <w:vAlign w:val="center"/>
            <w:hideMark/>
          </w:tcPr>
          <w:p w14:paraId="031E3CC0" w14:textId="77777777" w:rsidR="00D5654D" w:rsidRPr="004C1B2F" w:rsidRDefault="00D5654D" w:rsidP="00FE28A0">
            <w:pPr>
              <w:spacing w:after="0" w:line="240" w:lineRule="auto"/>
              <w:jc w:val="center"/>
              <w:textAlignment w:val="baseline"/>
              <w:rPr>
                <w:lang w:eastAsia="es-DO"/>
              </w:rPr>
            </w:pPr>
            <w:r w:rsidRPr="004C1B2F">
              <w:rPr>
                <w:lang w:val="es-DO" w:eastAsia="es-DO"/>
              </w:rPr>
              <w:t>90.91%</w:t>
            </w:r>
            <w:r w:rsidRPr="004C1B2F">
              <w:rPr>
                <w:lang w:eastAsia="es-DO"/>
              </w:rPr>
              <w:t>​</w:t>
            </w:r>
          </w:p>
        </w:tc>
      </w:tr>
      <w:tr w:rsidR="004921FF" w:rsidRPr="004C1B2F" w14:paraId="3FA4E5EC" w14:textId="77777777" w:rsidTr="0067066E">
        <w:trPr>
          <w:trHeight w:val="20"/>
          <w:jc w:val="center"/>
        </w:trPr>
        <w:tc>
          <w:tcPr>
            <w:tcW w:w="0" w:type="auto"/>
            <w:vAlign w:val="center"/>
            <w:hideMark/>
          </w:tcPr>
          <w:p w14:paraId="2859A870" w14:textId="77777777" w:rsidR="00D5654D" w:rsidRPr="004C1B2F" w:rsidRDefault="00D5654D" w:rsidP="00FE28A0">
            <w:pPr>
              <w:spacing w:after="0" w:line="240" w:lineRule="auto"/>
              <w:jc w:val="center"/>
              <w:textAlignment w:val="baseline"/>
              <w:rPr>
                <w:lang w:eastAsia="es-DO"/>
              </w:rPr>
            </w:pPr>
            <w:r w:rsidRPr="004C1B2F">
              <w:rPr>
                <w:lang w:val="es-DO" w:eastAsia="es-DO"/>
              </w:rPr>
              <w:t>2019</w:t>
            </w:r>
            <w:r w:rsidRPr="004C1B2F">
              <w:rPr>
                <w:lang w:eastAsia="es-DO"/>
              </w:rPr>
              <w:t>​</w:t>
            </w:r>
          </w:p>
        </w:tc>
        <w:tc>
          <w:tcPr>
            <w:tcW w:w="0" w:type="auto"/>
            <w:vAlign w:val="center"/>
            <w:hideMark/>
          </w:tcPr>
          <w:p w14:paraId="129FA1EA" w14:textId="77777777" w:rsidR="00D5654D" w:rsidRPr="004C1B2F" w:rsidRDefault="00D5654D" w:rsidP="00FE28A0">
            <w:pPr>
              <w:spacing w:after="0" w:line="240" w:lineRule="auto"/>
              <w:jc w:val="center"/>
              <w:textAlignment w:val="baseline"/>
              <w:rPr>
                <w:lang w:eastAsia="es-DO"/>
              </w:rPr>
            </w:pPr>
            <w:r w:rsidRPr="004C1B2F">
              <w:rPr>
                <w:lang w:val="es-DO" w:eastAsia="es-DO"/>
              </w:rPr>
              <w:t>3,609,310 </w:t>
            </w:r>
            <w:r w:rsidRPr="004C1B2F">
              <w:rPr>
                <w:lang w:eastAsia="es-DO"/>
              </w:rPr>
              <w:t>​</w:t>
            </w:r>
          </w:p>
        </w:tc>
        <w:tc>
          <w:tcPr>
            <w:tcW w:w="0" w:type="auto"/>
            <w:vAlign w:val="center"/>
            <w:hideMark/>
          </w:tcPr>
          <w:p w14:paraId="11133D97" w14:textId="77777777" w:rsidR="00D5654D" w:rsidRPr="004C1B2F" w:rsidRDefault="00D5654D" w:rsidP="00FE28A0">
            <w:pPr>
              <w:spacing w:after="0" w:line="240" w:lineRule="auto"/>
              <w:jc w:val="center"/>
              <w:textAlignment w:val="baseline"/>
              <w:rPr>
                <w:lang w:eastAsia="es-DO"/>
              </w:rPr>
            </w:pPr>
            <w:r w:rsidRPr="004C1B2F">
              <w:rPr>
                <w:lang w:val="es-DO" w:eastAsia="es-DO"/>
              </w:rPr>
              <w:t>4,234,638 </w:t>
            </w:r>
            <w:r w:rsidRPr="004C1B2F">
              <w:rPr>
                <w:lang w:eastAsia="es-DO"/>
              </w:rPr>
              <w:t>​</w:t>
            </w:r>
          </w:p>
        </w:tc>
        <w:tc>
          <w:tcPr>
            <w:tcW w:w="0" w:type="auto"/>
            <w:vAlign w:val="center"/>
            <w:hideMark/>
          </w:tcPr>
          <w:p w14:paraId="2A2E8A72" w14:textId="77777777" w:rsidR="00D5654D" w:rsidRPr="004C1B2F" w:rsidRDefault="00D5654D" w:rsidP="00FE28A0">
            <w:pPr>
              <w:spacing w:after="0" w:line="240" w:lineRule="auto"/>
              <w:jc w:val="center"/>
              <w:textAlignment w:val="baseline"/>
              <w:rPr>
                <w:lang w:eastAsia="es-DO"/>
              </w:rPr>
            </w:pPr>
            <w:r w:rsidRPr="004C1B2F">
              <w:rPr>
                <w:lang w:val="es-DO" w:eastAsia="es-DO"/>
              </w:rPr>
              <w:t>85.23%</w:t>
            </w:r>
            <w:r w:rsidRPr="004C1B2F">
              <w:rPr>
                <w:lang w:eastAsia="es-DO"/>
              </w:rPr>
              <w:t>​</w:t>
            </w:r>
          </w:p>
        </w:tc>
        <w:tc>
          <w:tcPr>
            <w:tcW w:w="0" w:type="auto"/>
            <w:vAlign w:val="center"/>
            <w:hideMark/>
          </w:tcPr>
          <w:p w14:paraId="568200EB" w14:textId="77777777" w:rsidR="00D5654D" w:rsidRPr="004C1B2F" w:rsidRDefault="00D5654D" w:rsidP="00FE28A0">
            <w:pPr>
              <w:spacing w:after="0" w:line="240" w:lineRule="auto"/>
              <w:jc w:val="center"/>
              <w:textAlignment w:val="baseline"/>
              <w:rPr>
                <w:lang w:eastAsia="es-DO"/>
              </w:rPr>
            </w:pPr>
            <w:r w:rsidRPr="004C1B2F">
              <w:rPr>
                <w:lang w:val="es-DO" w:eastAsia="es-DO"/>
              </w:rPr>
              <w:t>1,673,239 </w:t>
            </w:r>
            <w:r w:rsidRPr="004C1B2F">
              <w:rPr>
                <w:lang w:eastAsia="es-DO"/>
              </w:rPr>
              <w:t>​</w:t>
            </w:r>
          </w:p>
        </w:tc>
        <w:tc>
          <w:tcPr>
            <w:tcW w:w="0" w:type="auto"/>
            <w:vAlign w:val="center"/>
            <w:hideMark/>
          </w:tcPr>
          <w:p w14:paraId="546A187A" w14:textId="77777777" w:rsidR="00D5654D" w:rsidRPr="004C1B2F" w:rsidRDefault="00D5654D" w:rsidP="00FE28A0">
            <w:pPr>
              <w:spacing w:after="0" w:line="240" w:lineRule="auto"/>
              <w:jc w:val="center"/>
              <w:textAlignment w:val="baseline"/>
              <w:rPr>
                <w:lang w:eastAsia="es-DO"/>
              </w:rPr>
            </w:pPr>
            <w:r w:rsidRPr="004C1B2F">
              <w:rPr>
                <w:lang w:val="es-DO" w:eastAsia="es-DO"/>
              </w:rPr>
              <w:t>2,133,476 </w:t>
            </w:r>
            <w:r w:rsidRPr="004C1B2F">
              <w:rPr>
                <w:lang w:eastAsia="es-DO"/>
              </w:rPr>
              <w:t>​</w:t>
            </w:r>
          </w:p>
        </w:tc>
        <w:tc>
          <w:tcPr>
            <w:tcW w:w="0" w:type="auto"/>
            <w:vAlign w:val="center"/>
            <w:hideMark/>
          </w:tcPr>
          <w:p w14:paraId="0539E9C0" w14:textId="77777777" w:rsidR="00D5654D" w:rsidRPr="004C1B2F" w:rsidRDefault="00D5654D" w:rsidP="00FE28A0">
            <w:pPr>
              <w:spacing w:after="0" w:line="240" w:lineRule="auto"/>
              <w:jc w:val="center"/>
              <w:textAlignment w:val="baseline"/>
              <w:rPr>
                <w:lang w:eastAsia="es-DO"/>
              </w:rPr>
            </w:pPr>
            <w:r w:rsidRPr="004C1B2F">
              <w:rPr>
                <w:lang w:val="es-DO" w:eastAsia="es-DO"/>
              </w:rPr>
              <w:t>78.43%</w:t>
            </w:r>
            <w:r w:rsidRPr="004C1B2F">
              <w:rPr>
                <w:lang w:eastAsia="es-DO"/>
              </w:rPr>
              <w:t>​</w:t>
            </w:r>
          </w:p>
        </w:tc>
        <w:tc>
          <w:tcPr>
            <w:tcW w:w="0" w:type="auto"/>
            <w:vAlign w:val="center"/>
            <w:hideMark/>
          </w:tcPr>
          <w:p w14:paraId="19C90DAB" w14:textId="77777777" w:rsidR="00D5654D" w:rsidRPr="004C1B2F" w:rsidRDefault="00D5654D" w:rsidP="00FE28A0">
            <w:pPr>
              <w:spacing w:after="0" w:line="240" w:lineRule="auto"/>
              <w:jc w:val="center"/>
              <w:textAlignment w:val="baseline"/>
              <w:rPr>
                <w:lang w:eastAsia="es-DO"/>
              </w:rPr>
            </w:pPr>
            <w:r w:rsidRPr="004C1B2F">
              <w:rPr>
                <w:lang w:val="es-DO" w:eastAsia="es-DO"/>
              </w:rPr>
              <w:t>1,936,071 </w:t>
            </w:r>
            <w:r w:rsidRPr="004C1B2F">
              <w:rPr>
                <w:lang w:eastAsia="es-DO"/>
              </w:rPr>
              <w:t>​</w:t>
            </w:r>
          </w:p>
        </w:tc>
        <w:tc>
          <w:tcPr>
            <w:tcW w:w="0" w:type="auto"/>
            <w:vAlign w:val="center"/>
            <w:hideMark/>
          </w:tcPr>
          <w:p w14:paraId="511E2553" w14:textId="77777777" w:rsidR="00D5654D" w:rsidRPr="004C1B2F" w:rsidRDefault="00D5654D" w:rsidP="00FE28A0">
            <w:pPr>
              <w:spacing w:after="0" w:line="240" w:lineRule="auto"/>
              <w:jc w:val="center"/>
              <w:textAlignment w:val="baseline"/>
              <w:rPr>
                <w:lang w:eastAsia="es-DO"/>
              </w:rPr>
            </w:pPr>
            <w:r w:rsidRPr="004C1B2F">
              <w:rPr>
                <w:lang w:val="es-DO" w:eastAsia="es-DO"/>
              </w:rPr>
              <w:t>2,101,163 </w:t>
            </w:r>
            <w:r w:rsidRPr="004C1B2F">
              <w:rPr>
                <w:lang w:eastAsia="es-DO"/>
              </w:rPr>
              <w:t>​</w:t>
            </w:r>
          </w:p>
        </w:tc>
        <w:tc>
          <w:tcPr>
            <w:tcW w:w="0" w:type="auto"/>
            <w:vAlign w:val="center"/>
            <w:hideMark/>
          </w:tcPr>
          <w:p w14:paraId="0C8AB094" w14:textId="77777777" w:rsidR="00D5654D" w:rsidRPr="004C1B2F" w:rsidRDefault="00D5654D" w:rsidP="00FE28A0">
            <w:pPr>
              <w:spacing w:after="0" w:line="240" w:lineRule="auto"/>
              <w:jc w:val="center"/>
              <w:textAlignment w:val="baseline"/>
              <w:rPr>
                <w:lang w:eastAsia="es-DO"/>
              </w:rPr>
            </w:pPr>
            <w:r w:rsidRPr="004C1B2F">
              <w:rPr>
                <w:lang w:val="es-DO" w:eastAsia="es-DO"/>
              </w:rPr>
              <w:t>92.14%</w:t>
            </w:r>
            <w:r w:rsidRPr="004C1B2F">
              <w:rPr>
                <w:lang w:eastAsia="es-DO"/>
              </w:rPr>
              <w:t>​</w:t>
            </w:r>
          </w:p>
        </w:tc>
      </w:tr>
      <w:tr w:rsidR="004921FF" w:rsidRPr="004C1B2F" w14:paraId="70BD76E0" w14:textId="77777777" w:rsidTr="0067066E">
        <w:trPr>
          <w:trHeight w:val="20"/>
          <w:jc w:val="center"/>
        </w:trPr>
        <w:tc>
          <w:tcPr>
            <w:tcW w:w="0" w:type="auto"/>
            <w:vAlign w:val="center"/>
            <w:hideMark/>
          </w:tcPr>
          <w:p w14:paraId="34156581" w14:textId="77777777" w:rsidR="00D5654D" w:rsidRPr="004C1B2F" w:rsidRDefault="00D5654D" w:rsidP="00FE28A0">
            <w:pPr>
              <w:spacing w:after="0" w:line="240" w:lineRule="auto"/>
              <w:jc w:val="center"/>
              <w:textAlignment w:val="baseline"/>
              <w:rPr>
                <w:lang w:eastAsia="es-DO"/>
              </w:rPr>
            </w:pPr>
            <w:r w:rsidRPr="004C1B2F">
              <w:rPr>
                <w:lang w:val="es-DO" w:eastAsia="es-DO"/>
              </w:rPr>
              <w:t>2020</w:t>
            </w:r>
            <w:r w:rsidRPr="004C1B2F">
              <w:rPr>
                <w:lang w:eastAsia="es-DO"/>
              </w:rPr>
              <w:t>​</w:t>
            </w:r>
          </w:p>
        </w:tc>
        <w:tc>
          <w:tcPr>
            <w:tcW w:w="0" w:type="auto"/>
            <w:vAlign w:val="center"/>
            <w:hideMark/>
          </w:tcPr>
          <w:p w14:paraId="33E3C661" w14:textId="77777777" w:rsidR="00D5654D" w:rsidRPr="004C1B2F" w:rsidRDefault="00D5654D" w:rsidP="00FE28A0">
            <w:pPr>
              <w:spacing w:after="0" w:line="240" w:lineRule="auto"/>
              <w:jc w:val="center"/>
              <w:textAlignment w:val="baseline"/>
              <w:rPr>
                <w:lang w:eastAsia="es-DO"/>
              </w:rPr>
            </w:pPr>
            <w:r w:rsidRPr="004C1B2F">
              <w:rPr>
                <w:lang w:val="es-DO" w:eastAsia="es-DO"/>
              </w:rPr>
              <w:t>3,368,302 </w:t>
            </w:r>
            <w:r w:rsidRPr="004C1B2F">
              <w:rPr>
                <w:lang w:eastAsia="es-DO"/>
              </w:rPr>
              <w:t>​</w:t>
            </w:r>
          </w:p>
        </w:tc>
        <w:tc>
          <w:tcPr>
            <w:tcW w:w="0" w:type="auto"/>
            <w:vAlign w:val="center"/>
            <w:hideMark/>
          </w:tcPr>
          <w:p w14:paraId="443E39C6" w14:textId="77777777" w:rsidR="00D5654D" w:rsidRPr="004C1B2F" w:rsidRDefault="00D5654D" w:rsidP="00FE28A0">
            <w:pPr>
              <w:spacing w:after="0" w:line="240" w:lineRule="auto"/>
              <w:jc w:val="center"/>
              <w:textAlignment w:val="baseline"/>
              <w:rPr>
                <w:lang w:eastAsia="es-DO"/>
              </w:rPr>
            </w:pPr>
            <w:r w:rsidRPr="004C1B2F">
              <w:rPr>
                <w:lang w:val="es-DO" w:eastAsia="es-DO"/>
              </w:rPr>
              <w:t>4,169,919 </w:t>
            </w:r>
            <w:r w:rsidRPr="004C1B2F">
              <w:rPr>
                <w:lang w:eastAsia="es-DO"/>
              </w:rPr>
              <w:t>​</w:t>
            </w:r>
          </w:p>
        </w:tc>
        <w:tc>
          <w:tcPr>
            <w:tcW w:w="0" w:type="auto"/>
            <w:vAlign w:val="center"/>
            <w:hideMark/>
          </w:tcPr>
          <w:p w14:paraId="223B4629" w14:textId="77777777" w:rsidR="00D5654D" w:rsidRPr="004C1B2F" w:rsidRDefault="00D5654D" w:rsidP="00FE28A0">
            <w:pPr>
              <w:spacing w:after="0" w:line="240" w:lineRule="auto"/>
              <w:jc w:val="center"/>
              <w:textAlignment w:val="baseline"/>
              <w:rPr>
                <w:lang w:eastAsia="es-DO"/>
              </w:rPr>
            </w:pPr>
            <w:r w:rsidRPr="004C1B2F">
              <w:rPr>
                <w:lang w:val="es-DO" w:eastAsia="es-DO"/>
              </w:rPr>
              <w:t>79.27%</w:t>
            </w:r>
            <w:r w:rsidRPr="004C1B2F">
              <w:rPr>
                <w:lang w:eastAsia="es-DO"/>
              </w:rPr>
              <w:t>​</w:t>
            </w:r>
          </w:p>
        </w:tc>
        <w:tc>
          <w:tcPr>
            <w:tcW w:w="0" w:type="auto"/>
            <w:vAlign w:val="center"/>
            <w:hideMark/>
          </w:tcPr>
          <w:p w14:paraId="56FF5594" w14:textId="77777777" w:rsidR="00D5654D" w:rsidRPr="004C1B2F" w:rsidRDefault="00D5654D" w:rsidP="00FE28A0">
            <w:pPr>
              <w:spacing w:after="0" w:line="240" w:lineRule="auto"/>
              <w:jc w:val="center"/>
              <w:textAlignment w:val="baseline"/>
              <w:rPr>
                <w:lang w:eastAsia="es-DO"/>
              </w:rPr>
            </w:pPr>
            <w:r w:rsidRPr="004C1B2F">
              <w:rPr>
                <w:lang w:val="es-DO" w:eastAsia="es-DO"/>
              </w:rPr>
              <w:t>1,557,812 </w:t>
            </w:r>
            <w:r w:rsidRPr="004C1B2F">
              <w:rPr>
                <w:lang w:eastAsia="es-DO"/>
              </w:rPr>
              <w:t>​</w:t>
            </w:r>
          </w:p>
        </w:tc>
        <w:tc>
          <w:tcPr>
            <w:tcW w:w="0" w:type="auto"/>
            <w:vAlign w:val="center"/>
            <w:hideMark/>
          </w:tcPr>
          <w:p w14:paraId="1C8301EF" w14:textId="77777777" w:rsidR="00D5654D" w:rsidRPr="004C1B2F" w:rsidRDefault="00D5654D" w:rsidP="00FE28A0">
            <w:pPr>
              <w:spacing w:after="0" w:line="240" w:lineRule="auto"/>
              <w:jc w:val="center"/>
              <w:textAlignment w:val="baseline"/>
              <w:rPr>
                <w:lang w:eastAsia="es-DO"/>
              </w:rPr>
            </w:pPr>
            <w:r w:rsidRPr="004C1B2F">
              <w:rPr>
                <w:lang w:val="es-DO" w:eastAsia="es-DO"/>
              </w:rPr>
              <w:t>2,088,045 </w:t>
            </w:r>
            <w:r w:rsidRPr="004C1B2F">
              <w:rPr>
                <w:lang w:eastAsia="es-DO"/>
              </w:rPr>
              <w:t>​</w:t>
            </w:r>
          </w:p>
        </w:tc>
        <w:tc>
          <w:tcPr>
            <w:tcW w:w="0" w:type="auto"/>
            <w:vAlign w:val="center"/>
            <w:hideMark/>
          </w:tcPr>
          <w:p w14:paraId="68EDE844" w14:textId="77777777" w:rsidR="00D5654D" w:rsidRPr="004C1B2F" w:rsidRDefault="00D5654D" w:rsidP="00FE28A0">
            <w:pPr>
              <w:spacing w:after="0" w:line="240" w:lineRule="auto"/>
              <w:jc w:val="center"/>
              <w:textAlignment w:val="baseline"/>
              <w:rPr>
                <w:lang w:eastAsia="es-DO"/>
              </w:rPr>
            </w:pPr>
            <w:r w:rsidRPr="004C1B2F">
              <w:rPr>
                <w:lang w:val="es-DO" w:eastAsia="es-DO"/>
              </w:rPr>
              <w:t>74.61%</w:t>
            </w:r>
            <w:r w:rsidRPr="004C1B2F">
              <w:rPr>
                <w:lang w:eastAsia="es-DO"/>
              </w:rPr>
              <w:t>​</w:t>
            </w:r>
          </w:p>
        </w:tc>
        <w:tc>
          <w:tcPr>
            <w:tcW w:w="0" w:type="auto"/>
            <w:vAlign w:val="center"/>
            <w:hideMark/>
          </w:tcPr>
          <w:p w14:paraId="09F46C9F" w14:textId="77777777" w:rsidR="00D5654D" w:rsidRPr="004C1B2F" w:rsidRDefault="00D5654D" w:rsidP="00FE28A0">
            <w:pPr>
              <w:spacing w:after="0" w:line="240" w:lineRule="auto"/>
              <w:jc w:val="center"/>
              <w:textAlignment w:val="baseline"/>
              <w:rPr>
                <w:lang w:eastAsia="es-DO"/>
              </w:rPr>
            </w:pPr>
            <w:r w:rsidRPr="004C1B2F">
              <w:rPr>
                <w:lang w:val="es-DO" w:eastAsia="es-DO"/>
              </w:rPr>
              <w:t>1,810,490 </w:t>
            </w:r>
            <w:r w:rsidRPr="004C1B2F">
              <w:rPr>
                <w:lang w:eastAsia="es-DO"/>
              </w:rPr>
              <w:t>​</w:t>
            </w:r>
          </w:p>
        </w:tc>
        <w:tc>
          <w:tcPr>
            <w:tcW w:w="0" w:type="auto"/>
            <w:vAlign w:val="center"/>
            <w:hideMark/>
          </w:tcPr>
          <w:p w14:paraId="00F7C32B" w14:textId="77777777" w:rsidR="00D5654D" w:rsidRPr="004C1B2F" w:rsidRDefault="00D5654D" w:rsidP="00FE28A0">
            <w:pPr>
              <w:spacing w:after="0" w:line="240" w:lineRule="auto"/>
              <w:jc w:val="center"/>
              <w:textAlignment w:val="baseline"/>
              <w:rPr>
                <w:lang w:eastAsia="es-DO"/>
              </w:rPr>
            </w:pPr>
            <w:r w:rsidRPr="004C1B2F">
              <w:rPr>
                <w:lang w:val="es-DO" w:eastAsia="es-DO"/>
              </w:rPr>
              <w:t>2,081,874 </w:t>
            </w:r>
            <w:r w:rsidRPr="004C1B2F">
              <w:rPr>
                <w:lang w:eastAsia="es-DO"/>
              </w:rPr>
              <w:t>​</w:t>
            </w:r>
          </w:p>
        </w:tc>
        <w:tc>
          <w:tcPr>
            <w:tcW w:w="0" w:type="auto"/>
            <w:vAlign w:val="center"/>
            <w:hideMark/>
          </w:tcPr>
          <w:p w14:paraId="3C06ECF6" w14:textId="77777777" w:rsidR="00D5654D" w:rsidRPr="004C1B2F" w:rsidRDefault="00D5654D" w:rsidP="00FE28A0">
            <w:pPr>
              <w:spacing w:after="0" w:line="240" w:lineRule="auto"/>
              <w:jc w:val="center"/>
              <w:textAlignment w:val="baseline"/>
              <w:rPr>
                <w:lang w:eastAsia="es-DO"/>
              </w:rPr>
            </w:pPr>
            <w:r w:rsidRPr="004C1B2F">
              <w:rPr>
                <w:lang w:val="es-DO" w:eastAsia="es-DO"/>
              </w:rPr>
              <w:t>86.96%</w:t>
            </w:r>
            <w:r w:rsidRPr="004C1B2F">
              <w:rPr>
                <w:lang w:eastAsia="es-DO"/>
              </w:rPr>
              <w:t>​</w:t>
            </w:r>
          </w:p>
        </w:tc>
      </w:tr>
      <w:tr w:rsidR="004921FF" w:rsidRPr="004C1B2F" w14:paraId="76C9F2DD" w14:textId="77777777" w:rsidTr="0067066E">
        <w:trPr>
          <w:trHeight w:val="20"/>
          <w:jc w:val="center"/>
        </w:trPr>
        <w:tc>
          <w:tcPr>
            <w:tcW w:w="0" w:type="auto"/>
            <w:vAlign w:val="center"/>
            <w:hideMark/>
          </w:tcPr>
          <w:p w14:paraId="2F866F0E" w14:textId="77777777" w:rsidR="00D5654D" w:rsidRPr="004C1B2F" w:rsidRDefault="00D5654D" w:rsidP="00FE28A0">
            <w:pPr>
              <w:spacing w:after="0" w:line="240" w:lineRule="auto"/>
              <w:jc w:val="center"/>
              <w:textAlignment w:val="baseline"/>
              <w:rPr>
                <w:lang w:eastAsia="es-DO"/>
              </w:rPr>
            </w:pPr>
            <w:r w:rsidRPr="004C1B2F">
              <w:rPr>
                <w:lang w:val="es-DO" w:eastAsia="es-DO"/>
              </w:rPr>
              <w:t>2021</w:t>
            </w:r>
            <w:r w:rsidRPr="004C1B2F">
              <w:rPr>
                <w:lang w:eastAsia="es-DO"/>
              </w:rPr>
              <w:t>​</w:t>
            </w:r>
          </w:p>
        </w:tc>
        <w:tc>
          <w:tcPr>
            <w:tcW w:w="0" w:type="auto"/>
            <w:vAlign w:val="center"/>
            <w:hideMark/>
          </w:tcPr>
          <w:p w14:paraId="535F3358" w14:textId="77777777" w:rsidR="00D5654D" w:rsidRPr="004C1B2F" w:rsidRDefault="00D5654D" w:rsidP="00FE28A0">
            <w:pPr>
              <w:spacing w:after="0" w:line="240" w:lineRule="auto"/>
              <w:jc w:val="center"/>
              <w:textAlignment w:val="baseline"/>
              <w:rPr>
                <w:lang w:eastAsia="es-DO"/>
              </w:rPr>
            </w:pPr>
            <w:r w:rsidRPr="004C1B2F">
              <w:rPr>
                <w:lang w:val="es-DO" w:eastAsia="es-DO"/>
              </w:rPr>
              <w:t>3,541,344 </w:t>
            </w:r>
            <w:r w:rsidRPr="004C1B2F">
              <w:rPr>
                <w:lang w:eastAsia="es-DO"/>
              </w:rPr>
              <w:t>​</w:t>
            </w:r>
          </w:p>
        </w:tc>
        <w:tc>
          <w:tcPr>
            <w:tcW w:w="0" w:type="auto"/>
            <w:vAlign w:val="center"/>
            <w:hideMark/>
          </w:tcPr>
          <w:p w14:paraId="064186D9" w14:textId="77777777" w:rsidR="00D5654D" w:rsidRPr="004C1B2F" w:rsidRDefault="00D5654D" w:rsidP="00FE28A0">
            <w:pPr>
              <w:spacing w:after="0" w:line="240" w:lineRule="auto"/>
              <w:jc w:val="center"/>
              <w:textAlignment w:val="baseline"/>
              <w:rPr>
                <w:lang w:eastAsia="es-DO"/>
              </w:rPr>
            </w:pPr>
            <w:r w:rsidRPr="004C1B2F">
              <w:rPr>
                <w:lang w:val="es-DO" w:eastAsia="es-DO"/>
              </w:rPr>
              <w:t>4,138,062 </w:t>
            </w:r>
            <w:r w:rsidRPr="004C1B2F">
              <w:rPr>
                <w:lang w:eastAsia="es-DO"/>
              </w:rPr>
              <w:t>​</w:t>
            </w:r>
          </w:p>
        </w:tc>
        <w:tc>
          <w:tcPr>
            <w:tcW w:w="0" w:type="auto"/>
            <w:vAlign w:val="center"/>
            <w:hideMark/>
          </w:tcPr>
          <w:p w14:paraId="1ADED813" w14:textId="77777777" w:rsidR="00D5654D" w:rsidRPr="004C1B2F" w:rsidRDefault="00D5654D" w:rsidP="00FE28A0">
            <w:pPr>
              <w:spacing w:after="0" w:line="240" w:lineRule="auto"/>
              <w:jc w:val="center"/>
              <w:textAlignment w:val="baseline"/>
              <w:rPr>
                <w:lang w:eastAsia="es-DO"/>
              </w:rPr>
            </w:pPr>
            <w:r w:rsidRPr="004C1B2F">
              <w:rPr>
                <w:lang w:val="es-DO" w:eastAsia="es-DO"/>
              </w:rPr>
              <w:t>84.34%</w:t>
            </w:r>
            <w:r w:rsidRPr="004C1B2F">
              <w:rPr>
                <w:lang w:eastAsia="es-DO"/>
              </w:rPr>
              <w:t>​</w:t>
            </w:r>
          </w:p>
        </w:tc>
        <w:tc>
          <w:tcPr>
            <w:tcW w:w="0" w:type="auto"/>
            <w:vAlign w:val="center"/>
            <w:hideMark/>
          </w:tcPr>
          <w:p w14:paraId="72140EF1" w14:textId="77777777" w:rsidR="00D5654D" w:rsidRPr="004C1B2F" w:rsidRDefault="00D5654D" w:rsidP="00FE28A0">
            <w:pPr>
              <w:spacing w:after="0" w:line="240" w:lineRule="auto"/>
              <w:jc w:val="center"/>
              <w:textAlignment w:val="baseline"/>
              <w:rPr>
                <w:lang w:eastAsia="es-DO"/>
              </w:rPr>
            </w:pPr>
            <w:r w:rsidRPr="004C1B2F">
              <w:rPr>
                <w:lang w:val="es-DO" w:eastAsia="es-DO"/>
              </w:rPr>
              <w:t>1,624,714 </w:t>
            </w:r>
            <w:r w:rsidRPr="004C1B2F">
              <w:rPr>
                <w:lang w:eastAsia="es-DO"/>
              </w:rPr>
              <w:t>​</w:t>
            </w:r>
          </w:p>
        </w:tc>
        <w:tc>
          <w:tcPr>
            <w:tcW w:w="0" w:type="auto"/>
            <w:vAlign w:val="center"/>
            <w:hideMark/>
          </w:tcPr>
          <w:p w14:paraId="068E1CAE" w14:textId="77777777" w:rsidR="00D5654D" w:rsidRPr="004C1B2F" w:rsidRDefault="00D5654D" w:rsidP="00FE28A0">
            <w:pPr>
              <w:spacing w:after="0" w:line="240" w:lineRule="auto"/>
              <w:jc w:val="center"/>
              <w:textAlignment w:val="baseline"/>
              <w:rPr>
                <w:lang w:eastAsia="es-DO"/>
              </w:rPr>
            </w:pPr>
            <w:r w:rsidRPr="004C1B2F">
              <w:rPr>
                <w:lang w:val="es-DO" w:eastAsia="es-DO"/>
              </w:rPr>
              <w:t>2,068,444 </w:t>
            </w:r>
            <w:r w:rsidRPr="004C1B2F">
              <w:rPr>
                <w:lang w:eastAsia="es-DO"/>
              </w:rPr>
              <w:t>​</w:t>
            </w:r>
          </w:p>
        </w:tc>
        <w:tc>
          <w:tcPr>
            <w:tcW w:w="0" w:type="auto"/>
            <w:vAlign w:val="center"/>
            <w:hideMark/>
          </w:tcPr>
          <w:p w14:paraId="14EEECB2" w14:textId="77777777" w:rsidR="00D5654D" w:rsidRPr="004C1B2F" w:rsidRDefault="00D5654D" w:rsidP="00FE28A0">
            <w:pPr>
              <w:spacing w:after="0" w:line="240" w:lineRule="auto"/>
              <w:jc w:val="center"/>
              <w:textAlignment w:val="baseline"/>
              <w:rPr>
                <w:lang w:eastAsia="es-DO"/>
              </w:rPr>
            </w:pPr>
            <w:r w:rsidRPr="004C1B2F">
              <w:rPr>
                <w:lang w:val="es-DO" w:eastAsia="es-DO"/>
              </w:rPr>
              <w:t>78.55%</w:t>
            </w:r>
            <w:r w:rsidRPr="004C1B2F">
              <w:rPr>
                <w:lang w:eastAsia="es-DO"/>
              </w:rPr>
              <w:t>​</w:t>
            </w:r>
          </w:p>
        </w:tc>
        <w:tc>
          <w:tcPr>
            <w:tcW w:w="0" w:type="auto"/>
            <w:vAlign w:val="center"/>
            <w:hideMark/>
          </w:tcPr>
          <w:p w14:paraId="2CFB25F5" w14:textId="77777777" w:rsidR="00D5654D" w:rsidRPr="004C1B2F" w:rsidRDefault="00D5654D" w:rsidP="00FE28A0">
            <w:pPr>
              <w:spacing w:after="0" w:line="240" w:lineRule="auto"/>
              <w:jc w:val="center"/>
              <w:textAlignment w:val="baseline"/>
              <w:rPr>
                <w:lang w:eastAsia="es-DO"/>
              </w:rPr>
            </w:pPr>
            <w:r w:rsidRPr="004C1B2F">
              <w:rPr>
                <w:lang w:val="es-DO" w:eastAsia="es-DO"/>
              </w:rPr>
              <w:t>1,916,630 </w:t>
            </w:r>
            <w:r w:rsidRPr="004C1B2F">
              <w:rPr>
                <w:lang w:eastAsia="es-DO"/>
              </w:rPr>
              <w:t>​</w:t>
            </w:r>
          </w:p>
        </w:tc>
        <w:tc>
          <w:tcPr>
            <w:tcW w:w="0" w:type="auto"/>
            <w:vAlign w:val="center"/>
            <w:hideMark/>
          </w:tcPr>
          <w:p w14:paraId="39EBF1CF" w14:textId="77777777" w:rsidR="00D5654D" w:rsidRPr="004C1B2F" w:rsidRDefault="00D5654D" w:rsidP="00FE28A0">
            <w:pPr>
              <w:spacing w:after="0" w:line="240" w:lineRule="auto"/>
              <w:jc w:val="center"/>
              <w:textAlignment w:val="baseline"/>
              <w:rPr>
                <w:lang w:eastAsia="es-DO"/>
              </w:rPr>
            </w:pPr>
            <w:r w:rsidRPr="004C1B2F">
              <w:rPr>
                <w:lang w:val="es-DO" w:eastAsia="es-DO"/>
              </w:rPr>
              <w:t>2,069,619 </w:t>
            </w:r>
            <w:r w:rsidRPr="004C1B2F">
              <w:rPr>
                <w:lang w:eastAsia="es-DO"/>
              </w:rPr>
              <w:t>​</w:t>
            </w:r>
          </w:p>
        </w:tc>
        <w:tc>
          <w:tcPr>
            <w:tcW w:w="0" w:type="auto"/>
            <w:vAlign w:val="center"/>
            <w:hideMark/>
          </w:tcPr>
          <w:p w14:paraId="2BA868D1" w14:textId="77777777" w:rsidR="00D5654D" w:rsidRPr="004C1B2F" w:rsidRDefault="00D5654D" w:rsidP="00FE28A0">
            <w:pPr>
              <w:spacing w:after="0" w:line="240" w:lineRule="auto"/>
              <w:jc w:val="center"/>
              <w:textAlignment w:val="baseline"/>
              <w:rPr>
                <w:lang w:eastAsia="es-DO"/>
              </w:rPr>
            </w:pPr>
            <w:r w:rsidRPr="004C1B2F">
              <w:rPr>
                <w:lang w:val="es-DO" w:eastAsia="es-DO"/>
              </w:rPr>
              <w:t>92.61%</w:t>
            </w:r>
            <w:r w:rsidRPr="004C1B2F">
              <w:rPr>
                <w:lang w:eastAsia="es-DO"/>
              </w:rPr>
              <w:t>​</w:t>
            </w:r>
          </w:p>
        </w:tc>
      </w:tr>
      <w:tr w:rsidR="004921FF" w:rsidRPr="004C1B2F" w14:paraId="12BBC44E" w14:textId="77777777" w:rsidTr="0067066E">
        <w:trPr>
          <w:trHeight w:val="20"/>
          <w:jc w:val="center"/>
        </w:trPr>
        <w:tc>
          <w:tcPr>
            <w:tcW w:w="0" w:type="auto"/>
            <w:vAlign w:val="center"/>
            <w:hideMark/>
          </w:tcPr>
          <w:p w14:paraId="3C76F96D" w14:textId="77777777" w:rsidR="00D5654D" w:rsidRPr="004C1B2F" w:rsidRDefault="00D5654D" w:rsidP="00FE28A0">
            <w:pPr>
              <w:spacing w:after="0" w:line="240" w:lineRule="auto"/>
              <w:jc w:val="center"/>
              <w:textAlignment w:val="baseline"/>
              <w:rPr>
                <w:lang w:eastAsia="es-DO"/>
              </w:rPr>
            </w:pPr>
            <w:r w:rsidRPr="004C1B2F">
              <w:rPr>
                <w:lang w:val="es-DO" w:eastAsia="es-DO"/>
              </w:rPr>
              <w:t>2022</w:t>
            </w:r>
            <w:r w:rsidRPr="004C1B2F">
              <w:rPr>
                <w:lang w:eastAsia="es-DO"/>
              </w:rPr>
              <w:t>​</w:t>
            </w:r>
          </w:p>
        </w:tc>
        <w:tc>
          <w:tcPr>
            <w:tcW w:w="0" w:type="auto"/>
            <w:vAlign w:val="center"/>
            <w:hideMark/>
          </w:tcPr>
          <w:p w14:paraId="3B4BAF3A" w14:textId="77777777" w:rsidR="00D5654D" w:rsidRPr="004C1B2F" w:rsidRDefault="00D5654D" w:rsidP="00FE28A0">
            <w:pPr>
              <w:spacing w:after="0" w:line="240" w:lineRule="auto"/>
              <w:jc w:val="center"/>
              <w:textAlignment w:val="baseline"/>
              <w:rPr>
                <w:lang w:eastAsia="es-DO"/>
              </w:rPr>
            </w:pPr>
            <w:r w:rsidRPr="004C1B2F">
              <w:rPr>
                <w:lang w:val="es-DO" w:eastAsia="es-DO"/>
              </w:rPr>
              <w:t>3,865,964 </w:t>
            </w:r>
            <w:r w:rsidRPr="004C1B2F">
              <w:rPr>
                <w:lang w:eastAsia="es-DO"/>
              </w:rPr>
              <w:t>​</w:t>
            </w:r>
          </w:p>
        </w:tc>
        <w:tc>
          <w:tcPr>
            <w:tcW w:w="0" w:type="auto"/>
            <w:vAlign w:val="center"/>
            <w:hideMark/>
          </w:tcPr>
          <w:p w14:paraId="618E1BBC" w14:textId="77777777" w:rsidR="00D5654D" w:rsidRPr="004C1B2F" w:rsidRDefault="00D5654D" w:rsidP="00FE28A0">
            <w:pPr>
              <w:spacing w:after="0" w:line="240" w:lineRule="auto"/>
              <w:jc w:val="center"/>
              <w:textAlignment w:val="baseline"/>
              <w:rPr>
                <w:lang w:eastAsia="es-DO"/>
              </w:rPr>
            </w:pPr>
            <w:r w:rsidRPr="004C1B2F">
              <w:rPr>
                <w:lang w:val="es-DO" w:eastAsia="es-DO"/>
              </w:rPr>
              <w:t>4,462,558 </w:t>
            </w:r>
            <w:r w:rsidRPr="004C1B2F">
              <w:rPr>
                <w:lang w:eastAsia="es-DO"/>
              </w:rPr>
              <w:t>​</w:t>
            </w:r>
          </w:p>
        </w:tc>
        <w:tc>
          <w:tcPr>
            <w:tcW w:w="0" w:type="auto"/>
            <w:vAlign w:val="center"/>
            <w:hideMark/>
          </w:tcPr>
          <w:p w14:paraId="23CAE912" w14:textId="77777777" w:rsidR="00D5654D" w:rsidRPr="004C1B2F" w:rsidRDefault="00D5654D" w:rsidP="00FE28A0">
            <w:pPr>
              <w:spacing w:after="0" w:line="240" w:lineRule="auto"/>
              <w:jc w:val="center"/>
              <w:textAlignment w:val="baseline"/>
              <w:rPr>
                <w:lang w:eastAsia="es-DO"/>
              </w:rPr>
            </w:pPr>
            <w:r w:rsidRPr="004C1B2F">
              <w:rPr>
                <w:lang w:val="es-DO" w:eastAsia="es-DO"/>
              </w:rPr>
              <w:t>86.34%</w:t>
            </w:r>
            <w:r w:rsidRPr="004C1B2F">
              <w:rPr>
                <w:lang w:eastAsia="es-DO"/>
              </w:rPr>
              <w:t>​</w:t>
            </w:r>
          </w:p>
        </w:tc>
        <w:tc>
          <w:tcPr>
            <w:tcW w:w="0" w:type="auto"/>
            <w:vAlign w:val="center"/>
            <w:hideMark/>
          </w:tcPr>
          <w:p w14:paraId="3A5C0EFD" w14:textId="77777777" w:rsidR="00D5654D" w:rsidRPr="004C1B2F" w:rsidRDefault="00D5654D" w:rsidP="00FE28A0">
            <w:pPr>
              <w:spacing w:after="0" w:line="240" w:lineRule="auto"/>
              <w:jc w:val="center"/>
              <w:textAlignment w:val="baseline"/>
              <w:rPr>
                <w:lang w:eastAsia="es-DO"/>
              </w:rPr>
            </w:pPr>
            <w:r w:rsidRPr="004C1B2F">
              <w:rPr>
                <w:lang w:val="es-DO" w:eastAsia="es-DO"/>
              </w:rPr>
              <w:t>1,803,850 </w:t>
            </w:r>
            <w:r w:rsidRPr="004C1B2F">
              <w:rPr>
                <w:lang w:eastAsia="es-DO"/>
              </w:rPr>
              <w:t>​</w:t>
            </w:r>
          </w:p>
        </w:tc>
        <w:tc>
          <w:tcPr>
            <w:tcW w:w="0" w:type="auto"/>
            <w:vAlign w:val="center"/>
            <w:hideMark/>
          </w:tcPr>
          <w:p w14:paraId="78B7C344" w14:textId="77777777" w:rsidR="00D5654D" w:rsidRPr="004C1B2F" w:rsidRDefault="00D5654D" w:rsidP="00FE28A0">
            <w:pPr>
              <w:spacing w:after="0" w:line="240" w:lineRule="auto"/>
              <w:jc w:val="center"/>
              <w:textAlignment w:val="baseline"/>
              <w:rPr>
                <w:lang w:eastAsia="es-DO"/>
              </w:rPr>
            </w:pPr>
            <w:r w:rsidRPr="004C1B2F">
              <w:rPr>
                <w:lang w:val="es-DO" w:eastAsia="es-DO"/>
              </w:rPr>
              <w:t>2,226,755 </w:t>
            </w:r>
            <w:r w:rsidRPr="004C1B2F">
              <w:rPr>
                <w:lang w:eastAsia="es-DO"/>
              </w:rPr>
              <w:t>​</w:t>
            </w:r>
          </w:p>
        </w:tc>
        <w:tc>
          <w:tcPr>
            <w:tcW w:w="0" w:type="auto"/>
            <w:vAlign w:val="center"/>
            <w:hideMark/>
          </w:tcPr>
          <w:p w14:paraId="3CCB1338" w14:textId="77777777" w:rsidR="00D5654D" w:rsidRPr="004C1B2F" w:rsidRDefault="00D5654D" w:rsidP="00FE28A0">
            <w:pPr>
              <w:spacing w:after="0" w:line="240" w:lineRule="auto"/>
              <w:jc w:val="center"/>
              <w:textAlignment w:val="baseline"/>
              <w:rPr>
                <w:lang w:eastAsia="es-DO"/>
              </w:rPr>
            </w:pPr>
            <w:r w:rsidRPr="004C1B2F">
              <w:rPr>
                <w:lang w:val="es-DO" w:eastAsia="es-DO"/>
              </w:rPr>
              <w:t>81.01%</w:t>
            </w:r>
            <w:r w:rsidRPr="004C1B2F">
              <w:rPr>
                <w:lang w:eastAsia="es-DO"/>
              </w:rPr>
              <w:t>​</w:t>
            </w:r>
          </w:p>
        </w:tc>
        <w:tc>
          <w:tcPr>
            <w:tcW w:w="0" w:type="auto"/>
            <w:vAlign w:val="center"/>
            <w:hideMark/>
          </w:tcPr>
          <w:p w14:paraId="55AD2D93" w14:textId="77777777" w:rsidR="00D5654D" w:rsidRPr="004C1B2F" w:rsidRDefault="00D5654D" w:rsidP="00FE28A0">
            <w:pPr>
              <w:spacing w:after="0" w:line="240" w:lineRule="auto"/>
              <w:jc w:val="center"/>
              <w:textAlignment w:val="baseline"/>
              <w:rPr>
                <w:lang w:eastAsia="es-DO"/>
              </w:rPr>
            </w:pPr>
            <w:r w:rsidRPr="004C1B2F">
              <w:rPr>
                <w:lang w:val="es-DO" w:eastAsia="es-DO"/>
              </w:rPr>
              <w:t>2,062,114 </w:t>
            </w:r>
            <w:r w:rsidRPr="004C1B2F">
              <w:rPr>
                <w:lang w:eastAsia="es-DO"/>
              </w:rPr>
              <w:t>​</w:t>
            </w:r>
          </w:p>
        </w:tc>
        <w:tc>
          <w:tcPr>
            <w:tcW w:w="0" w:type="auto"/>
            <w:vAlign w:val="center"/>
            <w:hideMark/>
          </w:tcPr>
          <w:p w14:paraId="6FBA3F42" w14:textId="77777777" w:rsidR="00D5654D" w:rsidRPr="004C1B2F" w:rsidRDefault="00D5654D" w:rsidP="00FE28A0">
            <w:pPr>
              <w:spacing w:after="0" w:line="240" w:lineRule="auto"/>
              <w:jc w:val="center"/>
              <w:textAlignment w:val="baseline"/>
              <w:rPr>
                <w:lang w:eastAsia="es-DO"/>
              </w:rPr>
            </w:pPr>
            <w:r w:rsidRPr="004C1B2F">
              <w:rPr>
                <w:lang w:val="es-DO" w:eastAsia="es-DO"/>
              </w:rPr>
              <w:t>2,235,803 </w:t>
            </w:r>
            <w:r w:rsidRPr="004C1B2F">
              <w:rPr>
                <w:lang w:eastAsia="es-DO"/>
              </w:rPr>
              <w:t>​</w:t>
            </w:r>
          </w:p>
        </w:tc>
        <w:tc>
          <w:tcPr>
            <w:tcW w:w="0" w:type="auto"/>
            <w:vAlign w:val="center"/>
            <w:hideMark/>
          </w:tcPr>
          <w:p w14:paraId="5719C588" w14:textId="77777777" w:rsidR="00D5654D" w:rsidRPr="004C1B2F" w:rsidRDefault="00D5654D" w:rsidP="00FE28A0">
            <w:pPr>
              <w:spacing w:after="0" w:line="240" w:lineRule="auto"/>
              <w:jc w:val="center"/>
              <w:textAlignment w:val="baseline"/>
              <w:rPr>
                <w:lang w:eastAsia="es-DO"/>
              </w:rPr>
            </w:pPr>
            <w:r w:rsidRPr="004C1B2F">
              <w:rPr>
                <w:lang w:val="es-DO" w:eastAsia="es-DO"/>
              </w:rPr>
              <w:t>92.23%</w:t>
            </w:r>
            <w:r w:rsidRPr="004C1B2F">
              <w:rPr>
                <w:lang w:eastAsia="es-DO"/>
              </w:rPr>
              <w:t>​</w:t>
            </w:r>
          </w:p>
        </w:tc>
      </w:tr>
      <w:tr w:rsidR="004921FF" w:rsidRPr="004C1B2F" w14:paraId="0A477B4B" w14:textId="77777777" w:rsidTr="0067066E">
        <w:trPr>
          <w:trHeight w:val="20"/>
          <w:jc w:val="center"/>
        </w:trPr>
        <w:tc>
          <w:tcPr>
            <w:tcW w:w="0" w:type="auto"/>
            <w:tcBorders>
              <w:bottom w:val="single" w:sz="4" w:space="0" w:color="808080" w:themeColor="background1" w:themeShade="80"/>
            </w:tcBorders>
            <w:vAlign w:val="center"/>
            <w:hideMark/>
          </w:tcPr>
          <w:p w14:paraId="4866AC44" w14:textId="77777777" w:rsidR="00D5654D" w:rsidRPr="004C1B2F" w:rsidRDefault="00D5654D" w:rsidP="00FE28A0">
            <w:pPr>
              <w:spacing w:after="0" w:line="240" w:lineRule="auto"/>
              <w:jc w:val="center"/>
              <w:textAlignment w:val="baseline"/>
              <w:rPr>
                <w:lang w:eastAsia="es-DO"/>
              </w:rPr>
            </w:pPr>
            <w:r w:rsidRPr="004C1B2F">
              <w:rPr>
                <w:lang w:val="es-DO" w:eastAsia="es-DO"/>
              </w:rPr>
              <w:t>2023</w:t>
            </w:r>
            <w:r w:rsidRPr="004C1B2F">
              <w:rPr>
                <w:lang w:eastAsia="es-DO"/>
              </w:rPr>
              <w:t>​</w:t>
            </w:r>
          </w:p>
        </w:tc>
        <w:tc>
          <w:tcPr>
            <w:tcW w:w="0" w:type="auto"/>
            <w:tcBorders>
              <w:bottom w:val="single" w:sz="4" w:space="0" w:color="808080" w:themeColor="background1" w:themeShade="80"/>
            </w:tcBorders>
            <w:vAlign w:val="center"/>
            <w:hideMark/>
          </w:tcPr>
          <w:p w14:paraId="25EB94EE" w14:textId="77777777" w:rsidR="00D5654D" w:rsidRPr="004C1B2F" w:rsidRDefault="00D5654D" w:rsidP="00FE28A0">
            <w:pPr>
              <w:spacing w:after="0" w:line="240" w:lineRule="auto"/>
              <w:jc w:val="center"/>
              <w:textAlignment w:val="baseline"/>
              <w:rPr>
                <w:lang w:eastAsia="es-DO"/>
              </w:rPr>
            </w:pPr>
            <w:r w:rsidRPr="004C1B2F">
              <w:rPr>
                <w:lang w:val="es-DO" w:eastAsia="es-DO"/>
              </w:rPr>
              <w:t>4,011,183 </w:t>
            </w:r>
            <w:r w:rsidRPr="004C1B2F">
              <w:rPr>
                <w:lang w:eastAsia="es-DO"/>
              </w:rPr>
              <w:t>​</w:t>
            </w:r>
          </w:p>
        </w:tc>
        <w:tc>
          <w:tcPr>
            <w:tcW w:w="0" w:type="auto"/>
            <w:tcBorders>
              <w:bottom w:val="single" w:sz="4" w:space="0" w:color="808080" w:themeColor="background1" w:themeShade="80"/>
            </w:tcBorders>
            <w:vAlign w:val="center"/>
            <w:hideMark/>
          </w:tcPr>
          <w:p w14:paraId="59BD3B56" w14:textId="77777777" w:rsidR="00D5654D" w:rsidRPr="004C1B2F" w:rsidRDefault="00D5654D" w:rsidP="00FE28A0">
            <w:pPr>
              <w:spacing w:after="0" w:line="240" w:lineRule="auto"/>
              <w:jc w:val="center"/>
              <w:textAlignment w:val="baseline"/>
              <w:rPr>
                <w:lang w:eastAsia="es-DO"/>
              </w:rPr>
            </w:pPr>
            <w:r w:rsidRPr="004C1B2F">
              <w:rPr>
                <w:lang w:val="es-DO" w:eastAsia="es-DO"/>
              </w:rPr>
              <w:t>4,576,572 </w:t>
            </w:r>
            <w:r w:rsidRPr="004C1B2F">
              <w:rPr>
                <w:lang w:eastAsia="es-DO"/>
              </w:rPr>
              <w:t>​</w:t>
            </w:r>
          </w:p>
        </w:tc>
        <w:tc>
          <w:tcPr>
            <w:tcW w:w="0" w:type="auto"/>
            <w:tcBorders>
              <w:bottom w:val="single" w:sz="4" w:space="0" w:color="808080" w:themeColor="background1" w:themeShade="80"/>
            </w:tcBorders>
            <w:vAlign w:val="center"/>
            <w:hideMark/>
          </w:tcPr>
          <w:p w14:paraId="4B9A3A04" w14:textId="77777777" w:rsidR="00D5654D" w:rsidRPr="004C1B2F" w:rsidRDefault="00D5654D" w:rsidP="00FE28A0">
            <w:pPr>
              <w:spacing w:after="0" w:line="240" w:lineRule="auto"/>
              <w:jc w:val="center"/>
              <w:textAlignment w:val="baseline"/>
              <w:rPr>
                <w:lang w:eastAsia="es-DO"/>
              </w:rPr>
            </w:pPr>
            <w:r w:rsidRPr="004C1B2F">
              <w:rPr>
                <w:lang w:val="es-DO" w:eastAsia="es-DO"/>
              </w:rPr>
              <w:t>87.65%</w:t>
            </w:r>
            <w:r w:rsidRPr="004C1B2F">
              <w:rPr>
                <w:lang w:eastAsia="es-DO"/>
              </w:rPr>
              <w:t>​</w:t>
            </w:r>
          </w:p>
        </w:tc>
        <w:tc>
          <w:tcPr>
            <w:tcW w:w="0" w:type="auto"/>
            <w:tcBorders>
              <w:bottom w:val="single" w:sz="4" w:space="0" w:color="808080" w:themeColor="background1" w:themeShade="80"/>
            </w:tcBorders>
            <w:vAlign w:val="center"/>
            <w:hideMark/>
          </w:tcPr>
          <w:p w14:paraId="76B09B3E" w14:textId="77777777" w:rsidR="00D5654D" w:rsidRPr="004C1B2F" w:rsidRDefault="00D5654D" w:rsidP="00FE28A0">
            <w:pPr>
              <w:spacing w:after="0" w:line="240" w:lineRule="auto"/>
              <w:jc w:val="center"/>
              <w:textAlignment w:val="baseline"/>
              <w:rPr>
                <w:lang w:eastAsia="es-DO"/>
              </w:rPr>
            </w:pPr>
            <w:r w:rsidRPr="004C1B2F">
              <w:rPr>
                <w:lang w:val="es-DO" w:eastAsia="es-DO"/>
              </w:rPr>
              <w:t>1,875,299 </w:t>
            </w:r>
            <w:r w:rsidRPr="004C1B2F">
              <w:rPr>
                <w:lang w:eastAsia="es-DO"/>
              </w:rPr>
              <w:t>​</w:t>
            </w:r>
          </w:p>
        </w:tc>
        <w:tc>
          <w:tcPr>
            <w:tcW w:w="0" w:type="auto"/>
            <w:tcBorders>
              <w:bottom w:val="single" w:sz="4" w:space="0" w:color="808080" w:themeColor="background1" w:themeShade="80"/>
            </w:tcBorders>
            <w:vAlign w:val="center"/>
            <w:hideMark/>
          </w:tcPr>
          <w:p w14:paraId="70409A06" w14:textId="77777777" w:rsidR="00D5654D" w:rsidRPr="004C1B2F" w:rsidRDefault="00D5654D" w:rsidP="00FE28A0">
            <w:pPr>
              <w:spacing w:after="0" w:line="240" w:lineRule="auto"/>
              <w:jc w:val="center"/>
              <w:textAlignment w:val="baseline"/>
              <w:rPr>
                <w:lang w:eastAsia="es-DO"/>
              </w:rPr>
            </w:pPr>
            <w:r w:rsidRPr="004C1B2F">
              <w:rPr>
                <w:lang w:val="es-DO" w:eastAsia="es-DO"/>
              </w:rPr>
              <w:t>2,282,440 </w:t>
            </w:r>
            <w:r w:rsidRPr="004C1B2F">
              <w:rPr>
                <w:lang w:eastAsia="es-DO"/>
              </w:rPr>
              <w:t>​</w:t>
            </w:r>
          </w:p>
        </w:tc>
        <w:tc>
          <w:tcPr>
            <w:tcW w:w="0" w:type="auto"/>
            <w:tcBorders>
              <w:bottom w:val="single" w:sz="4" w:space="0" w:color="808080" w:themeColor="background1" w:themeShade="80"/>
            </w:tcBorders>
            <w:vAlign w:val="center"/>
            <w:hideMark/>
          </w:tcPr>
          <w:p w14:paraId="7961C5CC" w14:textId="77777777" w:rsidR="00D5654D" w:rsidRPr="004C1B2F" w:rsidRDefault="00D5654D" w:rsidP="00FE28A0">
            <w:pPr>
              <w:spacing w:after="0" w:line="240" w:lineRule="auto"/>
              <w:jc w:val="center"/>
              <w:textAlignment w:val="baseline"/>
              <w:rPr>
                <w:lang w:eastAsia="es-DO"/>
              </w:rPr>
            </w:pPr>
            <w:r w:rsidRPr="004C1B2F">
              <w:rPr>
                <w:lang w:val="es-DO" w:eastAsia="es-DO"/>
              </w:rPr>
              <w:t>82.16%</w:t>
            </w:r>
            <w:r w:rsidRPr="004C1B2F">
              <w:rPr>
                <w:lang w:eastAsia="es-DO"/>
              </w:rPr>
              <w:t>​</w:t>
            </w:r>
          </w:p>
        </w:tc>
        <w:tc>
          <w:tcPr>
            <w:tcW w:w="0" w:type="auto"/>
            <w:tcBorders>
              <w:bottom w:val="single" w:sz="4" w:space="0" w:color="808080" w:themeColor="background1" w:themeShade="80"/>
            </w:tcBorders>
            <w:vAlign w:val="center"/>
            <w:hideMark/>
          </w:tcPr>
          <w:p w14:paraId="36EE196C" w14:textId="77777777" w:rsidR="00D5654D" w:rsidRPr="004C1B2F" w:rsidRDefault="00D5654D" w:rsidP="00FE28A0">
            <w:pPr>
              <w:spacing w:after="0" w:line="240" w:lineRule="auto"/>
              <w:jc w:val="center"/>
              <w:textAlignment w:val="baseline"/>
              <w:rPr>
                <w:lang w:eastAsia="es-DO"/>
              </w:rPr>
            </w:pPr>
            <w:r w:rsidRPr="004C1B2F">
              <w:rPr>
                <w:lang w:val="es-DO" w:eastAsia="es-DO"/>
              </w:rPr>
              <w:t>2,135,884 </w:t>
            </w:r>
            <w:r w:rsidRPr="004C1B2F">
              <w:rPr>
                <w:lang w:eastAsia="es-DO"/>
              </w:rPr>
              <w:t>​</w:t>
            </w:r>
          </w:p>
        </w:tc>
        <w:tc>
          <w:tcPr>
            <w:tcW w:w="0" w:type="auto"/>
            <w:tcBorders>
              <w:bottom w:val="single" w:sz="4" w:space="0" w:color="808080" w:themeColor="background1" w:themeShade="80"/>
            </w:tcBorders>
            <w:vAlign w:val="center"/>
            <w:hideMark/>
          </w:tcPr>
          <w:p w14:paraId="675216E1" w14:textId="77777777" w:rsidR="00D5654D" w:rsidRPr="004C1B2F" w:rsidRDefault="00D5654D" w:rsidP="00FE28A0">
            <w:pPr>
              <w:spacing w:after="0" w:line="240" w:lineRule="auto"/>
              <w:jc w:val="center"/>
              <w:textAlignment w:val="baseline"/>
              <w:rPr>
                <w:lang w:eastAsia="es-DO"/>
              </w:rPr>
            </w:pPr>
            <w:r w:rsidRPr="004C1B2F">
              <w:rPr>
                <w:lang w:val="es-DO" w:eastAsia="es-DO"/>
              </w:rPr>
              <w:t>2,294,132 </w:t>
            </w:r>
            <w:r w:rsidRPr="004C1B2F">
              <w:rPr>
                <w:lang w:eastAsia="es-DO"/>
              </w:rPr>
              <w:t>​</w:t>
            </w:r>
          </w:p>
        </w:tc>
        <w:tc>
          <w:tcPr>
            <w:tcW w:w="0" w:type="auto"/>
            <w:tcBorders>
              <w:bottom w:val="single" w:sz="4" w:space="0" w:color="808080" w:themeColor="background1" w:themeShade="80"/>
            </w:tcBorders>
            <w:vAlign w:val="center"/>
            <w:hideMark/>
          </w:tcPr>
          <w:p w14:paraId="53449CFD" w14:textId="77777777" w:rsidR="00D5654D" w:rsidRPr="004C1B2F" w:rsidRDefault="00D5654D" w:rsidP="00FE28A0">
            <w:pPr>
              <w:spacing w:after="0" w:line="240" w:lineRule="auto"/>
              <w:jc w:val="center"/>
              <w:textAlignment w:val="baseline"/>
              <w:rPr>
                <w:lang w:eastAsia="es-DO"/>
              </w:rPr>
            </w:pPr>
            <w:r w:rsidRPr="004C1B2F">
              <w:rPr>
                <w:lang w:val="es-DO" w:eastAsia="es-DO"/>
              </w:rPr>
              <w:t>93.10%</w:t>
            </w:r>
            <w:r w:rsidRPr="004C1B2F">
              <w:rPr>
                <w:lang w:eastAsia="es-DO"/>
              </w:rPr>
              <w:t>​</w:t>
            </w:r>
          </w:p>
        </w:tc>
      </w:tr>
      <w:tr w:rsidR="004921FF" w:rsidRPr="004C1B2F" w14:paraId="716D0B10" w14:textId="77777777" w:rsidTr="0067066E">
        <w:trPr>
          <w:trHeight w:val="20"/>
          <w:jc w:val="center"/>
        </w:trPr>
        <w:tc>
          <w:tcPr>
            <w:tcW w:w="0" w:type="auto"/>
            <w:tcBorders>
              <w:bottom w:val="single" w:sz="4" w:space="0" w:color="auto"/>
            </w:tcBorders>
            <w:vAlign w:val="center"/>
            <w:hideMark/>
          </w:tcPr>
          <w:p w14:paraId="73519681" w14:textId="77777777" w:rsidR="00D5654D" w:rsidRPr="004C1B2F" w:rsidRDefault="00D5654D" w:rsidP="00FE28A0">
            <w:pPr>
              <w:spacing w:after="0" w:line="240" w:lineRule="auto"/>
              <w:jc w:val="center"/>
              <w:textAlignment w:val="baseline"/>
              <w:rPr>
                <w:lang w:eastAsia="es-DO"/>
              </w:rPr>
            </w:pPr>
            <w:r w:rsidRPr="004C1B2F">
              <w:rPr>
                <w:lang w:val="es-DO" w:eastAsia="es-DO"/>
              </w:rPr>
              <w:t>2024</w:t>
            </w:r>
            <w:r w:rsidRPr="004C1B2F">
              <w:rPr>
                <w:lang w:eastAsia="es-DO"/>
              </w:rPr>
              <w:t>​</w:t>
            </w:r>
          </w:p>
        </w:tc>
        <w:tc>
          <w:tcPr>
            <w:tcW w:w="0" w:type="auto"/>
            <w:tcBorders>
              <w:bottom w:val="single" w:sz="4" w:space="0" w:color="auto"/>
            </w:tcBorders>
            <w:vAlign w:val="center"/>
            <w:hideMark/>
          </w:tcPr>
          <w:p w14:paraId="1C07BDCA" w14:textId="77777777" w:rsidR="00D5654D" w:rsidRPr="004C1B2F" w:rsidRDefault="00D5654D" w:rsidP="00FE28A0">
            <w:pPr>
              <w:spacing w:after="0" w:line="240" w:lineRule="auto"/>
              <w:jc w:val="center"/>
              <w:textAlignment w:val="baseline"/>
              <w:rPr>
                <w:lang w:eastAsia="es-DO"/>
              </w:rPr>
            </w:pPr>
            <w:r w:rsidRPr="004C1B2F">
              <w:rPr>
                <w:lang w:val="es-DO" w:eastAsia="es-DO"/>
              </w:rPr>
              <w:t>3,880,921 </w:t>
            </w:r>
            <w:r w:rsidRPr="004C1B2F">
              <w:rPr>
                <w:lang w:eastAsia="es-DO"/>
              </w:rPr>
              <w:t>​</w:t>
            </w:r>
          </w:p>
        </w:tc>
        <w:tc>
          <w:tcPr>
            <w:tcW w:w="0" w:type="auto"/>
            <w:tcBorders>
              <w:bottom w:val="single" w:sz="4" w:space="0" w:color="auto"/>
            </w:tcBorders>
            <w:vAlign w:val="center"/>
            <w:hideMark/>
          </w:tcPr>
          <w:p w14:paraId="7008A9A6" w14:textId="77777777" w:rsidR="00D5654D" w:rsidRPr="004C1B2F" w:rsidRDefault="00D5654D" w:rsidP="00FE28A0">
            <w:pPr>
              <w:spacing w:after="0" w:line="240" w:lineRule="auto"/>
              <w:jc w:val="center"/>
              <w:textAlignment w:val="baseline"/>
              <w:rPr>
                <w:lang w:eastAsia="es-DO"/>
              </w:rPr>
            </w:pPr>
            <w:r w:rsidRPr="004C1B2F">
              <w:rPr>
                <w:lang w:val="es-DO" w:eastAsia="es-DO"/>
              </w:rPr>
              <w:t>4,650,489 </w:t>
            </w:r>
            <w:r w:rsidRPr="004C1B2F">
              <w:rPr>
                <w:lang w:eastAsia="es-DO"/>
              </w:rPr>
              <w:t>​</w:t>
            </w:r>
          </w:p>
        </w:tc>
        <w:tc>
          <w:tcPr>
            <w:tcW w:w="0" w:type="auto"/>
            <w:tcBorders>
              <w:bottom w:val="single" w:sz="4" w:space="0" w:color="auto"/>
            </w:tcBorders>
            <w:vAlign w:val="center"/>
            <w:hideMark/>
          </w:tcPr>
          <w:p w14:paraId="17613926" w14:textId="77777777" w:rsidR="00D5654D" w:rsidRPr="004C1B2F" w:rsidRDefault="00D5654D" w:rsidP="00FE28A0">
            <w:pPr>
              <w:spacing w:after="0" w:line="240" w:lineRule="auto"/>
              <w:jc w:val="center"/>
              <w:textAlignment w:val="baseline"/>
              <w:rPr>
                <w:lang w:eastAsia="es-DO"/>
              </w:rPr>
            </w:pPr>
            <w:r w:rsidRPr="004C1B2F">
              <w:rPr>
                <w:lang w:val="es-DO" w:eastAsia="es-DO"/>
              </w:rPr>
              <w:t>83.45%</w:t>
            </w:r>
            <w:r w:rsidRPr="004C1B2F">
              <w:rPr>
                <w:lang w:eastAsia="es-DO"/>
              </w:rPr>
              <w:t>​</w:t>
            </w:r>
          </w:p>
        </w:tc>
        <w:tc>
          <w:tcPr>
            <w:tcW w:w="0" w:type="auto"/>
            <w:tcBorders>
              <w:bottom w:val="single" w:sz="4" w:space="0" w:color="auto"/>
            </w:tcBorders>
            <w:vAlign w:val="center"/>
            <w:hideMark/>
          </w:tcPr>
          <w:p w14:paraId="07DA1364" w14:textId="77777777" w:rsidR="00D5654D" w:rsidRPr="004C1B2F" w:rsidRDefault="00D5654D" w:rsidP="00FE28A0">
            <w:pPr>
              <w:spacing w:after="0" w:line="240" w:lineRule="auto"/>
              <w:jc w:val="center"/>
              <w:textAlignment w:val="baseline"/>
              <w:rPr>
                <w:lang w:eastAsia="es-DO"/>
              </w:rPr>
            </w:pPr>
            <w:r w:rsidRPr="004C1B2F">
              <w:rPr>
                <w:lang w:val="es-DO" w:eastAsia="es-DO"/>
              </w:rPr>
              <w:t>1,784,985 </w:t>
            </w:r>
            <w:r w:rsidRPr="004C1B2F">
              <w:rPr>
                <w:lang w:eastAsia="es-DO"/>
              </w:rPr>
              <w:t>​</w:t>
            </w:r>
          </w:p>
        </w:tc>
        <w:tc>
          <w:tcPr>
            <w:tcW w:w="0" w:type="auto"/>
            <w:tcBorders>
              <w:bottom w:val="single" w:sz="4" w:space="0" w:color="auto"/>
            </w:tcBorders>
            <w:vAlign w:val="center"/>
            <w:hideMark/>
          </w:tcPr>
          <w:p w14:paraId="542699BA" w14:textId="77777777" w:rsidR="00D5654D" w:rsidRPr="004C1B2F" w:rsidRDefault="00D5654D" w:rsidP="00FE28A0">
            <w:pPr>
              <w:spacing w:after="0" w:line="240" w:lineRule="auto"/>
              <w:jc w:val="center"/>
              <w:textAlignment w:val="baseline"/>
              <w:rPr>
                <w:lang w:eastAsia="es-DO"/>
              </w:rPr>
            </w:pPr>
            <w:r w:rsidRPr="004C1B2F">
              <w:rPr>
                <w:lang w:val="es-DO" w:eastAsia="es-DO"/>
              </w:rPr>
              <w:t>2,316,770 </w:t>
            </w:r>
            <w:r w:rsidRPr="004C1B2F">
              <w:rPr>
                <w:lang w:eastAsia="es-DO"/>
              </w:rPr>
              <w:t>​</w:t>
            </w:r>
          </w:p>
        </w:tc>
        <w:tc>
          <w:tcPr>
            <w:tcW w:w="0" w:type="auto"/>
            <w:tcBorders>
              <w:bottom w:val="single" w:sz="4" w:space="0" w:color="auto"/>
            </w:tcBorders>
            <w:vAlign w:val="center"/>
            <w:hideMark/>
          </w:tcPr>
          <w:p w14:paraId="67E44976" w14:textId="77777777" w:rsidR="00D5654D" w:rsidRPr="004C1B2F" w:rsidRDefault="00D5654D" w:rsidP="00FE28A0">
            <w:pPr>
              <w:spacing w:after="0" w:line="240" w:lineRule="auto"/>
              <w:jc w:val="center"/>
              <w:textAlignment w:val="baseline"/>
              <w:rPr>
                <w:lang w:eastAsia="es-DO"/>
              </w:rPr>
            </w:pPr>
            <w:r w:rsidRPr="004C1B2F">
              <w:rPr>
                <w:lang w:val="es-DO" w:eastAsia="es-DO"/>
              </w:rPr>
              <w:t>77.05%</w:t>
            </w:r>
            <w:r w:rsidRPr="004C1B2F">
              <w:rPr>
                <w:lang w:eastAsia="es-DO"/>
              </w:rPr>
              <w:t>​</w:t>
            </w:r>
          </w:p>
        </w:tc>
        <w:tc>
          <w:tcPr>
            <w:tcW w:w="0" w:type="auto"/>
            <w:tcBorders>
              <w:bottom w:val="single" w:sz="4" w:space="0" w:color="auto"/>
            </w:tcBorders>
            <w:vAlign w:val="center"/>
            <w:hideMark/>
          </w:tcPr>
          <w:p w14:paraId="3BE32C5A" w14:textId="77777777" w:rsidR="00D5654D" w:rsidRPr="004C1B2F" w:rsidRDefault="00D5654D" w:rsidP="00FE28A0">
            <w:pPr>
              <w:spacing w:after="0" w:line="240" w:lineRule="auto"/>
              <w:jc w:val="center"/>
              <w:textAlignment w:val="baseline"/>
              <w:rPr>
                <w:lang w:eastAsia="es-DO"/>
              </w:rPr>
            </w:pPr>
            <w:r w:rsidRPr="004C1B2F">
              <w:rPr>
                <w:lang w:val="es-DO" w:eastAsia="es-DO"/>
              </w:rPr>
              <w:t>2,095,936 </w:t>
            </w:r>
            <w:r w:rsidRPr="004C1B2F">
              <w:rPr>
                <w:lang w:eastAsia="es-DO"/>
              </w:rPr>
              <w:t>​</w:t>
            </w:r>
          </w:p>
        </w:tc>
        <w:tc>
          <w:tcPr>
            <w:tcW w:w="0" w:type="auto"/>
            <w:tcBorders>
              <w:bottom w:val="single" w:sz="4" w:space="0" w:color="auto"/>
            </w:tcBorders>
            <w:vAlign w:val="center"/>
            <w:hideMark/>
          </w:tcPr>
          <w:p w14:paraId="15295589" w14:textId="77777777" w:rsidR="00D5654D" w:rsidRPr="004C1B2F" w:rsidRDefault="00D5654D" w:rsidP="00FE28A0">
            <w:pPr>
              <w:spacing w:after="0" w:line="240" w:lineRule="auto"/>
              <w:jc w:val="center"/>
              <w:textAlignment w:val="baseline"/>
              <w:rPr>
                <w:lang w:eastAsia="es-DO"/>
              </w:rPr>
            </w:pPr>
            <w:r w:rsidRPr="004C1B2F">
              <w:rPr>
                <w:lang w:val="es-DO" w:eastAsia="es-DO"/>
              </w:rPr>
              <w:t>2,333,719 </w:t>
            </w:r>
            <w:r w:rsidRPr="004C1B2F">
              <w:rPr>
                <w:lang w:eastAsia="es-DO"/>
              </w:rPr>
              <w:t>​</w:t>
            </w:r>
          </w:p>
        </w:tc>
        <w:tc>
          <w:tcPr>
            <w:tcW w:w="0" w:type="auto"/>
            <w:tcBorders>
              <w:bottom w:val="single" w:sz="4" w:space="0" w:color="auto"/>
            </w:tcBorders>
            <w:vAlign w:val="center"/>
            <w:hideMark/>
          </w:tcPr>
          <w:p w14:paraId="6DC31E44" w14:textId="77777777" w:rsidR="00D5654D" w:rsidRPr="004C1B2F" w:rsidRDefault="00D5654D" w:rsidP="00FE28A0">
            <w:pPr>
              <w:spacing w:after="0" w:line="240" w:lineRule="auto"/>
              <w:jc w:val="center"/>
              <w:textAlignment w:val="baseline"/>
              <w:rPr>
                <w:lang w:eastAsia="es-DO"/>
              </w:rPr>
            </w:pPr>
            <w:r w:rsidRPr="004C1B2F">
              <w:rPr>
                <w:lang w:val="es-DO" w:eastAsia="es-DO"/>
              </w:rPr>
              <w:t>89.81%</w:t>
            </w:r>
            <w:r w:rsidRPr="004C1B2F">
              <w:rPr>
                <w:lang w:eastAsia="es-DO"/>
              </w:rPr>
              <w:t>​</w:t>
            </w:r>
          </w:p>
        </w:tc>
      </w:tr>
    </w:tbl>
    <w:p w14:paraId="7C09E5D6" w14:textId="429601EB" w:rsidR="00D5654D" w:rsidRPr="00AC2DB2" w:rsidRDefault="00010B79" w:rsidP="00FE28A0">
      <w:pPr>
        <w:spacing w:after="0" w:line="240" w:lineRule="auto"/>
        <w:textAlignment w:val="baseline"/>
        <w:rPr>
          <w:sz w:val="18"/>
          <w:szCs w:val="18"/>
          <w:lang w:val="es-DO" w:eastAsia="es-DO"/>
        </w:rPr>
      </w:pPr>
      <w:r w:rsidRPr="00AC2DB2">
        <w:rPr>
          <w:sz w:val="18"/>
          <w:szCs w:val="18"/>
          <w:lang w:val="es-DO" w:eastAsia="es-DO"/>
        </w:rPr>
        <w:t xml:space="preserve">Fuente: Servicios reportados otorgados por las ARS Según el Esquema 35 y dispersión promedio por año. </w:t>
      </w:r>
    </w:p>
    <w:p w14:paraId="059AAB7F" w14:textId="77777777" w:rsidR="00010B79" w:rsidRPr="005C133F" w:rsidRDefault="00010B79" w:rsidP="00FE28A0">
      <w:pPr>
        <w:spacing w:after="0" w:line="240" w:lineRule="auto"/>
        <w:textAlignment w:val="baseline"/>
        <w:rPr>
          <w:lang w:val="es-DO" w:eastAsia="es-DO"/>
        </w:rPr>
      </w:pPr>
    </w:p>
    <w:p w14:paraId="5B6EC701" w14:textId="5CAC1BC6" w:rsidR="00AC1558" w:rsidRPr="005C133F" w:rsidRDefault="00AC1558" w:rsidP="00FE28A0">
      <w:pPr>
        <w:pStyle w:val="Descripcin"/>
        <w:keepNext/>
        <w:spacing w:after="0"/>
        <w:jc w:val="center"/>
        <w:rPr>
          <w:b/>
          <w:bCs/>
          <w:i w:val="0"/>
          <w:iCs w:val="0"/>
          <w:color w:val="767171"/>
          <w:sz w:val="24"/>
          <w:szCs w:val="24"/>
          <w:lang w:val="es-DO"/>
        </w:rPr>
      </w:pPr>
      <w:bookmarkStart w:id="90" w:name="_Toc218784165"/>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33</w:t>
      </w:r>
      <w:r w:rsidRPr="005C133F">
        <w:rPr>
          <w:b/>
          <w:bCs/>
          <w:i w:val="0"/>
          <w:iCs w:val="0"/>
          <w:color w:val="767171"/>
          <w:sz w:val="24"/>
          <w:szCs w:val="24"/>
          <w:lang w:val="es-DO"/>
        </w:rPr>
        <w:fldChar w:fldCharType="end"/>
      </w:r>
      <w:r w:rsidRPr="005C133F">
        <w:rPr>
          <w:b/>
          <w:bCs/>
          <w:i w:val="0"/>
          <w:iCs w:val="0"/>
          <w:color w:val="767171"/>
          <w:sz w:val="24"/>
          <w:szCs w:val="24"/>
          <w:lang w:val="es-DO"/>
        </w:rPr>
        <w:t>. Régimen Subsidiado (RS). Proporción de la población afiliada que utilizó los servicios del Plan Básico de Salud, por año y sexo,  cobertura 2018-2024</w:t>
      </w:r>
      <w:bookmarkEnd w:id="90"/>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590"/>
        <w:gridCol w:w="2797"/>
        <w:gridCol w:w="1250"/>
        <w:gridCol w:w="1363"/>
        <w:gridCol w:w="2797"/>
        <w:gridCol w:w="1250"/>
        <w:gridCol w:w="1363"/>
        <w:gridCol w:w="2797"/>
        <w:gridCol w:w="1250"/>
        <w:gridCol w:w="1363"/>
      </w:tblGrid>
      <w:tr w:rsidR="00246DA5" w:rsidRPr="004C1B2F" w14:paraId="302FEEB5" w14:textId="77777777" w:rsidTr="0067066E">
        <w:trPr>
          <w:trHeight w:val="20"/>
          <w:tblHeader/>
          <w:jc w:val="center"/>
        </w:trPr>
        <w:tc>
          <w:tcPr>
            <w:tcW w:w="0" w:type="auto"/>
            <w:tcBorders>
              <w:top w:val="nil"/>
            </w:tcBorders>
            <w:shd w:val="clear" w:color="auto" w:fill="011C50"/>
            <w:vAlign w:val="center"/>
            <w:hideMark/>
          </w:tcPr>
          <w:p w14:paraId="345B2BBE"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RS</w:t>
            </w:r>
            <w:r w:rsidRPr="004C1B2F">
              <w:rPr>
                <w:color w:val="FFFFFF" w:themeColor="background1"/>
                <w:lang w:eastAsia="es-DO"/>
              </w:rPr>
              <w:t>​</w:t>
            </w:r>
          </w:p>
        </w:tc>
        <w:tc>
          <w:tcPr>
            <w:tcW w:w="0" w:type="auto"/>
            <w:gridSpan w:val="3"/>
            <w:tcBorders>
              <w:top w:val="nil"/>
            </w:tcBorders>
            <w:shd w:val="clear" w:color="auto" w:fill="011C50"/>
            <w:vAlign w:val="center"/>
            <w:hideMark/>
          </w:tcPr>
          <w:p w14:paraId="28A9E6B3"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Ambos sexos</w:t>
            </w:r>
            <w:r w:rsidRPr="004C1B2F">
              <w:rPr>
                <w:color w:val="FFFFFF" w:themeColor="background1"/>
                <w:lang w:eastAsia="es-DO"/>
              </w:rPr>
              <w:t>​</w:t>
            </w:r>
          </w:p>
        </w:tc>
        <w:tc>
          <w:tcPr>
            <w:tcW w:w="0" w:type="auto"/>
            <w:gridSpan w:val="3"/>
            <w:tcBorders>
              <w:top w:val="nil"/>
            </w:tcBorders>
            <w:shd w:val="clear" w:color="auto" w:fill="011C50"/>
            <w:vAlign w:val="center"/>
            <w:hideMark/>
          </w:tcPr>
          <w:p w14:paraId="1904303B"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Hombres</w:t>
            </w:r>
            <w:r w:rsidRPr="004C1B2F">
              <w:rPr>
                <w:color w:val="FFFFFF" w:themeColor="background1"/>
                <w:lang w:eastAsia="es-DO"/>
              </w:rPr>
              <w:t>​</w:t>
            </w:r>
          </w:p>
        </w:tc>
        <w:tc>
          <w:tcPr>
            <w:tcW w:w="0" w:type="auto"/>
            <w:gridSpan w:val="3"/>
            <w:tcBorders>
              <w:top w:val="nil"/>
            </w:tcBorders>
            <w:shd w:val="clear" w:color="auto" w:fill="011C50"/>
            <w:vAlign w:val="center"/>
            <w:hideMark/>
          </w:tcPr>
          <w:p w14:paraId="50BAFAAF"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Mujeres</w:t>
            </w:r>
            <w:r w:rsidRPr="004C1B2F">
              <w:rPr>
                <w:color w:val="FFFFFF" w:themeColor="background1"/>
                <w:lang w:eastAsia="es-DO"/>
              </w:rPr>
              <w:t>​</w:t>
            </w:r>
          </w:p>
        </w:tc>
      </w:tr>
      <w:tr w:rsidR="00246DA5" w:rsidRPr="004C1B2F" w14:paraId="411D9D03" w14:textId="77777777" w:rsidTr="0067066E">
        <w:trPr>
          <w:trHeight w:val="20"/>
          <w:tblHeader/>
          <w:jc w:val="center"/>
        </w:trPr>
        <w:tc>
          <w:tcPr>
            <w:tcW w:w="0" w:type="auto"/>
            <w:shd w:val="clear" w:color="auto" w:fill="011C50"/>
            <w:vAlign w:val="center"/>
            <w:hideMark/>
          </w:tcPr>
          <w:p w14:paraId="39E55525" w14:textId="176E3309"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w:t>
            </w:r>
            <w:r w:rsidR="004C1B2F" w:rsidRPr="004C1B2F">
              <w:rPr>
                <w:b/>
                <w:bCs/>
                <w:color w:val="FFFFFF" w:themeColor="background1"/>
                <w:lang w:val="es-DO" w:eastAsia="es-DO"/>
              </w:rPr>
              <w:t>ñ</w:t>
            </w:r>
            <w:r w:rsidRPr="004C1B2F">
              <w:rPr>
                <w:b/>
                <w:bCs/>
                <w:color w:val="FFFFFF" w:themeColor="background1"/>
                <w:lang w:val="es-DO" w:eastAsia="es-DO"/>
              </w:rPr>
              <w:t>o</w:t>
            </w:r>
            <w:r w:rsidRPr="004C1B2F">
              <w:rPr>
                <w:color w:val="FFFFFF" w:themeColor="background1"/>
                <w:lang w:eastAsia="es-DO"/>
              </w:rPr>
              <w:t>​</w:t>
            </w:r>
          </w:p>
        </w:tc>
        <w:tc>
          <w:tcPr>
            <w:tcW w:w="0" w:type="auto"/>
            <w:shd w:val="clear" w:color="auto" w:fill="011C50"/>
            <w:vAlign w:val="center"/>
            <w:hideMark/>
          </w:tcPr>
          <w:p w14:paraId="2E00398B"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59AC5FD0"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44E491FE"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c>
          <w:tcPr>
            <w:tcW w:w="0" w:type="auto"/>
            <w:shd w:val="clear" w:color="auto" w:fill="011C50"/>
            <w:vAlign w:val="center"/>
            <w:hideMark/>
          </w:tcPr>
          <w:p w14:paraId="0FC1988A"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1105A2C1"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20417791"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c>
          <w:tcPr>
            <w:tcW w:w="0" w:type="auto"/>
            <w:shd w:val="clear" w:color="auto" w:fill="011C50"/>
            <w:vAlign w:val="center"/>
            <w:hideMark/>
          </w:tcPr>
          <w:p w14:paraId="0A94CB06"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Demandaron servicios </w:t>
            </w:r>
            <w:r w:rsidRPr="004C1B2F">
              <w:rPr>
                <w:color w:val="FFFFFF" w:themeColor="background1"/>
                <w:lang w:eastAsia="es-DO"/>
              </w:rPr>
              <w:t>​</w:t>
            </w:r>
          </w:p>
        </w:tc>
        <w:tc>
          <w:tcPr>
            <w:tcW w:w="0" w:type="auto"/>
            <w:shd w:val="clear" w:color="auto" w:fill="011C50"/>
            <w:vAlign w:val="center"/>
            <w:hideMark/>
          </w:tcPr>
          <w:p w14:paraId="093D5463"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Afiliados</w:t>
            </w:r>
            <w:r w:rsidRPr="004C1B2F">
              <w:rPr>
                <w:color w:val="FFFFFF" w:themeColor="background1"/>
                <w:lang w:eastAsia="es-DO"/>
              </w:rPr>
              <w:t>​</w:t>
            </w:r>
          </w:p>
        </w:tc>
        <w:tc>
          <w:tcPr>
            <w:tcW w:w="0" w:type="auto"/>
            <w:shd w:val="clear" w:color="auto" w:fill="011C50"/>
            <w:vAlign w:val="center"/>
            <w:hideMark/>
          </w:tcPr>
          <w:p w14:paraId="10DB1E14" w14:textId="77777777" w:rsidR="00010B79" w:rsidRPr="004C1B2F" w:rsidRDefault="00010B79" w:rsidP="00FE28A0">
            <w:pPr>
              <w:spacing w:after="0" w:line="240" w:lineRule="auto"/>
              <w:jc w:val="center"/>
              <w:textAlignment w:val="baseline"/>
              <w:rPr>
                <w:color w:val="FFFFFF" w:themeColor="background1"/>
                <w:lang w:eastAsia="es-DO"/>
              </w:rPr>
            </w:pPr>
            <w:r w:rsidRPr="004C1B2F">
              <w:rPr>
                <w:b/>
                <w:bCs/>
                <w:color w:val="FFFFFF" w:themeColor="background1"/>
                <w:lang w:val="es-DO" w:eastAsia="es-DO"/>
              </w:rPr>
              <w:t>Frecuencia</w:t>
            </w:r>
            <w:r w:rsidRPr="004C1B2F">
              <w:rPr>
                <w:color w:val="FFFFFF" w:themeColor="background1"/>
                <w:lang w:eastAsia="es-DO"/>
              </w:rPr>
              <w:t>​</w:t>
            </w:r>
          </w:p>
        </w:tc>
      </w:tr>
      <w:tr w:rsidR="004921FF" w:rsidRPr="004C1B2F" w14:paraId="1F63BEE1" w14:textId="77777777" w:rsidTr="0067066E">
        <w:trPr>
          <w:trHeight w:val="20"/>
          <w:jc w:val="center"/>
        </w:trPr>
        <w:tc>
          <w:tcPr>
            <w:tcW w:w="0" w:type="auto"/>
            <w:vAlign w:val="center"/>
            <w:hideMark/>
          </w:tcPr>
          <w:p w14:paraId="281D5B53" w14:textId="77777777" w:rsidR="00010B79" w:rsidRPr="004C1B2F" w:rsidRDefault="00010B79" w:rsidP="00FE28A0">
            <w:pPr>
              <w:spacing w:after="0" w:line="240" w:lineRule="auto"/>
              <w:jc w:val="center"/>
              <w:textAlignment w:val="baseline"/>
              <w:rPr>
                <w:lang w:eastAsia="es-DO"/>
              </w:rPr>
            </w:pPr>
            <w:r w:rsidRPr="004C1B2F">
              <w:rPr>
                <w:lang w:val="es-DO" w:eastAsia="es-DO"/>
              </w:rPr>
              <w:t>2018</w:t>
            </w:r>
            <w:r w:rsidRPr="004C1B2F">
              <w:rPr>
                <w:lang w:eastAsia="es-DO"/>
              </w:rPr>
              <w:t>​</w:t>
            </w:r>
          </w:p>
        </w:tc>
        <w:tc>
          <w:tcPr>
            <w:tcW w:w="0" w:type="auto"/>
            <w:vAlign w:val="center"/>
            <w:hideMark/>
          </w:tcPr>
          <w:p w14:paraId="094553D3" w14:textId="77777777" w:rsidR="00010B79" w:rsidRPr="004C1B2F" w:rsidRDefault="00010B79" w:rsidP="00FE28A0">
            <w:pPr>
              <w:spacing w:after="0" w:line="240" w:lineRule="auto"/>
              <w:jc w:val="center"/>
              <w:textAlignment w:val="baseline"/>
              <w:rPr>
                <w:lang w:eastAsia="es-DO"/>
              </w:rPr>
            </w:pPr>
            <w:r w:rsidRPr="004C1B2F">
              <w:rPr>
                <w:lang w:val="es-DO" w:eastAsia="es-DO"/>
              </w:rPr>
              <w:t>1,211,948 </w:t>
            </w:r>
            <w:r w:rsidRPr="004C1B2F">
              <w:rPr>
                <w:lang w:eastAsia="es-DO"/>
              </w:rPr>
              <w:t>​</w:t>
            </w:r>
          </w:p>
        </w:tc>
        <w:tc>
          <w:tcPr>
            <w:tcW w:w="0" w:type="auto"/>
            <w:vAlign w:val="center"/>
            <w:hideMark/>
          </w:tcPr>
          <w:p w14:paraId="43AD82DE" w14:textId="77777777" w:rsidR="00010B79" w:rsidRPr="004C1B2F" w:rsidRDefault="00010B79" w:rsidP="00FE28A0">
            <w:pPr>
              <w:spacing w:after="0" w:line="240" w:lineRule="auto"/>
              <w:jc w:val="center"/>
              <w:textAlignment w:val="baseline"/>
              <w:rPr>
                <w:lang w:eastAsia="es-DO"/>
              </w:rPr>
            </w:pPr>
            <w:r w:rsidRPr="004C1B2F">
              <w:rPr>
                <w:lang w:val="es-DO" w:eastAsia="es-DO"/>
              </w:rPr>
              <w:t>3,577,932</w:t>
            </w:r>
            <w:r w:rsidRPr="004C1B2F">
              <w:rPr>
                <w:lang w:eastAsia="es-DO"/>
              </w:rPr>
              <w:t>​</w:t>
            </w:r>
          </w:p>
        </w:tc>
        <w:tc>
          <w:tcPr>
            <w:tcW w:w="0" w:type="auto"/>
            <w:vAlign w:val="center"/>
            <w:hideMark/>
          </w:tcPr>
          <w:p w14:paraId="728267D8" w14:textId="77777777" w:rsidR="00010B79" w:rsidRPr="004C1B2F" w:rsidRDefault="00010B79" w:rsidP="00FE28A0">
            <w:pPr>
              <w:spacing w:after="0" w:line="240" w:lineRule="auto"/>
              <w:jc w:val="center"/>
              <w:textAlignment w:val="baseline"/>
              <w:rPr>
                <w:lang w:eastAsia="es-DO"/>
              </w:rPr>
            </w:pPr>
            <w:r w:rsidRPr="004C1B2F">
              <w:rPr>
                <w:lang w:val="es-DO" w:eastAsia="es-DO"/>
              </w:rPr>
              <w:t>33.87%</w:t>
            </w:r>
            <w:r w:rsidRPr="004C1B2F">
              <w:rPr>
                <w:lang w:eastAsia="es-DO"/>
              </w:rPr>
              <w:t>​</w:t>
            </w:r>
          </w:p>
        </w:tc>
        <w:tc>
          <w:tcPr>
            <w:tcW w:w="0" w:type="auto"/>
            <w:vAlign w:val="center"/>
            <w:hideMark/>
          </w:tcPr>
          <w:p w14:paraId="0FD6CA93" w14:textId="77777777" w:rsidR="00010B79" w:rsidRPr="004C1B2F" w:rsidRDefault="00010B79" w:rsidP="00FE28A0">
            <w:pPr>
              <w:spacing w:after="0" w:line="240" w:lineRule="auto"/>
              <w:jc w:val="center"/>
              <w:textAlignment w:val="baseline"/>
              <w:rPr>
                <w:lang w:eastAsia="es-DO"/>
              </w:rPr>
            </w:pPr>
            <w:r w:rsidRPr="004C1B2F">
              <w:rPr>
                <w:lang w:val="es-DO" w:eastAsia="es-DO"/>
              </w:rPr>
              <w:t>421,569 </w:t>
            </w:r>
            <w:r w:rsidRPr="004C1B2F">
              <w:rPr>
                <w:lang w:eastAsia="es-DO"/>
              </w:rPr>
              <w:t>​</w:t>
            </w:r>
          </w:p>
        </w:tc>
        <w:tc>
          <w:tcPr>
            <w:tcW w:w="0" w:type="auto"/>
            <w:vAlign w:val="center"/>
            <w:hideMark/>
          </w:tcPr>
          <w:p w14:paraId="3E261BAE" w14:textId="77777777" w:rsidR="00010B79" w:rsidRPr="004C1B2F" w:rsidRDefault="00010B79" w:rsidP="00FE28A0">
            <w:pPr>
              <w:spacing w:after="0" w:line="240" w:lineRule="auto"/>
              <w:jc w:val="center"/>
              <w:textAlignment w:val="baseline"/>
              <w:rPr>
                <w:lang w:eastAsia="es-DO"/>
              </w:rPr>
            </w:pPr>
            <w:r w:rsidRPr="004C1B2F">
              <w:rPr>
                <w:lang w:val="es-DO" w:eastAsia="es-DO"/>
              </w:rPr>
              <w:t>1,692,088 </w:t>
            </w:r>
            <w:r w:rsidRPr="004C1B2F">
              <w:rPr>
                <w:lang w:eastAsia="es-DO"/>
              </w:rPr>
              <w:t>​</w:t>
            </w:r>
          </w:p>
        </w:tc>
        <w:tc>
          <w:tcPr>
            <w:tcW w:w="0" w:type="auto"/>
            <w:vAlign w:val="center"/>
            <w:hideMark/>
          </w:tcPr>
          <w:p w14:paraId="5700B77A" w14:textId="77777777" w:rsidR="00010B79" w:rsidRPr="004C1B2F" w:rsidRDefault="00010B79" w:rsidP="00FE28A0">
            <w:pPr>
              <w:spacing w:after="0" w:line="240" w:lineRule="auto"/>
              <w:jc w:val="center"/>
              <w:textAlignment w:val="baseline"/>
              <w:rPr>
                <w:lang w:eastAsia="es-DO"/>
              </w:rPr>
            </w:pPr>
            <w:r w:rsidRPr="004C1B2F">
              <w:rPr>
                <w:lang w:val="es-DO" w:eastAsia="es-DO"/>
              </w:rPr>
              <w:t>24.91%</w:t>
            </w:r>
            <w:r w:rsidRPr="004C1B2F">
              <w:rPr>
                <w:lang w:eastAsia="es-DO"/>
              </w:rPr>
              <w:t>​</w:t>
            </w:r>
          </w:p>
        </w:tc>
        <w:tc>
          <w:tcPr>
            <w:tcW w:w="0" w:type="auto"/>
            <w:vAlign w:val="center"/>
            <w:hideMark/>
          </w:tcPr>
          <w:p w14:paraId="518BB848" w14:textId="77777777" w:rsidR="00010B79" w:rsidRPr="004C1B2F" w:rsidRDefault="00010B79" w:rsidP="00FE28A0">
            <w:pPr>
              <w:spacing w:after="0" w:line="240" w:lineRule="auto"/>
              <w:jc w:val="center"/>
              <w:textAlignment w:val="baseline"/>
              <w:rPr>
                <w:lang w:eastAsia="es-DO"/>
              </w:rPr>
            </w:pPr>
            <w:r w:rsidRPr="004C1B2F">
              <w:rPr>
                <w:lang w:val="es-DO" w:eastAsia="es-DO"/>
              </w:rPr>
              <w:t>790,379 </w:t>
            </w:r>
            <w:r w:rsidRPr="004C1B2F">
              <w:rPr>
                <w:lang w:eastAsia="es-DO"/>
              </w:rPr>
              <w:t>​</w:t>
            </w:r>
          </w:p>
        </w:tc>
        <w:tc>
          <w:tcPr>
            <w:tcW w:w="0" w:type="auto"/>
            <w:vAlign w:val="center"/>
            <w:hideMark/>
          </w:tcPr>
          <w:p w14:paraId="782990BF" w14:textId="77777777" w:rsidR="00010B79" w:rsidRPr="004C1B2F" w:rsidRDefault="00010B79" w:rsidP="00FE28A0">
            <w:pPr>
              <w:spacing w:after="0" w:line="240" w:lineRule="auto"/>
              <w:jc w:val="center"/>
              <w:textAlignment w:val="baseline"/>
              <w:rPr>
                <w:lang w:eastAsia="es-DO"/>
              </w:rPr>
            </w:pPr>
            <w:r w:rsidRPr="004C1B2F">
              <w:rPr>
                <w:lang w:val="es-DO" w:eastAsia="es-DO"/>
              </w:rPr>
              <w:t>1,885,843 </w:t>
            </w:r>
            <w:r w:rsidRPr="004C1B2F">
              <w:rPr>
                <w:lang w:eastAsia="es-DO"/>
              </w:rPr>
              <w:t>​</w:t>
            </w:r>
          </w:p>
        </w:tc>
        <w:tc>
          <w:tcPr>
            <w:tcW w:w="0" w:type="auto"/>
            <w:vAlign w:val="center"/>
            <w:hideMark/>
          </w:tcPr>
          <w:p w14:paraId="6DA2F37C" w14:textId="77777777" w:rsidR="00010B79" w:rsidRPr="004C1B2F" w:rsidRDefault="00010B79" w:rsidP="00FE28A0">
            <w:pPr>
              <w:spacing w:after="0" w:line="240" w:lineRule="auto"/>
              <w:jc w:val="center"/>
              <w:textAlignment w:val="baseline"/>
              <w:rPr>
                <w:lang w:eastAsia="es-DO"/>
              </w:rPr>
            </w:pPr>
            <w:r w:rsidRPr="004C1B2F">
              <w:rPr>
                <w:lang w:val="es-DO" w:eastAsia="es-DO"/>
              </w:rPr>
              <w:t>41.91%</w:t>
            </w:r>
            <w:r w:rsidRPr="004C1B2F">
              <w:rPr>
                <w:lang w:eastAsia="es-DO"/>
              </w:rPr>
              <w:t>​</w:t>
            </w:r>
          </w:p>
        </w:tc>
      </w:tr>
      <w:tr w:rsidR="004921FF" w:rsidRPr="004C1B2F" w14:paraId="6C5BB465" w14:textId="77777777" w:rsidTr="0067066E">
        <w:trPr>
          <w:trHeight w:val="20"/>
          <w:jc w:val="center"/>
        </w:trPr>
        <w:tc>
          <w:tcPr>
            <w:tcW w:w="0" w:type="auto"/>
            <w:vAlign w:val="center"/>
            <w:hideMark/>
          </w:tcPr>
          <w:p w14:paraId="509E87B1" w14:textId="77777777" w:rsidR="00010B79" w:rsidRPr="004C1B2F" w:rsidRDefault="00010B79" w:rsidP="00FE28A0">
            <w:pPr>
              <w:spacing w:after="0" w:line="240" w:lineRule="auto"/>
              <w:jc w:val="center"/>
              <w:textAlignment w:val="baseline"/>
              <w:rPr>
                <w:lang w:eastAsia="es-DO"/>
              </w:rPr>
            </w:pPr>
            <w:r w:rsidRPr="004C1B2F">
              <w:rPr>
                <w:lang w:val="es-DO" w:eastAsia="es-DO"/>
              </w:rPr>
              <w:t>2019</w:t>
            </w:r>
            <w:r w:rsidRPr="004C1B2F">
              <w:rPr>
                <w:lang w:eastAsia="es-DO"/>
              </w:rPr>
              <w:t>​</w:t>
            </w:r>
          </w:p>
        </w:tc>
        <w:tc>
          <w:tcPr>
            <w:tcW w:w="0" w:type="auto"/>
            <w:vAlign w:val="center"/>
            <w:hideMark/>
          </w:tcPr>
          <w:p w14:paraId="6CC875DA" w14:textId="77777777" w:rsidR="00010B79" w:rsidRPr="004C1B2F" w:rsidRDefault="00010B79" w:rsidP="00FE28A0">
            <w:pPr>
              <w:spacing w:after="0" w:line="240" w:lineRule="auto"/>
              <w:jc w:val="center"/>
              <w:textAlignment w:val="baseline"/>
              <w:rPr>
                <w:lang w:eastAsia="es-DO"/>
              </w:rPr>
            </w:pPr>
            <w:r w:rsidRPr="004C1B2F">
              <w:rPr>
                <w:lang w:val="es-DO" w:eastAsia="es-DO"/>
              </w:rPr>
              <w:t>1,278,263 </w:t>
            </w:r>
            <w:r w:rsidRPr="004C1B2F">
              <w:rPr>
                <w:lang w:eastAsia="es-DO"/>
              </w:rPr>
              <w:t>​</w:t>
            </w:r>
          </w:p>
        </w:tc>
        <w:tc>
          <w:tcPr>
            <w:tcW w:w="0" w:type="auto"/>
            <w:vAlign w:val="center"/>
            <w:hideMark/>
          </w:tcPr>
          <w:p w14:paraId="615E2341" w14:textId="77777777" w:rsidR="00010B79" w:rsidRPr="004C1B2F" w:rsidRDefault="00010B79" w:rsidP="00FE28A0">
            <w:pPr>
              <w:spacing w:after="0" w:line="240" w:lineRule="auto"/>
              <w:jc w:val="center"/>
              <w:textAlignment w:val="baseline"/>
              <w:rPr>
                <w:lang w:eastAsia="es-DO"/>
              </w:rPr>
            </w:pPr>
            <w:r w:rsidRPr="004C1B2F">
              <w:rPr>
                <w:lang w:val="es-DO" w:eastAsia="es-DO"/>
              </w:rPr>
              <w:t>3,642,573 </w:t>
            </w:r>
            <w:r w:rsidRPr="004C1B2F">
              <w:rPr>
                <w:lang w:eastAsia="es-DO"/>
              </w:rPr>
              <w:t>​</w:t>
            </w:r>
          </w:p>
        </w:tc>
        <w:tc>
          <w:tcPr>
            <w:tcW w:w="0" w:type="auto"/>
            <w:vAlign w:val="center"/>
            <w:hideMark/>
          </w:tcPr>
          <w:p w14:paraId="737B6694" w14:textId="77777777" w:rsidR="00010B79" w:rsidRPr="004C1B2F" w:rsidRDefault="00010B79" w:rsidP="00FE28A0">
            <w:pPr>
              <w:spacing w:after="0" w:line="240" w:lineRule="auto"/>
              <w:jc w:val="center"/>
              <w:textAlignment w:val="baseline"/>
              <w:rPr>
                <w:lang w:val="es-DO" w:eastAsia="es-DO"/>
              </w:rPr>
            </w:pPr>
            <w:r w:rsidRPr="004C1B2F">
              <w:rPr>
                <w:lang w:val="es-DO" w:eastAsia="es-DO"/>
              </w:rPr>
              <w:t>35.09%</w:t>
            </w:r>
            <w:r w:rsidRPr="004C1B2F">
              <w:rPr>
                <w:lang w:eastAsia="es-DO"/>
              </w:rPr>
              <w:t>​</w:t>
            </w:r>
          </w:p>
          <w:p w14:paraId="601B202B" w14:textId="77777777" w:rsidR="00010B79" w:rsidRPr="004C1B2F" w:rsidRDefault="00010B79" w:rsidP="00FE28A0">
            <w:pPr>
              <w:spacing w:after="0" w:line="240" w:lineRule="auto"/>
              <w:rPr>
                <w:lang w:val="es-DO" w:eastAsia="es-DO"/>
              </w:rPr>
            </w:pPr>
          </w:p>
          <w:p w14:paraId="0BADFAC0" w14:textId="77777777" w:rsidR="00010B79" w:rsidRPr="004C1B2F" w:rsidRDefault="00010B79" w:rsidP="00FE28A0">
            <w:pPr>
              <w:spacing w:after="0" w:line="240" w:lineRule="auto"/>
              <w:rPr>
                <w:lang w:eastAsia="es-DO"/>
              </w:rPr>
            </w:pPr>
          </w:p>
        </w:tc>
        <w:tc>
          <w:tcPr>
            <w:tcW w:w="0" w:type="auto"/>
            <w:vAlign w:val="center"/>
            <w:hideMark/>
          </w:tcPr>
          <w:p w14:paraId="2C794528" w14:textId="77777777" w:rsidR="00010B79" w:rsidRPr="004C1B2F" w:rsidRDefault="00010B79" w:rsidP="00FE28A0">
            <w:pPr>
              <w:spacing w:after="0" w:line="240" w:lineRule="auto"/>
              <w:jc w:val="center"/>
              <w:textAlignment w:val="baseline"/>
              <w:rPr>
                <w:lang w:eastAsia="es-DO"/>
              </w:rPr>
            </w:pPr>
            <w:r w:rsidRPr="004C1B2F">
              <w:rPr>
                <w:lang w:val="es-DO" w:eastAsia="es-DO"/>
              </w:rPr>
              <w:t>451,101 </w:t>
            </w:r>
            <w:r w:rsidRPr="004C1B2F">
              <w:rPr>
                <w:lang w:eastAsia="es-DO"/>
              </w:rPr>
              <w:t>​</w:t>
            </w:r>
          </w:p>
        </w:tc>
        <w:tc>
          <w:tcPr>
            <w:tcW w:w="0" w:type="auto"/>
            <w:vAlign w:val="center"/>
            <w:hideMark/>
          </w:tcPr>
          <w:p w14:paraId="435EEC38" w14:textId="77777777" w:rsidR="00010B79" w:rsidRPr="004C1B2F" w:rsidRDefault="00010B79" w:rsidP="00FE28A0">
            <w:pPr>
              <w:spacing w:after="0" w:line="240" w:lineRule="auto"/>
              <w:jc w:val="center"/>
              <w:textAlignment w:val="baseline"/>
              <w:rPr>
                <w:lang w:eastAsia="es-DO"/>
              </w:rPr>
            </w:pPr>
            <w:r w:rsidRPr="004C1B2F">
              <w:rPr>
                <w:lang w:val="es-DO" w:eastAsia="es-DO"/>
              </w:rPr>
              <w:t>1,719,738 </w:t>
            </w:r>
            <w:r w:rsidRPr="004C1B2F">
              <w:rPr>
                <w:lang w:eastAsia="es-DO"/>
              </w:rPr>
              <w:t>​</w:t>
            </w:r>
          </w:p>
        </w:tc>
        <w:tc>
          <w:tcPr>
            <w:tcW w:w="0" w:type="auto"/>
            <w:vAlign w:val="center"/>
            <w:hideMark/>
          </w:tcPr>
          <w:p w14:paraId="2B98EE45" w14:textId="77777777" w:rsidR="00010B79" w:rsidRPr="004C1B2F" w:rsidRDefault="00010B79" w:rsidP="00FE28A0">
            <w:pPr>
              <w:spacing w:after="0" w:line="240" w:lineRule="auto"/>
              <w:jc w:val="center"/>
              <w:textAlignment w:val="baseline"/>
              <w:rPr>
                <w:lang w:eastAsia="es-DO"/>
              </w:rPr>
            </w:pPr>
            <w:r w:rsidRPr="004C1B2F">
              <w:rPr>
                <w:lang w:val="es-DO" w:eastAsia="es-DO"/>
              </w:rPr>
              <w:t>26.23%</w:t>
            </w:r>
            <w:r w:rsidRPr="004C1B2F">
              <w:rPr>
                <w:lang w:eastAsia="es-DO"/>
              </w:rPr>
              <w:t>​</w:t>
            </w:r>
          </w:p>
        </w:tc>
        <w:tc>
          <w:tcPr>
            <w:tcW w:w="0" w:type="auto"/>
            <w:vAlign w:val="center"/>
            <w:hideMark/>
          </w:tcPr>
          <w:p w14:paraId="24F9A350" w14:textId="77777777" w:rsidR="00010B79" w:rsidRPr="004C1B2F" w:rsidRDefault="00010B79" w:rsidP="00FE28A0">
            <w:pPr>
              <w:spacing w:after="0" w:line="240" w:lineRule="auto"/>
              <w:jc w:val="center"/>
              <w:textAlignment w:val="baseline"/>
              <w:rPr>
                <w:lang w:eastAsia="es-DO"/>
              </w:rPr>
            </w:pPr>
            <w:r w:rsidRPr="004C1B2F">
              <w:rPr>
                <w:lang w:val="es-DO" w:eastAsia="es-DO"/>
              </w:rPr>
              <w:t>827,162 </w:t>
            </w:r>
            <w:r w:rsidRPr="004C1B2F">
              <w:rPr>
                <w:lang w:eastAsia="es-DO"/>
              </w:rPr>
              <w:t>​</w:t>
            </w:r>
          </w:p>
        </w:tc>
        <w:tc>
          <w:tcPr>
            <w:tcW w:w="0" w:type="auto"/>
            <w:vAlign w:val="center"/>
            <w:hideMark/>
          </w:tcPr>
          <w:p w14:paraId="17FAEA2A" w14:textId="77777777" w:rsidR="00010B79" w:rsidRPr="004C1B2F" w:rsidRDefault="00010B79" w:rsidP="00FE28A0">
            <w:pPr>
              <w:spacing w:after="0" w:line="240" w:lineRule="auto"/>
              <w:jc w:val="center"/>
              <w:textAlignment w:val="baseline"/>
              <w:rPr>
                <w:lang w:eastAsia="es-DO"/>
              </w:rPr>
            </w:pPr>
            <w:r w:rsidRPr="004C1B2F">
              <w:rPr>
                <w:lang w:val="es-DO" w:eastAsia="es-DO"/>
              </w:rPr>
              <w:t>1,922,835 </w:t>
            </w:r>
            <w:r w:rsidRPr="004C1B2F">
              <w:rPr>
                <w:lang w:eastAsia="es-DO"/>
              </w:rPr>
              <w:t>​</w:t>
            </w:r>
          </w:p>
        </w:tc>
        <w:tc>
          <w:tcPr>
            <w:tcW w:w="0" w:type="auto"/>
            <w:vAlign w:val="center"/>
            <w:hideMark/>
          </w:tcPr>
          <w:p w14:paraId="0FF60648" w14:textId="77777777" w:rsidR="00010B79" w:rsidRPr="004C1B2F" w:rsidRDefault="00010B79" w:rsidP="00FE28A0">
            <w:pPr>
              <w:spacing w:after="0" w:line="240" w:lineRule="auto"/>
              <w:jc w:val="center"/>
              <w:textAlignment w:val="baseline"/>
              <w:rPr>
                <w:lang w:eastAsia="es-DO"/>
              </w:rPr>
            </w:pPr>
            <w:r w:rsidRPr="004C1B2F">
              <w:rPr>
                <w:lang w:val="es-DO" w:eastAsia="es-DO"/>
              </w:rPr>
              <w:t>43.02%</w:t>
            </w:r>
            <w:r w:rsidRPr="004C1B2F">
              <w:rPr>
                <w:lang w:eastAsia="es-DO"/>
              </w:rPr>
              <w:t>​</w:t>
            </w:r>
          </w:p>
        </w:tc>
      </w:tr>
      <w:tr w:rsidR="004921FF" w:rsidRPr="004C1B2F" w14:paraId="3380BE5D" w14:textId="77777777" w:rsidTr="0067066E">
        <w:trPr>
          <w:trHeight w:val="20"/>
          <w:jc w:val="center"/>
        </w:trPr>
        <w:tc>
          <w:tcPr>
            <w:tcW w:w="0" w:type="auto"/>
            <w:vAlign w:val="center"/>
            <w:hideMark/>
          </w:tcPr>
          <w:p w14:paraId="15248865" w14:textId="77777777" w:rsidR="00010B79" w:rsidRPr="004C1B2F" w:rsidRDefault="00010B79" w:rsidP="00FE28A0">
            <w:pPr>
              <w:spacing w:after="0" w:line="240" w:lineRule="auto"/>
              <w:jc w:val="center"/>
              <w:textAlignment w:val="baseline"/>
              <w:rPr>
                <w:lang w:eastAsia="es-DO"/>
              </w:rPr>
            </w:pPr>
            <w:r w:rsidRPr="004C1B2F">
              <w:rPr>
                <w:lang w:val="es-DO" w:eastAsia="es-DO"/>
              </w:rPr>
              <w:t>2020</w:t>
            </w:r>
            <w:r w:rsidRPr="004C1B2F">
              <w:rPr>
                <w:lang w:eastAsia="es-DO"/>
              </w:rPr>
              <w:t>​</w:t>
            </w:r>
          </w:p>
        </w:tc>
        <w:tc>
          <w:tcPr>
            <w:tcW w:w="0" w:type="auto"/>
            <w:vAlign w:val="center"/>
            <w:hideMark/>
          </w:tcPr>
          <w:p w14:paraId="35914E5A" w14:textId="77777777" w:rsidR="00010B79" w:rsidRPr="004C1B2F" w:rsidRDefault="00010B79" w:rsidP="00FE28A0">
            <w:pPr>
              <w:spacing w:after="0" w:line="240" w:lineRule="auto"/>
              <w:jc w:val="center"/>
              <w:textAlignment w:val="baseline"/>
              <w:rPr>
                <w:lang w:eastAsia="es-DO"/>
              </w:rPr>
            </w:pPr>
            <w:r w:rsidRPr="004C1B2F">
              <w:rPr>
                <w:lang w:val="es-DO" w:eastAsia="es-DO"/>
              </w:rPr>
              <w:t>1,040,143 </w:t>
            </w:r>
            <w:r w:rsidRPr="004C1B2F">
              <w:rPr>
                <w:lang w:eastAsia="es-DO"/>
              </w:rPr>
              <w:t>​</w:t>
            </w:r>
          </w:p>
        </w:tc>
        <w:tc>
          <w:tcPr>
            <w:tcW w:w="0" w:type="auto"/>
            <w:vAlign w:val="center"/>
            <w:hideMark/>
          </w:tcPr>
          <w:p w14:paraId="2277AD5C" w14:textId="77777777" w:rsidR="00010B79" w:rsidRPr="004C1B2F" w:rsidRDefault="00010B79" w:rsidP="00FE28A0">
            <w:pPr>
              <w:spacing w:after="0" w:line="240" w:lineRule="auto"/>
              <w:jc w:val="center"/>
              <w:textAlignment w:val="baseline"/>
              <w:rPr>
                <w:lang w:eastAsia="es-DO"/>
              </w:rPr>
            </w:pPr>
            <w:r w:rsidRPr="004C1B2F">
              <w:rPr>
                <w:lang w:val="es-DO" w:eastAsia="es-DO"/>
              </w:rPr>
              <w:t>4,322,927 </w:t>
            </w:r>
            <w:r w:rsidRPr="004C1B2F">
              <w:rPr>
                <w:lang w:eastAsia="es-DO"/>
              </w:rPr>
              <w:t>​</w:t>
            </w:r>
          </w:p>
        </w:tc>
        <w:tc>
          <w:tcPr>
            <w:tcW w:w="0" w:type="auto"/>
            <w:vAlign w:val="center"/>
            <w:hideMark/>
          </w:tcPr>
          <w:p w14:paraId="64427404" w14:textId="77777777" w:rsidR="00010B79" w:rsidRPr="004C1B2F" w:rsidRDefault="00010B79" w:rsidP="00FE28A0">
            <w:pPr>
              <w:spacing w:after="0" w:line="240" w:lineRule="auto"/>
              <w:jc w:val="center"/>
              <w:textAlignment w:val="baseline"/>
              <w:rPr>
                <w:lang w:eastAsia="es-DO"/>
              </w:rPr>
            </w:pPr>
            <w:r w:rsidRPr="004C1B2F">
              <w:rPr>
                <w:lang w:val="es-DO" w:eastAsia="es-DO"/>
              </w:rPr>
              <w:t>24.06%</w:t>
            </w:r>
            <w:r w:rsidRPr="004C1B2F">
              <w:rPr>
                <w:lang w:eastAsia="es-DO"/>
              </w:rPr>
              <w:t>​</w:t>
            </w:r>
          </w:p>
        </w:tc>
        <w:tc>
          <w:tcPr>
            <w:tcW w:w="0" w:type="auto"/>
            <w:vAlign w:val="center"/>
            <w:hideMark/>
          </w:tcPr>
          <w:p w14:paraId="6469B63C" w14:textId="77777777" w:rsidR="00010B79" w:rsidRPr="004C1B2F" w:rsidRDefault="00010B79" w:rsidP="00FE28A0">
            <w:pPr>
              <w:spacing w:after="0" w:line="240" w:lineRule="auto"/>
              <w:jc w:val="center"/>
              <w:textAlignment w:val="baseline"/>
              <w:rPr>
                <w:lang w:eastAsia="es-DO"/>
              </w:rPr>
            </w:pPr>
            <w:r w:rsidRPr="004C1B2F">
              <w:rPr>
                <w:lang w:val="es-DO" w:eastAsia="es-DO"/>
              </w:rPr>
              <w:t>366,808 </w:t>
            </w:r>
            <w:r w:rsidRPr="004C1B2F">
              <w:rPr>
                <w:lang w:eastAsia="es-DO"/>
              </w:rPr>
              <w:t>​</w:t>
            </w:r>
          </w:p>
        </w:tc>
        <w:tc>
          <w:tcPr>
            <w:tcW w:w="0" w:type="auto"/>
            <w:vAlign w:val="center"/>
            <w:hideMark/>
          </w:tcPr>
          <w:p w14:paraId="46811482" w14:textId="77777777" w:rsidR="00010B79" w:rsidRPr="004C1B2F" w:rsidRDefault="00010B79" w:rsidP="00FE28A0">
            <w:pPr>
              <w:spacing w:after="0" w:line="240" w:lineRule="auto"/>
              <w:jc w:val="center"/>
              <w:textAlignment w:val="baseline"/>
              <w:rPr>
                <w:lang w:eastAsia="es-DO"/>
              </w:rPr>
            </w:pPr>
            <w:r w:rsidRPr="004C1B2F">
              <w:rPr>
                <w:lang w:val="es-DO" w:eastAsia="es-DO"/>
              </w:rPr>
              <w:t>2,080,290 </w:t>
            </w:r>
            <w:r w:rsidRPr="004C1B2F">
              <w:rPr>
                <w:lang w:eastAsia="es-DO"/>
              </w:rPr>
              <w:t>​</w:t>
            </w:r>
          </w:p>
        </w:tc>
        <w:tc>
          <w:tcPr>
            <w:tcW w:w="0" w:type="auto"/>
            <w:vAlign w:val="center"/>
            <w:hideMark/>
          </w:tcPr>
          <w:p w14:paraId="60FC8A9A" w14:textId="77777777" w:rsidR="00010B79" w:rsidRPr="004C1B2F" w:rsidRDefault="00010B79" w:rsidP="00FE28A0">
            <w:pPr>
              <w:spacing w:after="0" w:line="240" w:lineRule="auto"/>
              <w:jc w:val="center"/>
              <w:textAlignment w:val="baseline"/>
              <w:rPr>
                <w:lang w:eastAsia="es-DO"/>
              </w:rPr>
            </w:pPr>
            <w:r w:rsidRPr="004C1B2F">
              <w:rPr>
                <w:lang w:val="es-DO" w:eastAsia="es-DO"/>
              </w:rPr>
              <w:t>17.63%</w:t>
            </w:r>
            <w:r w:rsidRPr="004C1B2F">
              <w:rPr>
                <w:lang w:eastAsia="es-DO"/>
              </w:rPr>
              <w:t>​</w:t>
            </w:r>
          </w:p>
        </w:tc>
        <w:tc>
          <w:tcPr>
            <w:tcW w:w="0" w:type="auto"/>
            <w:vAlign w:val="center"/>
            <w:hideMark/>
          </w:tcPr>
          <w:p w14:paraId="535E2BCF" w14:textId="77777777" w:rsidR="00010B79" w:rsidRPr="004C1B2F" w:rsidRDefault="00010B79" w:rsidP="00FE28A0">
            <w:pPr>
              <w:spacing w:after="0" w:line="240" w:lineRule="auto"/>
              <w:jc w:val="center"/>
              <w:textAlignment w:val="baseline"/>
              <w:rPr>
                <w:lang w:eastAsia="es-DO"/>
              </w:rPr>
            </w:pPr>
            <w:r w:rsidRPr="004C1B2F">
              <w:rPr>
                <w:lang w:val="es-DO" w:eastAsia="es-DO"/>
              </w:rPr>
              <w:t>673,335 </w:t>
            </w:r>
            <w:r w:rsidRPr="004C1B2F">
              <w:rPr>
                <w:lang w:eastAsia="es-DO"/>
              </w:rPr>
              <w:t>​</w:t>
            </w:r>
          </w:p>
        </w:tc>
        <w:tc>
          <w:tcPr>
            <w:tcW w:w="0" w:type="auto"/>
            <w:vAlign w:val="center"/>
            <w:hideMark/>
          </w:tcPr>
          <w:p w14:paraId="5EC37352" w14:textId="77777777" w:rsidR="00010B79" w:rsidRPr="004C1B2F" w:rsidRDefault="00010B79" w:rsidP="00FE28A0">
            <w:pPr>
              <w:spacing w:after="0" w:line="240" w:lineRule="auto"/>
              <w:jc w:val="center"/>
              <w:textAlignment w:val="baseline"/>
              <w:rPr>
                <w:lang w:eastAsia="es-DO"/>
              </w:rPr>
            </w:pPr>
            <w:r w:rsidRPr="004C1B2F">
              <w:rPr>
                <w:lang w:val="es-DO" w:eastAsia="es-DO"/>
              </w:rPr>
              <w:t>2,242,637 </w:t>
            </w:r>
            <w:r w:rsidRPr="004C1B2F">
              <w:rPr>
                <w:lang w:eastAsia="es-DO"/>
              </w:rPr>
              <w:t>​</w:t>
            </w:r>
          </w:p>
        </w:tc>
        <w:tc>
          <w:tcPr>
            <w:tcW w:w="0" w:type="auto"/>
            <w:vAlign w:val="center"/>
            <w:hideMark/>
          </w:tcPr>
          <w:p w14:paraId="0B2C09CD" w14:textId="77777777" w:rsidR="00010B79" w:rsidRPr="004C1B2F" w:rsidRDefault="00010B79" w:rsidP="00FE28A0">
            <w:pPr>
              <w:spacing w:after="0" w:line="240" w:lineRule="auto"/>
              <w:jc w:val="center"/>
              <w:textAlignment w:val="baseline"/>
              <w:rPr>
                <w:lang w:eastAsia="es-DO"/>
              </w:rPr>
            </w:pPr>
            <w:r w:rsidRPr="004C1B2F">
              <w:rPr>
                <w:lang w:val="es-DO" w:eastAsia="es-DO"/>
              </w:rPr>
              <w:t>30.02%</w:t>
            </w:r>
            <w:r w:rsidRPr="004C1B2F">
              <w:rPr>
                <w:lang w:eastAsia="es-DO"/>
              </w:rPr>
              <w:t>​</w:t>
            </w:r>
          </w:p>
        </w:tc>
      </w:tr>
      <w:tr w:rsidR="004921FF" w:rsidRPr="004C1B2F" w14:paraId="7B999E7A" w14:textId="77777777" w:rsidTr="0067066E">
        <w:trPr>
          <w:trHeight w:val="20"/>
          <w:jc w:val="center"/>
        </w:trPr>
        <w:tc>
          <w:tcPr>
            <w:tcW w:w="0" w:type="auto"/>
            <w:vAlign w:val="center"/>
            <w:hideMark/>
          </w:tcPr>
          <w:p w14:paraId="6D13B4CC" w14:textId="77777777" w:rsidR="00010B79" w:rsidRPr="004C1B2F" w:rsidRDefault="00010B79" w:rsidP="00FE28A0">
            <w:pPr>
              <w:spacing w:after="0" w:line="240" w:lineRule="auto"/>
              <w:jc w:val="center"/>
              <w:textAlignment w:val="baseline"/>
              <w:rPr>
                <w:lang w:eastAsia="es-DO"/>
              </w:rPr>
            </w:pPr>
            <w:r w:rsidRPr="004C1B2F">
              <w:rPr>
                <w:lang w:val="es-DO" w:eastAsia="es-DO"/>
              </w:rPr>
              <w:t>2021</w:t>
            </w:r>
            <w:r w:rsidRPr="004C1B2F">
              <w:rPr>
                <w:lang w:eastAsia="es-DO"/>
              </w:rPr>
              <w:t>​</w:t>
            </w:r>
          </w:p>
        </w:tc>
        <w:tc>
          <w:tcPr>
            <w:tcW w:w="0" w:type="auto"/>
            <w:vAlign w:val="center"/>
            <w:hideMark/>
          </w:tcPr>
          <w:p w14:paraId="280BED19" w14:textId="77777777" w:rsidR="00010B79" w:rsidRPr="004C1B2F" w:rsidRDefault="00010B79" w:rsidP="00FE28A0">
            <w:pPr>
              <w:spacing w:after="0" w:line="240" w:lineRule="auto"/>
              <w:jc w:val="center"/>
              <w:textAlignment w:val="baseline"/>
              <w:rPr>
                <w:lang w:eastAsia="es-DO"/>
              </w:rPr>
            </w:pPr>
            <w:r w:rsidRPr="004C1B2F">
              <w:rPr>
                <w:lang w:val="es-DO" w:eastAsia="es-DO"/>
              </w:rPr>
              <w:t>1,515,356 </w:t>
            </w:r>
            <w:r w:rsidRPr="004C1B2F">
              <w:rPr>
                <w:lang w:eastAsia="es-DO"/>
              </w:rPr>
              <w:t>​</w:t>
            </w:r>
          </w:p>
        </w:tc>
        <w:tc>
          <w:tcPr>
            <w:tcW w:w="0" w:type="auto"/>
            <w:vAlign w:val="center"/>
            <w:hideMark/>
          </w:tcPr>
          <w:p w14:paraId="6C939CA4" w14:textId="77777777" w:rsidR="00010B79" w:rsidRPr="004C1B2F" w:rsidRDefault="00010B79" w:rsidP="00FE28A0">
            <w:pPr>
              <w:spacing w:after="0" w:line="240" w:lineRule="auto"/>
              <w:jc w:val="center"/>
              <w:textAlignment w:val="baseline"/>
              <w:rPr>
                <w:lang w:eastAsia="es-DO"/>
              </w:rPr>
            </w:pPr>
            <w:r w:rsidRPr="004C1B2F">
              <w:rPr>
                <w:lang w:val="es-DO" w:eastAsia="es-DO"/>
              </w:rPr>
              <w:t>5,742,673 </w:t>
            </w:r>
            <w:r w:rsidRPr="004C1B2F">
              <w:rPr>
                <w:lang w:eastAsia="es-DO"/>
              </w:rPr>
              <w:t>​</w:t>
            </w:r>
          </w:p>
        </w:tc>
        <w:tc>
          <w:tcPr>
            <w:tcW w:w="0" w:type="auto"/>
            <w:vAlign w:val="center"/>
            <w:hideMark/>
          </w:tcPr>
          <w:p w14:paraId="75ED2122" w14:textId="77777777" w:rsidR="00010B79" w:rsidRPr="004C1B2F" w:rsidRDefault="00010B79" w:rsidP="00FE28A0">
            <w:pPr>
              <w:spacing w:after="0" w:line="240" w:lineRule="auto"/>
              <w:jc w:val="center"/>
              <w:textAlignment w:val="baseline"/>
              <w:rPr>
                <w:lang w:eastAsia="es-DO"/>
              </w:rPr>
            </w:pPr>
            <w:r w:rsidRPr="004C1B2F">
              <w:rPr>
                <w:lang w:val="es-DO" w:eastAsia="es-DO"/>
              </w:rPr>
              <w:t>26.39%</w:t>
            </w:r>
            <w:r w:rsidRPr="004C1B2F">
              <w:rPr>
                <w:lang w:eastAsia="es-DO"/>
              </w:rPr>
              <w:t>​</w:t>
            </w:r>
          </w:p>
        </w:tc>
        <w:tc>
          <w:tcPr>
            <w:tcW w:w="0" w:type="auto"/>
            <w:vAlign w:val="center"/>
            <w:hideMark/>
          </w:tcPr>
          <w:p w14:paraId="251D0260" w14:textId="77777777" w:rsidR="00010B79" w:rsidRPr="004C1B2F" w:rsidRDefault="00010B79" w:rsidP="00FE28A0">
            <w:pPr>
              <w:spacing w:after="0" w:line="240" w:lineRule="auto"/>
              <w:jc w:val="center"/>
              <w:textAlignment w:val="baseline"/>
              <w:rPr>
                <w:lang w:eastAsia="es-DO"/>
              </w:rPr>
            </w:pPr>
            <w:r w:rsidRPr="004C1B2F">
              <w:rPr>
                <w:lang w:val="es-DO" w:eastAsia="es-DO"/>
              </w:rPr>
              <w:t>559,339 </w:t>
            </w:r>
            <w:r w:rsidRPr="004C1B2F">
              <w:rPr>
                <w:lang w:eastAsia="es-DO"/>
              </w:rPr>
              <w:t>​</w:t>
            </w:r>
          </w:p>
        </w:tc>
        <w:tc>
          <w:tcPr>
            <w:tcW w:w="0" w:type="auto"/>
            <w:vAlign w:val="center"/>
            <w:hideMark/>
          </w:tcPr>
          <w:p w14:paraId="64F0DB70" w14:textId="77777777" w:rsidR="00010B79" w:rsidRPr="004C1B2F" w:rsidRDefault="00010B79" w:rsidP="00FE28A0">
            <w:pPr>
              <w:spacing w:after="0" w:line="240" w:lineRule="auto"/>
              <w:jc w:val="center"/>
              <w:textAlignment w:val="baseline"/>
              <w:rPr>
                <w:lang w:eastAsia="es-DO"/>
              </w:rPr>
            </w:pPr>
            <w:r w:rsidRPr="004C1B2F">
              <w:rPr>
                <w:lang w:val="es-DO" w:eastAsia="es-DO"/>
              </w:rPr>
              <w:t>2,849,180 </w:t>
            </w:r>
            <w:r w:rsidRPr="004C1B2F">
              <w:rPr>
                <w:lang w:eastAsia="es-DO"/>
              </w:rPr>
              <w:t>​</w:t>
            </w:r>
          </w:p>
        </w:tc>
        <w:tc>
          <w:tcPr>
            <w:tcW w:w="0" w:type="auto"/>
            <w:vAlign w:val="center"/>
            <w:hideMark/>
          </w:tcPr>
          <w:p w14:paraId="071F4B3B" w14:textId="77777777" w:rsidR="00010B79" w:rsidRPr="004C1B2F" w:rsidRDefault="00010B79" w:rsidP="00FE28A0">
            <w:pPr>
              <w:spacing w:after="0" w:line="240" w:lineRule="auto"/>
              <w:jc w:val="center"/>
              <w:textAlignment w:val="baseline"/>
              <w:rPr>
                <w:lang w:eastAsia="es-DO"/>
              </w:rPr>
            </w:pPr>
            <w:r w:rsidRPr="004C1B2F">
              <w:rPr>
                <w:lang w:val="es-DO" w:eastAsia="es-DO"/>
              </w:rPr>
              <w:t>19.63%</w:t>
            </w:r>
            <w:r w:rsidRPr="004C1B2F">
              <w:rPr>
                <w:lang w:eastAsia="es-DO"/>
              </w:rPr>
              <w:t>​</w:t>
            </w:r>
          </w:p>
        </w:tc>
        <w:tc>
          <w:tcPr>
            <w:tcW w:w="0" w:type="auto"/>
            <w:vAlign w:val="center"/>
            <w:hideMark/>
          </w:tcPr>
          <w:p w14:paraId="5695CD5B" w14:textId="77777777" w:rsidR="00010B79" w:rsidRPr="004C1B2F" w:rsidRDefault="00010B79" w:rsidP="00FE28A0">
            <w:pPr>
              <w:spacing w:after="0" w:line="240" w:lineRule="auto"/>
              <w:jc w:val="center"/>
              <w:textAlignment w:val="baseline"/>
              <w:rPr>
                <w:lang w:eastAsia="es-DO"/>
              </w:rPr>
            </w:pPr>
            <w:r w:rsidRPr="004C1B2F">
              <w:rPr>
                <w:lang w:val="es-DO" w:eastAsia="es-DO"/>
              </w:rPr>
              <w:t>956,017 </w:t>
            </w:r>
            <w:r w:rsidRPr="004C1B2F">
              <w:rPr>
                <w:lang w:eastAsia="es-DO"/>
              </w:rPr>
              <w:t>​</w:t>
            </w:r>
          </w:p>
        </w:tc>
        <w:tc>
          <w:tcPr>
            <w:tcW w:w="0" w:type="auto"/>
            <w:vAlign w:val="center"/>
            <w:hideMark/>
          </w:tcPr>
          <w:p w14:paraId="4BF3FB5E" w14:textId="77777777" w:rsidR="00010B79" w:rsidRPr="004C1B2F" w:rsidRDefault="00010B79" w:rsidP="00FE28A0">
            <w:pPr>
              <w:spacing w:after="0" w:line="240" w:lineRule="auto"/>
              <w:jc w:val="center"/>
              <w:textAlignment w:val="baseline"/>
              <w:rPr>
                <w:lang w:eastAsia="es-DO"/>
              </w:rPr>
            </w:pPr>
            <w:r w:rsidRPr="004C1B2F">
              <w:rPr>
                <w:lang w:val="es-DO" w:eastAsia="es-DO"/>
              </w:rPr>
              <w:t>2,893,493 </w:t>
            </w:r>
            <w:r w:rsidRPr="004C1B2F">
              <w:rPr>
                <w:lang w:eastAsia="es-DO"/>
              </w:rPr>
              <w:t>​</w:t>
            </w:r>
          </w:p>
        </w:tc>
        <w:tc>
          <w:tcPr>
            <w:tcW w:w="0" w:type="auto"/>
            <w:vAlign w:val="center"/>
            <w:hideMark/>
          </w:tcPr>
          <w:p w14:paraId="69FF20C9" w14:textId="77777777" w:rsidR="00010B79" w:rsidRPr="004C1B2F" w:rsidRDefault="00010B79" w:rsidP="00FE28A0">
            <w:pPr>
              <w:spacing w:after="0" w:line="240" w:lineRule="auto"/>
              <w:jc w:val="center"/>
              <w:textAlignment w:val="baseline"/>
              <w:rPr>
                <w:lang w:eastAsia="es-DO"/>
              </w:rPr>
            </w:pPr>
            <w:r w:rsidRPr="004C1B2F">
              <w:rPr>
                <w:lang w:val="es-DO" w:eastAsia="es-DO"/>
              </w:rPr>
              <w:t>33.04%</w:t>
            </w:r>
            <w:r w:rsidRPr="004C1B2F">
              <w:rPr>
                <w:lang w:eastAsia="es-DO"/>
              </w:rPr>
              <w:t>​</w:t>
            </w:r>
          </w:p>
        </w:tc>
      </w:tr>
      <w:tr w:rsidR="004921FF" w:rsidRPr="004C1B2F" w14:paraId="7335DE6A" w14:textId="77777777" w:rsidTr="0067066E">
        <w:trPr>
          <w:trHeight w:val="20"/>
          <w:jc w:val="center"/>
        </w:trPr>
        <w:tc>
          <w:tcPr>
            <w:tcW w:w="0" w:type="auto"/>
            <w:vAlign w:val="center"/>
            <w:hideMark/>
          </w:tcPr>
          <w:p w14:paraId="4F6197E5" w14:textId="77777777" w:rsidR="00010B79" w:rsidRPr="004C1B2F" w:rsidRDefault="00010B79" w:rsidP="00FE28A0">
            <w:pPr>
              <w:spacing w:after="0" w:line="240" w:lineRule="auto"/>
              <w:jc w:val="center"/>
              <w:textAlignment w:val="baseline"/>
              <w:rPr>
                <w:lang w:eastAsia="es-DO"/>
              </w:rPr>
            </w:pPr>
            <w:r w:rsidRPr="004C1B2F">
              <w:rPr>
                <w:lang w:val="es-DO" w:eastAsia="es-DO"/>
              </w:rPr>
              <w:t>2022</w:t>
            </w:r>
            <w:r w:rsidRPr="004C1B2F">
              <w:rPr>
                <w:lang w:eastAsia="es-DO"/>
              </w:rPr>
              <w:t>​</w:t>
            </w:r>
          </w:p>
        </w:tc>
        <w:tc>
          <w:tcPr>
            <w:tcW w:w="0" w:type="auto"/>
            <w:vAlign w:val="center"/>
            <w:hideMark/>
          </w:tcPr>
          <w:p w14:paraId="6E0D037B" w14:textId="77777777" w:rsidR="00010B79" w:rsidRPr="004C1B2F" w:rsidRDefault="00010B79" w:rsidP="00FE28A0">
            <w:pPr>
              <w:spacing w:after="0" w:line="240" w:lineRule="auto"/>
              <w:jc w:val="center"/>
              <w:textAlignment w:val="baseline"/>
              <w:rPr>
                <w:lang w:eastAsia="es-DO"/>
              </w:rPr>
            </w:pPr>
            <w:r w:rsidRPr="004C1B2F">
              <w:rPr>
                <w:lang w:val="es-DO" w:eastAsia="es-DO"/>
              </w:rPr>
              <w:t>1,680,004 </w:t>
            </w:r>
            <w:r w:rsidRPr="004C1B2F">
              <w:rPr>
                <w:lang w:eastAsia="es-DO"/>
              </w:rPr>
              <w:t>​</w:t>
            </w:r>
          </w:p>
        </w:tc>
        <w:tc>
          <w:tcPr>
            <w:tcW w:w="0" w:type="auto"/>
            <w:vAlign w:val="center"/>
            <w:hideMark/>
          </w:tcPr>
          <w:p w14:paraId="044B76FB" w14:textId="77777777" w:rsidR="00010B79" w:rsidRPr="004C1B2F" w:rsidRDefault="00010B79" w:rsidP="00FE28A0">
            <w:pPr>
              <w:spacing w:after="0" w:line="240" w:lineRule="auto"/>
              <w:jc w:val="center"/>
              <w:textAlignment w:val="baseline"/>
              <w:rPr>
                <w:lang w:eastAsia="es-DO"/>
              </w:rPr>
            </w:pPr>
            <w:r w:rsidRPr="004C1B2F">
              <w:rPr>
                <w:lang w:val="es-DO" w:eastAsia="es-DO"/>
              </w:rPr>
              <w:t>5,821,931 </w:t>
            </w:r>
            <w:r w:rsidRPr="004C1B2F">
              <w:rPr>
                <w:lang w:eastAsia="es-DO"/>
              </w:rPr>
              <w:t>​</w:t>
            </w:r>
          </w:p>
        </w:tc>
        <w:tc>
          <w:tcPr>
            <w:tcW w:w="0" w:type="auto"/>
            <w:vAlign w:val="center"/>
            <w:hideMark/>
          </w:tcPr>
          <w:p w14:paraId="5E2020DF" w14:textId="77777777" w:rsidR="00010B79" w:rsidRPr="004C1B2F" w:rsidRDefault="00010B79" w:rsidP="00FE28A0">
            <w:pPr>
              <w:spacing w:after="0" w:line="240" w:lineRule="auto"/>
              <w:jc w:val="center"/>
              <w:textAlignment w:val="baseline"/>
              <w:rPr>
                <w:lang w:eastAsia="es-DO"/>
              </w:rPr>
            </w:pPr>
            <w:r w:rsidRPr="004C1B2F">
              <w:rPr>
                <w:lang w:val="es-DO" w:eastAsia="es-DO"/>
              </w:rPr>
              <w:t>28.86%</w:t>
            </w:r>
            <w:r w:rsidRPr="004C1B2F">
              <w:rPr>
                <w:lang w:eastAsia="es-DO"/>
              </w:rPr>
              <w:t>​</w:t>
            </w:r>
          </w:p>
        </w:tc>
        <w:tc>
          <w:tcPr>
            <w:tcW w:w="0" w:type="auto"/>
            <w:vAlign w:val="center"/>
            <w:hideMark/>
          </w:tcPr>
          <w:p w14:paraId="1199F2DE" w14:textId="77777777" w:rsidR="00010B79" w:rsidRPr="004C1B2F" w:rsidRDefault="00010B79" w:rsidP="00FE28A0">
            <w:pPr>
              <w:spacing w:after="0" w:line="240" w:lineRule="auto"/>
              <w:jc w:val="center"/>
              <w:textAlignment w:val="baseline"/>
              <w:rPr>
                <w:lang w:eastAsia="es-DO"/>
              </w:rPr>
            </w:pPr>
            <w:r w:rsidRPr="004C1B2F">
              <w:rPr>
                <w:lang w:val="es-DO" w:eastAsia="es-DO"/>
              </w:rPr>
              <w:t>641,064 </w:t>
            </w:r>
            <w:r w:rsidRPr="004C1B2F">
              <w:rPr>
                <w:lang w:eastAsia="es-DO"/>
              </w:rPr>
              <w:t>​</w:t>
            </w:r>
          </w:p>
        </w:tc>
        <w:tc>
          <w:tcPr>
            <w:tcW w:w="0" w:type="auto"/>
            <w:vAlign w:val="center"/>
            <w:hideMark/>
          </w:tcPr>
          <w:p w14:paraId="5A06D8AF" w14:textId="77777777" w:rsidR="00010B79" w:rsidRPr="004C1B2F" w:rsidRDefault="00010B79" w:rsidP="00FE28A0">
            <w:pPr>
              <w:spacing w:after="0" w:line="240" w:lineRule="auto"/>
              <w:jc w:val="center"/>
              <w:textAlignment w:val="baseline"/>
              <w:rPr>
                <w:lang w:eastAsia="es-DO"/>
              </w:rPr>
            </w:pPr>
            <w:r w:rsidRPr="004C1B2F">
              <w:rPr>
                <w:lang w:val="es-DO" w:eastAsia="es-DO"/>
              </w:rPr>
              <w:t>2,900,309 </w:t>
            </w:r>
            <w:r w:rsidRPr="004C1B2F">
              <w:rPr>
                <w:lang w:eastAsia="es-DO"/>
              </w:rPr>
              <w:t>​</w:t>
            </w:r>
          </w:p>
        </w:tc>
        <w:tc>
          <w:tcPr>
            <w:tcW w:w="0" w:type="auto"/>
            <w:vAlign w:val="center"/>
            <w:hideMark/>
          </w:tcPr>
          <w:p w14:paraId="53B38797" w14:textId="77777777" w:rsidR="00010B79" w:rsidRPr="004C1B2F" w:rsidRDefault="00010B79" w:rsidP="00FE28A0">
            <w:pPr>
              <w:spacing w:after="0" w:line="240" w:lineRule="auto"/>
              <w:jc w:val="center"/>
              <w:textAlignment w:val="baseline"/>
              <w:rPr>
                <w:lang w:eastAsia="es-DO"/>
              </w:rPr>
            </w:pPr>
            <w:r w:rsidRPr="004C1B2F">
              <w:rPr>
                <w:lang w:val="es-DO" w:eastAsia="es-DO"/>
              </w:rPr>
              <w:t>22.10%</w:t>
            </w:r>
            <w:r w:rsidRPr="004C1B2F">
              <w:rPr>
                <w:lang w:eastAsia="es-DO"/>
              </w:rPr>
              <w:t>​</w:t>
            </w:r>
          </w:p>
        </w:tc>
        <w:tc>
          <w:tcPr>
            <w:tcW w:w="0" w:type="auto"/>
            <w:vAlign w:val="center"/>
            <w:hideMark/>
          </w:tcPr>
          <w:p w14:paraId="296599C7" w14:textId="77777777" w:rsidR="00010B79" w:rsidRPr="004C1B2F" w:rsidRDefault="00010B79" w:rsidP="00FE28A0">
            <w:pPr>
              <w:spacing w:after="0" w:line="240" w:lineRule="auto"/>
              <w:jc w:val="center"/>
              <w:textAlignment w:val="baseline"/>
              <w:rPr>
                <w:lang w:eastAsia="es-DO"/>
              </w:rPr>
            </w:pPr>
            <w:r w:rsidRPr="004C1B2F">
              <w:rPr>
                <w:lang w:val="es-DO" w:eastAsia="es-DO"/>
              </w:rPr>
              <w:t>1,038,940 </w:t>
            </w:r>
            <w:r w:rsidRPr="004C1B2F">
              <w:rPr>
                <w:lang w:eastAsia="es-DO"/>
              </w:rPr>
              <w:t>​</w:t>
            </w:r>
          </w:p>
        </w:tc>
        <w:tc>
          <w:tcPr>
            <w:tcW w:w="0" w:type="auto"/>
            <w:vAlign w:val="center"/>
            <w:hideMark/>
          </w:tcPr>
          <w:p w14:paraId="39C92CAD" w14:textId="77777777" w:rsidR="00010B79" w:rsidRPr="004C1B2F" w:rsidRDefault="00010B79" w:rsidP="00FE28A0">
            <w:pPr>
              <w:spacing w:after="0" w:line="240" w:lineRule="auto"/>
              <w:jc w:val="center"/>
              <w:textAlignment w:val="baseline"/>
              <w:rPr>
                <w:lang w:eastAsia="es-DO"/>
              </w:rPr>
            </w:pPr>
            <w:r w:rsidRPr="004C1B2F">
              <w:rPr>
                <w:lang w:val="es-DO" w:eastAsia="es-DO"/>
              </w:rPr>
              <w:t>2,921,622 </w:t>
            </w:r>
            <w:r w:rsidRPr="004C1B2F">
              <w:rPr>
                <w:lang w:eastAsia="es-DO"/>
              </w:rPr>
              <w:t>​</w:t>
            </w:r>
          </w:p>
        </w:tc>
        <w:tc>
          <w:tcPr>
            <w:tcW w:w="0" w:type="auto"/>
            <w:vAlign w:val="center"/>
            <w:hideMark/>
          </w:tcPr>
          <w:p w14:paraId="75C3CA54" w14:textId="77777777" w:rsidR="00010B79" w:rsidRPr="004C1B2F" w:rsidRDefault="00010B79" w:rsidP="00FE28A0">
            <w:pPr>
              <w:spacing w:after="0" w:line="240" w:lineRule="auto"/>
              <w:jc w:val="center"/>
              <w:textAlignment w:val="baseline"/>
              <w:rPr>
                <w:lang w:eastAsia="es-DO"/>
              </w:rPr>
            </w:pPr>
            <w:r w:rsidRPr="004C1B2F">
              <w:rPr>
                <w:lang w:val="es-DO" w:eastAsia="es-DO"/>
              </w:rPr>
              <w:t>35.56%</w:t>
            </w:r>
            <w:r w:rsidRPr="004C1B2F">
              <w:rPr>
                <w:lang w:eastAsia="es-DO"/>
              </w:rPr>
              <w:t>​</w:t>
            </w:r>
          </w:p>
        </w:tc>
      </w:tr>
      <w:tr w:rsidR="004921FF" w:rsidRPr="004C1B2F" w14:paraId="38FC6481" w14:textId="77777777" w:rsidTr="0067066E">
        <w:trPr>
          <w:trHeight w:val="20"/>
          <w:jc w:val="center"/>
        </w:trPr>
        <w:tc>
          <w:tcPr>
            <w:tcW w:w="0" w:type="auto"/>
            <w:tcBorders>
              <w:bottom w:val="single" w:sz="4" w:space="0" w:color="808080" w:themeColor="background1" w:themeShade="80"/>
            </w:tcBorders>
            <w:vAlign w:val="center"/>
            <w:hideMark/>
          </w:tcPr>
          <w:p w14:paraId="74A289E8" w14:textId="77777777" w:rsidR="00010B79" w:rsidRPr="004C1B2F" w:rsidRDefault="00010B79" w:rsidP="004C1B2F">
            <w:pPr>
              <w:spacing w:after="0" w:line="240" w:lineRule="auto"/>
              <w:jc w:val="center"/>
              <w:textAlignment w:val="baseline"/>
              <w:rPr>
                <w:lang w:eastAsia="es-DO"/>
              </w:rPr>
            </w:pPr>
            <w:r w:rsidRPr="004C1B2F">
              <w:rPr>
                <w:lang w:val="es-DO" w:eastAsia="es-DO"/>
              </w:rPr>
              <w:t>2023</w:t>
            </w:r>
            <w:r w:rsidRPr="004C1B2F">
              <w:rPr>
                <w:lang w:eastAsia="es-DO"/>
              </w:rPr>
              <w:t>​</w:t>
            </w:r>
          </w:p>
        </w:tc>
        <w:tc>
          <w:tcPr>
            <w:tcW w:w="0" w:type="auto"/>
            <w:tcBorders>
              <w:bottom w:val="single" w:sz="4" w:space="0" w:color="808080" w:themeColor="background1" w:themeShade="80"/>
            </w:tcBorders>
            <w:vAlign w:val="center"/>
            <w:hideMark/>
          </w:tcPr>
          <w:p w14:paraId="1A917DCC" w14:textId="77777777" w:rsidR="00010B79" w:rsidRPr="004C1B2F" w:rsidRDefault="00010B79" w:rsidP="004C1B2F">
            <w:pPr>
              <w:spacing w:after="0" w:line="240" w:lineRule="auto"/>
              <w:jc w:val="center"/>
              <w:textAlignment w:val="baseline"/>
              <w:rPr>
                <w:lang w:eastAsia="es-DO"/>
              </w:rPr>
            </w:pPr>
            <w:r w:rsidRPr="004C1B2F">
              <w:rPr>
                <w:lang w:val="es-DO" w:eastAsia="es-DO"/>
              </w:rPr>
              <w:t>1,734,907 </w:t>
            </w:r>
            <w:r w:rsidRPr="004C1B2F">
              <w:rPr>
                <w:lang w:eastAsia="es-DO"/>
              </w:rPr>
              <w:t>​</w:t>
            </w:r>
          </w:p>
        </w:tc>
        <w:tc>
          <w:tcPr>
            <w:tcW w:w="0" w:type="auto"/>
            <w:tcBorders>
              <w:bottom w:val="single" w:sz="4" w:space="0" w:color="808080" w:themeColor="background1" w:themeShade="80"/>
            </w:tcBorders>
            <w:vAlign w:val="center"/>
            <w:hideMark/>
          </w:tcPr>
          <w:p w14:paraId="5A93BFF8" w14:textId="77777777" w:rsidR="00010B79" w:rsidRPr="004C1B2F" w:rsidRDefault="00010B79" w:rsidP="004C1B2F">
            <w:pPr>
              <w:spacing w:after="0" w:line="240" w:lineRule="auto"/>
              <w:jc w:val="center"/>
              <w:textAlignment w:val="baseline"/>
              <w:rPr>
                <w:lang w:eastAsia="es-DO"/>
              </w:rPr>
            </w:pPr>
            <w:r w:rsidRPr="004C1B2F">
              <w:rPr>
                <w:lang w:val="es-DO" w:eastAsia="es-DO"/>
              </w:rPr>
              <w:t>5,774,407 </w:t>
            </w:r>
            <w:r w:rsidRPr="004C1B2F">
              <w:rPr>
                <w:lang w:eastAsia="es-DO"/>
              </w:rPr>
              <w:t>​</w:t>
            </w:r>
          </w:p>
        </w:tc>
        <w:tc>
          <w:tcPr>
            <w:tcW w:w="0" w:type="auto"/>
            <w:tcBorders>
              <w:bottom w:val="single" w:sz="4" w:space="0" w:color="808080" w:themeColor="background1" w:themeShade="80"/>
            </w:tcBorders>
            <w:vAlign w:val="center"/>
            <w:hideMark/>
          </w:tcPr>
          <w:p w14:paraId="71386428" w14:textId="77777777" w:rsidR="00010B79" w:rsidRPr="004C1B2F" w:rsidRDefault="00010B79" w:rsidP="004C1B2F">
            <w:pPr>
              <w:spacing w:after="0" w:line="240" w:lineRule="auto"/>
              <w:jc w:val="center"/>
              <w:textAlignment w:val="baseline"/>
              <w:rPr>
                <w:lang w:eastAsia="es-DO"/>
              </w:rPr>
            </w:pPr>
            <w:r w:rsidRPr="004C1B2F">
              <w:rPr>
                <w:lang w:val="es-DO" w:eastAsia="es-DO"/>
              </w:rPr>
              <w:t>30.04%</w:t>
            </w:r>
            <w:r w:rsidRPr="004C1B2F">
              <w:rPr>
                <w:lang w:eastAsia="es-DO"/>
              </w:rPr>
              <w:t>​</w:t>
            </w:r>
          </w:p>
        </w:tc>
        <w:tc>
          <w:tcPr>
            <w:tcW w:w="0" w:type="auto"/>
            <w:tcBorders>
              <w:bottom w:val="single" w:sz="4" w:space="0" w:color="808080" w:themeColor="background1" w:themeShade="80"/>
            </w:tcBorders>
            <w:vAlign w:val="center"/>
            <w:hideMark/>
          </w:tcPr>
          <w:p w14:paraId="1B675549" w14:textId="77777777" w:rsidR="00010B79" w:rsidRPr="004C1B2F" w:rsidRDefault="00010B79" w:rsidP="004C1B2F">
            <w:pPr>
              <w:spacing w:after="0" w:line="240" w:lineRule="auto"/>
              <w:jc w:val="center"/>
              <w:textAlignment w:val="baseline"/>
              <w:rPr>
                <w:lang w:eastAsia="es-DO"/>
              </w:rPr>
            </w:pPr>
            <w:r w:rsidRPr="004C1B2F">
              <w:rPr>
                <w:lang w:val="es-DO" w:eastAsia="es-DO"/>
              </w:rPr>
              <w:t>674,542 </w:t>
            </w:r>
            <w:r w:rsidRPr="004C1B2F">
              <w:rPr>
                <w:lang w:eastAsia="es-DO"/>
              </w:rPr>
              <w:t>​</w:t>
            </w:r>
          </w:p>
        </w:tc>
        <w:tc>
          <w:tcPr>
            <w:tcW w:w="0" w:type="auto"/>
            <w:tcBorders>
              <w:bottom w:val="single" w:sz="4" w:space="0" w:color="808080" w:themeColor="background1" w:themeShade="80"/>
            </w:tcBorders>
            <w:vAlign w:val="center"/>
            <w:hideMark/>
          </w:tcPr>
          <w:p w14:paraId="663F83A5" w14:textId="77777777" w:rsidR="00010B79" w:rsidRPr="004C1B2F" w:rsidRDefault="00010B79" w:rsidP="004C1B2F">
            <w:pPr>
              <w:spacing w:after="0" w:line="240" w:lineRule="auto"/>
              <w:jc w:val="center"/>
              <w:textAlignment w:val="baseline"/>
              <w:rPr>
                <w:lang w:eastAsia="es-DO"/>
              </w:rPr>
            </w:pPr>
            <w:r w:rsidRPr="004C1B2F">
              <w:rPr>
                <w:lang w:val="es-DO" w:eastAsia="es-DO"/>
              </w:rPr>
              <w:t>2,874,302 </w:t>
            </w:r>
            <w:r w:rsidRPr="004C1B2F">
              <w:rPr>
                <w:lang w:eastAsia="es-DO"/>
              </w:rPr>
              <w:t>​</w:t>
            </w:r>
          </w:p>
        </w:tc>
        <w:tc>
          <w:tcPr>
            <w:tcW w:w="0" w:type="auto"/>
            <w:tcBorders>
              <w:bottom w:val="single" w:sz="4" w:space="0" w:color="808080" w:themeColor="background1" w:themeShade="80"/>
            </w:tcBorders>
            <w:vAlign w:val="center"/>
            <w:hideMark/>
          </w:tcPr>
          <w:p w14:paraId="2DAA3EA3" w14:textId="77777777" w:rsidR="00010B79" w:rsidRPr="004C1B2F" w:rsidRDefault="00010B79" w:rsidP="004C1B2F">
            <w:pPr>
              <w:spacing w:after="0" w:line="240" w:lineRule="auto"/>
              <w:jc w:val="center"/>
              <w:textAlignment w:val="baseline"/>
              <w:rPr>
                <w:lang w:eastAsia="es-DO"/>
              </w:rPr>
            </w:pPr>
            <w:r w:rsidRPr="004C1B2F">
              <w:rPr>
                <w:lang w:val="es-DO" w:eastAsia="es-DO"/>
              </w:rPr>
              <w:t>23.47%</w:t>
            </w:r>
            <w:r w:rsidRPr="004C1B2F">
              <w:rPr>
                <w:lang w:eastAsia="es-DO"/>
              </w:rPr>
              <w:t>​</w:t>
            </w:r>
          </w:p>
        </w:tc>
        <w:tc>
          <w:tcPr>
            <w:tcW w:w="0" w:type="auto"/>
            <w:tcBorders>
              <w:bottom w:val="single" w:sz="4" w:space="0" w:color="808080" w:themeColor="background1" w:themeShade="80"/>
            </w:tcBorders>
            <w:vAlign w:val="center"/>
            <w:hideMark/>
          </w:tcPr>
          <w:p w14:paraId="7731CA0E" w14:textId="77777777" w:rsidR="00010B79" w:rsidRPr="004C1B2F" w:rsidRDefault="00010B79" w:rsidP="004C1B2F">
            <w:pPr>
              <w:spacing w:after="0" w:line="240" w:lineRule="auto"/>
              <w:jc w:val="center"/>
              <w:textAlignment w:val="baseline"/>
              <w:rPr>
                <w:lang w:eastAsia="es-DO"/>
              </w:rPr>
            </w:pPr>
            <w:r w:rsidRPr="004C1B2F">
              <w:rPr>
                <w:lang w:val="es-DO" w:eastAsia="es-DO"/>
              </w:rPr>
              <w:t>1,060,365 </w:t>
            </w:r>
            <w:r w:rsidRPr="004C1B2F">
              <w:rPr>
                <w:lang w:eastAsia="es-DO"/>
              </w:rPr>
              <w:t>​</w:t>
            </w:r>
          </w:p>
        </w:tc>
        <w:tc>
          <w:tcPr>
            <w:tcW w:w="0" w:type="auto"/>
            <w:tcBorders>
              <w:bottom w:val="single" w:sz="4" w:space="0" w:color="808080" w:themeColor="background1" w:themeShade="80"/>
            </w:tcBorders>
            <w:vAlign w:val="center"/>
            <w:hideMark/>
          </w:tcPr>
          <w:p w14:paraId="4C2168EE" w14:textId="77777777" w:rsidR="00010B79" w:rsidRPr="004C1B2F" w:rsidRDefault="00010B79" w:rsidP="004C1B2F">
            <w:pPr>
              <w:spacing w:after="0" w:line="240" w:lineRule="auto"/>
              <w:jc w:val="center"/>
              <w:textAlignment w:val="baseline"/>
              <w:rPr>
                <w:lang w:eastAsia="es-DO"/>
              </w:rPr>
            </w:pPr>
            <w:r w:rsidRPr="004C1B2F">
              <w:rPr>
                <w:lang w:val="es-DO" w:eastAsia="es-DO"/>
              </w:rPr>
              <w:t>2,900,106 </w:t>
            </w:r>
            <w:r w:rsidRPr="004C1B2F">
              <w:rPr>
                <w:lang w:eastAsia="es-DO"/>
              </w:rPr>
              <w:t>​</w:t>
            </w:r>
          </w:p>
        </w:tc>
        <w:tc>
          <w:tcPr>
            <w:tcW w:w="0" w:type="auto"/>
            <w:tcBorders>
              <w:bottom w:val="single" w:sz="4" w:space="0" w:color="808080" w:themeColor="background1" w:themeShade="80"/>
            </w:tcBorders>
            <w:vAlign w:val="center"/>
            <w:hideMark/>
          </w:tcPr>
          <w:p w14:paraId="38C35764" w14:textId="77777777" w:rsidR="00010B79" w:rsidRPr="004C1B2F" w:rsidRDefault="00010B79" w:rsidP="004C1B2F">
            <w:pPr>
              <w:spacing w:after="0" w:line="240" w:lineRule="auto"/>
              <w:jc w:val="center"/>
              <w:textAlignment w:val="baseline"/>
              <w:rPr>
                <w:lang w:eastAsia="es-DO"/>
              </w:rPr>
            </w:pPr>
            <w:r w:rsidRPr="004C1B2F">
              <w:rPr>
                <w:lang w:val="es-DO" w:eastAsia="es-DO"/>
              </w:rPr>
              <w:t>36.56%</w:t>
            </w:r>
            <w:r w:rsidRPr="004C1B2F">
              <w:rPr>
                <w:lang w:eastAsia="es-DO"/>
              </w:rPr>
              <w:t>​</w:t>
            </w:r>
          </w:p>
        </w:tc>
      </w:tr>
      <w:tr w:rsidR="004921FF" w:rsidRPr="004C1B2F" w14:paraId="7FFB6DDE"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5A88626" w14:textId="77777777" w:rsidR="00010B79" w:rsidRPr="004C1B2F" w:rsidRDefault="00010B79" w:rsidP="004C1B2F">
            <w:pPr>
              <w:spacing w:after="0" w:line="240" w:lineRule="auto"/>
              <w:jc w:val="center"/>
              <w:textAlignment w:val="baseline"/>
              <w:rPr>
                <w:lang w:eastAsia="es-DO"/>
              </w:rPr>
            </w:pPr>
            <w:r w:rsidRPr="004C1B2F">
              <w:rPr>
                <w:lang w:val="es-DO" w:eastAsia="es-DO"/>
              </w:rPr>
              <w:t>2024</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D2F3F1C" w14:textId="77777777" w:rsidR="00010B79" w:rsidRPr="004C1B2F" w:rsidRDefault="00010B79" w:rsidP="004C1B2F">
            <w:pPr>
              <w:spacing w:after="0" w:line="240" w:lineRule="auto"/>
              <w:jc w:val="center"/>
              <w:textAlignment w:val="baseline"/>
              <w:rPr>
                <w:lang w:eastAsia="es-DO"/>
              </w:rPr>
            </w:pPr>
            <w:r w:rsidRPr="004C1B2F">
              <w:rPr>
                <w:lang w:val="es-DO" w:eastAsia="es-DO"/>
              </w:rPr>
              <w:t>1,624,549 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95172C" w14:textId="77777777" w:rsidR="00010B79" w:rsidRPr="004C1B2F" w:rsidRDefault="00010B79" w:rsidP="004C1B2F">
            <w:pPr>
              <w:spacing w:after="0" w:line="240" w:lineRule="auto"/>
              <w:jc w:val="center"/>
              <w:textAlignment w:val="baseline"/>
              <w:rPr>
                <w:lang w:eastAsia="es-DO"/>
              </w:rPr>
            </w:pPr>
            <w:r w:rsidRPr="004C1B2F">
              <w:rPr>
                <w:lang w:val="es-DO" w:eastAsia="es-DO"/>
              </w:rPr>
              <w:t>5,762,430 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AA6D285" w14:textId="77777777" w:rsidR="00010B79" w:rsidRPr="004C1B2F" w:rsidRDefault="00010B79" w:rsidP="004C1B2F">
            <w:pPr>
              <w:spacing w:after="0" w:line="240" w:lineRule="auto"/>
              <w:jc w:val="center"/>
              <w:textAlignment w:val="baseline"/>
              <w:rPr>
                <w:lang w:eastAsia="es-DO"/>
              </w:rPr>
            </w:pPr>
            <w:r w:rsidRPr="004C1B2F">
              <w:rPr>
                <w:lang w:val="es-DO" w:eastAsia="es-DO"/>
              </w:rPr>
              <w:t>28.19%</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CE70280" w14:textId="77777777" w:rsidR="00010B79" w:rsidRPr="004C1B2F" w:rsidRDefault="00010B79" w:rsidP="004C1B2F">
            <w:pPr>
              <w:spacing w:after="0" w:line="240" w:lineRule="auto"/>
              <w:jc w:val="center"/>
              <w:textAlignment w:val="baseline"/>
              <w:rPr>
                <w:lang w:eastAsia="es-DO"/>
              </w:rPr>
            </w:pPr>
            <w:r w:rsidRPr="004C1B2F">
              <w:rPr>
                <w:lang w:val="es-DO" w:eastAsia="es-DO"/>
              </w:rPr>
              <w:t>618,468 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57953C" w14:textId="77777777" w:rsidR="00010B79" w:rsidRPr="004C1B2F" w:rsidRDefault="00010B79" w:rsidP="004C1B2F">
            <w:pPr>
              <w:spacing w:after="0" w:line="240" w:lineRule="auto"/>
              <w:jc w:val="center"/>
              <w:textAlignment w:val="baseline"/>
              <w:rPr>
                <w:lang w:eastAsia="es-DO"/>
              </w:rPr>
            </w:pPr>
            <w:r w:rsidRPr="004C1B2F">
              <w:rPr>
                <w:lang w:val="es-DO" w:eastAsia="es-DO"/>
              </w:rPr>
              <w:t>2,863,766 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C04E321" w14:textId="77777777" w:rsidR="00010B79" w:rsidRPr="004C1B2F" w:rsidRDefault="00010B79" w:rsidP="004C1B2F">
            <w:pPr>
              <w:spacing w:after="0" w:line="240" w:lineRule="auto"/>
              <w:jc w:val="center"/>
              <w:textAlignment w:val="baseline"/>
              <w:rPr>
                <w:lang w:eastAsia="es-DO"/>
              </w:rPr>
            </w:pPr>
            <w:r w:rsidRPr="004C1B2F">
              <w:rPr>
                <w:lang w:val="es-DO" w:eastAsia="es-DO"/>
              </w:rPr>
              <w:t>21.60%</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8A5C01" w14:textId="77777777" w:rsidR="00010B79" w:rsidRPr="004C1B2F" w:rsidRDefault="00010B79" w:rsidP="004C1B2F">
            <w:pPr>
              <w:spacing w:after="0" w:line="240" w:lineRule="auto"/>
              <w:jc w:val="center"/>
              <w:textAlignment w:val="baseline"/>
              <w:rPr>
                <w:lang w:eastAsia="es-DO"/>
              </w:rPr>
            </w:pPr>
            <w:r w:rsidRPr="004C1B2F">
              <w:rPr>
                <w:lang w:val="es-DO" w:eastAsia="es-DO"/>
              </w:rPr>
              <w:t>1,006,081 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F8653C" w14:textId="77777777" w:rsidR="00010B79" w:rsidRPr="004C1B2F" w:rsidRDefault="00010B79" w:rsidP="004C1B2F">
            <w:pPr>
              <w:spacing w:after="0" w:line="240" w:lineRule="auto"/>
              <w:jc w:val="center"/>
              <w:textAlignment w:val="baseline"/>
              <w:rPr>
                <w:lang w:eastAsia="es-DO"/>
              </w:rPr>
            </w:pPr>
            <w:r w:rsidRPr="004C1B2F">
              <w:rPr>
                <w:lang w:val="es-DO" w:eastAsia="es-DO"/>
              </w:rPr>
              <w:t>2,898,664 </w:t>
            </w:r>
            <w:r w:rsidRPr="004C1B2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4508496" w14:textId="77777777" w:rsidR="00010B79" w:rsidRPr="004C1B2F" w:rsidRDefault="00010B79" w:rsidP="004C1B2F">
            <w:pPr>
              <w:spacing w:after="0" w:line="240" w:lineRule="auto"/>
              <w:jc w:val="center"/>
              <w:textAlignment w:val="baseline"/>
              <w:rPr>
                <w:lang w:eastAsia="es-DO"/>
              </w:rPr>
            </w:pPr>
            <w:r w:rsidRPr="004C1B2F">
              <w:rPr>
                <w:lang w:val="es-DO" w:eastAsia="es-DO"/>
              </w:rPr>
              <w:t>34.71%</w:t>
            </w:r>
            <w:r w:rsidRPr="004C1B2F">
              <w:rPr>
                <w:lang w:eastAsia="es-DO"/>
              </w:rPr>
              <w:t>​</w:t>
            </w:r>
          </w:p>
        </w:tc>
      </w:tr>
      <w:tr w:rsidR="004921FF" w:rsidRPr="004C1B2F" w14:paraId="46BF53E9" w14:textId="77777777" w:rsidTr="0067066E">
        <w:trPr>
          <w:trHeight w:val="20"/>
          <w:jc w:val="center"/>
        </w:trPr>
        <w:tc>
          <w:tcPr>
            <w:tcW w:w="0" w:type="auto"/>
            <w:gridSpan w:val="10"/>
            <w:tcBorders>
              <w:top w:val="single" w:sz="4" w:space="0" w:color="808080" w:themeColor="background1" w:themeShade="80"/>
              <w:left w:val="nil"/>
              <w:bottom w:val="nil"/>
              <w:right w:val="nil"/>
            </w:tcBorders>
            <w:hideMark/>
          </w:tcPr>
          <w:p w14:paraId="6BB2D5C2" w14:textId="77777777" w:rsidR="00010B79" w:rsidRPr="004C1B2F" w:rsidRDefault="00010B79" w:rsidP="004C1B2F">
            <w:pPr>
              <w:spacing w:after="0" w:line="240" w:lineRule="auto"/>
              <w:textAlignment w:val="baseline"/>
              <w:rPr>
                <w:lang w:val="es-DO" w:eastAsia="es-DO"/>
              </w:rPr>
            </w:pPr>
          </w:p>
        </w:tc>
      </w:tr>
    </w:tbl>
    <w:p w14:paraId="6395B5AD" w14:textId="4B6777BA" w:rsidR="00010B79" w:rsidRPr="00AC2DB2" w:rsidRDefault="00010B79" w:rsidP="00FE28A0">
      <w:pPr>
        <w:tabs>
          <w:tab w:val="left" w:pos="1965"/>
        </w:tabs>
        <w:spacing w:before="1" w:after="0" w:line="240" w:lineRule="auto"/>
        <w:ind w:right="1077"/>
        <w:rPr>
          <w:sz w:val="18"/>
          <w:szCs w:val="18"/>
          <w:lang w:val="es-DO"/>
        </w:rPr>
      </w:pPr>
      <w:r w:rsidRPr="00AC2DB2">
        <w:rPr>
          <w:position w:val="1"/>
          <w:sz w:val="18"/>
          <w:szCs w:val="18"/>
          <w:lang w:val="es-DO" w:eastAsia="es-DO"/>
        </w:rPr>
        <w:t>Fuente: Servicios reportados otorgados por las ARS Según el Esquema 35 y dispersión promedio por año.</w:t>
      </w:r>
    </w:p>
    <w:p w14:paraId="27C02B91" w14:textId="6B966EFB" w:rsidR="007725E1" w:rsidRPr="005C133F" w:rsidRDefault="007725E1" w:rsidP="00FE28A0">
      <w:pPr>
        <w:tabs>
          <w:tab w:val="left" w:pos="1080"/>
        </w:tabs>
        <w:spacing w:after="0" w:line="240" w:lineRule="auto"/>
        <w:ind w:right="1077"/>
        <w:rPr>
          <w:b/>
          <w:bCs/>
          <w:lang w:val="es-DO" w:eastAsia="es-DO"/>
        </w:rPr>
      </w:pPr>
    </w:p>
    <w:p w14:paraId="23A8CE22" w14:textId="7A24A858" w:rsidR="00AC1558" w:rsidRPr="005C133F" w:rsidRDefault="00AC1558" w:rsidP="0067066E">
      <w:pPr>
        <w:pStyle w:val="Descripcin"/>
        <w:keepNext/>
        <w:spacing w:after="0"/>
        <w:jc w:val="center"/>
        <w:rPr>
          <w:b/>
          <w:bCs/>
          <w:i w:val="0"/>
          <w:iCs w:val="0"/>
          <w:color w:val="767171"/>
          <w:sz w:val="24"/>
          <w:szCs w:val="24"/>
          <w:lang w:val="es-DO"/>
        </w:rPr>
      </w:pPr>
      <w:bookmarkStart w:id="91" w:name="_Toc218784166"/>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34</w:t>
      </w:r>
      <w:r w:rsidRPr="005C133F">
        <w:rPr>
          <w:b/>
          <w:bCs/>
          <w:i w:val="0"/>
          <w:iCs w:val="0"/>
          <w:color w:val="767171"/>
          <w:sz w:val="24"/>
          <w:szCs w:val="24"/>
          <w:lang w:val="es-DO"/>
        </w:rPr>
        <w:fldChar w:fldCharType="end"/>
      </w:r>
      <w:r w:rsidRPr="005C133F">
        <w:rPr>
          <w:b/>
          <w:bCs/>
          <w:i w:val="0"/>
          <w:iCs w:val="0"/>
          <w:color w:val="767171"/>
          <w:sz w:val="24"/>
          <w:szCs w:val="24"/>
          <w:lang w:val="es-DO"/>
        </w:rPr>
        <w:t>. Seguro Familiar de Salud/Régimen Contributivo/Ciclo Financiero, serie 2018-2024</w:t>
      </w:r>
      <w:bookmarkEnd w:id="91"/>
    </w:p>
    <w:tbl>
      <w:tblPr>
        <w:tblW w:w="0" w:type="auto"/>
        <w:jc w:val="center"/>
        <w:tblCellMar>
          <w:top w:w="15" w:type="dxa"/>
          <w:left w:w="15" w:type="dxa"/>
          <w:bottom w:w="15" w:type="dxa"/>
          <w:right w:w="15" w:type="dxa"/>
        </w:tblCellMar>
        <w:tblLook w:val="04A0" w:firstRow="1" w:lastRow="0" w:firstColumn="1" w:lastColumn="0" w:noHBand="0" w:noVBand="1"/>
      </w:tblPr>
      <w:tblGrid>
        <w:gridCol w:w="1710"/>
        <w:gridCol w:w="2170"/>
        <w:gridCol w:w="3131"/>
        <w:gridCol w:w="2817"/>
        <w:gridCol w:w="2130"/>
      </w:tblGrid>
      <w:tr w:rsidR="00246DA5" w:rsidRPr="005C133F" w14:paraId="1D28A967" w14:textId="77777777" w:rsidTr="0067066E">
        <w:trPr>
          <w:trHeight w:val="20"/>
          <w:jc w:val="center"/>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5661A8BE"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Año</w:t>
            </w:r>
            <w:r w:rsidRPr="005C133F">
              <w:rPr>
                <w:color w:val="FFFFFF" w:themeColor="background1"/>
                <w:lang w:eastAsia="es-DO"/>
              </w:rPr>
              <w:t>​</w:t>
            </w:r>
          </w:p>
        </w:tc>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7B9360A1"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Individualización</w:t>
            </w:r>
            <w:r w:rsidRPr="005C133F">
              <w:rPr>
                <w:color w:val="FFFFFF" w:themeColor="background1"/>
                <w:lang w:eastAsia="es-DO"/>
              </w:rPr>
              <w:t>​</w:t>
            </w:r>
          </w:p>
        </w:tc>
        <w:tc>
          <w:tcPr>
            <w:tcW w:w="0" w:type="auto"/>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bottom"/>
            <w:hideMark/>
          </w:tcPr>
          <w:p w14:paraId="5FEEF7FF"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Dispersión</w:t>
            </w:r>
            <w:r w:rsidRPr="005C133F">
              <w:rPr>
                <w:color w:val="FFFFFF" w:themeColor="background1"/>
                <w:lang w:eastAsia="es-DO"/>
              </w:rPr>
              <w:t>​</w:t>
            </w:r>
          </w:p>
        </w:tc>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6DACE70C"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Saldo Anual</w:t>
            </w:r>
            <w:r w:rsidRPr="005C133F">
              <w:rPr>
                <w:color w:val="FFFFFF" w:themeColor="background1"/>
                <w:lang w:eastAsia="es-DO"/>
              </w:rPr>
              <w:t>​</w:t>
            </w:r>
          </w:p>
        </w:tc>
      </w:tr>
      <w:tr w:rsidR="00246DA5" w:rsidRPr="005C133F" w14:paraId="6A3C9DED" w14:textId="77777777" w:rsidTr="0067066E">
        <w:trPr>
          <w:trHeight w:val="20"/>
          <w:jc w:val="center"/>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3BF79994" w14:textId="77777777" w:rsidR="006C5837" w:rsidRPr="005C133F" w:rsidRDefault="006C5837" w:rsidP="00FE28A0">
            <w:pPr>
              <w:spacing w:after="0" w:line="240" w:lineRule="auto"/>
              <w:rPr>
                <w:color w:val="FFFFFF" w:themeColor="background1"/>
                <w:lang w:eastAsia="es-DO"/>
              </w:rPr>
            </w:pPr>
          </w:p>
        </w:tc>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24CB8F58" w14:textId="77777777" w:rsidR="006C5837" w:rsidRPr="005C133F" w:rsidRDefault="006C5837" w:rsidP="00FE28A0">
            <w:pPr>
              <w:spacing w:after="0" w:line="240" w:lineRule="auto"/>
              <w:rPr>
                <w:color w:val="FFFFFF" w:themeColor="background1"/>
                <w:lang w:eastAsia="es-DO"/>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3046EEDF"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Seguro Familiar de Salud</w:t>
            </w:r>
            <w:r w:rsidRPr="005C133F">
              <w:rPr>
                <w:color w:val="FFFFFF" w:themeColor="background1"/>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bottom"/>
            <w:hideMark/>
          </w:tcPr>
          <w:p w14:paraId="2C46BAED" w14:textId="77777777" w:rsidR="006C5837" w:rsidRPr="005C133F" w:rsidRDefault="006C5837" w:rsidP="00FE28A0">
            <w:pPr>
              <w:spacing w:before="100" w:beforeAutospacing="1" w:after="0" w:line="240" w:lineRule="auto"/>
              <w:jc w:val="center"/>
              <w:textAlignment w:val="baseline"/>
              <w:rPr>
                <w:color w:val="FFFFFF" w:themeColor="background1"/>
                <w:lang w:eastAsia="es-DO"/>
              </w:rPr>
            </w:pPr>
            <w:r w:rsidRPr="005C133F">
              <w:rPr>
                <w:b/>
                <w:bCs/>
                <w:color w:val="FFFFFF" w:themeColor="background1"/>
                <w:position w:val="1"/>
                <w:lang w:val="es-DO" w:eastAsia="es-DO"/>
              </w:rPr>
              <w:t>Accidentes de Tránsito</w:t>
            </w:r>
            <w:r w:rsidRPr="005C133F">
              <w:rPr>
                <w:color w:val="FFFFFF" w:themeColor="background1"/>
                <w:lang w:eastAsia="es-DO"/>
              </w:rPr>
              <w:t>​</w:t>
            </w:r>
          </w:p>
        </w:tc>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307DEEBD" w14:textId="77777777" w:rsidR="006C5837" w:rsidRPr="005C133F" w:rsidRDefault="006C5837" w:rsidP="00FE28A0">
            <w:pPr>
              <w:spacing w:after="0" w:line="240" w:lineRule="auto"/>
              <w:rPr>
                <w:color w:val="FFFFFF" w:themeColor="background1"/>
                <w:lang w:eastAsia="es-DO"/>
              </w:rPr>
            </w:pPr>
          </w:p>
        </w:tc>
      </w:tr>
      <w:tr w:rsidR="004921FF" w:rsidRPr="005C133F" w14:paraId="569E6715"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32838210"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-2018</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A21680A"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50,937,650,737.54</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EA14BBB"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50,417,780,117.54</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3CE327C4"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908,160,134.43</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1795428"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-388,289,514.43</w:t>
            </w:r>
            <w:r w:rsidRPr="005C133F">
              <w:rPr>
                <w:lang w:eastAsia="es-DO"/>
              </w:rPr>
              <w:t>​</w:t>
            </w:r>
          </w:p>
        </w:tc>
      </w:tr>
      <w:tr w:rsidR="004921FF" w:rsidRPr="005C133F" w14:paraId="4F16197F"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5E587D8"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-2019</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1991C92"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55,735,958,605.81</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09E9E23C"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54,788,599,419.14</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C98DF6D"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1,084,864,086.48</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3FC04B50"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-137,504,899.81</w:t>
            </w:r>
            <w:r w:rsidRPr="005C133F">
              <w:rPr>
                <w:lang w:eastAsia="es-DO"/>
              </w:rPr>
              <w:t>​</w:t>
            </w:r>
          </w:p>
        </w:tc>
      </w:tr>
      <w:tr w:rsidR="004921FF" w:rsidRPr="005C133F" w14:paraId="5FADE337"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DDD0A62"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-2020</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43E424FF"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54,674,499,580.35</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26C2AD9"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60,228,884,019.15</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AB48300"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979,519,969.94</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A126B5E"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-6,533,904,408.74</w:t>
            </w:r>
            <w:r w:rsidRPr="005C133F">
              <w:rPr>
                <w:lang w:eastAsia="es-DO"/>
              </w:rPr>
              <w:t>​</w:t>
            </w:r>
          </w:p>
        </w:tc>
      </w:tr>
      <w:tr w:rsidR="004921FF" w:rsidRPr="005C133F" w14:paraId="0DDD2C50"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CF2AEAA"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-2021</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52388FF"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63,553,537,662.27</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F4B8549"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62,353,722,032.39</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3F453C07"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1,054,658,376.69</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5E1CB1C8"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145,157,253.19</w:t>
            </w:r>
            <w:r w:rsidRPr="005C133F">
              <w:rPr>
                <w:lang w:eastAsia="es-DO"/>
              </w:rPr>
              <w:t>​</w:t>
            </w:r>
          </w:p>
        </w:tc>
      </w:tr>
      <w:tr w:rsidR="004921FF" w:rsidRPr="005C133F" w14:paraId="77DF65E0"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8F9A6B1"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-2022</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C7CC5E5"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76,255,103,725.00</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9C0A3C0"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75,746,537,294.67</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E56FA7A"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1,134,562,489.47</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9D412BC"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-625,996,059.14</w:t>
            </w:r>
            <w:r w:rsidRPr="005C133F">
              <w:rPr>
                <w:lang w:eastAsia="es-DO"/>
              </w:rPr>
              <w:t>​</w:t>
            </w:r>
          </w:p>
        </w:tc>
      </w:tr>
      <w:tr w:rsidR="004921FF" w:rsidRPr="005C133F" w14:paraId="2F7DFA4B"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50542953"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-2023</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47C2452C"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86,841,080,102.98</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02E471AB"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87,660,132,886.46</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0E967F1"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1,478,325,220.27</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5455295"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-2,297,378,003.75</w:t>
            </w:r>
            <w:r w:rsidRPr="005C133F">
              <w:rPr>
                <w:lang w:eastAsia="es-DO"/>
              </w:rPr>
              <w:t>​</w:t>
            </w:r>
          </w:p>
        </w:tc>
      </w:tr>
      <w:tr w:rsidR="004921FF" w:rsidRPr="005C133F" w14:paraId="03F50442" w14:textId="77777777" w:rsidTr="0067066E">
        <w:trPr>
          <w:trHeight w:val="20"/>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0EF7D2C3" w14:textId="77777777" w:rsidR="006C5837" w:rsidRPr="005C133F" w:rsidRDefault="006C5837" w:rsidP="00FE28A0">
            <w:pPr>
              <w:spacing w:before="100" w:beforeAutospacing="1" w:after="0" w:line="240" w:lineRule="auto"/>
              <w:jc w:val="center"/>
              <w:textAlignment w:val="baseline"/>
              <w:rPr>
                <w:lang w:eastAsia="es-DO"/>
              </w:rPr>
            </w:pPr>
            <w:r w:rsidRPr="005C133F">
              <w:rPr>
                <w:position w:val="-1"/>
                <w:lang w:val="es-DO" w:eastAsia="es-DO"/>
              </w:rPr>
              <w:t>Ene-Dic -2024</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545D2934"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96,529,286,517.12</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50289BC"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95,914,285,636.40</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D6A9C9C"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1,834,176,253.52</w:t>
            </w:r>
            <w:r w:rsidRPr="005C133F">
              <w:rPr>
                <w:lang w:eastAsia="es-DO"/>
              </w:rPr>
              <w:t>​</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E06BFB3" w14:textId="77777777" w:rsidR="006C5837" w:rsidRPr="005C133F" w:rsidRDefault="006C5837" w:rsidP="00FE28A0">
            <w:pPr>
              <w:spacing w:before="100" w:beforeAutospacing="1" w:after="0" w:line="240" w:lineRule="auto"/>
              <w:jc w:val="right"/>
              <w:textAlignment w:val="baseline"/>
              <w:rPr>
                <w:lang w:eastAsia="es-DO"/>
              </w:rPr>
            </w:pPr>
            <w:r w:rsidRPr="005C133F">
              <w:rPr>
                <w:position w:val="-1"/>
                <w:lang w:val="es-DO" w:eastAsia="es-DO"/>
              </w:rPr>
              <w:t>-1,219,175,372.80</w:t>
            </w:r>
            <w:r w:rsidRPr="005C133F">
              <w:rPr>
                <w:lang w:eastAsia="es-DO"/>
              </w:rPr>
              <w:t>​</w:t>
            </w:r>
          </w:p>
        </w:tc>
      </w:tr>
      <w:tr w:rsidR="004921FF" w:rsidRPr="00CD02F5" w14:paraId="45F4CB20" w14:textId="77777777" w:rsidTr="0067066E">
        <w:trPr>
          <w:trHeight w:val="160"/>
          <w:jc w:val="center"/>
        </w:trPr>
        <w:tc>
          <w:tcPr>
            <w:tcW w:w="0" w:type="auto"/>
            <w:gridSpan w:val="5"/>
            <w:tcBorders>
              <w:top w:val="single" w:sz="4" w:space="0" w:color="808080" w:themeColor="background1" w:themeShade="80"/>
            </w:tcBorders>
            <w:vAlign w:val="bottom"/>
            <w:hideMark/>
          </w:tcPr>
          <w:p w14:paraId="69B0FD5D" w14:textId="77777777" w:rsidR="006C5837" w:rsidRPr="00AC2DB2" w:rsidRDefault="006C5837" w:rsidP="00FE28A0">
            <w:pPr>
              <w:pStyle w:val="Sinespaciado"/>
              <w:rPr>
                <w:color w:val="767171"/>
                <w:sz w:val="18"/>
                <w:szCs w:val="18"/>
                <w:lang w:val="es-DO" w:eastAsia="es-DO"/>
              </w:rPr>
            </w:pPr>
            <w:r w:rsidRPr="00AC2DB2">
              <w:rPr>
                <w:color w:val="767171"/>
                <w:sz w:val="18"/>
                <w:szCs w:val="18"/>
                <w:lang w:val="es-DO" w:eastAsia="es-DO"/>
              </w:rPr>
              <w:t>Fuente: A partir de las Bases de Datos de Individualización y Dispersión.​</w:t>
            </w:r>
          </w:p>
        </w:tc>
      </w:tr>
    </w:tbl>
    <w:p w14:paraId="706CFA8F" w14:textId="0F3BD891" w:rsidR="006C5837" w:rsidRPr="005C133F" w:rsidRDefault="006C5837" w:rsidP="005C133F">
      <w:pPr>
        <w:tabs>
          <w:tab w:val="left" w:pos="1965"/>
        </w:tabs>
        <w:spacing w:after="0" w:line="360" w:lineRule="auto"/>
        <w:rPr>
          <w:lang w:val="es-DO"/>
        </w:rPr>
        <w:sectPr w:rsidR="006C5837" w:rsidRPr="005C133F" w:rsidSect="004C1B2F">
          <w:pgSz w:w="20160" w:h="12240" w:orient="landscape" w:code="5"/>
          <w:pgMar w:top="1418" w:right="1361" w:bottom="1418" w:left="1542" w:header="0" w:footer="1361" w:gutter="0"/>
          <w:cols w:space="720"/>
          <w:docGrid w:linePitch="326"/>
        </w:sectPr>
      </w:pPr>
    </w:p>
    <w:p w14:paraId="173D3535" w14:textId="05BDEA80" w:rsidR="00815358" w:rsidRPr="005C133F" w:rsidRDefault="0005094D">
      <w:pPr>
        <w:pStyle w:val="Prrafodelista"/>
        <w:numPr>
          <w:ilvl w:val="0"/>
          <w:numId w:val="64"/>
        </w:numPr>
        <w:spacing w:after="0" w:line="360" w:lineRule="auto"/>
        <w:jc w:val="both"/>
        <w:rPr>
          <w:lang w:val="es-DO"/>
        </w:rPr>
      </w:pPr>
      <w:r w:rsidRPr="005C133F">
        <w:rPr>
          <w:lang w:val="es-DO"/>
        </w:rPr>
        <w:lastRenderedPageBreak/>
        <w:t>Se elaboró</w:t>
      </w:r>
      <w:r w:rsidR="00815358" w:rsidRPr="005C133F">
        <w:rPr>
          <w:lang w:val="es-DO"/>
        </w:rPr>
        <w:t xml:space="preserve"> una (1) infografía sobre el Análisis de Tendencias del gasto en Salud Régimen Contributivo en el Año 2024</w:t>
      </w:r>
      <w:r w:rsidR="009C5FDA" w:rsidRPr="005C133F">
        <w:rPr>
          <w:lang w:val="es-DO"/>
        </w:rPr>
        <w:t>, con las sig</w:t>
      </w:r>
      <w:r w:rsidR="003968BF" w:rsidRPr="005C133F">
        <w:rPr>
          <w:lang w:val="es-DO"/>
        </w:rPr>
        <w:t xml:space="preserve">uientes informaciones: </w:t>
      </w:r>
    </w:p>
    <w:p w14:paraId="222EFBD6"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5,476 personas diagnosticadas con cáncer de mama (histórico) han recibido servicios correspondientes al tratamiento de su condición, reportándose un gasto total por parte de la ARS de RD$1,750,703,834.19.</w:t>
      </w:r>
    </w:p>
    <w:p w14:paraId="7F800273"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en el Régimen Contributivo, se realizaron 51 trasplantes y 5,423 diálisis. El gasto total correspondiente a trasplante asciende a RD$268,796,358.12.</w:t>
      </w:r>
    </w:p>
    <w:p w14:paraId="6CEB0171"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se reportaron, en el Régimen Contributivo, un total de 40,167 partos, de las cuales, 5,308 corresponden a partos normales, y 34,859 a partos por cesárea.</w:t>
      </w:r>
    </w:p>
    <w:p w14:paraId="0EA33C12"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el gasto en el Régimen Contributivo correspondiente a cirugía cardiovascular ascendía a RD$1,931,156,669.48 identificándose consumo de coberturas en 18,689 ciudadanos únicos, y 85,684 servicios.</w:t>
      </w:r>
    </w:p>
    <w:p w14:paraId="2744474C"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se observan 9,418 ciudadanos en el Régimen Contributivo que han sido diagnosticados o han recibido servicios correspondientes al dengue, con un gasto total de $199,325,521.91.</w:t>
      </w:r>
    </w:p>
    <w:p w14:paraId="016FF067" w14:textId="77777777" w:rsidR="00815358" w:rsidRPr="005C133F" w:rsidRDefault="00815358">
      <w:pPr>
        <w:pStyle w:val="Prrafodelista"/>
        <w:numPr>
          <w:ilvl w:val="0"/>
          <w:numId w:val="67"/>
        </w:numPr>
        <w:spacing w:after="0" w:line="360" w:lineRule="auto"/>
        <w:jc w:val="both"/>
        <w:rPr>
          <w:lang w:val="es-DO"/>
        </w:rPr>
      </w:pPr>
      <w:r w:rsidRPr="005C133F">
        <w:rPr>
          <w:lang w:val="es-DO"/>
        </w:rPr>
        <w:t>En el año 2024, el gasto realizado correspondiente a material de osteosíntesis asciende a RD$565,959,037.67, con la atención a 6,094 ciudadanos distintos</w:t>
      </w:r>
    </w:p>
    <w:p w14:paraId="3E663EF7" w14:textId="77777777" w:rsidR="00815358" w:rsidRPr="005C133F" w:rsidRDefault="00815358">
      <w:pPr>
        <w:pStyle w:val="Prrafodelista"/>
        <w:numPr>
          <w:ilvl w:val="0"/>
          <w:numId w:val="67"/>
        </w:numPr>
        <w:spacing w:after="0" w:line="360" w:lineRule="auto"/>
        <w:jc w:val="both"/>
        <w:rPr>
          <w:lang w:val="es-DO"/>
        </w:rPr>
      </w:pPr>
      <w:r w:rsidRPr="005C133F">
        <w:rPr>
          <w:lang w:val="es-DO"/>
        </w:rPr>
        <w:t xml:space="preserve">En el año 2024, el gasto en el Régimen Contributivo en subgrupos de alto costo correspondiente a medicamentos fue de RD$3,689,148,038.71 identificándose consumo de </w:t>
      </w:r>
      <w:r w:rsidRPr="005C133F">
        <w:rPr>
          <w:lang w:val="es-DO"/>
        </w:rPr>
        <w:lastRenderedPageBreak/>
        <w:t>coberturas en 13,453 ciudadanos únicos, y 177,188 servicios.</w:t>
      </w:r>
    </w:p>
    <w:p w14:paraId="738A4F43" w14:textId="77777777" w:rsidR="00815358" w:rsidRPr="005C133F" w:rsidRDefault="00815358">
      <w:pPr>
        <w:pStyle w:val="Prrafodelista"/>
        <w:numPr>
          <w:ilvl w:val="0"/>
          <w:numId w:val="67"/>
        </w:numPr>
        <w:spacing w:after="0" w:line="360" w:lineRule="auto"/>
        <w:jc w:val="both"/>
        <w:rPr>
          <w:lang w:val="es-DO"/>
        </w:rPr>
      </w:pPr>
      <w:r w:rsidRPr="005C133F">
        <w:rPr>
          <w:lang w:val="es-DO"/>
        </w:rPr>
        <w:t xml:space="preserve">En el año 2024, se identificaron, acorde a los diagnósticos mencionados, esta cantidad de ciudadanos únicos: Hipertensión 160,398; Diabetes e Hipertensión 20,103 y Diabetes 26,887.  En el caso del gasto, se tiene un monto total de RD$6,538,384,433.32 para los hipertensos, RD$1,808,163,962.16 para los diabéticos e hipertensos, y RD$1,443,820,661.74 para los diabéticos. </w:t>
      </w:r>
    </w:p>
    <w:p w14:paraId="2A932678" w14:textId="77777777" w:rsidR="001534E8" w:rsidRPr="005C133F" w:rsidRDefault="001534E8" w:rsidP="005C133F">
      <w:pPr>
        <w:pStyle w:val="Prrafodelista"/>
        <w:spacing w:after="0" w:line="360" w:lineRule="auto"/>
        <w:ind w:left="1080"/>
        <w:jc w:val="both"/>
        <w:rPr>
          <w:lang w:val="es-DO"/>
        </w:rPr>
      </w:pPr>
    </w:p>
    <w:p w14:paraId="76B4C254" w14:textId="77777777" w:rsidR="003B3B14" w:rsidRPr="005C133F" w:rsidRDefault="003B3B14">
      <w:pPr>
        <w:pStyle w:val="Prrafodelista"/>
        <w:numPr>
          <w:ilvl w:val="0"/>
          <w:numId w:val="64"/>
        </w:numPr>
        <w:spacing w:after="0" w:line="360" w:lineRule="auto"/>
        <w:jc w:val="both"/>
        <w:rPr>
          <w:lang w:val="es-DO"/>
        </w:rPr>
      </w:pPr>
      <w:r w:rsidRPr="005C133F">
        <w:rPr>
          <w:lang w:val="es-DO"/>
        </w:rPr>
        <w:t xml:space="preserve">Se actualizó </w:t>
      </w:r>
      <w:r w:rsidR="00815358" w:rsidRPr="005C133F">
        <w:rPr>
          <w:lang w:val="es-DO"/>
        </w:rPr>
        <w:t xml:space="preserve">un (1) cuadro sobre la estimación per cápita de los Planes Especiales de Pensionados y Jubilados. </w:t>
      </w:r>
    </w:p>
    <w:p w14:paraId="66EC970A" w14:textId="6B247839" w:rsidR="00815358" w:rsidRPr="005C133F" w:rsidRDefault="003B3B14">
      <w:pPr>
        <w:pStyle w:val="Prrafodelista"/>
        <w:numPr>
          <w:ilvl w:val="0"/>
          <w:numId w:val="64"/>
        </w:numPr>
        <w:spacing w:after="0" w:line="360" w:lineRule="auto"/>
        <w:jc w:val="both"/>
        <w:rPr>
          <w:lang w:val="es-DO"/>
        </w:rPr>
      </w:pPr>
      <w:r w:rsidRPr="005C133F">
        <w:rPr>
          <w:lang w:val="es-DO"/>
        </w:rPr>
        <w:t>Se realizó</w:t>
      </w:r>
      <w:r w:rsidR="00815358" w:rsidRPr="005C133F">
        <w:rPr>
          <w:lang w:val="es-DO"/>
        </w:rPr>
        <w:t xml:space="preserve"> un (1) estudio actuarial sobre sobre los gastos en el Plan Básico entre los afiliados que poseen y no Planes Complementarios de Salud. En el siguiente cuadro se identifica, por administradora, señales de posible traslado de gastos de planes complementarios al PBS mediante la comparación de promedios:</w:t>
      </w:r>
    </w:p>
    <w:p w14:paraId="4637FFFF" w14:textId="77777777" w:rsidR="00246DA5" w:rsidRPr="005C133F" w:rsidRDefault="00246DA5" w:rsidP="005C133F">
      <w:pPr>
        <w:pStyle w:val="Prrafodelista"/>
        <w:spacing w:after="0" w:line="360" w:lineRule="auto"/>
        <w:ind w:left="360"/>
        <w:jc w:val="both"/>
        <w:rPr>
          <w:lang w:val="es-DO"/>
        </w:rPr>
      </w:pPr>
    </w:p>
    <w:p w14:paraId="64F3E279" w14:textId="23207D90" w:rsidR="007716EE" w:rsidRPr="005C133F" w:rsidRDefault="007716EE" w:rsidP="0067066E">
      <w:pPr>
        <w:pStyle w:val="Descripcin"/>
        <w:keepNext/>
        <w:spacing w:after="0"/>
        <w:jc w:val="center"/>
        <w:rPr>
          <w:b/>
          <w:bCs/>
          <w:i w:val="0"/>
          <w:iCs w:val="0"/>
          <w:color w:val="767171"/>
          <w:sz w:val="24"/>
          <w:szCs w:val="24"/>
          <w:lang w:val="es-DO"/>
        </w:rPr>
      </w:pPr>
      <w:bookmarkStart w:id="92" w:name="_Toc218784167"/>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35</w:t>
      </w:r>
      <w:r w:rsidRPr="005C133F">
        <w:rPr>
          <w:b/>
          <w:bCs/>
          <w:i w:val="0"/>
          <w:iCs w:val="0"/>
          <w:color w:val="767171"/>
          <w:sz w:val="24"/>
          <w:szCs w:val="24"/>
          <w:lang w:val="es-DO"/>
        </w:rPr>
        <w:fldChar w:fldCharType="end"/>
      </w:r>
      <w:r w:rsidRPr="005C133F">
        <w:rPr>
          <w:b/>
          <w:bCs/>
          <w:i w:val="0"/>
          <w:iCs w:val="0"/>
          <w:color w:val="767171"/>
          <w:sz w:val="24"/>
          <w:szCs w:val="24"/>
          <w:lang w:val="es-DO"/>
        </w:rPr>
        <w:t>. Comparación de Promedios pagados en PBS por ARS entre afiliados con Planes Complementarios y sin Planes Complementarios</w:t>
      </w:r>
      <w:bookmarkEnd w:id="92"/>
    </w:p>
    <w:tbl>
      <w:tblPr>
        <w:tblW w:w="8840" w:type="dxa"/>
        <w:jc w:val="center"/>
        <w:tblCellMar>
          <w:left w:w="70" w:type="dxa"/>
          <w:right w:w="70" w:type="dxa"/>
        </w:tblCellMar>
        <w:tblLook w:val="04A0" w:firstRow="1" w:lastRow="0" w:firstColumn="1" w:lastColumn="0" w:noHBand="0" w:noVBand="1"/>
      </w:tblPr>
      <w:tblGrid>
        <w:gridCol w:w="1060"/>
        <w:gridCol w:w="2580"/>
        <w:gridCol w:w="1760"/>
        <w:gridCol w:w="2040"/>
        <w:gridCol w:w="1407"/>
      </w:tblGrid>
      <w:tr w:rsidR="00246DA5" w:rsidRPr="005C133F" w14:paraId="1FC07052" w14:textId="77777777" w:rsidTr="0067066E">
        <w:trPr>
          <w:trHeight w:val="605"/>
          <w:tblHeader/>
          <w:jc w:val="center"/>
        </w:trPr>
        <w:tc>
          <w:tcPr>
            <w:tcW w:w="1060" w:type="dxa"/>
            <w:tcBorders>
              <w:top w:val="single" w:sz="4" w:space="0" w:color="767171"/>
              <w:left w:val="single" w:sz="4" w:space="0" w:color="767171"/>
              <w:bottom w:val="single" w:sz="4" w:space="0" w:color="767171"/>
              <w:right w:val="single" w:sz="4" w:space="0" w:color="767171"/>
            </w:tcBorders>
            <w:shd w:val="clear" w:color="auto" w:fill="011C50"/>
            <w:vAlign w:val="bottom"/>
            <w:hideMark/>
          </w:tcPr>
          <w:p w14:paraId="1D6B3A8B" w14:textId="77777777" w:rsidR="00815358" w:rsidRPr="005C133F" w:rsidRDefault="00815358" w:rsidP="00C900E7">
            <w:pPr>
              <w:spacing w:after="0" w:line="240" w:lineRule="auto"/>
              <w:jc w:val="center"/>
              <w:rPr>
                <w:b/>
                <w:bCs/>
                <w:color w:val="FFFFFF" w:themeColor="background1"/>
                <w:lang w:val="es-DO" w:eastAsia="es-DO"/>
              </w:rPr>
            </w:pPr>
            <w:r w:rsidRPr="005C133F">
              <w:rPr>
                <w:b/>
                <w:bCs/>
                <w:color w:val="FFFFFF" w:themeColor="background1"/>
                <w:lang w:val="es-DO" w:eastAsia="es-DO"/>
              </w:rPr>
              <w:t>ARS No.</w:t>
            </w:r>
          </w:p>
        </w:tc>
        <w:tc>
          <w:tcPr>
            <w:tcW w:w="2580" w:type="dxa"/>
            <w:tcBorders>
              <w:top w:val="single" w:sz="4" w:space="0" w:color="767171"/>
              <w:left w:val="nil"/>
              <w:bottom w:val="single" w:sz="4" w:space="0" w:color="767171"/>
              <w:right w:val="single" w:sz="4" w:space="0" w:color="767171"/>
            </w:tcBorders>
            <w:shd w:val="clear" w:color="auto" w:fill="011C50"/>
            <w:vAlign w:val="bottom"/>
            <w:hideMark/>
          </w:tcPr>
          <w:p w14:paraId="35B1AD28" w14:textId="77777777" w:rsidR="00815358" w:rsidRPr="005C133F" w:rsidRDefault="00815358" w:rsidP="00C900E7">
            <w:pPr>
              <w:spacing w:after="0" w:line="240" w:lineRule="auto"/>
              <w:jc w:val="center"/>
              <w:rPr>
                <w:b/>
                <w:bCs/>
                <w:color w:val="FFFFFF" w:themeColor="background1"/>
                <w:lang w:val="es-DO" w:eastAsia="es-DO"/>
              </w:rPr>
            </w:pPr>
            <w:r w:rsidRPr="005C133F">
              <w:rPr>
                <w:b/>
                <w:bCs/>
                <w:color w:val="FFFFFF" w:themeColor="background1"/>
                <w:lang w:val="es-DO" w:eastAsia="es-DO"/>
              </w:rPr>
              <w:t>Nombre de ARS</w:t>
            </w:r>
          </w:p>
        </w:tc>
        <w:tc>
          <w:tcPr>
            <w:tcW w:w="1760" w:type="dxa"/>
            <w:tcBorders>
              <w:top w:val="single" w:sz="4" w:space="0" w:color="767171"/>
              <w:left w:val="nil"/>
              <w:bottom w:val="single" w:sz="4" w:space="0" w:color="767171"/>
              <w:right w:val="single" w:sz="4" w:space="0" w:color="767171"/>
            </w:tcBorders>
            <w:shd w:val="clear" w:color="auto" w:fill="011C50"/>
            <w:vAlign w:val="bottom"/>
            <w:hideMark/>
          </w:tcPr>
          <w:p w14:paraId="7C4C9605" w14:textId="77777777" w:rsidR="00815358" w:rsidRPr="005C133F" w:rsidRDefault="00815358" w:rsidP="00C900E7">
            <w:pPr>
              <w:spacing w:after="0" w:line="240" w:lineRule="auto"/>
              <w:jc w:val="center"/>
              <w:rPr>
                <w:b/>
                <w:bCs/>
                <w:color w:val="FFFFFF" w:themeColor="background1"/>
                <w:lang w:val="es-DO" w:eastAsia="es-DO"/>
              </w:rPr>
            </w:pPr>
            <w:r w:rsidRPr="005C133F">
              <w:rPr>
                <w:b/>
                <w:bCs/>
                <w:color w:val="FFFFFF" w:themeColor="background1"/>
                <w:lang w:val="es-DO" w:eastAsia="es-DO"/>
              </w:rPr>
              <w:t>Promedio pagado ARS PBS no PC</w:t>
            </w:r>
          </w:p>
        </w:tc>
        <w:tc>
          <w:tcPr>
            <w:tcW w:w="2040" w:type="dxa"/>
            <w:tcBorders>
              <w:top w:val="single" w:sz="4" w:space="0" w:color="767171"/>
              <w:left w:val="nil"/>
              <w:bottom w:val="single" w:sz="4" w:space="0" w:color="767171"/>
              <w:right w:val="single" w:sz="4" w:space="0" w:color="767171"/>
            </w:tcBorders>
            <w:shd w:val="clear" w:color="auto" w:fill="011C50"/>
            <w:vAlign w:val="bottom"/>
            <w:hideMark/>
          </w:tcPr>
          <w:p w14:paraId="21242A64" w14:textId="77777777" w:rsidR="00815358" w:rsidRPr="005C133F" w:rsidRDefault="00815358" w:rsidP="00C900E7">
            <w:pPr>
              <w:spacing w:after="0" w:line="240" w:lineRule="auto"/>
              <w:jc w:val="center"/>
              <w:rPr>
                <w:b/>
                <w:bCs/>
                <w:color w:val="FFFFFF" w:themeColor="background1"/>
                <w:lang w:val="es-DO" w:eastAsia="es-DO"/>
              </w:rPr>
            </w:pPr>
            <w:r w:rsidRPr="005C133F">
              <w:rPr>
                <w:b/>
                <w:bCs/>
                <w:color w:val="FFFFFF" w:themeColor="background1"/>
                <w:lang w:val="es-DO" w:eastAsia="es-DO"/>
              </w:rPr>
              <w:t>Promedio pagado ARS PBS PC</w:t>
            </w:r>
          </w:p>
        </w:tc>
        <w:tc>
          <w:tcPr>
            <w:tcW w:w="1400" w:type="dxa"/>
            <w:tcBorders>
              <w:top w:val="single" w:sz="4" w:space="0" w:color="767171"/>
              <w:left w:val="nil"/>
              <w:bottom w:val="single" w:sz="4" w:space="0" w:color="767171"/>
              <w:right w:val="single" w:sz="4" w:space="0" w:color="767171"/>
            </w:tcBorders>
            <w:shd w:val="clear" w:color="auto" w:fill="011C50"/>
            <w:vAlign w:val="bottom"/>
            <w:hideMark/>
          </w:tcPr>
          <w:p w14:paraId="037AF973" w14:textId="5BB7D2F1" w:rsidR="00815358" w:rsidRPr="005C133F" w:rsidRDefault="00815358" w:rsidP="00C900E7">
            <w:pPr>
              <w:spacing w:after="0" w:line="240" w:lineRule="auto"/>
              <w:jc w:val="center"/>
              <w:rPr>
                <w:b/>
                <w:bCs/>
                <w:color w:val="FFFFFF" w:themeColor="background1"/>
                <w:lang w:val="es-DO" w:eastAsia="es-DO"/>
              </w:rPr>
            </w:pPr>
            <w:r w:rsidRPr="005C133F">
              <w:rPr>
                <w:b/>
                <w:bCs/>
                <w:color w:val="FFFFFF" w:themeColor="background1"/>
                <w:lang w:val="es-DO" w:eastAsia="es-DO"/>
              </w:rPr>
              <w:t>Diferencia (%)</w:t>
            </w:r>
          </w:p>
        </w:tc>
      </w:tr>
      <w:tr w:rsidR="004921FF" w:rsidRPr="005C133F" w14:paraId="60E37B76"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34A1AE77" w14:textId="77777777" w:rsidR="00815358" w:rsidRPr="005C133F" w:rsidRDefault="00815358" w:rsidP="00C900E7">
            <w:pPr>
              <w:spacing w:after="0" w:line="240" w:lineRule="auto"/>
              <w:jc w:val="center"/>
              <w:rPr>
                <w:lang w:val="es-DO" w:eastAsia="es-DO"/>
              </w:rPr>
            </w:pPr>
            <w:r w:rsidRPr="005C133F">
              <w:rPr>
                <w:lang w:val="es-DO" w:eastAsia="es-DO"/>
              </w:rPr>
              <w:t>1</w:t>
            </w:r>
          </w:p>
        </w:tc>
        <w:tc>
          <w:tcPr>
            <w:tcW w:w="2580" w:type="dxa"/>
            <w:tcBorders>
              <w:top w:val="nil"/>
              <w:left w:val="nil"/>
              <w:bottom w:val="single" w:sz="4" w:space="0" w:color="767171"/>
              <w:right w:val="single" w:sz="4" w:space="0" w:color="767171"/>
            </w:tcBorders>
            <w:noWrap/>
            <w:vAlign w:val="bottom"/>
            <w:hideMark/>
          </w:tcPr>
          <w:p w14:paraId="39AED94E" w14:textId="77777777" w:rsidR="00815358" w:rsidRPr="005C133F" w:rsidRDefault="00815358" w:rsidP="00C900E7">
            <w:pPr>
              <w:spacing w:after="0" w:line="240" w:lineRule="auto"/>
              <w:rPr>
                <w:lang w:val="es-DO" w:eastAsia="es-DO"/>
              </w:rPr>
            </w:pPr>
            <w:r w:rsidRPr="005C133F">
              <w:rPr>
                <w:lang w:val="es-DO" w:eastAsia="es-DO"/>
              </w:rPr>
              <w:t>CMD</w:t>
            </w:r>
          </w:p>
        </w:tc>
        <w:tc>
          <w:tcPr>
            <w:tcW w:w="1760" w:type="dxa"/>
            <w:tcBorders>
              <w:top w:val="nil"/>
              <w:left w:val="nil"/>
              <w:bottom w:val="single" w:sz="4" w:space="0" w:color="767171"/>
              <w:right w:val="single" w:sz="4" w:space="0" w:color="767171"/>
            </w:tcBorders>
            <w:noWrap/>
            <w:vAlign w:val="bottom"/>
            <w:hideMark/>
          </w:tcPr>
          <w:p w14:paraId="03D36985" w14:textId="77777777" w:rsidR="00815358" w:rsidRPr="005C133F" w:rsidRDefault="00815358" w:rsidP="00C900E7">
            <w:pPr>
              <w:spacing w:after="0" w:line="240" w:lineRule="auto"/>
              <w:jc w:val="right"/>
              <w:rPr>
                <w:lang w:val="es-DO" w:eastAsia="es-DO"/>
              </w:rPr>
            </w:pPr>
            <w:r w:rsidRPr="005C133F">
              <w:rPr>
                <w:lang w:val="es-DO" w:eastAsia="es-DO"/>
              </w:rPr>
              <w:t>2000.28</w:t>
            </w:r>
          </w:p>
        </w:tc>
        <w:tc>
          <w:tcPr>
            <w:tcW w:w="2040" w:type="dxa"/>
            <w:tcBorders>
              <w:top w:val="nil"/>
              <w:left w:val="nil"/>
              <w:bottom w:val="single" w:sz="4" w:space="0" w:color="767171"/>
              <w:right w:val="single" w:sz="4" w:space="0" w:color="767171"/>
            </w:tcBorders>
            <w:noWrap/>
            <w:vAlign w:val="bottom"/>
            <w:hideMark/>
          </w:tcPr>
          <w:p w14:paraId="6083C12C" w14:textId="77777777" w:rsidR="00815358" w:rsidRPr="005C133F" w:rsidRDefault="00815358" w:rsidP="00C900E7">
            <w:pPr>
              <w:spacing w:after="0" w:line="240" w:lineRule="auto"/>
              <w:jc w:val="right"/>
              <w:rPr>
                <w:lang w:val="es-DO" w:eastAsia="es-DO"/>
              </w:rPr>
            </w:pPr>
            <w:r w:rsidRPr="005C133F">
              <w:rPr>
                <w:lang w:val="es-DO" w:eastAsia="es-DO"/>
              </w:rPr>
              <w:t>2097.09</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3996951E" w14:textId="77777777" w:rsidR="00815358" w:rsidRPr="005C133F" w:rsidRDefault="00815358" w:rsidP="00C900E7">
            <w:pPr>
              <w:spacing w:after="0" w:line="240" w:lineRule="auto"/>
              <w:jc w:val="center"/>
              <w:rPr>
                <w:lang w:val="es-DO" w:eastAsia="es-DO"/>
              </w:rPr>
            </w:pPr>
            <w:r w:rsidRPr="005C133F">
              <w:rPr>
                <w:lang w:val="es-DO" w:eastAsia="es-DO"/>
              </w:rPr>
              <w:t>-4.84</w:t>
            </w:r>
          </w:p>
        </w:tc>
      </w:tr>
      <w:tr w:rsidR="004921FF" w:rsidRPr="005C133F" w14:paraId="5F077EFF"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1204365C" w14:textId="77777777" w:rsidR="00815358" w:rsidRPr="005C133F" w:rsidRDefault="00815358" w:rsidP="00C900E7">
            <w:pPr>
              <w:spacing w:after="0" w:line="240" w:lineRule="auto"/>
              <w:jc w:val="center"/>
              <w:rPr>
                <w:lang w:val="es-DO" w:eastAsia="es-DO"/>
              </w:rPr>
            </w:pPr>
            <w:r w:rsidRPr="005C133F">
              <w:rPr>
                <w:lang w:val="es-DO" w:eastAsia="es-DO"/>
              </w:rPr>
              <w:t>5</w:t>
            </w:r>
          </w:p>
        </w:tc>
        <w:tc>
          <w:tcPr>
            <w:tcW w:w="2580" w:type="dxa"/>
            <w:tcBorders>
              <w:top w:val="nil"/>
              <w:left w:val="nil"/>
              <w:bottom w:val="single" w:sz="4" w:space="0" w:color="767171"/>
              <w:right w:val="single" w:sz="4" w:space="0" w:color="767171"/>
            </w:tcBorders>
            <w:noWrap/>
            <w:vAlign w:val="bottom"/>
            <w:hideMark/>
          </w:tcPr>
          <w:p w14:paraId="46A62EC1" w14:textId="77777777" w:rsidR="00815358" w:rsidRPr="005C133F" w:rsidRDefault="00815358" w:rsidP="00C900E7">
            <w:pPr>
              <w:spacing w:after="0" w:line="240" w:lineRule="auto"/>
              <w:rPr>
                <w:lang w:val="es-DO" w:eastAsia="es-DO"/>
              </w:rPr>
            </w:pPr>
            <w:r w:rsidRPr="005C133F">
              <w:rPr>
                <w:lang w:val="es-DO" w:eastAsia="es-DO"/>
              </w:rPr>
              <w:t>ABEL GONZALEZ</w:t>
            </w:r>
          </w:p>
        </w:tc>
        <w:tc>
          <w:tcPr>
            <w:tcW w:w="1760" w:type="dxa"/>
            <w:tcBorders>
              <w:top w:val="nil"/>
              <w:left w:val="nil"/>
              <w:bottom w:val="single" w:sz="4" w:space="0" w:color="767171"/>
              <w:right w:val="single" w:sz="4" w:space="0" w:color="767171"/>
            </w:tcBorders>
            <w:noWrap/>
            <w:vAlign w:val="bottom"/>
            <w:hideMark/>
          </w:tcPr>
          <w:p w14:paraId="705C78F4" w14:textId="77777777" w:rsidR="00815358" w:rsidRPr="005C133F" w:rsidRDefault="00815358" w:rsidP="00C900E7">
            <w:pPr>
              <w:spacing w:after="0" w:line="240" w:lineRule="auto"/>
              <w:jc w:val="right"/>
              <w:rPr>
                <w:lang w:val="es-DO" w:eastAsia="es-DO"/>
              </w:rPr>
            </w:pPr>
            <w:r w:rsidRPr="005C133F">
              <w:rPr>
                <w:lang w:val="es-DO" w:eastAsia="es-DO"/>
              </w:rPr>
              <w:t>2112.81</w:t>
            </w:r>
          </w:p>
        </w:tc>
        <w:tc>
          <w:tcPr>
            <w:tcW w:w="2040" w:type="dxa"/>
            <w:tcBorders>
              <w:top w:val="nil"/>
              <w:left w:val="nil"/>
              <w:bottom w:val="single" w:sz="4" w:space="0" w:color="767171"/>
              <w:right w:val="single" w:sz="4" w:space="0" w:color="767171"/>
            </w:tcBorders>
            <w:noWrap/>
            <w:vAlign w:val="bottom"/>
            <w:hideMark/>
          </w:tcPr>
          <w:p w14:paraId="2699167D" w14:textId="77777777" w:rsidR="00815358" w:rsidRPr="005C133F" w:rsidRDefault="00815358" w:rsidP="00C900E7">
            <w:pPr>
              <w:spacing w:after="0" w:line="240" w:lineRule="auto"/>
              <w:jc w:val="right"/>
              <w:rPr>
                <w:lang w:val="es-DO" w:eastAsia="es-DO"/>
              </w:rPr>
            </w:pPr>
            <w:r w:rsidRPr="005C133F">
              <w:rPr>
                <w:lang w:val="es-DO" w:eastAsia="es-DO"/>
              </w:rPr>
              <w:t>2279.27</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5A0077F9" w14:textId="77777777" w:rsidR="00815358" w:rsidRPr="005C133F" w:rsidRDefault="00815358" w:rsidP="00C900E7">
            <w:pPr>
              <w:spacing w:after="0" w:line="240" w:lineRule="auto"/>
              <w:jc w:val="center"/>
              <w:rPr>
                <w:lang w:val="es-DO" w:eastAsia="es-DO"/>
              </w:rPr>
            </w:pPr>
            <w:r w:rsidRPr="005C133F">
              <w:rPr>
                <w:lang w:val="es-DO" w:eastAsia="es-DO"/>
              </w:rPr>
              <w:t>-7.88</w:t>
            </w:r>
          </w:p>
        </w:tc>
      </w:tr>
      <w:tr w:rsidR="004921FF" w:rsidRPr="005C133F" w14:paraId="0F28E164"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3D9FD9EC" w14:textId="77777777" w:rsidR="00815358" w:rsidRPr="005C133F" w:rsidRDefault="00815358" w:rsidP="00C900E7">
            <w:pPr>
              <w:spacing w:after="0" w:line="240" w:lineRule="auto"/>
              <w:jc w:val="center"/>
              <w:rPr>
                <w:lang w:val="es-DO" w:eastAsia="es-DO"/>
              </w:rPr>
            </w:pPr>
            <w:r w:rsidRPr="005C133F">
              <w:rPr>
                <w:lang w:val="es-DO" w:eastAsia="es-DO"/>
              </w:rPr>
              <w:t>13</w:t>
            </w:r>
          </w:p>
        </w:tc>
        <w:tc>
          <w:tcPr>
            <w:tcW w:w="2580" w:type="dxa"/>
            <w:tcBorders>
              <w:top w:val="nil"/>
              <w:left w:val="nil"/>
              <w:bottom w:val="single" w:sz="4" w:space="0" w:color="767171"/>
              <w:right w:val="single" w:sz="4" w:space="0" w:color="767171"/>
            </w:tcBorders>
            <w:noWrap/>
            <w:vAlign w:val="bottom"/>
            <w:hideMark/>
          </w:tcPr>
          <w:p w14:paraId="3878120B" w14:textId="77777777" w:rsidR="00815358" w:rsidRPr="005C133F" w:rsidRDefault="00815358" w:rsidP="00C900E7">
            <w:pPr>
              <w:spacing w:after="0" w:line="240" w:lineRule="auto"/>
              <w:rPr>
                <w:lang w:val="es-DO" w:eastAsia="es-DO"/>
              </w:rPr>
            </w:pPr>
            <w:r w:rsidRPr="005C133F">
              <w:rPr>
                <w:lang w:val="es-DO" w:eastAsia="es-DO"/>
              </w:rPr>
              <w:t>DR. YUNEN, S.A.</w:t>
            </w:r>
          </w:p>
        </w:tc>
        <w:tc>
          <w:tcPr>
            <w:tcW w:w="1760" w:type="dxa"/>
            <w:tcBorders>
              <w:top w:val="nil"/>
              <w:left w:val="nil"/>
              <w:bottom w:val="single" w:sz="4" w:space="0" w:color="767171"/>
              <w:right w:val="single" w:sz="4" w:space="0" w:color="767171"/>
            </w:tcBorders>
            <w:noWrap/>
            <w:vAlign w:val="bottom"/>
            <w:hideMark/>
          </w:tcPr>
          <w:p w14:paraId="71590BA1" w14:textId="77777777" w:rsidR="00815358" w:rsidRPr="005C133F" w:rsidRDefault="00815358" w:rsidP="00C900E7">
            <w:pPr>
              <w:spacing w:after="0" w:line="240" w:lineRule="auto"/>
              <w:jc w:val="right"/>
              <w:rPr>
                <w:lang w:val="es-DO" w:eastAsia="es-DO"/>
              </w:rPr>
            </w:pPr>
            <w:r w:rsidRPr="005C133F">
              <w:rPr>
                <w:lang w:val="es-DO" w:eastAsia="es-DO"/>
              </w:rPr>
              <w:t>1997.57</w:t>
            </w:r>
          </w:p>
        </w:tc>
        <w:tc>
          <w:tcPr>
            <w:tcW w:w="2040" w:type="dxa"/>
            <w:tcBorders>
              <w:top w:val="nil"/>
              <w:left w:val="nil"/>
              <w:bottom w:val="single" w:sz="4" w:space="0" w:color="767171"/>
              <w:right w:val="single" w:sz="4" w:space="0" w:color="767171"/>
            </w:tcBorders>
            <w:noWrap/>
            <w:vAlign w:val="bottom"/>
            <w:hideMark/>
          </w:tcPr>
          <w:p w14:paraId="00202550" w14:textId="77777777" w:rsidR="00815358" w:rsidRPr="005C133F" w:rsidRDefault="00815358" w:rsidP="00C900E7">
            <w:pPr>
              <w:spacing w:after="0" w:line="240" w:lineRule="auto"/>
              <w:jc w:val="right"/>
              <w:rPr>
                <w:lang w:val="es-DO" w:eastAsia="es-DO"/>
              </w:rPr>
            </w:pPr>
            <w:r w:rsidRPr="005C133F">
              <w:rPr>
                <w:lang w:val="es-DO" w:eastAsia="es-DO"/>
              </w:rPr>
              <w:t>1806.01</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6C44316C" w14:textId="77777777" w:rsidR="00815358" w:rsidRPr="005C133F" w:rsidRDefault="00815358" w:rsidP="00C900E7">
            <w:pPr>
              <w:spacing w:after="0" w:line="240" w:lineRule="auto"/>
              <w:jc w:val="center"/>
              <w:rPr>
                <w:lang w:val="es-DO" w:eastAsia="es-DO"/>
              </w:rPr>
            </w:pPr>
            <w:r w:rsidRPr="005C133F">
              <w:rPr>
                <w:lang w:val="es-DO" w:eastAsia="es-DO"/>
              </w:rPr>
              <w:t>9.59</w:t>
            </w:r>
          </w:p>
        </w:tc>
      </w:tr>
      <w:tr w:rsidR="004921FF" w:rsidRPr="005C133F" w14:paraId="168DE577"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2E5B836F" w14:textId="77777777" w:rsidR="00815358" w:rsidRPr="005C133F" w:rsidRDefault="00815358" w:rsidP="00C900E7">
            <w:pPr>
              <w:spacing w:after="0" w:line="240" w:lineRule="auto"/>
              <w:jc w:val="center"/>
              <w:rPr>
                <w:lang w:val="es-DO" w:eastAsia="es-DO"/>
              </w:rPr>
            </w:pPr>
            <w:r w:rsidRPr="005C133F">
              <w:rPr>
                <w:lang w:val="es-DO" w:eastAsia="es-DO"/>
              </w:rPr>
              <w:t>18</w:t>
            </w:r>
          </w:p>
        </w:tc>
        <w:tc>
          <w:tcPr>
            <w:tcW w:w="2580" w:type="dxa"/>
            <w:tcBorders>
              <w:top w:val="nil"/>
              <w:left w:val="nil"/>
              <w:bottom w:val="single" w:sz="4" w:space="0" w:color="767171"/>
              <w:right w:val="single" w:sz="4" w:space="0" w:color="767171"/>
            </w:tcBorders>
            <w:noWrap/>
            <w:vAlign w:val="bottom"/>
            <w:hideMark/>
          </w:tcPr>
          <w:p w14:paraId="07CE0575" w14:textId="77777777" w:rsidR="00815358" w:rsidRPr="005C133F" w:rsidRDefault="00815358" w:rsidP="00C900E7">
            <w:pPr>
              <w:spacing w:after="0" w:line="240" w:lineRule="auto"/>
              <w:rPr>
                <w:lang w:val="es-DO" w:eastAsia="es-DO"/>
              </w:rPr>
            </w:pPr>
            <w:r w:rsidRPr="005C133F">
              <w:rPr>
                <w:lang w:val="es-DO" w:eastAsia="es-DO"/>
              </w:rPr>
              <w:t>MONUMENTAL</w:t>
            </w:r>
          </w:p>
        </w:tc>
        <w:tc>
          <w:tcPr>
            <w:tcW w:w="1760" w:type="dxa"/>
            <w:tcBorders>
              <w:top w:val="nil"/>
              <w:left w:val="nil"/>
              <w:bottom w:val="single" w:sz="4" w:space="0" w:color="767171"/>
              <w:right w:val="single" w:sz="4" w:space="0" w:color="767171"/>
            </w:tcBorders>
            <w:noWrap/>
            <w:vAlign w:val="bottom"/>
            <w:hideMark/>
          </w:tcPr>
          <w:p w14:paraId="05B3FB9A" w14:textId="77777777" w:rsidR="00815358" w:rsidRPr="005C133F" w:rsidRDefault="00815358" w:rsidP="00C900E7">
            <w:pPr>
              <w:spacing w:after="0" w:line="240" w:lineRule="auto"/>
              <w:jc w:val="right"/>
              <w:rPr>
                <w:lang w:val="es-DO" w:eastAsia="es-DO"/>
              </w:rPr>
            </w:pPr>
            <w:r w:rsidRPr="005C133F">
              <w:rPr>
                <w:lang w:val="es-DO" w:eastAsia="es-DO"/>
              </w:rPr>
              <w:t>1746.11</w:t>
            </w:r>
          </w:p>
        </w:tc>
        <w:tc>
          <w:tcPr>
            <w:tcW w:w="2040" w:type="dxa"/>
            <w:tcBorders>
              <w:top w:val="nil"/>
              <w:left w:val="nil"/>
              <w:bottom w:val="single" w:sz="4" w:space="0" w:color="767171"/>
              <w:right w:val="single" w:sz="4" w:space="0" w:color="767171"/>
            </w:tcBorders>
            <w:noWrap/>
            <w:vAlign w:val="bottom"/>
            <w:hideMark/>
          </w:tcPr>
          <w:p w14:paraId="64C7E8DB" w14:textId="77777777" w:rsidR="00815358" w:rsidRPr="005C133F" w:rsidRDefault="00815358" w:rsidP="00C900E7">
            <w:pPr>
              <w:spacing w:after="0" w:line="240" w:lineRule="auto"/>
              <w:jc w:val="right"/>
              <w:rPr>
                <w:lang w:val="es-DO" w:eastAsia="es-DO"/>
              </w:rPr>
            </w:pPr>
            <w:r w:rsidRPr="005C133F">
              <w:rPr>
                <w:lang w:val="es-DO" w:eastAsia="es-DO"/>
              </w:rPr>
              <w:t>1649.98</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643D1650" w14:textId="77777777" w:rsidR="00815358" w:rsidRPr="005C133F" w:rsidRDefault="00815358" w:rsidP="00C900E7">
            <w:pPr>
              <w:spacing w:after="0" w:line="240" w:lineRule="auto"/>
              <w:jc w:val="center"/>
              <w:rPr>
                <w:lang w:val="es-DO" w:eastAsia="es-DO"/>
              </w:rPr>
            </w:pPr>
            <w:r w:rsidRPr="005C133F">
              <w:rPr>
                <w:lang w:val="es-DO" w:eastAsia="es-DO"/>
              </w:rPr>
              <w:t>5.51</w:t>
            </w:r>
          </w:p>
        </w:tc>
      </w:tr>
      <w:tr w:rsidR="004921FF" w:rsidRPr="005C133F" w14:paraId="0D9564F1"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5CA8B702" w14:textId="77777777" w:rsidR="00815358" w:rsidRPr="005C133F" w:rsidRDefault="00815358" w:rsidP="00C900E7">
            <w:pPr>
              <w:spacing w:after="0" w:line="240" w:lineRule="auto"/>
              <w:jc w:val="center"/>
              <w:rPr>
                <w:lang w:val="es-DO" w:eastAsia="es-DO"/>
              </w:rPr>
            </w:pPr>
            <w:r w:rsidRPr="005C133F">
              <w:rPr>
                <w:lang w:val="es-DO" w:eastAsia="es-DO"/>
              </w:rPr>
              <w:t>21</w:t>
            </w:r>
          </w:p>
        </w:tc>
        <w:tc>
          <w:tcPr>
            <w:tcW w:w="2580" w:type="dxa"/>
            <w:tcBorders>
              <w:top w:val="nil"/>
              <w:left w:val="nil"/>
              <w:bottom w:val="single" w:sz="4" w:space="0" w:color="767171"/>
              <w:right w:val="single" w:sz="4" w:space="0" w:color="767171"/>
            </w:tcBorders>
            <w:noWrap/>
            <w:vAlign w:val="bottom"/>
            <w:hideMark/>
          </w:tcPr>
          <w:p w14:paraId="4F81AB15" w14:textId="77777777" w:rsidR="00815358" w:rsidRPr="005C133F" w:rsidRDefault="00815358" w:rsidP="00C900E7">
            <w:pPr>
              <w:spacing w:after="0" w:line="240" w:lineRule="auto"/>
              <w:rPr>
                <w:lang w:val="es-DO" w:eastAsia="es-DO"/>
              </w:rPr>
            </w:pPr>
            <w:r w:rsidRPr="005C133F">
              <w:rPr>
                <w:lang w:val="es-DO" w:eastAsia="es-DO"/>
              </w:rPr>
              <w:t>FUTURO S.A.</w:t>
            </w:r>
          </w:p>
        </w:tc>
        <w:tc>
          <w:tcPr>
            <w:tcW w:w="1760" w:type="dxa"/>
            <w:tcBorders>
              <w:top w:val="nil"/>
              <w:left w:val="nil"/>
              <w:bottom w:val="single" w:sz="4" w:space="0" w:color="767171"/>
              <w:right w:val="single" w:sz="4" w:space="0" w:color="767171"/>
            </w:tcBorders>
            <w:noWrap/>
            <w:vAlign w:val="bottom"/>
            <w:hideMark/>
          </w:tcPr>
          <w:p w14:paraId="3C8D18EC" w14:textId="77777777" w:rsidR="00815358" w:rsidRPr="005C133F" w:rsidRDefault="00815358" w:rsidP="00C900E7">
            <w:pPr>
              <w:spacing w:after="0" w:line="240" w:lineRule="auto"/>
              <w:jc w:val="right"/>
              <w:rPr>
                <w:lang w:val="es-DO" w:eastAsia="es-DO"/>
              </w:rPr>
            </w:pPr>
            <w:r w:rsidRPr="005C133F">
              <w:rPr>
                <w:lang w:val="es-DO" w:eastAsia="es-DO"/>
              </w:rPr>
              <w:t>1717.4</w:t>
            </w:r>
          </w:p>
        </w:tc>
        <w:tc>
          <w:tcPr>
            <w:tcW w:w="2040" w:type="dxa"/>
            <w:tcBorders>
              <w:top w:val="nil"/>
              <w:left w:val="nil"/>
              <w:bottom w:val="single" w:sz="4" w:space="0" w:color="767171"/>
              <w:right w:val="single" w:sz="4" w:space="0" w:color="767171"/>
            </w:tcBorders>
            <w:noWrap/>
            <w:vAlign w:val="bottom"/>
            <w:hideMark/>
          </w:tcPr>
          <w:p w14:paraId="0C01FCD7" w14:textId="77777777" w:rsidR="00815358" w:rsidRPr="005C133F" w:rsidRDefault="00815358" w:rsidP="00C900E7">
            <w:pPr>
              <w:spacing w:after="0" w:line="240" w:lineRule="auto"/>
              <w:jc w:val="right"/>
              <w:rPr>
                <w:lang w:val="es-DO" w:eastAsia="es-DO"/>
              </w:rPr>
            </w:pPr>
            <w:r w:rsidRPr="005C133F">
              <w:rPr>
                <w:lang w:val="es-DO" w:eastAsia="es-DO"/>
              </w:rPr>
              <w:t>1232.78</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434D752F" w14:textId="77777777" w:rsidR="00815358" w:rsidRPr="005C133F" w:rsidRDefault="00815358" w:rsidP="00C900E7">
            <w:pPr>
              <w:spacing w:after="0" w:line="240" w:lineRule="auto"/>
              <w:jc w:val="center"/>
              <w:rPr>
                <w:lang w:val="es-DO" w:eastAsia="es-DO"/>
              </w:rPr>
            </w:pPr>
            <w:r w:rsidRPr="005C133F">
              <w:rPr>
                <w:lang w:val="es-DO" w:eastAsia="es-DO"/>
              </w:rPr>
              <w:t>28.22</w:t>
            </w:r>
          </w:p>
        </w:tc>
      </w:tr>
      <w:tr w:rsidR="004921FF" w:rsidRPr="005C133F" w14:paraId="0CBC5A18"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374E355D" w14:textId="77777777" w:rsidR="00815358" w:rsidRPr="005C133F" w:rsidRDefault="00815358" w:rsidP="00C900E7">
            <w:pPr>
              <w:spacing w:after="0" w:line="240" w:lineRule="auto"/>
              <w:jc w:val="center"/>
              <w:rPr>
                <w:lang w:val="es-DO" w:eastAsia="es-DO"/>
              </w:rPr>
            </w:pPr>
            <w:r w:rsidRPr="005C133F">
              <w:rPr>
                <w:lang w:val="es-DO" w:eastAsia="es-DO"/>
              </w:rPr>
              <w:t>36</w:t>
            </w:r>
          </w:p>
        </w:tc>
        <w:tc>
          <w:tcPr>
            <w:tcW w:w="2580" w:type="dxa"/>
            <w:tcBorders>
              <w:top w:val="nil"/>
              <w:left w:val="nil"/>
              <w:bottom w:val="single" w:sz="4" w:space="0" w:color="767171"/>
              <w:right w:val="single" w:sz="4" w:space="0" w:color="767171"/>
            </w:tcBorders>
            <w:noWrap/>
            <w:vAlign w:val="bottom"/>
            <w:hideMark/>
          </w:tcPr>
          <w:p w14:paraId="4E61F305" w14:textId="77777777" w:rsidR="00815358" w:rsidRPr="005C133F" w:rsidRDefault="00815358" w:rsidP="00C900E7">
            <w:pPr>
              <w:spacing w:after="0" w:line="240" w:lineRule="auto"/>
              <w:rPr>
                <w:lang w:val="es-DO" w:eastAsia="es-DO"/>
              </w:rPr>
            </w:pPr>
            <w:r w:rsidRPr="005C133F">
              <w:rPr>
                <w:lang w:val="es-DO" w:eastAsia="es-DO"/>
              </w:rPr>
              <w:t>ASEMAP</w:t>
            </w:r>
          </w:p>
        </w:tc>
        <w:tc>
          <w:tcPr>
            <w:tcW w:w="1760" w:type="dxa"/>
            <w:tcBorders>
              <w:top w:val="nil"/>
              <w:left w:val="nil"/>
              <w:bottom w:val="single" w:sz="4" w:space="0" w:color="767171"/>
              <w:right w:val="single" w:sz="4" w:space="0" w:color="767171"/>
            </w:tcBorders>
            <w:noWrap/>
            <w:vAlign w:val="bottom"/>
            <w:hideMark/>
          </w:tcPr>
          <w:p w14:paraId="1EB4F689" w14:textId="77777777" w:rsidR="00815358" w:rsidRPr="005C133F" w:rsidRDefault="00815358" w:rsidP="00C900E7">
            <w:pPr>
              <w:spacing w:after="0" w:line="240" w:lineRule="auto"/>
              <w:jc w:val="right"/>
              <w:rPr>
                <w:lang w:val="es-DO" w:eastAsia="es-DO"/>
              </w:rPr>
            </w:pPr>
            <w:r w:rsidRPr="005C133F">
              <w:rPr>
                <w:lang w:val="es-DO" w:eastAsia="es-DO"/>
              </w:rPr>
              <w:t>1309.23</w:t>
            </w:r>
          </w:p>
        </w:tc>
        <w:tc>
          <w:tcPr>
            <w:tcW w:w="2040" w:type="dxa"/>
            <w:tcBorders>
              <w:top w:val="nil"/>
              <w:left w:val="nil"/>
              <w:bottom w:val="single" w:sz="4" w:space="0" w:color="767171"/>
              <w:right w:val="single" w:sz="4" w:space="0" w:color="767171"/>
            </w:tcBorders>
            <w:noWrap/>
            <w:vAlign w:val="bottom"/>
            <w:hideMark/>
          </w:tcPr>
          <w:p w14:paraId="1F62B8F1" w14:textId="77777777" w:rsidR="00815358" w:rsidRPr="005C133F" w:rsidRDefault="00815358" w:rsidP="00C900E7">
            <w:pPr>
              <w:spacing w:after="0" w:line="240" w:lineRule="auto"/>
              <w:jc w:val="right"/>
              <w:rPr>
                <w:lang w:val="es-DO" w:eastAsia="es-DO"/>
              </w:rPr>
            </w:pPr>
            <w:r w:rsidRPr="005C133F">
              <w:rPr>
                <w:lang w:val="es-DO" w:eastAsia="es-DO"/>
              </w:rPr>
              <w:t>950.29</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295DC0DB" w14:textId="77777777" w:rsidR="00815358" w:rsidRPr="005C133F" w:rsidRDefault="00815358" w:rsidP="00C900E7">
            <w:pPr>
              <w:spacing w:after="0" w:line="240" w:lineRule="auto"/>
              <w:jc w:val="center"/>
              <w:rPr>
                <w:lang w:val="es-DO" w:eastAsia="es-DO"/>
              </w:rPr>
            </w:pPr>
            <w:r w:rsidRPr="005C133F">
              <w:rPr>
                <w:lang w:val="es-DO" w:eastAsia="es-DO"/>
              </w:rPr>
              <w:t>27.42</w:t>
            </w:r>
          </w:p>
        </w:tc>
      </w:tr>
      <w:tr w:rsidR="004921FF" w:rsidRPr="005C133F" w14:paraId="05C10188"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30D8F79A" w14:textId="77777777" w:rsidR="00815358" w:rsidRPr="005C133F" w:rsidRDefault="00815358" w:rsidP="00C900E7">
            <w:pPr>
              <w:spacing w:after="0" w:line="240" w:lineRule="auto"/>
              <w:jc w:val="center"/>
              <w:rPr>
                <w:lang w:val="es-DO" w:eastAsia="es-DO"/>
              </w:rPr>
            </w:pPr>
            <w:r w:rsidRPr="005C133F">
              <w:rPr>
                <w:lang w:val="es-DO" w:eastAsia="es-DO"/>
              </w:rPr>
              <w:t>42</w:t>
            </w:r>
          </w:p>
        </w:tc>
        <w:tc>
          <w:tcPr>
            <w:tcW w:w="2580" w:type="dxa"/>
            <w:tcBorders>
              <w:top w:val="nil"/>
              <w:left w:val="nil"/>
              <w:bottom w:val="single" w:sz="4" w:space="0" w:color="767171"/>
              <w:right w:val="single" w:sz="4" w:space="0" w:color="767171"/>
            </w:tcBorders>
            <w:noWrap/>
            <w:vAlign w:val="bottom"/>
            <w:hideMark/>
          </w:tcPr>
          <w:p w14:paraId="0E9FA138" w14:textId="77777777" w:rsidR="00815358" w:rsidRPr="005C133F" w:rsidRDefault="00815358" w:rsidP="00C900E7">
            <w:pPr>
              <w:spacing w:after="0" w:line="240" w:lineRule="auto"/>
              <w:rPr>
                <w:lang w:val="es-DO" w:eastAsia="es-DO"/>
              </w:rPr>
            </w:pPr>
            <w:r w:rsidRPr="005C133F">
              <w:rPr>
                <w:lang w:val="es-DO" w:eastAsia="es-DO"/>
              </w:rPr>
              <w:t>SEMMA</w:t>
            </w:r>
          </w:p>
        </w:tc>
        <w:tc>
          <w:tcPr>
            <w:tcW w:w="1760" w:type="dxa"/>
            <w:tcBorders>
              <w:top w:val="nil"/>
              <w:left w:val="nil"/>
              <w:bottom w:val="single" w:sz="4" w:space="0" w:color="767171"/>
              <w:right w:val="single" w:sz="4" w:space="0" w:color="767171"/>
            </w:tcBorders>
            <w:noWrap/>
            <w:vAlign w:val="bottom"/>
            <w:hideMark/>
          </w:tcPr>
          <w:p w14:paraId="1CF8A5C1" w14:textId="77777777" w:rsidR="00815358" w:rsidRPr="005C133F" w:rsidRDefault="00815358" w:rsidP="00C900E7">
            <w:pPr>
              <w:spacing w:after="0" w:line="240" w:lineRule="auto"/>
              <w:jc w:val="right"/>
              <w:rPr>
                <w:lang w:val="es-DO" w:eastAsia="es-DO"/>
              </w:rPr>
            </w:pPr>
            <w:r w:rsidRPr="005C133F">
              <w:rPr>
                <w:lang w:val="es-DO" w:eastAsia="es-DO"/>
              </w:rPr>
              <w:t>1577.95</w:t>
            </w:r>
          </w:p>
        </w:tc>
        <w:tc>
          <w:tcPr>
            <w:tcW w:w="2040" w:type="dxa"/>
            <w:tcBorders>
              <w:top w:val="nil"/>
              <w:left w:val="nil"/>
              <w:bottom w:val="single" w:sz="4" w:space="0" w:color="767171"/>
              <w:right w:val="single" w:sz="4" w:space="0" w:color="767171"/>
            </w:tcBorders>
            <w:noWrap/>
            <w:vAlign w:val="bottom"/>
            <w:hideMark/>
          </w:tcPr>
          <w:p w14:paraId="09FBB0BD" w14:textId="77777777" w:rsidR="00815358" w:rsidRPr="005C133F" w:rsidRDefault="00815358" w:rsidP="00C900E7">
            <w:pPr>
              <w:spacing w:after="0" w:line="240" w:lineRule="auto"/>
              <w:jc w:val="right"/>
              <w:rPr>
                <w:lang w:val="es-DO" w:eastAsia="es-DO"/>
              </w:rPr>
            </w:pPr>
            <w:r w:rsidRPr="005C133F">
              <w:rPr>
                <w:lang w:val="es-DO" w:eastAsia="es-DO"/>
              </w:rPr>
              <w:t>2034.22</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17B7EB0D" w14:textId="77777777" w:rsidR="00815358" w:rsidRPr="005C133F" w:rsidRDefault="00815358" w:rsidP="00C900E7">
            <w:pPr>
              <w:spacing w:after="0" w:line="240" w:lineRule="auto"/>
              <w:jc w:val="center"/>
              <w:rPr>
                <w:lang w:val="es-DO" w:eastAsia="es-DO"/>
              </w:rPr>
            </w:pPr>
            <w:r w:rsidRPr="005C133F">
              <w:rPr>
                <w:lang w:val="es-DO" w:eastAsia="es-DO"/>
              </w:rPr>
              <w:t>-28.92</w:t>
            </w:r>
          </w:p>
        </w:tc>
      </w:tr>
      <w:tr w:rsidR="004921FF" w:rsidRPr="005C133F" w14:paraId="586C32A8"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58646D89" w14:textId="77777777" w:rsidR="00815358" w:rsidRPr="005C133F" w:rsidRDefault="00815358" w:rsidP="00C900E7">
            <w:pPr>
              <w:spacing w:after="0" w:line="240" w:lineRule="auto"/>
              <w:jc w:val="center"/>
              <w:rPr>
                <w:lang w:val="es-DO" w:eastAsia="es-DO"/>
              </w:rPr>
            </w:pPr>
            <w:r w:rsidRPr="005C133F">
              <w:rPr>
                <w:lang w:val="es-DO" w:eastAsia="es-DO"/>
              </w:rPr>
              <w:t>43</w:t>
            </w:r>
          </w:p>
        </w:tc>
        <w:tc>
          <w:tcPr>
            <w:tcW w:w="2580" w:type="dxa"/>
            <w:tcBorders>
              <w:top w:val="nil"/>
              <w:left w:val="nil"/>
              <w:bottom w:val="single" w:sz="4" w:space="0" w:color="767171"/>
              <w:right w:val="single" w:sz="4" w:space="0" w:color="767171"/>
            </w:tcBorders>
            <w:noWrap/>
            <w:vAlign w:val="bottom"/>
            <w:hideMark/>
          </w:tcPr>
          <w:p w14:paraId="1FCB0447" w14:textId="77777777" w:rsidR="00815358" w:rsidRPr="005C133F" w:rsidRDefault="00815358" w:rsidP="00C900E7">
            <w:pPr>
              <w:spacing w:after="0" w:line="240" w:lineRule="auto"/>
              <w:rPr>
                <w:lang w:val="es-DO" w:eastAsia="es-DO"/>
              </w:rPr>
            </w:pPr>
            <w:r w:rsidRPr="005C133F">
              <w:rPr>
                <w:lang w:val="es-DO" w:eastAsia="es-DO"/>
              </w:rPr>
              <w:t>RENACER</w:t>
            </w:r>
          </w:p>
        </w:tc>
        <w:tc>
          <w:tcPr>
            <w:tcW w:w="1760" w:type="dxa"/>
            <w:tcBorders>
              <w:top w:val="nil"/>
              <w:left w:val="nil"/>
              <w:bottom w:val="single" w:sz="4" w:space="0" w:color="767171"/>
              <w:right w:val="single" w:sz="4" w:space="0" w:color="767171"/>
            </w:tcBorders>
            <w:noWrap/>
            <w:vAlign w:val="bottom"/>
            <w:hideMark/>
          </w:tcPr>
          <w:p w14:paraId="4A6FD3A9" w14:textId="77777777" w:rsidR="00815358" w:rsidRPr="005C133F" w:rsidRDefault="00815358" w:rsidP="00C900E7">
            <w:pPr>
              <w:spacing w:after="0" w:line="240" w:lineRule="auto"/>
              <w:jc w:val="right"/>
              <w:rPr>
                <w:lang w:val="es-DO" w:eastAsia="es-DO"/>
              </w:rPr>
            </w:pPr>
            <w:r w:rsidRPr="005C133F">
              <w:rPr>
                <w:lang w:val="es-DO" w:eastAsia="es-DO"/>
              </w:rPr>
              <w:t>1501.92</w:t>
            </w:r>
          </w:p>
        </w:tc>
        <w:tc>
          <w:tcPr>
            <w:tcW w:w="2040" w:type="dxa"/>
            <w:tcBorders>
              <w:top w:val="nil"/>
              <w:left w:val="nil"/>
              <w:bottom w:val="single" w:sz="4" w:space="0" w:color="767171"/>
              <w:right w:val="single" w:sz="4" w:space="0" w:color="767171"/>
            </w:tcBorders>
            <w:noWrap/>
            <w:vAlign w:val="bottom"/>
            <w:hideMark/>
          </w:tcPr>
          <w:p w14:paraId="3F17D941" w14:textId="77777777" w:rsidR="00815358" w:rsidRPr="005C133F" w:rsidRDefault="00815358" w:rsidP="00C900E7">
            <w:pPr>
              <w:spacing w:after="0" w:line="240" w:lineRule="auto"/>
              <w:jc w:val="right"/>
              <w:rPr>
                <w:lang w:val="es-DO" w:eastAsia="es-DO"/>
              </w:rPr>
            </w:pPr>
            <w:r w:rsidRPr="005C133F">
              <w:rPr>
                <w:lang w:val="es-DO" w:eastAsia="es-DO"/>
              </w:rPr>
              <w:t>1295.46</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10F66ACF" w14:textId="77777777" w:rsidR="00815358" w:rsidRPr="005C133F" w:rsidRDefault="00815358" w:rsidP="00C900E7">
            <w:pPr>
              <w:spacing w:after="0" w:line="240" w:lineRule="auto"/>
              <w:jc w:val="center"/>
              <w:rPr>
                <w:lang w:val="es-DO" w:eastAsia="es-DO"/>
              </w:rPr>
            </w:pPr>
            <w:r w:rsidRPr="005C133F">
              <w:rPr>
                <w:lang w:val="es-DO" w:eastAsia="es-DO"/>
              </w:rPr>
              <w:t>13.75</w:t>
            </w:r>
          </w:p>
        </w:tc>
      </w:tr>
      <w:tr w:rsidR="004921FF" w:rsidRPr="005C133F" w14:paraId="244602B1"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49E03E5B" w14:textId="77777777" w:rsidR="00815358" w:rsidRPr="005C133F" w:rsidRDefault="00815358" w:rsidP="00C900E7">
            <w:pPr>
              <w:spacing w:after="0" w:line="240" w:lineRule="auto"/>
              <w:jc w:val="center"/>
              <w:rPr>
                <w:lang w:val="es-DO" w:eastAsia="es-DO"/>
              </w:rPr>
            </w:pPr>
            <w:r w:rsidRPr="005C133F">
              <w:rPr>
                <w:lang w:val="es-DO" w:eastAsia="es-DO"/>
              </w:rPr>
              <w:t>49</w:t>
            </w:r>
          </w:p>
        </w:tc>
        <w:tc>
          <w:tcPr>
            <w:tcW w:w="2580" w:type="dxa"/>
            <w:tcBorders>
              <w:top w:val="nil"/>
              <w:left w:val="nil"/>
              <w:bottom w:val="single" w:sz="4" w:space="0" w:color="767171"/>
              <w:right w:val="single" w:sz="4" w:space="0" w:color="767171"/>
            </w:tcBorders>
            <w:noWrap/>
            <w:vAlign w:val="bottom"/>
            <w:hideMark/>
          </w:tcPr>
          <w:p w14:paraId="3AC51568" w14:textId="77777777" w:rsidR="00815358" w:rsidRPr="005C133F" w:rsidRDefault="00815358" w:rsidP="00C900E7">
            <w:pPr>
              <w:spacing w:after="0" w:line="240" w:lineRule="auto"/>
              <w:rPr>
                <w:lang w:val="es-DO" w:eastAsia="es-DO"/>
              </w:rPr>
            </w:pPr>
            <w:r w:rsidRPr="005C133F">
              <w:rPr>
                <w:lang w:val="es-DO" w:eastAsia="es-DO"/>
              </w:rPr>
              <w:t>MAPFRE SALUD</w:t>
            </w:r>
          </w:p>
        </w:tc>
        <w:tc>
          <w:tcPr>
            <w:tcW w:w="1760" w:type="dxa"/>
            <w:tcBorders>
              <w:top w:val="nil"/>
              <w:left w:val="nil"/>
              <w:bottom w:val="single" w:sz="4" w:space="0" w:color="767171"/>
              <w:right w:val="single" w:sz="4" w:space="0" w:color="767171"/>
            </w:tcBorders>
            <w:noWrap/>
            <w:vAlign w:val="bottom"/>
            <w:hideMark/>
          </w:tcPr>
          <w:p w14:paraId="35D30349" w14:textId="77777777" w:rsidR="00815358" w:rsidRPr="005C133F" w:rsidRDefault="00815358" w:rsidP="00C900E7">
            <w:pPr>
              <w:spacing w:after="0" w:line="240" w:lineRule="auto"/>
              <w:jc w:val="right"/>
              <w:rPr>
                <w:lang w:val="es-DO" w:eastAsia="es-DO"/>
              </w:rPr>
            </w:pPr>
            <w:r w:rsidRPr="005C133F">
              <w:rPr>
                <w:lang w:val="es-DO" w:eastAsia="es-DO"/>
              </w:rPr>
              <w:t>2071.22</w:t>
            </w:r>
          </w:p>
        </w:tc>
        <w:tc>
          <w:tcPr>
            <w:tcW w:w="2040" w:type="dxa"/>
            <w:tcBorders>
              <w:top w:val="nil"/>
              <w:left w:val="nil"/>
              <w:bottom w:val="single" w:sz="4" w:space="0" w:color="767171"/>
              <w:right w:val="single" w:sz="4" w:space="0" w:color="767171"/>
            </w:tcBorders>
            <w:noWrap/>
            <w:vAlign w:val="bottom"/>
            <w:hideMark/>
          </w:tcPr>
          <w:p w14:paraId="7B31CC73" w14:textId="77777777" w:rsidR="00815358" w:rsidRPr="005C133F" w:rsidRDefault="00815358" w:rsidP="00C900E7">
            <w:pPr>
              <w:spacing w:after="0" w:line="240" w:lineRule="auto"/>
              <w:jc w:val="right"/>
              <w:rPr>
                <w:lang w:val="es-DO" w:eastAsia="es-DO"/>
              </w:rPr>
            </w:pPr>
            <w:r w:rsidRPr="005C133F">
              <w:rPr>
                <w:lang w:val="es-DO" w:eastAsia="es-DO"/>
              </w:rPr>
              <w:t>1358.95</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407D5C2D" w14:textId="77777777" w:rsidR="00815358" w:rsidRPr="005C133F" w:rsidRDefault="00815358" w:rsidP="00C900E7">
            <w:pPr>
              <w:spacing w:after="0" w:line="240" w:lineRule="auto"/>
              <w:jc w:val="center"/>
              <w:rPr>
                <w:lang w:val="es-DO" w:eastAsia="es-DO"/>
              </w:rPr>
            </w:pPr>
            <w:r w:rsidRPr="005C133F">
              <w:rPr>
                <w:lang w:val="es-DO" w:eastAsia="es-DO"/>
              </w:rPr>
              <w:t>34.39</w:t>
            </w:r>
          </w:p>
        </w:tc>
      </w:tr>
      <w:tr w:rsidR="004921FF" w:rsidRPr="005C133F" w14:paraId="69616DD8"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2CE1F9B3" w14:textId="77777777" w:rsidR="00815358" w:rsidRPr="005C133F" w:rsidRDefault="00815358" w:rsidP="00C900E7">
            <w:pPr>
              <w:spacing w:after="0" w:line="240" w:lineRule="auto"/>
              <w:jc w:val="center"/>
              <w:rPr>
                <w:lang w:val="es-DO" w:eastAsia="es-DO"/>
              </w:rPr>
            </w:pPr>
            <w:r w:rsidRPr="005C133F">
              <w:rPr>
                <w:lang w:val="es-DO" w:eastAsia="es-DO"/>
              </w:rPr>
              <w:t>50</w:t>
            </w:r>
          </w:p>
        </w:tc>
        <w:tc>
          <w:tcPr>
            <w:tcW w:w="2580" w:type="dxa"/>
            <w:tcBorders>
              <w:top w:val="nil"/>
              <w:left w:val="nil"/>
              <w:bottom w:val="single" w:sz="4" w:space="0" w:color="767171"/>
              <w:right w:val="single" w:sz="4" w:space="0" w:color="767171"/>
            </w:tcBorders>
            <w:noWrap/>
            <w:vAlign w:val="bottom"/>
            <w:hideMark/>
          </w:tcPr>
          <w:p w14:paraId="743500BF" w14:textId="77777777" w:rsidR="00815358" w:rsidRPr="005C133F" w:rsidRDefault="00815358" w:rsidP="00C900E7">
            <w:pPr>
              <w:spacing w:after="0" w:line="240" w:lineRule="auto"/>
              <w:rPr>
                <w:lang w:val="es-DO" w:eastAsia="es-DO"/>
              </w:rPr>
            </w:pPr>
            <w:r w:rsidRPr="005C133F">
              <w:rPr>
                <w:lang w:val="es-DO" w:eastAsia="es-DO"/>
              </w:rPr>
              <w:t>BANCO CENTRAL</w:t>
            </w:r>
          </w:p>
        </w:tc>
        <w:tc>
          <w:tcPr>
            <w:tcW w:w="1760" w:type="dxa"/>
            <w:tcBorders>
              <w:top w:val="nil"/>
              <w:left w:val="nil"/>
              <w:bottom w:val="single" w:sz="4" w:space="0" w:color="767171"/>
              <w:right w:val="single" w:sz="4" w:space="0" w:color="767171"/>
            </w:tcBorders>
            <w:noWrap/>
            <w:vAlign w:val="bottom"/>
            <w:hideMark/>
          </w:tcPr>
          <w:p w14:paraId="306A8C7C" w14:textId="77777777" w:rsidR="00815358" w:rsidRPr="005C133F" w:rsidRDefault="00815358" w:rsidP="00C900E7">
            <w:pPr>
              <w:spacing w:after="0" w:line="240" w:lineRule="auto"/>
              <w:jc w:val="right"/>
              <w:rPr>
                <w:lang w:val="es-DO" w:eastAsia="es-DO"/>
              </w:rPr>
            </w:pPr>
            <w:r w:rsidRPr="005C133F">
              <w:rPr>
                <w:lang w:val="es-DO" w:eastAsia="es-DO"/>
              </w:rPr>
              <w:t>1594.07</w:t>
            </w:r>
          </w:p>
        </w:tc>
        <w:tc>
          <w:tcPr>
            <w:tcW w:w="2040" w:type="dxa"/>
            <w:tcBorders>
              <w:top w:val="nil"/>
              <w:left w:val="nil"/>
              <w:bottom w:val="single" w:sz="4" w:space="0" w:color="767171"/>
              <w:right w:val="single" w:sz="4" w:space="0" w:color="767171"/>
            </w:tcBorders>
            <w:noWrap/>
            <w:vAlign w:val="bottom"/>
            <w:hideMark/>
          </w:tcPr>
          <w:p w14:paraId="029C3682" w14:textId="77777777" w:rsidR="00815358" w:rsidRPr="005C133F" w:rsidRDefault="00815358" w:rsidP="00C900E7">
            <w:pPr>
              <w:spacing w:after="0" w:line="240" w:lineRule="auto"/>
              <w:jc w:val="right"/>
              <w:rPr>
                <w:lang w:val="es-DO" w:eastAsia="es-DO"/>
              </w:rPr>
            </w:pPr>
            <w:r w:rsidRPr="005C133F">
              <w:rPr>
                <w:lang w:val="es-DO" w:eastAsia="es-DO"/>
              </w:rPr>
              <w:t>1429.98</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3DE3DB50" w14:textId="77777777" w:rsidR="00815358" w:rsidRPr="005C133F" w:rsidRDefault="00815358" w:rsidP="00C900E7">
            <w:pPr>
              <w:spacing w:after="0" w:line="240" w:lineRule="auto"/>
              <w:jc w:val="center"/>
              <w:rPr>
                <w:lang w:val="es-DO" w:eastAsia="es-DO"/>
              </w:rPr>
            </w:pPr>
            <w:r w:rsidRPr="005C133F">
              <w:rPr>
                <w:lang w:val="es-DO" w:eastAsia="es-DO"/>
              </w:rPr>
              <w:t>10.29</w:t>
            </w:r>
          </w:p>
        </w:tc>
      </w:tr>
      <w:tr w:rsidR="004921FF" w:rsidRPr="005C133F" w14:paraId="675E7874"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59BFE9E2" w14:textId="77777777" w:rsidR="00815358" w:rsidRPr="005C133F" w:rsidRDefault="00815358" w:rsidP="00C900E7">
            <w:pPr>
              <w:spacing w:after="0" w:line="240" w:lineRule="auto"/>
              <w:jc w:val="center"/>
              <w:rPr>
                <w:lang w:val="es-DO" w:eastAsia="es-DO"/>
              </w:rPr>
            </w:pPr>
            <w:r w:rsidRPr="005C133F">
              <w:rPr>
                <w:lang w:val="es-DO" w:eastAsia="es-DO"/>
              </w:rPr>
              <w:lastRenderedPageBreak/>
              <w:t>52</w:t>
            </w:r>
          </w:p>
        </w:tc>
        <w:tc>
          <w:tcPr>
            <w:tcW w:w="2580" w:type="dxa"/>
            <w:tcBorders>
              <w:top w:val="nil"/>
              <w:left w:val="nil"/>
              <w:bottom w:val="single" w:sz="4" w:space="0" w:color="767171"/>
              <w:right w:val="single" w:sz="4" w:space="0" w:color="767171"/>
            </w:tcBorders>
            <w:noWrap/>
            <w:vAlign w:val="bottom"/>
            <w:hideMark/>
          </w:tcPr>
          <w:p w14:paraId="327C6AF4" w14:textId="77777777" w:rsidR="00815358" w:rsidRPr="005C133F" w:rsidRDefault="00815358" w:rsidP="00C900E7">
            <w:pPr>
              <w:spacing w:after="0" w:line="240" w:lineRule="auto"/>
              <w:rPr>
                <w:lang w:val="es-DO" w:eastAsia="es-DO"/>
              </w:rPr>
            </w:pPr>
            <w:r w:rsidRPr="005C133F">
              <w:rPr>
                <w:lang w:val="es-DO" w:eastAsia="es-DO"/>
              </w:rPr>
              <w:t>SENASA</w:t>
            </w:r>
          </w:p>
        </w:tc>
        <w:tc>
          <w:tcPr>
            <w:tcW w:w="1760" w:type="dxa"/>
            <w:tcBorders>
              <w:top w:val="nil"/>
              <w:left w:val="nil"/>
              <w:bottom w:val="single" w:sz="4" w:space="0" w:color="767171"/>
              <w:right w:val="single" w:sz="4" w:space="0" w:color="767171"/>
            </w:tcBorders>
            <w:noWrap/>
            <w:vAlign w:val="bottom"/>
            <w:hideMark/>
          </w:tcPr>
          <w:p w14:paraId="6A1FE309" w14:textId="77777777" w:rsidR="00815358" w:rsidRPr="005C133F" w:rsidRDefault="00815358" w:rsidP="00C900E7">
            <w:pPr>
              <w:spacing w:after="0" w:line="240" w:lineRule="auto"/>
              <w:jc w:val="right"/>
              <w:rPr>
                <w:lang w:val="es-DO" w:eastAsia="es-DO"/>
              </w:rPr>
            </w:pPr>
            <w:r w:rsidRPr="005C133F">
              <w:rPr>
                <w:lang w:val="es-DO" w:eastAsia="es-DO"/>
              </w:rPr>
              <w:t>2985.24</w:t>
            </w:r>
          </w:p>
        </w:tc>
        <w:tc>
          <w:tcPr>
            <w:tcW w:w="2040" w:type="dxa"/>
            <w:tcBorders>
              <w:top w:val="nil"/>
              <w:left w:val="nil"/>
              <w:bottom w:val="single" w:sz="4" w:space="0" w:color="767171"/>
              <w:right w:val="single" w:sz="4" w:space="0" w:color="767171"/>
            </w:tcBorders>
            <w:noWrap/>
            <w:vAlign w:val="bottom"/>
            <w:hideMark/>
          </w:tcPr>
          <w:p w14:paraId="6455CCA6" w14:textId="77777777" w:rsidR="00815358" w:rsidRPr="005C133F" w:rsidRDefault="00815358" w:rsidP="00C900E7">
            <w:pPr>
              <w:spacing w:after="0" w:line="240" w:lineRule="auto"/>
              <w:jc w:val="right"/>
              <w:rPr>
                <w:lang w:val="es-DO" w:eastAsia="es-DO"/>
              </w:rPr>
            </w:pPr>
            <w:r w:rsidRPr="005C133F">
              <w:rPr>
                <w:lang w:val="es-DO" w:eastAsia="es-DO"/>
              </w:rPr>
              <w:t>2219.93</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4A98EA39" w14:textId="77777777" w:rsidR="00815358" w:rsidRPr="005C133F" w:rsidRDefault="00815358" w:rsidP="00C900E7">
            <w:pPr>
              <w:spacing w:after="0" w:line="240" w:lineRule="auto"/>
              <w:jc w:val="center"/>
              <w:rPr>
                <w:lang w:val="es-DO" w:eastAsia="es-DO"/>
              </w:rPr>
            </w:pPr>
            <w:r w:rsidRPr="005C133F">
              <w:rPr>
                <w:lang w:val="es-DO" w:eastAsia="es-DO"/>
              </w:rPr>
              <w:t>25.64</w:t>
            </w:r>
          </w:p>
        </w:tc>
      </w:tr>
      <w:tr w:rsidR="004921FF" w:rsidRPr="005C133F" w14:paraId="367830D5"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2E3FDBA0" w14:textId="77777777" w:rsidR="00815358" w:rsidRPr="005C133F" w:rsidRDefault="00815358" w:rsidP="00C900E7">
            <w:pPr>
              <w:spacing w:after="0" w:line="240" w:lineRule="auto"/>
              <w:jc w:val="center"/>
              <w:rPr>
                <w:lang w:val="es-DO" w:eastAsia="es-DO"/>
              </w:rPr>
            </w:pPr>
            <w:r w:rsidRPr="005C133F">
              <w:rPr>
                <w:lang w:val="es-DO" w:eastAsia="es-DO"/>
              </w:rPr>
              <w:t>56</w:t>
            </w:r>
          </w:p>
        </w:tc>
        <w:tc>
          <w:tcPr>
            <w:tcW w:w="2580" w:type="dxa"/>
            <w:tcBorders>
              <w:top w:val="nil"/>
              <w:left w:val="nil"/>
              <w:bottom w:val="single" w:sz="4" w:space="0" w:color="767171"/>
              <w:right w:val="single" w:sz="4" w:space="0" w:color="767171"/>
            </w:tcBorders>
            <w:noWrap/>
            <w:vAlign w:val="bottom"/>
            <w:hideMark/>
          </w:tcPr>
          <w:p w14:paraId="62D948AA" w14:textId="77777777" w:rsidR="00815358" w:rsidRPr="005C133F" w:rsidRDefault="00815358" w:rsidP="00C900E7">
            <w:pPr>
              <w:spacing w:after="0" w:line="240" w:lineRule="auto"/>
              <w:rPr>
                <w:lang w:val="es-DO" w:eastAsia="es-DO"/>
              </w:rPr>
            </w:pPr>
            <w:r w:rsidRPr="005C133F">
              <w:rPr>
                <w:lang w:val="es-DO" w:eastAsia="es-DO"/>
              </w:rPr>
              <w:t>RESERVAS</w:t>
            </w:r>
          </w:p>
        </w:tc>
        <w:tc>
          <w:tcPr>
            <w:tcW w:w="1760" w:type="dxa"/>
            <w:tcBorders>
              <w:top w:val="nil"/>
              <w:left w:val="nil"/>
              <w:bottom w:val="single" w:sz="4" w:space="0" w:color="767171"/>
              <w:right w:val="single" w:sz="4" w:space="0" w:color="767171"/>
            </w:tcBorders>
            <w:noWrap/>
            <w:vAlign w:val="bottom"/>
            <w:hideMark/>
          </w:tcPr>
          <w:p w14:paraId="44C57CCC" w14:textId="77777777" w:rsidR="00815358" w:rsidRPr="005C133F" w:rsidRDefault="00815358" w:rsidP="00C900E7">
            <w:pPr>
              <w:spacing w:after="0" w:line="240" w:lineRule="auto"/>
              <w:jc w:val="right"/>
              <w:rPr>
                <w:lang w:val="es-DO" w:eastAsia="es-DO"/>
              </w:rPr>
            </w:pPr>
            <w:r w:rsidRPr="005C133F">
              <w:rPr>
                <w:lang w:val="es-DO" w:eastAsia="es-DO"/>
              </w:rPr>
              <w:t>1653.85</w:t>
            </w:r>
          </w:p>
        </w:tc>
        <w:tc>
          <w:tcPr>
            <w:tcW w:w="2040" w:type="dxa"/>
            <w:tcBorders>
              <w:top w:val="nil"/>
              <w:left w:val="nil"/>
              <w:bottom w:val="single" w:sz="4" w:space="0" w:color="767171"/>
              <w:right w:val="single" w:sz="4" w:space="0" w:color="767171"/>
            </w:tcBorders>
            <w:noWrap/>
            <w:vAlign w:val="bottom"/>
            <w:hideMark/>
          </w:tcPr>
          <w:p w14:paraId="67516C2F" w14:textId="77777777" w:rsidR="00815358" w:rsidRPr="005C133F" w:rsidRDefault="00815358" w:rsidP="00C900E7">
            <w:pPr>
              <w:spacing w:after="0" w:line="240" w:lineRule="auto"/>
              <w:jc w:val="right"/>
              <w:rPr>
                <w:lang w:val="es-DO" w:eastAsia="es-DO"/>
              </w:rPr>
            </w:pPr>
            <w:r w:rsidRPr="005C133F">
              <w:rPr>
                <w:lang w:val="es-DO" w:eastAsia="es-DO"/>
              </w:rPr>
              <w:t>2054.88</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39B02B41" w14:textId="77777777" w:rsidR="00815358" w:rsidRPr="005C133F" w:rsidRDefault="00815358" w:rsidP="00C900E7">
            <w:pPr>
              <w:spacing w:after="0" w:line="240" w:lineRule="auto"/>
              <w:jc w:val="center"/>
              <w:rPr>
                <w:lang w:val="es-DO" w:eastAsia="es-DO"/>
              </w:rPr>
            </w:pPr>
            <w:r w:rsidRPr="005C133F">
              <w:rPr>
                <w:lang w:val="es-DO" w:eastAsia="es-DO"/>
              </w:rPr>
              <w:t>-24.25</w:t>
            </w:r>
          </w:p>
        </w:tc>
      </w:tr>
      <w:tr w:rsidR="004921FF" w:rsidRPr="005C133F" w14:paraId="4344B7E1" w14:textId="77777777" w:rsidTr="0067066E">
        <w:trPr>
          <w:trHeight w:val="312"/>
          <w:jc w:val="center"/>
        </w:trPr>
        <w:tc>
          <w:tcPr>
            <w:tcW w:w="1060" w:type="dxa"/>
            <w:tcBorders>
              <w:top w:val="nil"/>
              <w:left w:val="single" w:sz="4" w:space="0" w:color="767171"/>
              <w:bottom w:val="single" w:sz="4" w:space="0" w:color="767171"/>
              <w:right w:val="single" w:sz="4" w:space="0" w:color="767171"/>
            </w:tcBorders>
            <w:noWrap/>
            <w:vAlign w:val="bottom"/>
            <w:hideMark/>
          </w:tcPr>
          <w:p w14:paraId="3BF63B83" w14:textId="77777777" w:rsidR="00815358" w:rsidRPr="005C133F" w:rsidRDefault="00815358" w:rsidP="00C900E7">
            <w:pPr>
              <w:spacing w:after="0" w:line="240" w:lineRule="auto"/>
              <w:jc w:val="center"/>
              <w:rPr>
                <w:lang w:val="es-DO" w:eastAsia="es-DO"/>
              </w:rPr>
            </w:pPr>
            <w:r w:rsidRPr="005C133F">
              <w:rPr>
                <w:lang w:val="es-DO" w:eastAsia="es-DO"/>
              </w:rPr>
              <w:t>63</w:t>
            </w:r>
          </w:p>
        </w:tc>
        <w:tc>
          <w:tcPr>
            <w:tcW w:w="2580" w:type="dxa"/>
            <w:tcBorders>
              <w:top w:val="nil"/>
              <w:left w:val="nil"/>
              <w:bottom w:val="single" w:sz="4" w:space="0" w:color="767171"/>
              <w:right w:val="single" w:sz="4" w:space="0" w:color="767171"/>
            </w:tcBorders>
            <w:noWrap/>
            <w:vAlign w:val="bottom"/>
            <w:hideMark/>
          </w:tcPr>
          <w:p w14:paraId="7055EC26" w14:textId="77777777" w:rsidR="00815358" w:rsidRPr="005C133F" w:rsidRDefault="00815358" w:rsidP="00C900E7">
            <w:pPr>
              <w:spacing w:after="0" w:line="240" w:lineRule="auto"/>
              <w:rPr>
                <w:lang w:val="es-DO" w:eastAsia="es-DO"/>
              </w:rPr>
            </w:pPr>
            <w:r w:rsidRPr="005C133F">
              <w:rPr>
                <w:lang w:val="es-DO" w:eastAsia="es-DO"/>
              </w:rPr>
              <w:t>METASALUD</w:t>
            </w:r>
          </w:p>
        </w:tc>
        <w:tc>
          <w:tcPr>
            <w:tcW w:w="1760" w:type="dxa"/>
            <w:tcBorders>
              <w:top w:val="nil"/>
              <w:left w:val="nil"/>
              <w:bottom w:val="single" w:sz="4" w:space="0" w:color="767171"/>
              <w:right w:val="single" w:sz="4" w:space="0" w:color="767171"/>
            </w:tcBorders>
            <w:noWrap/>
            <w:vAlign w:val="bottom"/>
            <w:hideMark/>
          </w:tcPr>
          <w:p w14:paraId="2B516CA9" w14:textId="77777777" w:rsidR="00815358" w:rsidRPr="005C133F" w:rsidRDefault="00815358" w:rsidP="00C900E7">
            <w:pPr>
              <w:spacing w:after="0" w:line="240" w:lineRule="auto"/>
              <w:jc w:val="right"/>
              <w:rPr>
                <w:lang w:val="es-DO" w:eastAsia="es-DO"/>
              </w:rPr>
            </w:pPr>
            <w:r w:rsidRPr="005C133F">
              <w:rPr>
                <w:lang w:val="es-DO" w:eastAsia="es-DO"/>
              </w:rPr>
              <w:t>1348.3</w:t>
            </w:r>
          </w:p>
        </w:tc>
        <w:tc>
          <w:tcPr>
            <w:tcW w:w="2040" w:type="dxa"/>
            <w:tcBorders>
              <w:top w:val="nil"/>
              <w:left w:val="nil"/>
              <w:bottom w:val="single" w:sz="4" w:space="0" w:color="767171"/>
              <w:right w:val="single" w:sz="4" w:space="0" w:color="767171"/>
            </w:tcBorders>
            <w:noWrap/>
            <w:vAlign w:val="bottom"/>
            <w:hideMark/>
          </w:tcPr>
          <w:p w14:paraId="6DC256CC" w14:textId="77777777" w:rsidR="00815358" w:rsidRPr="005C133F" w:rsidRDefault="00815358" w:rsidP="00C900E7">
            <w:pPr>
              <w:spacing w:after="0" w:line="240" w:lineRule="auto"/>
              <w:jc w:val="right"/>
              <w:rPr>
                <w:lang w:val="es-DO" w:eastAsia="es-DO"/>
              </w:rPr>
            </w:pPr>
            <w:r w:rsidRPr="005C133F">
              <w:rPr>
                <w:lang w:val="es-DO" w:eastAsia="es-DO"/>
              </w:rPr>
              <w:t>1218.46</w:t>
            </w:r>
          </w:p>
        </w:tc>
        <w:tc>
          <w:tcPr>
            <w:tcW w:w="1400" w:type="dxa"/>
            <w:tcBorders>
              <w:top w:val="single" w:sz="4" w:space="0" w:color="767171"/>
              <w:left w:val="single" w:sz="4" w:space="0" w:color="767171"/>
              <w:bottom w:val="single" w:sz="4" w:space="0" w:color="767171"/>
              <w:right w:val="single" w:sz="4" w:space="0" w:color="767171"/>
            </w:tcBorders>
            <w:noWrap/>
            <w:vAlign w:val="bottom"/>
            <w:hideMark/>
          </w:tcPr>
          <w:p w14:paraId="5388D448" w14:textId="77777777" w:rsidR="00815358" w:rsidRPr="005C133F" w:rsidRDefault="00815358" w:rsidP="00C900E7">
            <w:pPr>
              <w:spacing w:after="0" w:line="240" w:lineRule="auto"/>
              <w:jc w:val="center"/>
              <w:rPr>
                <w:lang w:val="es-DO" w:eastAsia="es-DO"/>
              </w:rPr>
            </w:pPr>
            <w:r w:rsidRPr="005C133F">
              <w:rPr>
                <w:lang w:val="es-DO" w:eastAsia="es-DO"/>
              </w:rPr>
              <w:t>9.63</w:t>
            </w:r>
          </w:p>
        </w:tc>
      </w:tr>
      <w:tr w:rsidR="005C133F" w:rsidRPr="005C133F" w14:paraId="6EB3A0C3" w14:textId="77777777" w:rsidTr="0067066E">
        <w:trPr>
          <w:trHeight w:val="312"/>
          <w:jc w:val="center"/>
        </w:trPr>
        <w:tc>
          <w:tcPr>
            <w:tcW w:w="1060" w:type="dxa"/>
            <w:tcBorders>
              <w:top w:val="nil"/>
              <w:left w:val="nil"/>
              <w:bottom w:val="nil"/>
              <w:right w:val="nil"/>
            </w:tcBorders>
            <w:noWrap/>
            <w:vAlign w:val="bottom"/>
            <w:hideMark/>
          </w:tcPr>
          <w:p w14:paraId="3E4F17E4" w14:textId="77777777" w:rsidR="00815358" w:rsidRPr="005C133F" w:rsidRDefault="00815358" w:rsidP="00C900E7">
            <w:pPr>
              <w:spacing w:after="0" w:line="240" w:lineRule="auto"/>
              <w:jc w:val="center"/>
              <w:rPr>
                <w:lang w:val="es-DO" w:eastAsia="es-DO"/>
              </w:rPr>
            </w:pPr>
          </w:p>
        </w:tc>
        <w:tc>
          <w:tcPr>
            <w:tcW w:w="2580" w:type="dxa"/>
            <w:tcBorders>
              <w:top w:val="nil"/>
              <w:left w:val="nil"/>
              <w:bottom w:val="nil"/>
              <w:right w:val="nil"/>
            </w:tcBorders>
            <w:noWrap/>
            <w:vAlign w:val="bottom"/>
            <w:hideMark/>
          </w:tcPr>
          <w:p w14:paraId="7B5467E8" w14:textId="77777777" w:rsidR="00815358" w:rsidRPr="005C133F" w:rsidRDefault="00815358" w:rsidP="00C900E7">
            <w:pPr>
              <w:spacing w:after="0" w:line="240" w:lineRule="auto"/>
              <w:jc w:val="center"/>
              <w:rPr>
                <w:lang w:val="es-DO" w:eastAsia="es-DO"/>
              </w:rPr>
            </w:pPr>
          </w:p>
        </w:tc>
        <w:tc>
          <w:tcPr>
            <w:tcW w:w="1760" w:type="dxa"/>
            <w:tcBorders>
              <w:top w:val="nil"/>
              <w:left w:val="single" w:sz="4" w:space="0" w:color="767171"/>
              <w:bottom w:val="single" w:sz="4" w:space="0" w:color="767171"/>
              <w:right w:val="single" w:sz="4" w:space="0" w:color="767171"/>
            </w:tcBorders>
            <w:shd w:val="clear" w:color="auto" w:fill="011C50"/>
            <w:noWrap/>
            <w:vAlign w:val="bottom"/>
            <w:hideMark/>
          </w:tcPr>
          <w:p w14:paraId="70232691" w14:textId="77777777" w:rsidR="00815358" w:rsidRPr="005C133F" w:rsidRDefault="00815358" w:rsidP="00C900E7">
            <w:pPr>
              <w:spacing w:after="0" w:line="240" w:lineRule="auto"/>
              <w:jc w:val="right"/>
              <w:rPr>
                <w:b/>
                <w:bCs/>
                <w:color w:val="FFFFFF" w:themeColor="background1"/>
                <w:lang w:val="es-DO" w:eastAsia="es-DO"/>
              </w:rPr>
            </w:pPr>
            <w:r w:rsidRPr="005C133F">
              <w:rPr>
                <w:b/>
                <w:bCs/>
                <w:color w:val="FFFFFF" w:themeColor="background1"/>
                <w:lang w:val="es-DO" w:eastAsia="es-DO"/>
              </w:rPr>
              <w:t>1816.23</w:t>
            </w:r>
          </w:p>
        </w:tc>
        <w:tc>
          <w:tcPr>
            <w:tcW w:w="2040" w:type="dxa"/>
            <w:tcBorders>
              <w:top w:val="nil"/>
              <w:left w:val="nil"/>
              <w:bottom w:val="single" w:sz="4" w:space="0" w:color="767171"/>
              <w:right w:val="single" w:sz="4" w:space="0" w:color="767171"/>
            </w:tcBorders>
            <w:shd w:val="clear" w:color="auto" w:fill="011C50"/>
            <w:noWrap/>
            <w:vAlign w:val="bottom"/>
            <w:hideMark/>
          </w:tcPr>
          <w:p w14:paraId="0F8B691D" w14:textId="77777777" w:rsidR="00815358" w:rsidRPr="005C133F" w:rsidRDefault="00815358" w:rsidP="00C900E7">
            <w:pPr>
              <w:spacing w:after="0" w:line="240" w:lineRule="auto"/>
              <w:jc w:val="right"/>
              <w:rPr>
                <w:b/>
                <w:bCs/>
                <w:lang w:val="es-DO" w:eastAsia="es-DO"/>
              </w:rPr>
            </w:pPr>
            <w:r w:rsidRPr="005C133F">
              <w:rPr>
                <w:b/>
                <w:bCs/>
                <w:color w:val="FFFFFF" w:themeColor="background1"/>
                <w:lang w:val="es-DO" w:eastAsia="es-DO"/>
              </w:rPr>
              <w:t>1663.64</w:t>
            </w:r>
          </w:p>
        </w:tc>
        <w:tc>
          <w:tcPr>
            <w:tcW w:w="1400" w:type="dxa"/>
            <w:tcBorders>
              <w:top w:val="nil"/>
              <w:left w:val="nil"/>
              <w:bottom w:val="nil"/>
              <w:right w:val="nil"/>
            </w:tcBorders>
            <w:noWrap/>
            <w:vAlign w:val="bottom"/>
            <w:hideMark/>
          </w:tcPr>
          <w:p w14:paraId="724C2851" w14:textId="77777777" w:rsidR="00815358" w:rsidRPr="005C133F" w:rsidRDefault="00815358" w:rsidP="00C900E7">
            <w:pPr>
              <w:spacing w:after="0" w:line="240" w:lineRule="auto"/>
              <w:jc w:val="right"/>
              <w:rPr>
                <w:b/>
                <w:bCs/>
                <w:lang w:val="es-DO" w:eastAsia="es-DO"/>
              </w:rPr>
            </w:pPr>
          </w:p>
        </w:tc>
      </w:tr>
    </w:tbl>
    <w:p w14:paraId="7C2B440F" w14:textId="77777777" w:rsidR="00815358" w:rsidRPr="005C133F" w:rsidRDefault="00815358" w:rsidP="005C133F">
      <w:pPr>
        <w:tabs>
          <w:tab w:val="left" w:pos="1080"/>
        </w:tabs>
        <w:spacing w:before="1" w:after="0" w:line="360" w:lineRule="auto"/>
        <w:ind w:left="720" w:right="1077"/>
        <w:jc w:val="center"/>
        <w:rPr>
          <w:highlight w:val="yellow"/>
        </w:rPr>
      </w:pPr>
    </w:p>
    <w:p w14:paraId="22DEF0F5" w14:textId="488B627A" w:rsidR="00815358" w:rsidRPr="005C133F" w:rsidRDefault="00270284" w:rsidP="005C133F">
      <w:pPr>
        <w:pStyle w:val="Sinespaciado"/>
        <w:spacing w:line="360" w:lineRule="auto"/>
        <w:ind w:left="720"/>
        <w:rPr>
          <w:rFonts w:eastAsiaTheme="minorHAnsi"/>
          <w:color w:val="767171"/>
          <w:lang w:val="es-DO"/>
        </w:rPr>
      </w:pPr>
      <w:r w:rsidRPr="005C133F">
        <w:rPr>
          <w:rFonts w:eastAsiaTheme="minorHAnsi"/>
          <w:color w:val="767171"/>
          <w:lang w:val="es-DO"/>
        </w:rPr>
        <w:t>El</w:t>
      </w:r>
      <w:r w:rsidR="002F7286" w:rsidRPr="005C133F">
        <w:rPr>
          <w:rFonts w:eastAsiaTheme="minorHAnsi"/>
          <w:color w:val="767171"/>
          <w:lang w:val="es-DO"/>
        </w:rPr>
        <w:t xml:space="preserve"> </w:t>
      </w:r>
      <w:r w:rsidR="007350C5" w:rsidRPr="005C133F">
        <w:rPr>
          <w:rFonts w:eastAsiaTheme="minorHAnsi"/>
          <w:color w:val="767171"/>
          <w:lang w:val="es-DO"/>
        </w:rPr>
        <w:t>análisis</w:t>
      </w:r>
      <w:r w:rsidR="002F7286" w:rsidRPr="005C133F">
        <w:rPr>
          <w:rFonts w:eastAsiaTheme="minorHAnsi"/>
          <w:color w:val="767171"/>
          <w:lang w:val="es-DO"/>
        </w:rPr>
        <w:t xml:space="preserve"> arrojó que: </w:t>
      </w:r>
    </w:p>
    <w:p w14:paraId="5DCEA412" w14:textId="77777777" w:rsidR="00815358" w:rsidRPr="005C133F" w:rsidRDefault="00815358">
      <w:pPr>
        <w:pStyle w:val="Prrafodelista"/>
        <w:numPr>
          <w:ilvl w:val="0"/>
          <w:numId w:val="68"/>
        </w:numPr>
        <w:spacing w:after="0" w:line="360" w:lineRule="auto"/>
        <w:jc w:val="both"/>
        <w:rPr>
          <w:lang w:val="es-DO"/>
        </w:rPr>
      </w:pPr>
      <w:r w:rsidRPr="005C133F">
        <w:rPr>
          <w:lang w:val="es-DO"/>
        </w:rPr>
        <w:t>En particular, las ARS 42 (SEMMA) y 52 (Reservas) destacan con cifras más significativas, ya que registran diferencias superiores al 24%, lo que refleja una posible carga adicional sobre el PBS en el caso de los afiliados con planes complementarios.</w:t>
      </w:r>
    </w:p>
    <w:p w14:paraId="5B7921CD" w14:textId="77777777" w:rsidR="00815358" w:rsidRPr="005C133F" w:rsidRDefault="00815358">
      <w:pPr>
        <w:pStyle w:val="Prrafodelista"/>
        <w:numPr>
          <w:ilvl w:val="0"/>
          <w:numId w:val="68"/>
        </w:numPr>
        <w:spacing w:after="0" w:line="360" w:lineRule="auto"/>
        <w:jc w:val="both"/>
        <w:rPr>
          <w:lang w:val="es-DO"/>
        </w:rPr>
      </w:pPr>
      <w:r w:rsidRPr="005C133F">
        <w:rPr>
          <w:lang w:val="es-DO"/>
        </w:rPr>
        <w:t>Además, en el caso de la ARS 52 (SENASA), se observa que el promedio pagado en el PBS a los afiliados sin plan complementario es casi el doble del promedio general pagado por todas las ARS, lo cual evidencia un comportamiento atípico que amerita atención.</w:t>
      </w:r>
    </w:p>
    <w:p w14:paraId="143F5EE5" w14:textId="77777777" w:rsidR="008008A9" w:rsidRPr="005C133F" w:rsidRDefault="008008A9" w:rsidP="005C133F">
      <w:pPr>
        <w:pStyle w:val="Prrafodelista"/>
        <w:spacing w:after="0" w:line="360" w:lineRule="auto"/>
        <w:ind w:left="1080"/>
        <w:jc w:val="both"/>
        <w:rPr>
          <w:lang w:val="es-DO"/>
        </w:rPr>
      </w:pPr>
    </w:p>
    <w:p w14:paraId="51129874" w14:textId="3C8C55AB" w:rsidR="00815358" w:rsidRPr="005C133F" w:rsidRDefault="009C7CA1">
      <w:pPr>
        <w:pStyle w:val="Prrafodelista"/>
        <w:numPr>
          <w:ilvl w:val="0"/>
          <w:numId w:val="64"/>
        </w:numPr>
        <w:spacing w:after="0" w:line="360" w:lineRule="auto"/>
        <w:jc w:val="both"/>
        <w:rPr>
          <w:lang w:val="es-DO"/>
        </w:rPr>
      </w:pPr>
      <w:r w:rsidRPr="005C133F">
        <w:rPr>
          <w:lang w:val="es-DO"/>
        </w:rPr>
        <w:t xml:space="preserve">Se </w:t>
      </w:r>
      <w:r w:rsidR="00C90779" w:rsidRPr="005C133F">
        <w:rPr>
          <w:lang w:val="es-DO"/>
        </w:rPr>
        <w:t>realizaron</w:t>
      </w:r>
      <w:r w:rsidR="00815358" w:rsidRPr="005C133F">
        <w:rPr>
          <w:lang w:val="es-DO"/>
        </w:rPr>
        <w:t xml:space="preserve"> más de 25 actualizaciones y/o creaciones de tablas y cubos para garantizar la información que sustentan los estudios actuariales. </w:t>
      </w:r>
    </w:p>
    <w:p w14:paraId="516F71F5" w14:textId="32FB0BF1" w:rsidR="00815358" w:rsidRPr="005C133F" w:rsidRDefault="00C90779">
      <w:pPr>
        <w:pStyle w:val="Prrafodelista"/>
        <w:numPr>
          <w:ilvl w:val="0"/>
          <w:numId w:val="64"/>
        </w:numPr>
        <w:spacing w:after="0" w:line="360" w:lineRule="auto"/>
        <w:jc w:val="both"/>
        <w:rPr>
          <w:lang w:val="es-DO"/>
        </w:rPr>
      </w:pPr>
      <w:r w:rsidRPr="005C133F">
        <w:rPr>
          <w:lang w:val="es-DO"/>
        </w:rPr>
        <w:t xml:space="preserve">Se realizaron </w:t>
      </w:r>
      <w:r w:rsidR="00815358" w:rsidRPr="005C133F">
        <w:rPr>
          <w:lang w:val="es-DO"/>
        </w:rPr>
        <w:t>tres (3) estudios actuariales sobre la situación del Fondo Cuidado de la Salud en el Régimen Contributivo. En la última actualización,</w:t>
      </w:r>
      <w:r w:rsidR="0063293A" w:rsidRPr="005C133F">
        <w:rPr>
          <w:lang w:val="es-DO"/>
        </w:rPr>
        <w:t xml:space="preserve"> al cierre de agosto de 2025</w:t>
      </w:r>
      <w:r w:rsidR="008839CE" w:rsidRPr="005C133F">
        <w:rPr>
          <w:lang w:val="es-DO"/>
        </w:rPr>
        <w:t>,</w:t>
      </w:r>
      <w:r w:rsidR="00815358" w:rsidRPr="005C133F">
        <w:rPr>
          <w:lang w:val="es-DO"/>
        </w:rPr>
        <w:t xml:space="preserve"> se </w:t>
      </w:r>
      <w:r w:rsidR="00E72B40" w:rsidRPr="005C133F">
        <w:rPr>
          <w:lang w:val="es-DO"/>
        </w:rPr>
        <w:t>observó</w:t>
      </w:r>
      <w:r w:rsidR="00815358" w:rsidRPr="005C133F">
        <w:rPr>
          <w:lang w:val="es-DO"/>
        </w:rPr>
        <w:t xml:space="preserve"> </w:t>
      </w:r>
      <w:r w:rsidR="00DE5A66" w:rsidRPr="005C133F">
        <w:rPr>
          <w:lang w:val="es-DO"/>
        </w:rPr>
        <w:t xml:space="preserve">el </w:t>
      </w:r>
      <w:r w:rsidR="00815358" w:rsidRPr="005C133F">
        <w:rPr>
          <w:lang w:val="es-DO"/>
        </w:rPr>
        <w:t xml:space="preserve">Fondo Cuidado de la Salud </w:t>
      </w:r>
      <w:r w:rsidR="003A20C9" w:rsidRPr="005C133F">
        <w:rPr>
          <w:lang w:val="es-DO"/>
        </w:rPr>
        <w:t xml:space="preserve">con </w:t>
      </w:r>
      <w:r w:rsidR="00815358" w:rsidRPr="005C133F">
        <w:rPr>
          <w:lang w:val="es-DO"/>
        </w:rPr>
        <w:t xml:space="preserve">valores disponibles por RD$4,875.52 millones, RD$1,619.04 millones más que los valores al cierre de mayo de 2025, este con un monto de RD$3,256.48 millones.  </w:t>
      </w:r>
    </w:p>
    <w:p w14:paraId="1E68FB2E" w14:textId="2A49E3C1" w:rsidR="00C900E7" w:rsidRDefault="00CF2C54">
      <w:pPr>
        <w:pStyle w:val="Prrafodelista"/>
        <w:numPr>
          <w:ilvl w:val="0"/>
          <w:numId w:val="64"/>
        </w:numPr>
        <w:spacing w:after="0" w:line="360" w:lineRule="auto"/>
        <w:jc w:val="both"/>
        <w:rPr>
          <w:lang w:val="es-DO"/>
        </w:rPr>
      </w:pPr>
      <w:r w:rsidRPr="005C133F">
        <w:rPr>
          <w:lang w:val="es-DO"/>
        </w:rPr>
        <w:t xml:space="preserve">Se elaboró </w:t>
      </w:r>
      <w:r w:rsidR="00815358" w:rsidRPr="005C133F">
        <w:rPr>
          <w:lang w:val="es-DO"/>
        </w:rPr>
        <w:t>un (1) Dashboard sobre el Ciclo SFS, en</w:t>
      </w:r>
      <w:r w:rsidR="001D4A3D" w:rsidRPr="005C133F">
        <w:rPr>
          <w:lang w:val="es-DO"/>
        </w:rPr>
        <w:t xml:space="preserve"> el</w:t>
      </w:r>
      <w:r w:rsidR="00815358" w:rsidRPr="005C133F">
        <w:rPr>
          <w:lang w:val="es-DO"/>
        </w:rPr>
        <w:t xml:space="preserve"> cual, para el per</w:t>
      </w:r>
      <w:r w:rsidR="001D4A3D" w:rsidRPr="005C133F">
        <w:rPr>
          <w:lang w:val="es-DO"/>
        </w:rPr>
        <w:t>í</w:t>
      </w:r>
      <w:r w:rsidR="00815358" w:rsidRPr="005C133F">
        <w:rPr>
          <w:lang w:val="es-DO"/>
        </w:rPr>
        <w:t>odo de mayo 2025, se observ</w:t>
      </w:r>
      <w:r w:rsidR="00FD14D8" w:rsidRPr="005C133F">
        <w:rPr>
          <w:lang w:val="es-DO"/>
        </w:rPr>
        <w:t>ó</w:t>
      </w:r>
      <w:r w:rsidR="00815358" w:rsidRPr="005C133F">
        <w:rPr>
          <w:lang w:val="es-DO"/>
        </w:rPr>
        <w:t xml:space="preserve"> una individualización de </w:t>
      </w:r>
      <w:r w:rsidR="00815358" w:rsidRPr="005C133F">
        <w:rPr>
          <w:lang w:val="es-DO"/>
        </w:rPr>
        <w:lastRenderedPageBreak/>
        <w:t>RD$8,693,877,562.41, 3.08% más de los recaudado que el mes anterior. En el caso de la dispersión del PDSS, se observa un monto de RD$8,022,903,174.44 y una dispersión de AT de RD$153,663,577.60.</w:t>
      </w:r>
    </w:p>
    <w:p w14:paraId="492DBA36" w14:textId="77777777" w:rsidR="00C900E7" w:rsidRPr="00C900E7" w:rsidRDefault="00C900E7" w:rsidP="00C900E7">
      <w:pPr>
        <w:pStyle w:val="Prrafodelista"/>
        <w:spacing w:after="0" w:line="360" w:lineRule="auto"/>
        <w:ind w:left="360"/>
        <w:jc w:val="both"/>
        <w:rPr>
          <w:lang w:val="es-DO"/>
        </w:rPr>
      </w:pPr>
    </w:p>
    <w:p w14:paraId="56FA61C4" w14:textId="32E2CE53" w:rsidR="00764FC5" w:rsidRPr="005C133F" w:rsidRDefault="00D7162E" w:rsidP="005C133F">
      <w:pPr>
        <w:pStyle w:val="SUBTITULITO"/>
        <w:spacing w:after="0"/>
        <w:rPr>
          <w:rFonts w:eastAsia="Calibri"/>
          <w:noProof/>
        </w:rPr>
      </w:pPr>
      <w:bookmarkStart w:id="93" w:name="_Toc219121843"/>
      <w:r w:rsidRPr="005C133F">
        <w:rPr>
          <w:rFonts w:eastAsia="Calibri"/>
          <w:noProof/>
        </w:rPr>
        <w:t>3.3</w:t>
      </w:r>
      <w:r w:rsidR="003D5D4C" w:rsidRPr="005C133F">
        <w:rPr>
          <w:rFonts w:eastAsia="Calibri"/>
          <w:noProof/>
        </w:rPr>
        <w:t xml:space="preserve"> </w:t>
      </w:r>
      <w:r w:rsidR="00F05E5A" w:rsidRPr="005C133F">
        <w:rPr>
          <w:rFonts w:eastAsia="Calibri"/>
          <w:noProof/>
        </w:rPr>
        <w:t>Fortalecimiento del Sistema de Regulación, Supervisión, Conciliación y Fiscalización</w:t>
      </w:r>
      <w:bookmarkEnd w:id="93"/>
    </w:p>
    <w:p w14:paraId="22F46CD6" w14:textId="680891B5" w:rsidR="00E1310B" w:rsidRPr="005C133F" w:rsidRDefault="007130AD" w:rsidP="005C133F">
      <w:pPr>
        <w:pStyle w:val="SUBTITULOM"/>
        <w:spacing w:after="0"/>
      </w:pPr>
      <w:bookmarkStart w:id="94" w:name="_Toc219121844"/>
      <w:r w:rsidRPr="005C133F">
        <w:t>3.3.1 Fortaleci</w:t>
      </w:r>
      <w:r w:rsidR="00BE0194" w:rsidRPr="005C133F">
        <w:t>miento d</w:t>
      </w:r>
      <w:r w:rsidRPr="005C133F">
        <w:t>el cumplimiento de las normativas del SFS y SRL por parte de los actores regulados mediante mecanismos efectivos de supervisión y control</w:t>
      </w:r>
      <w:bookmarkEnd w:id="94"/>
    </w:p>
    <w:p w14:paraId="5D450DD0" w14:textId="77777777" w:rsidR="008743C1" w:rsidRPr="005C133F" w:rsidRDefault="008743C1" w:rsidP="005C133F">
      <w:pPr>
        <w:spacing w:after="0" w:line="360" w:lineRule="auto"/>
        <w:jc w:val="both"/>
        <w:rPr>
          <w:rFonts w:eastAsiaTheme="minorEastAsia"/>
          <w:b/>
          <w:lang w:val="es-DO"/>
        </w:rPr>
      </w:pPr>
    </w:p>
    <w:p w14:paraId="09F8D775" w14:textId="0AF3013C" w:rsidR="00991A71" w:rsidRPr="005C133F" w:rsidRDefault="008743C1" w:rsidP="005C133F">
      <w:pPr>
        <w:spacing w:after="0" w:line="360" w:lineRule="auto"/>
        <w:jc w:val="both"/>
        <w:rPr>
          <w:b/>
          <w:bCs/>
          <w:lang w:val="es-DO"/>
        </w:rPr>
      </w:pPr>
      <w:r w:rsidRPr="005C133F">
        <w:rPr>
          <w:rFonts w:eastAsiaTheme="minorEastAsia"/>
          <w:b/>
          <w:lang w:val="es-DO"/>
        </w:rPr>
        <w:t>Supervisión y Monitoreo de ARS</w:t>
      </w:r>
      <w:r w:rsidR="00FB3A0D" w:rsidRPr="005C133F">
        <w:rPr>
          <w:rFonts w:eastAsiaTheme="minorEastAsia"/>
          <w:b/>
          <w:lang w:val="es-DO"/>
        </w:rPr>
        <w:t xml:space="preserve">: </w:t>
      </w:r>
      <w:r w:rsidR="00991A71" w:rsidRPr="005C133F">
        <w:rPr>
          <w:b/>
          <w:bCs/>
          <w:lang w:val="es-DO"/>
        </w:rPr>
        <w:t>Validación del cumplimiento de las normativas y resoluciones en las Administradoras de Riesgos de Salud (ARS) priorizadas:</w:t>
      </w:r>
    </w:p>
    <w:p w14:paraId="3E85296F" w14:textId="77777777" w:rsidR="00DE576E" w:rsidRPr="005C133F" w:rsidRDefault="00DE576E" w:rsidP="005C133F">
      <w:pPr>
        <w:spacing w:after="0" w:line="360" w:lineRule="auto"/>
        <w:jc w:val="both"/>
        <w:rPr>
          <w:b/>
          <w:bCs/>
          <w:lang w:val="es-DO"/>
        </w:rPr>
      </w:pPr>
    </w:p>
    <w:p w14:paraId="1CFDD807" w14:textId="2971FB93" w:rsidR="00DE576E" w:rsidRPr="005C133F" w:rsidRDefault="00DE576E" w:rsidP="005C133F">
      <w:pPr>
        <w:spacing w:after="0" w:line="360" w:lineRule="auto"/>
        <w:jc w:val="both"/>
        <w:rPr>
          <w:lang w:val="es-DO" w:eastAsia="es-DO"/>
        </w:rPr>
      </w:pPr>
      <w:r w:rsidRPr="005C133F">
        <w:rPr>
          <w:lang w:val="es-DO" w:eastAsia="es-DO"/>
        </w:rPr>
        <w:t>Durante el período enero-</w:t>
      </w:r>
      <w:r w:rsidR="00A3381D">
        <w:rPr>
          <w:lang w:val="es-DO" w:eastAsia="es-DO"/>
        </w:rPr>
        <w:t>diciembre</w:t>
      </w:r>
      <w:r w:rsidRPr="005C133F">
        <w:rPr>
          <w:lang w:val="es-DO" w:eastAsia="es-DO"/>
        </w:rPr>
        <w:t xml:space="preserve"> de 2025 </w:t>
      </w:r>
      <w:r w:rsidR="000678E8" w:rsidRPr="005C133F">
        <w:rPr>
          <w:lang w:val="es-DO" w:eastAsia="es-DO"/>
        </w:rPr>
        <w:t xml:space="preserve">la SISALRIL </w:t>
      </w:r>
      <w:r w:rsidR="00231927" w:rsidRPr="005C133F">
        <w:rPr>
          <w:lang w:val="es-DO" w:eastAsia="es-DO"/>
        </w:rPr>
        <w:t>ejecutó seis</w:t>
      </w:r>
      <w:r w:rsidRPr="005C133F">
        <w:rPr>
          <w:lang w:val="es-DO" w:eastAsia="es-DO"/>
        </w:rPr>
        <w:t xml:space="preserve"> </w:t>
      </w:r>
      <w:r w:rsidR="001D350F" w:rsidRPr="005C133F">
        <w:rPr>
          <w:lang w:val="es-DO" w:eastAsia="es-DO"/>
        </w:rPr>
        <w:t>(</w:t>
      </w:r>
      <w:r w:rsidRPr="005C133F">
        <w:rPr>
          <w:lang w:val="es-DO" w:eastAsia="es-DO"/>
        </w:rPr>
        <w:t>6</w:t>
      </w:r>
      <w:r w:rsidR="001D350F" w:rsidRPr="005C133F">
        <w:rPr>
          <w:lang w:val="es-DO" w:eastAsia="es-DO"/>
        </w:rPr>
        <w:t>)</w:t>
      </w:r>
      <w:r w:rsidRPr="005C133F">
        <w:rPr>
          <w:lang w:val="es-DO" w:eastAsia="es-DO"/>
        </w:rPr>
        <w:t xml:space="preserve"> procesos de supervisión y monitoreo a las Administradoras de Riesgos de Salud (ARS) </w:t>
      </w:r>
      <w:r w:rsidR="0060109C" w:rsidRPr="005C133F">
        <w:rPr>
          <w:lang w:val="es-DO" w:eastAsia="es-DO"/>
        </w:rPr>
        <w:t>orientados a verificar el</w:t>
      </w:r>
      <w:r w:rsidRPr="005C133F">
        <w:rPr>
          <w:lang w:val="es-DO" w:eastAsia="es-DO"/>
        </w:rPr>
        <w:t xml:space="preserve"> cumplimiento normativo, validación del otorgamiento de coberturas e identificación de puntos de mejora, </w:t>
      </w:r>
      <w:r w:rsidR="00A97705" w:rsidRPr="005C133F">
        <w:rPr>
          <w:lang w:val="es-DO" w:eastAsia="es-DO"/>
        </w:rPr>
        <w:t xml:space="preserve">abarcando un total de </w:t>
      </w:r>
      <w:r w:rsidRPr="005C133F">
        <w:rPr>
          <w:lang w:val="es-DO" w:eastAsia="es-DO"/>
        </w:rPr>
        <w:t>5</w:t>
      </w:r>
      <w:r w:rsidR="00A3381D">
        <w:rPr>
          <w:lang w:val="es-DO" w:eastAsia="es-DO"/>
        </w:rPr>
        <w:t>6</w:t>
      </w:r>
      <w:r w:rsidRPr="005C133F">
        <w:rPr>
          <w:lang w:val="es-DO" w:eastAsia="es-DO"/>
        </w:rPr>
        <w:t xml:space="preserve"> supervisiones</w:t>
      </w:r>
      <w:r w:rsidR="00F304AD" w:rsidRPr="005C133F">
        <w:rPr>
          <w:lang w:val="es-DO" w:eastAsia="es-DO"/>
        </w:rPr>
        <w:t xml:space="preserve">. En ese contexto: </w:t>
      </w:r>
    </w:p>
    <w:p w14:paraId="093F7A5D" w14:textId="7BC21F7B" w:rsidR="00DE576E" w:rsidRPr="005C133F" w:rsidRDefault="00DE576E">
      <w:pPr>
        <w:pStyle w:val="Prrafodelista"/>
        <w:numPr>
          <w:ilvl w:val="0"/>
          <w:numId w:val="53"/>
        </w:numPr>
        <w:spacing w:after="0" w:line="360" w:lineRule="auto"/>
        <w:jc w:val="both"/>
        <w:rPr>
          <w:lang w:val="es-DO"/>
        </w:rPr>
      </w:pPr>
      <w:r w:rsidRPr="005C133F">
        <w:rPr>
          <w:lang w:val="es-DO"/>
        </w:rPr>
        <w:t xml:space="preserve">17 ARS </w:t>
      </w:r>
      <w:r w:rsidR="00F304AD" w:rsidRPr="005C133F">
        <w:rPr>
          <w:lang w:val="es-DO"/>
        </w:rPr>
        <w:t xml:space="preserve">fueron </w:t>
      </w:r>
      <w:bookmarkStart w:id="95" w:name="_Int_Ylg7iyNI"/>
      <w:r w:rsidR="00652085" w:rsidRPr="005C133F">
        <w:rPr>
          <w:lang w:val="es-DO"/>
        </w:rPr>
        <w:t>evaluadas</w:t>
      </w:r>
      <w:bookmarkEnd w:id="95"/>
      <w:r w:rsidRPr="005C133F">
        <w:rPr>
          <w:lang w:val="es-DO"/>
        </w:rPr>
        <w:t xml:space="preserve"> sobre su gestión, mediante la revisión de contratos, tarifas y pagos realizados a los Prestadores de Servicios de Salud (PSS) tipificados como Centros de Vacunación, garantizando la correcta aplicación de los acuerdos, el cumplimiento normativo y la eficiencia en el uso de los recursos durante el período 2023-2024 para las prestaciones autorizadas y pagadas por concepto de vacunas del Programa Ampliado de Inmunización (PAI) y No PAI.</w:t>
      </w:r>
    </w:p>
    <w:p w14:paraId="6346025F" w14:textId="62130F14" w:rsidR="00DE576E" w:rsidRPr="005C133F" w:rsidRDefault="00DE576E">
      <w:pPr>
        <w:pStyle w:val="Prrafodelista"/>
        <w:numPr>
          <w:ilvl w:val="0"/>
          <w:numId w:val="53"/>
        </w:numPr>
        <w:spacing w:after="0" w:line="360" w:lineRule="auto"/>
        <w:jc w:val="both"/>
        <w:rPr>
          <w:lang w:val="es-DO"/>
        </w:rPr>
      </w:pPr>
      <w:r w:rsidRPr="005C133F">
        <w:rPr>
          <w:lang w:val="es-DO"/>
        </w:rPr>
        <w:lastRenderedPageBreak/>
        <w:t xml:space="preserve">17 ARS </w:t>
      </w:r>
      <w:r w:rsidR="00652085" w:rsidRPr="005C133F">
        <w:rPr>
          <w:lang w:val="es-DO"/>
        </w:rPr>
        <w:t xml:space="preserve">fueron </w:t>
      </w:r>
      <w:r w:rsidRPr="005C133F">
        <w:rPr>
          <w:lang w:val="es-DO"/>
        </w:rPr>
        <w:t xml:space="preserve">supervisadas </w:t>
      </w:r>
      <w:r w:rsidR="002431F9" w:rsidRPr="005C133F">
        <w:rPr>
          <w:lang w:val="es-DO"/>
        </w:rPr>
        <w:t xml:space="preserve">en </w:t>
      </w:r>
      <w:r w:rsidRPr="005C133F">
        <w:rPr>
          <w:lang w:val="es-DO"/>
        </w:rPr>
        <w:t xml:space="preserve">seguimiento al cumplimiento de las mejoras recomendadas </w:t>
      </w:r>
      <w:r w:rsidR="002431F9" w:rsidRPr="005C133F">
        <w:rPr>
          <w:lang w:val="es-DO"/>
        </w:rPr>
        <w:t>du</w:t>
      </w:r>
      <w:r w:rsidR="00BA339E" w:rsidRPr="005C133F">
        <w:rPr>
          <w:lang w:val="es-DO"/>
        </w:rPr>
        <w:t>r</w:t>
      </w:r>
      <w:r w:rsidR="002431F9" w:rsidRPr="005C133F">
        <w:rPr>
          <w:lang w:val="es-DO"/>
        </w:rPr>
        <w:t>ante</w:t>
      </w:r>
      <w:r w:rsidRPr="005C133F">
        <w:rPr>
          <w:lang w:val="es-DO"/>
        </w:rPr>
        <w:t xml:space="preserve"> diez (10) procesos previos de supervisión y monitoreo </w:t>
      </w:r>
      <w:r w:rsidR="00BA339E" w:rsidRPr="005C133F">
        <w:rPr>
          <w:lang w:val="es-DO"/>
        </w:rPr>
        <w:t>d</w:t>
      </w:r>
      <w:r w:rsidRPr="005C133F">
        <w:rPr>
          <w:lang w:val="es-DO"/>
        </w:rPr>
        <w:t>e</w:t>
      </w:r>
      <w:r w:rsidR="00BA339E" w:rsidRPr="005C133F">
        <w:rPr>
          <w:lang w:val="es-DO"/>
        </w:rPr>
        <w:t xml:space="preserve"> </w:t>
      </w:r>
      <w:r w:rsidRPr="005C133F">
        <w:rPr>
          <w:lang w:val="es-DO"/>
        </w:rPr>
        <w:t>cumplimiento normativo efectuados durante el período 2022–2025</w:t>
      </w:r>
      <w:r w:rsidR="00652085" w:rsidRPr="005C133F">
        <w:rPr>
          <w:lang w:val="es-DO"/>
        </w:rPr>
        <w:t xml:space="preserve">, </w:t>
      </w:r>
      <w:r w:rsidRPr="005C133F">
        <w:rPr>
          <w:lang w:val="es-DO"/>
        </w:rPr>
        <w:t>con el fin de validar su aplicación y mantenimiento efectivo.</w:t>
      </w:r>
    </w:p>
    <w:p w14:paraId="0FD5E662" w14:textId="3B279961" w:rsidR="00DE576E" w:rsidRPr="005C133F" w:rsidRDefault="000F0789">
      <w:pPr>
        <w:pStyle w:val="Prrafodelista"/>
        <w:numPr>
          <w:ilvl w:val="0"/>
          <w:numId w:val="53"/>
        </w:numPr>
        <w:spacing w:after="0" w:line="360" w:lineRule="auto"/>
        <w:jc w:val="both"/>
        <w:rPr>
          <w:lang w:val="es-DO"/>
        </w:rPr>
      </w:pPr>
      <w:r w:rsidRPr="005C133F">
        <w:rPr>
          <w:lang w:val="es-DO"/>
        </w:rPr>
        <w:t>Se realizó un a</w:t>
      </w:r>
      <w:r w:rsidR="00DE576E" w:rsidRPr="005C133F">
        <w:rPr>
          <w:lang w:val="es-DO"/>
        </w:rPr>
        <w:t>compañamiento técnico a la ARS APS con el objetivo de analizar de forma focalizada los procesos operativos, administrativos y de control interno vinculados a la gestión de salud, a fin de identificar las causas estructurales, riesgos asociados, así como vulnerabilidades en los distintos procesos que pueden estar relacionadas a riesgos que generen desequilibrios financieros, disminución en la calidad de los servicios o incumplimientos normativos.</w:t>
      </w:r>
    </w:p>
    <w:p w14:paraId="1BF3F859" w14:textId="1BB7D3E7" w:rsidR="00DE576E" w:rsidRPr="005C133F" w:rsidRDefault="00DE576E">
      <w:pPr>
        <w:pStyle w:val="Prrafodelista"/>
        <w:numPr>
          <w:ilvl w:val="0"/>
          <w:numId w:val="53"/>
        </w:numPr>
        <w:spacing w:after="0" w:line="360" w:lineRule="auto"/>
        <w:jc w:val="both"/>
        <w:rPr>
          <w:lang w:val="es-DO"/>
        </w:rPr>
      </w:pPr>
      <w:r w:rsidRPr="005C133F">
        <w:rPr>
          <w:lang w:val="es-DO"/>
        </w:rPr>
        <w:t xml:space="preserve">17 ARS </w:t>
      </w:r>
      <w:r w:rsidR="00236609" w:rsidRPr="005C133F">
        <w:rPr>
          <w:lang w:val="es-DO"/>
        </w:rPr>
        <w:t xml:space="preserve">fueron </w:t>
      </w:r>
      <w:bookmarkStart w:id="96" w:name="_Int_wfnFGJZY"/>
      <w:r w:rsidRPr="005C133F">
        <w:rPr>
          <w:lang w:val="es-DO"/>
        </w:rPr>
        <w:t>supervisadas</w:t>
      </w:r>
      <w:bookmarkEnd w:id="96"/>
      <w:r w:rsidRPr="005C133F">
        <w:rPr>
          <w:lang w:val="es-DO"/>
        </w:rPr>
        <w:t xml:space="preserve"> sobre la evaluación de la siniestralidad mediante la revisión de contratos, tarifas y pagos realizados a los Prestadores de Servicios de Salud (PSS), garantizando la correcta aplicación de los acuerdos, el cumplimiento normativo y la eficiencia en el uso de los recursos durante los años 2019, 2023 y 2024. </w:t>
      </w:r>
    </w:p>
    <w:p w14:paraId="798B3164" w14:textId="4BF5F133" w:rsidR="00DE576E" w:rsidRPr="005C133F" w:rsidRDefault="00DE576E">
      <w:pPr>
        <w:pStyle w:val="Prrafodelista"/>
        <w:numPr>
          <w:ilvl w:val="0"/>
          <w:numId w:val="53"/>
        </w:numPr>
        <w:spacing w:after="0" w:line="360" w:lineRule="auto"/>
        <w:jc w:val="both"/>
        <w:rPr>
          <w:lang w:val="es-DO"/>
        </w:rPr>
      </w:pPr>
      <w:r w:rsidRPr="005C133F">
        <w:rPr>
          <w:lang w:val="es-DO"/>
        </w:rPr>
        <w:t xml:space="preserve">Se implementó el proceso supervisión en seguimiento a las operaciones y ajustes realizados por las Administradoras de Riesgos de Salud (ARS) en cumplimiento de los beneficios establecidos para los afiliados pertenecientes a los Planes Especiales Transitorios para pensionados y Jubilados del Estado, conforme al marco normativo vigente del Sistema Dominicano de Seguridad Social (SDSS) según los mandatos normativos de la Resolución Administrativa SISALRIL No. 00263-2024 de fecha 16 de diciembre del 2024.  </w:t>
      </w:r>
    </w:p>
    <w:p w14:paraId="4DDF0364" w14:textId="61C342D0" w:rsidR="00CE15DA" w:rsidRPr="005C133F" w:rsidRDefault="00DE576E">
      <w:pPr>
        <w:pStyle w:val="Prrafodelista"/>
        <w:numPr>
          <w:ilvl w:val="0"/>
          <w:numId w:val="53"/>
        </w:numPr>
        <w:spacing w:after="0" w:line="360" w:lineRule="auto"/>
        <w:jc w:val="both"/>
        <w:rPr>
          <w:lang w:val="es-DO"/>
        </w:rPr>
      </w:pPr>
      <w:r w:rsidRPr="005C133F">
        <w:rPr>
          <w:lang w:val="es-DO"/>
        </w:rPr>
        <w:t>Se realizó una</w:t>
      </w:r>
      <w:r w:rsidR="00D11D39" w:rsidRPr="005C133F">
        <w:rPr>
          <w:lang w:val="es-DO"/>
        </w:rPr>
        <w:t xml:space="preserve"> (1)</w:t>
      </w:r>
      <w:r w:rsidRPr="005C133F">
        <w:rPr>
          <w:lang w:val="es-DO"/>
        </w:rPr>
        <w:t xml:space="preserve"> auditoría sobre la gestión de salud </w:t>
      </w:r>
      <w:r w:rsidR="00B5097E" w:rsidRPr="005C133F">
        <w:rPr>
          <w:lang w:val="es-DO"/>
        </w:rPr>
        <w:t>a la</w:t>
      </w:r>
      <w:r w:rsidRPr="005C133F">
        <w:rPr>
          <w:lang w:val="es-DO"/>
        </w:rPr>
        <w:t xml:space="preserve"> ARS SeNaSa como parte del proceso de intervención ejecutada por </w:t>
      </w:r>
      <w:r w:rsidRPr="005C133F">
        <w:rPr>
          <w:lang w:val="es-DO"/>
        </w:rPr>
        <w:lastRenderedPageBreak/>
        <w:t xml:space="preserve">la Superintendencia, con el fin de evaluar sus controles internos, la pertinencia de las autorizaciones médicas, la transparencia en los procesos administrativos y la observancia de los lineamientos normativos vigentes, focalizado en áreas críticas como licitación de materiales, trazabilidad de sistemas y control de riesgos operativos. </w:t>
      </w:r>
    </w:p>
    <w:p w14:paraId="0941308C" w14:textId="060B6F5B" w:rsidR="00F25051" w:rsidRPr="005C133F" w:rsidRDefault="00A97705" w:rsidP="005C133F">
      <w:pPr>
        <w:pStyle w:val="NormalWeb"/>
        <w:spacing w:after="0" w:afterAutospacing="0" w:line="360" w:lineRule="auto"/>
        <w:jc w:val="both"/>
        <w:rPr>
          <w:rFonts w:eastAsia="Calibri"/>
          <w:noProof/>
          <w:color w:val="767171"/>
          <w:spacing w:val="20"/>
          <w:lang w:val="es-ES" w:eastAsia="en-US"/>
        </w:rPr>
      </w:pPr>
      <w:r w:rsidRPr="005C133F">
        <w:rPr>
          <w:rFonts w:eastAsiaTheme="minorHAnsi"/>
          <w:color w:val="767171"/>
          <w:spacing w:val="20"/>
          <w:lang w:eastAsia="en-US"/>
        </w:rPr>
        <w:t>De manera complementaria</w:t>
      </w:r>
      <w:r w:rsidR="00380BE5" w:rsidRPr="005C133F">
        <w:rPr>
          <w:rFonts w:eastAsiaTheme="minorHAnsi"/>
          <w:color w:val="767171"/>
          <w:spacing w:val="20"/>
          <w:lang w:eastAsia="en-US"/>
        </w:rPr>
        <w:t xml:space="preserve">, </w:t>
      </w:r>
      <w:r w:rsidR="00CE15DA" w:rsidRPr="005C133F">
        <w:rPr>
          <w:rFonts w:eastAsia="Calibri"/>
          <w:noProof/>
          <w:color w:val="767171"/>
          <w:spacing w:val="20"/>
          <w:lang w:val="es-ES" w:eastAsia="en-US"/>
        </w:rPr>
        <w:t xml:space="preserve">se mantuvo el </w:t>
      </w:r>
      <w:r w:rsidRPr="005C133F">
        <w:rPr>
          <w:rFonts w:eastAsia="Calibri"/>
          <w:noProof/>
          <w:color w:val="767171"/>
          <w:spacing w:val="20"/>
          <w:lang w:val="es-ES" w:eastAsia="en-US"/>
        </w:rPr>
        <w:t xml:space="preserve">monitoreo </w:t>
      </w:r>
      <w:r w:rsidR="00CE15DA" w:rsidRPr="005C133F">
        <w:rPr>
          <w:rFonts w:eastAsia="Calibri"/>
          <w:noProof/>
          <w:color w:val="767171"/>
          <w:spacing w:val="20"/>
          <w:lang w:val="es-ES" w:eastAsia="en-US"/>
        </w:rPr>
        <w:t xml:space="preserve">continuo de la gestión de la cobertura, </w:t>
      </w:r>
      <w:r w:rsidR="008C20D5" w:rsidRPr="005C133F">
        <w:rPr>
          <w:rFonts w:eastAsia="Calibri"/>
          <w:noProof/>
          <w:color w:val="767171"/>
          <w:spacing w:val="20"/>
          <w:lang w:val="es-ES" w:eastAsia="en-US"/>
        </w:rPr>
        <w:t xml:space="preserve">el </w:t>
      </w:r>
      <w:r w:rsidR="00CE15DA" w:rsidRPr="005C133F">
        <w:rPr>
          <w:rFonts w:eastAsia="Calibri"/>
          <w:noProof/>
          <w:color w:val="767171"/>
          <w:spacing w:val="20"/>
          <w:lang w:val="es-ES" w:eastAsia="en-US"/>
        </w:rPr>
        <w:t xml:space="preserve">acceso oportuno a los servicios de salud y </w:t>
      </w:r>
      <w:r w:rsidR="008C20D5" w:rsidRPr="005C133F">
        <w:rPr>
          <w:rFonts w:eastAsia="Calibri"/>
          <w:noProof/>
          <w:color w:val="767171"/>
          <w:spacing w:val="20"/>
          <w:lang w:val="es-ES" w:eastAsia="en-US"/>
        </w:rPr>
        <w:t xml:space="preserve">el </w:t>
      </w:r>
      <w:r w:rsidR="00CE15DA" w:rsidRPr="005C133F">
        <w:rPr>
          <w:rFonts w:eastAsia="Calibri"/>
          <w:noProof/>
          <w:color w:val="767171"/>
          <w:spacing w:val="20"/>
          <w:lang w:val="es-ES" w:eastAsia="en-US"/>
        </w:rPr>
        <w:t>cumplimiento normativo para la garantia de los servicios de salud a la poblacion del Regimen Subsidiado</w:t>
      </w:r>
      <w:r w:rsidR="008C20D5" w:rsidRPr="005C133F">
        <w:rPr>
          <w:rFonts w:eastAsia="Calibri"/>
          <w:noProof/>
          <w:color w:val="767171"/>
          <w:spacing w:val="20"/>
          <w:lang w:val="es-ES" w:eastAsia="en-US"/>
        </w:rPr>
        <w:t>,</w:t>
      </w:r>
      <w:r w:rsidR="00CE15DA" w:rsidRPr="005C133F">
        <w:rPr>
          <w:rFonts w:eastAsia="Calibri"/>
          <w:noProof/>
          <w:color w:val="767171"/>
          <w:spacing w:val="20"/>
          <w:lang w:val="es-ES" w:eastAsia="en-US"/>
        </w:rPr>
        <w:t xml:space="preserve"> a traves del analisis de las informaciones reportadas por la ARS SeNaSa en los distintos sistemas de información (esquemas), </w:t>
      </w:r>
      <w:r w:rsidR="00FC006E" w:rsidRPr="005C133F">
        <w:rPr>
          <w:rFonts w:eastAsia="Calibri"/>
          <w:noProof/>
          <w:color w:val="767171"/>
          <w:spacing w:val="20"/>
          <w:lang w:val="es-ES" w:eastAsia="en-US"/>
        </w:rPr>
        <w:t xml:space="preserve">la </w:t>
      </w:r>
      <w:r w:rsidR="00CE15DA" w:rsidRPr="005C133F">
        <w:rPr>
          <w:rFonts w:eastAsia="Calibri"/>
          <w:noProof/>
          <w:color w:val="767171"/>
          <w:spacing w:val="20"/>
          <w:lang w:val="es-ES" w:eastAsia="en-US"/>
        </w:rPr>
        <w:t xml:space="preserve">interaccion con </w:t>
      </w:r>
      <w:r w:rsidR="009F7791" w:rsidRPr="005C133F">
        <w:rPr>
          <w:rFonts w:eastAsia="Calibri"/>
          <w:noProof/>
          <w:color w:val="767171"/>
          <w:spacing w:val="20"/>
          <w:lang w:val="es-ES" w:eastAsia="en-US"/>
        </w:rPr>
        <w:t xml:space="preserve">los </w:t>
      </w:r>
      <w:r w:rsidR="00CE15DA" w:rsidRPr="005C133F">
        <w:rPr>
          <w:rFonts w:eastAsia="Calibri"/>
          <w:noProof/>
          <w:color w:val="767171"/>
          <w:spacing w:val="20"/>
          <w:lang w:val="es-ES" w:eastAsia="en-US"/>
        </w:rPr>
        <w:t xml:space="preserve">Prestadores, </w:t>
      </w:r>
      <w:r w:rsidR="00024C80" w:rsidRPr="005C133F">
        <w:rPr>
          <w:rFonts w:eastAsia="Calibri"/>
          <w:noProof/>
          <w:color w:val="767171"/>
          <w:spacing w:val="20"/>
          <w:lang w:val="es-ES" w:eastAsia="en-US"/>
        </w:rPr>
        <w:t xml:space="preserve">el </w:t>
      </w:r>
      <w:r w:rsidR="00CE15DA" w:rsidRPr="005C133F">
        <w:rPr>
          <w:rFonts w:eastAsia="Calibri"/>
          <w:noProof/>
          <w:color w:val="767171"/>
          <w:spacing w:val="20"/>
          <w:lang w:val="es-ES" w:eastAsia="en-US"/>
        </w:rPr>
        <w:t>manejo de las solicitudes y casos de los afiliados, entre otros</w:t>
      </w:r>
      <w:r w:rsidR="00F25051" w:rsidRPr="005C133F">
        <w:rPr>
          <w:rFonts w:eastAsia="Calibri"/>
          <w:noProof/>
          <w:color w:val="767171"/>
          <w:spacing w:val="20"/>
          <w:lang w:val="es-ES" w:eastAsia="en-US"/>
        </w:rPr>
        <w:t xml:space="preserve"> mecanismos de supervisión</w:t>
      </w:r>
      <w:r w:rsidR="00CE15DA" w:rsidRPr="005C133F">
        <w:rPr>
          <w:rFonts w:eastAsia="Calibri"/>
          <w:noProof/>
          <w:color w:val="767171"/>
          <w:spacing w:val="20"/>
          <w:lang w:val="es-ES" w:eastAsia="en-US"/>
        </w:rPr>
        <w:t xml:space="preserve">. </w:t>
      </w:r>
    </w:p>
    <w:p w14:paraId="243B38AA" w14:textId="7FBBA4BC" w:rsidR="00CE15DA" w:rsidRPr="005C133F" w:rsidRDefault="00F25051" w:rsidP="005C133F">
      <w:pPr>
        <w:pStyle w:val="NormalWeb"/>
        <w:spacing w:after="0" w:afterAutospacing="0" w:line="360" w:lineRule="auto"/>
        <w:jc w:val="both"/>
        <w:rPr>
          <w:rFonts w:eastAsia="Calibri"/>
          <w:noProof/>
          <w:color w:val="767171"/>
          <w:spacing w:val="20"/>
          <w:lang w:val="es-ES" w:eastAsia="en-US"/>
        </w:rPr>
      </w:pPr>
      <w:r w:rsidRPr="005C133F">
        <w:rPr>
          <w:rFonts w:eastAsia="Calibri"/>
          <w:noProof/>
          <w:color w:val="767171"/>
          <w:spacing w:val="20"/>
          <w:lang w:val="es-ES" w:eastAsia="en-US"/>
        </w:rPr>
        <w:t xml:space="preserve">En este marco se </w:t>
      </w:r>
      <w:r w:rsidR="00931E17" w:rsidRPr="005C133F">
        <w:rPr>
          <w:rFonts w:eastAsia="Calibri"/>
          <w:noProof/>
          <w:color w:val="767171"/>
          <w:spacing w:val="20"/>
          <w:lang w:val="es-ES" w:eastAsia="en-US"/>
        </w:rPr>
        <w:t>lle</w:t>
      </w:r>
      <w:r w:rsidR="00A1360E" w:rsidRPr="005C133F">
        <w:rPr>
          <w:rFonts w:eastAsia="Calibri"/>
          <w:noProof/>
          <w:color w:val="767171"/>
          <w:spacing w:val="20"/>
          <w:lang w:val="es-ES" w:eastAsia="en-US"/>
        </w:rPr>
        <w:t>v</w:t>
      </w:r>
      <w:r w:rsidR="00931E17" w:rsidRPr="005C133F">
        <w:rPr>
          <w:rFonts w:eastAsia="Calibri"/>
          <w:noProof/>
          <w:color w:val="767171"/>
          <w:spacing w:val="20"/>
          <w:lang w:val="es-ES" w:eastAsia="en-US"/>
        </w:rPr>
        <w:t>aron</w:t>
      </w:r>
      <w:r w:rsidR="00CE15DA" w:rsidRPr="005C133F">
        <w:rPr>
          <w:rFonts w:eastAsia="Calibri"/>
          <w:noProof/>
          <w:color w:val="767171"/>
          <w:spacing w:val="20"/>
          <w:lang w:val="es-ES" w:eastAsia="en-US"/>
        </w:rPr>
        <w:t xml:space="preserve"> a cabo una serie de supervisiones y monitoreos tanto de manera administrativa como, haciendo decensos a la ARS SeNasa y PSS contratadas para ofrecer los beneficios del PBS, a citar: </w:t>
      </w:r>
    </w:p>
    <w:p w14:paraId="1A5E6816" w14:textId="7B774453" w:rsidR="00CE15DA" w:rsidRPr="005C133F" w:rsidRDefault="00CE15DA">
      <w:pPr>
        <w:pStyle w:val="Prrafodelista"/>
        <w:numPr>
          <w:ilvl w:val="0"/>
          <w:numId w:val="58"/>
        </w:numPr>
        <w:spacing w:after="0" w:line="360" w:lineRule="auto"/>
        <w:jc w:val="both"/>
        <w:rPr>
          <w:noProof/>
          <w:lang w:val="es-ES"/>
        </w:rPr>
      </w:pPr>
      <w:r w:rsidRPr="005C133F">
        <w:rPr>
          <w:noProof/>
          <w:lang w:val="es-ES"/>
        </w:rPr>
        <w:t>Proceso de supervision  a la ARS SeNaSa orientad</w:t>
      </w:r>
      <w:r w:rsidR="006A0CD3" w:rsidRPr="005C133F">
        <w:rPr>
          <w:noProof/>
          <w:lang w:val="es-ES"/>
        </w:rPr>
        <w:t>o</w:t>
      </w:r>
      <w:r w:rsidRPr="005C133F">
        <w:rPr>
          <w:noProof/>
          <w:lang w:val="es-ES"/>
        </w:rPr>
        <w:t xml:space="preserve"> a evaluar su nivel de apego al marco normativo vigente, la correcta ejecución de las disposiciones emitidas por esta Superintendencia y la coherencia entre los servicios autorizados y los pagos efectuados a las prestadoras de salud. </w:t>
      </w:r>
    </w:p>
    <w:p w14:paraId="4F904E2D" w14:textId="11B25BD7" w:rsidR="00CE15DA" w:rsidRPr="005C133F" w:rsidRDefault="00CE15DA">
      <w:pPr>
        <w:pStyle w:val="Prrafodelista"/>
        <w:numPr>
          <w:ilvl w:val="0"/>
          <w:numId w:val="58"/>
        </w:numPr>
        <w:spacing w:after="0" w:line="360" w:lineRule="auto"/>
        <w:jc w:val="both"/>
        <w:rPr>
          <w:noProof/>
          <w:lang w:val="es-ES"/>
        </w:rPr>
      </w:pPr>
      <w:r w:rsidRPr="005C133F">
        <w:rPr>
          <w:noProof/>
          <w:lang w:val="es-ES"/>
        </w:rPr>
        <w:t>Visita a 5 prestadores contratados bajo modalidad de pagos prospectivos, teniendo como objetivo general evaluar el cumplimiento de los términos y condiciones pactados entre ARS SeNaSa y las PSS supervisadas bajo dicha modalidad, verificando la adecuada correspondencia entre los servicios prestados y el financiamiento recibido.</w:t>
      </w:r>
    </w:p>
    <w:p w14:paraId="112650C3" w14:textId="21C5C634" w:rsidR="00CE15DA" w:rsidRPr="005C133F" w:rsidRDefault="00CE15DA">
      <w:pPr>
        <w:pStyle w:val="Prrafodelista"/>
        <w:numPr>
          <w:ilvl w:val="0"/>
          <w:numId w:val="58"/>
        </w:numPr>
        <w:spacing w:after="0" w:line="360" w:lineRule="auto"/>
        <w:jc w:val="both"/>
        <w:rPr>
          <w:noProof/>
          <w:lang w:val="es-ES"/>
        </w:rPr>
      </w:pPr>
      <w:r w:rsidRPr="005C133F">
        <w:rPr>
          <w:noProof/>
          <w:lang w:val="es-ES"/>
        </w:rPr>
        <w:lastRenderedPageBreak/>
        <w:t>Monitoreo administrativo a los fines de evaluar el comportamiento del gasto en salud durante los años 2023 y 2024, en los servicios prestados tanto en la red pública como en la red privada, con énfasis en los grupos 5, 8 y 9 del Catálogo PDSS (hospitalización, medios diagnósticos y alto costo y máximo nivel de complejidad) para la población afiliada al Régimen Subsidiado de la ARS SeNaSa.</w:t>
      </w:r>
    </w:p>
    <w:p w14:paraId="05F50E9A" w14:textId="77777777" w:rsidR="00CE15DA" w:rsidRPr="005C133F" w:rsidRDefault="00CE15DA">
      <w:pPr>
        <w:pStyle w:val="Prrafodelista"/>
        <w:numPr>
          <w:ilvl w:val="0"/>
          <w:numId w:val="58"/>
        </w:numPr>
        <w:spacing w:after="0" w:line="360" w:lineRule="auto"/>
        <w:jc w:val="both"/>
        <w:rPr>
          <w:noProof/>
          <w:lang w:val="es-ES"/>
        </w:rPr>
      </w:pPr>
      <w:r w:rsidRPr="005C133F">
        <w:rPr>
          <w:noProof/>
          <w:lang w:val="es-ES"/>
        </w:rPr>
        <w:t>Supervisión en 10 prestadores que concentraban el mayor gasto por servicios pagados por ARS SeNaSa, en la cuál se evaluó el acceso, la disponibilidad y la oportunidad en la atención de los servicios de alto costo, medicamentos y medios diagnósticos brindados por los PSS seleccionados.</w:t>
      </w:r>
    </w:p>
    <w:p w14:paraId="253DE18B" w14:textId="77777777" w:rsidR="00CE15DA" w:rsidRPr="005C133F" w:rsidRDefault="00CE15DA">
      <w:pPr>
        <w:pStyle w:val="Prrafodelista"/>
        <w:numPr>
          <w:ilvl w:val="0"/>
          <w:numId w:val="58"/>
        </w:numPr>
        <w:spacing w:after="0" w:line="360" w:lineRule="auto"/>
        <w:jc w:val="both"/>
        <w:rPr>
          <w:noProof/>
          <w:lang w:val="es-ES"/>
        </w:rPr>
      </w:pPr>
      <w:r w:rsidRPr="005C133F">
        <w:rPr>
          <w:noProof/>
          <w:lang w:val="es-ES"/>
        </w:rPr>
        <w:t>Monitoreo a la ARS SeNaSa para evaluar la adecuada implementación de nuevos beneficios aprobados por la Res. CNSS Num. 610-04</w:t>
      </w:r>
    </w:p>
    <w:p w14:paraId="36066E83" w14:textId="2EC9C682" w:rsidR="003C51D3" w:rsidRPr="005C133F" w:rsidRDefault="00CE15DA">
      <w:pPr>
        <w:pStyle w:val="Prrafodelista"/>
        <w:numPr>
          <w:ilvl w:val="0"/>
          <w:numId w:val="58"/>
        </w:numPr>
        <w:spacing w:after="0" w:line="360" w:lineRule="auto"/>
        <w:jc w:val="both"/>
        <w:rPr>
          <w:noProof/>
          <w:lang w:val="es-ES"/>
        </w:rPr>
      </w:pPr>
      <w:r w:rsidRPr="005C133F">
        <w:rPr>
          <w:noProof/>
          <w:lang w:val="es-ES"/>
        </w:rPr>
        <w:t>Monitoreo a la ARS SeNaSa para evaluar la correcta aplicación de las garantias de la Normativa del Fondo Nacional para Atención Médica por  coberturas otorgadas por accidentes de tránsito.</w:t>
      </w:r>
    </w:p>
    <w:p w14:paraId="72C30F29" w14:textId="77777777" w:rsidR="002B6C18" w:rsidRPr="005C133F" w:rsidRDefault="002B6C18" w:rsidP="005C133F">
      <w:pPr>
        <w:pStyle w:val="Prrafodelista"/>
        <w:spacing w:after="0" w:line="360" w:lineRule="auto"/>
        <w:jc w:val="both"/>
        <w:rPr>
          <w:noProof/>
          <w:lang w:val="es-ES"/>
        </w:rPr>
      </w:pPr>
    </w:p>
    <w:p w14:paraId="4337569A" w14:textId="7A44D4AE" w:rsidR="00FD620E" w:rsidRPr="005C133F" w:rsidRDefault="006706E8" w:rsidP="005C133F">
      <w:pPr>
        <w:spacing w:after="0" w:line="360" w:lineRule="auto"/>
        <w:jc w:val="both"/>
        <w:rPr>
          <w:b/>
          <w:bCs/>
          <w:lang w:val="es-DO"/>
        </w:rPr>
      </w:pPr>
      <w:r w:rsidRPr="005C133F">
        <w:rPr>
          <w:rFonts w:eastAsiaTheme="minorEastAsia"/>
          <w:b/>
          <w:lang w:val="es-DO"/>
        </w:rPr>
        <w:t xml:space="preserve">Supervisión y Monitoreo de los Prestadores de Servicios de Salud (PSS): </w:t>
      </w:r>
      <w:r w:rsidRPr="005C133F">
        <w:rPr>
          <w:b/>
          <w:bCs/>
          <w:lang w:val="es-DO"/>
        </w:rPr>
        <w:t>Validación del cumplimiento de las regulaciones vigentes y/o necesidades detectadas por la SISALRIL</w:t>
      </w:r>
      <w:r w:rsidR="00E93D2C" w:rsidRPr="005C133F">
        <w:rPr>
          <w:b/>
          <w:bCs/>
          <w:lang w:val="es-DO"/>
        </w:rPr>
        <w:t xml:space="preserve"> </w:t>
      </w:r>
      <w:r w:rsidRPr="005C133F">
        <w:rPr>
          <w:b/>
          <w:bCs/>
          <w:lang w:val="es-DO"/>
        </w:rPr>
        <w:t>en los Prestadores de Servicios de Salud (PSS) priorizados</w:t>
      </w:r>
    </w:p>
    <w:p w14:paraId="745C35C4" w14:textId="77777777" w:rsidR="00764FC5" w:rsidRPr="005C133F" w:rsidRDefault="00764FC5" w:rsidP="005C133F">
      <w:pPr>
        <w:spacing w:after="0" w:line="360" w:lineRule="auto"/>
        <w:rPr>
          <w:b/>
          <w:bCs/>
          <w:lang w:val="es-DO"/>
        </w:rPr>
      </w:pPr>
    </w:p>
    <w:p w14:paraId="677FF81C" w14:textId="6BC168F4" w:rsidR="00FD620E" w:rsidRPr="005C133F" w:rsidRDefault="00FD620E" w:rsidP="005C133F">
      <w:pPr>
        <w:spacing w:after="0" w:line="360" w:lineRule="auto"/>
        <w:jc w:val="both"/>
        <w:rPr>
          <w:lang w:val="es-DO"/>
        </w:rPr>
      </w:pPr>
      <w:r w:rsidRPr="005C133F">
        <w:rPr>
          <w:lang w:val="es-DO"/>
        </w:rPr>
        <w:t xml:space="preserve">Durante el año 2025 se realizaron 5 monitoreos en 129 prestadores de servicios de salud para verificar el cumplimiento normativo: </w:t>
      </w:r>
    </w:p>
    <w:p w14:paraId="7248CA3F" w14:textId="77777777" w:rsidR="00FD620E" w:rsidRPr="005C133F" w:rsidRDefault="00FD620E">
      <w:pPr>
        <w:pStyle w:val="Prrafodelista"/>
        <w:numPr>
          <w:ilvl w:val="0"/>
          <w:numId w:val="54"/>
        </w:numPr>
        <w:spacing w:after="0" w:line="360" w:lineRule="auto"/>
        <w:jc w:val="both"/>
        <w:rPr>
          <w:lang w:val="es-DO"/>
        </w:rPr>
      </w:pPr>
      <w:r w:rsidRPr="005C133F">
        <w:rPr>
          <w:lang w:val="es-DO"/>
        </w:rPr>
        <w:t>Monitoreo de Ortopedia: 15 establecimientos de la red Pública.</w:t>
      </w:r>
    </w:p>
    <w:p w14:paraId="6D83CBE5" w14:textId="77777777" w:rsidR="00FD620E" w:rsidRPr="005C133F" w:rsidRDefault="00FD620E">
      <w:pPr>
        <w:pStyle w:val="Prrafodelista"/>
        <w:numPr>
          <w:ilvl w:val="0"/>
          <w:numId w:val="54"/>
        </w:numPr>
        <w:spacing w:after="0" w:line="360" w:lineRule="auto"/>
        <w:jc w:val="both"/>
        <w:rPr>
          <w:lang w:val="es-DO"/>
        </w:rPr>
      </w:pPr>
      <w:r w:rsidRPr="005C133F">
        <w:rPr>
          <w:lang w:val="es-DO"/>
        </w:rPr>
        <w:t>Monitoreo de Nutrición: 17 establecimientos de la red Pública</w:t>
      </w:r>
    </w:p>
    <w:p w14:paraId="7431F784" w14:textId="77777777" w:rsidR="00FD620E" w:rsidRPr="005C133F" w:rsidRDefault="00FD620E">
      <w:pPr>
        <w:pStyle w:val="Prrafodelista"/>
        <w:numPr>
          <w:ilvl w:val="0"/>
          <w:numId w:val="54"/>
        </w:numPr>
        <w:spacing w:after="0" w:line="360" w:lineRule="auto"/>
        <w:jc w:val="both"/>
        <w:rPr>
          <w:lang w:val="es-DO"/>
        </w:rPr>
      </w:pPr>
      <w:r w:rsidRPr="005C133F">
        <w:rPr>
          <w:lang w:val="es-DO"/>
        </w:rPr>
        <w:t>Monitoreo de Farmacias: 65 establecimientos de la red Privada.</w:t>
      </w:r>
    </w:p>
    <w:p w14:paraId="3BF16F60" w14:textId="77777777" w:rsidR="00FD620E" w:rsidRPr="005C133F" w:rsidRDefault="00FD620E">
      <w:pPr>
        <w:pStyle w:val="Prrafodelista"/>
        <w:numPr>
          <w:ilvl w:val="0"/>
          <w:numId w:val="54"/>
        </w:numPr>
        <w:spacing w:after="0" w:line="360" w:lineRule="auto"/>
        <w:jc w:val="both"/>
        <w:rPr>
          <w:lang w:val="es-DO"/>
        </w:rPr>
      </w:pPr>
      <w:r w:rsidRPr="005C133F">
        <w:rPr>
          <w:lang w:val="es-DO"/>
        </w:rPr>
        <w:lastRenderedPageBreak/>
        <w:t>Monitoreo a Centros no farmacéuticos: 13 establecimientos de la red Privada.</w:t>
      </w:r>
    </w:p>
    <w:p w14:paraId="384A896C" w14:textId="77777777" w:rsidR="00FD620E" w:rsidRPr="005C133F" w:rsidRDefault="00FD620E">
      <w:pPr>
        <w:pStyle w:val="Prrafodelista"/>
        <w:numPr>
          <w:ilvl w:val="0"/>
          <w:numId w:val="54"/>
        </w:numPr>
        <w:spacing w:after="0" w:line="360" w:lineRule="auto"/>
        <w:jc w:val="both"/>
        <w:rPr>
          <w:lang w:val="es-DO"/>
        </w:rPr>
      </w:pPr>
      <w:r w:rsidRPr="005C133F">
        <w:rPr>
          <w:lang w:val="es-DO"/>
        </w:rPr>
        <w:t>Monitoreo de Vacunas: 19 establecimientos de la red Privada.</w:t>
      </w:r>
    </w:p>
    <w:p w14:paraId="1E86BC05" w14:textId="77777777" w:rsidR="00FD620E" w:rsidRPr="005C133F" w:rsidRDefault="00FD620E" w:rsidP="005C133F">
      <w:pPr>
        <w:spacing w:after="0" w:line="360" w:lineRule="auto"/>
        <w:jc w:val="both"/>
        <w:rPr>
          <w:lang w:val="es-DO"/>
        </w:rPr>
      </w:pPr>
    </w:p>
    <w:p w14:paraId="31E7BFBE" w14:textId="77777777" w:rsidR="00FD620E" w:rsidRPr="005C133F" w:rsidRDefault="00FD620E" w:rsidP="005C133F">
      <w:pPr>
        <w:spacing w:after="0" w:line="360" w:lineRule="auto"/>
        <w:jc w:val="both"/>
        <w:rPr>
          <w:lang w:val="es-DO"/>
        </w:rPr>
      </w:pPr>
      <w:r w:rsidRPr="005C133F">
        <w:rPr>
          <w:lang w:val="es-DO"/>
        </w:rPr>
        <w:t xml:space="preserve">Por otra parte, se supervisaron 56 prestadores (centros de fisioterapia y rehabilitación y establecimientos farmacéuticos tipo distribuidoras) respecto a facturación y auditoría de los servicios de salud, 25 de estos establecimientos pertenecientes a la red pública y 31 a la red privada. </w:t>
      </w:r>
    </w:p>
    <w:p w14:paraId="47329908" w14:textId="77777777" w:rsidR="00DB1C7B" w:rsidRPr="005C133F" w:rsidRDefault="00DB1C7B" w:rsidP="005C133F">
      <w:pPr>
        <w:spacing w:after="0" w:line="360" w:lineRule="auto"/>
        <w:jc w:val="both"/>
        <w:rPr>
          <w:lang w:val="es-DO"/>
        </w:rPr>
      </w:pPr>
    </w:p>
    <w:p w14:paraId="378F6DA8" w14:textId="3F8BABA2" w:rsidR="00692400" w:rsidRPr="005C133F" w:rsidRDefault="00DB1C7B" w:rsidP="005C133F">
      <w:pPr>
        <w:spacing w:after="0" w:line="360" w:lineRule="auto"/>
        <w:jc w:val="both"/>
        <w:rPr>
          <w:lang w:val="es-DO"/>
        </w:rPr>
      </w:pPr>
      <w:r w:rsidRPr="005C133F">
        <w:rPr>
          <w:lang w:val="es-DO"/>
        </w:rPr>
        <w:t>Además, f</w:t>
      </w:r>
      <w:r w:rsidR="004824F6" w:rsidRPr="005C133F">
        <w:rPr>
          <w:lang w:val="es-DO"/>
        </w:rPr>
        <w:t>ueron encuestados 170 usuarios afiliados de la red del Seguro Nacional de Salud (SeNaSa), en 50 farmacias a nivel nacional, para evaluar su experiencia, en cuanto al proceso de autorizaciones, como parte del acceso regular a la cobertura de medicamentos ambulatorios cubiertos por el Plan de Servicios de Salud (PDSS).</w:t>
      </w:r>
      <w:r w:rsidR="00255674" w:rsidRPr="005C133F">
        <w:rPr>
          <w:lang w:val="es-DO"/>
        </w:rPr>
        <w:t xml:space="preserve"> </w:t>
      </w:r>
      <w:r w:rsidR="004824F6" w:rsidRPr="005C133F">
        <w:rPr>
          <w:lang w:val="es-DO"/>
        </w:rPr>
        <w:t>Los resultados evidenciaron una alta dependencia del Seguro Nacional de Salud para acceder a medicamentos (90%), así como una percepción positiva sobre el trato del personal de farmacia (94%) y la claridad del proceso de autorización (79%). No obstante, se reportaron múltiples barreras: retrasos en autorizaciones (46.5% espera más de 10 minutos), negación parcial o total de cobertura (37%), falta de información sobre cambios recientes en procesos (62%), y limitada adopción de tecnologías accesibles como WhatsApp o notificaciones digitales</w:t>
      </w:r>
      <w:r w:rsidR="00255674" w:rsidRPr="005C133F">
        <w:rPr>
          <w:lang w:val="es-DO"/>
        </w:rPr>
        <w:t>. Asimismo</w:t>
      </w:r>
      <w:r w:rsidR="004824F6" w:rsidRPr="005C133F">
        <w:rPr>
          <w:lang w:val="es-DO"/>
        </w:rPr>
        <w:t>, el 44% tuvo dificultades para acceder a medicamentos, y el 50% requiere tratamiento de uso continuo, para lo cual existen restricciones poco uniformes y procesos burocráticos que afectan la continuidad terapéutica.</w:t>
      </w:r>
    </w:p>
    <w:p w14:paraId="1541DB68" w14:textId="77777777" w:rsidR="00A61115" w:rsidRDefault="00A61115" w:rsidP="005C133F">
      <w:pPr>
        <w:spacing w:after="0" w:line="360" w:lineRule="auto"/>
        <w:jc w:val="both"/>
        <w:rPr>
          <w:lang w:val="es-DO"/>
        </w:rPr>
      </w:pPr>
    </w:p>
    <w:p w14:paraId="37812126" w14:textId="77777777" w:rsidR="007877CE" w:rsidRDefault="007877CE" w:rsidP="005C133F">
      <w:pPr>
        <w:spacing w:after="0" w:line="360" w:lineRule="auto"/>
        <w:jc w:val="both"/>
        <w:rPr>
          <w:lang w:val="es-DO"/>
        </w:rPr>
      </w:pPr>
    </w:p>
    <w:p w14:paraId="42257DF0" w14:textId="77777777" w:rsidR="007877CE" w:rsidRPr="005C133F" w:rsidRDefault="007877CE" w:rsidP="005C133F">
      <w:pPr>
        <w:spacing w:after="0" w:line="360" w:lineRule="auto"/>
        <w:jc w:val="both"/>
        <w:rPr>
          <w:lang w:val="es-DO"/>
        </w:rPr>
      </w:pPr>
    </w:p>
    <w:p w14:paraId="24DF16BD" w14:textId="0AAE939F" w:rsidR="002147AE" w:rsidRPr="005C133F" w:rsidRDefault="002147AE" w:rsidP="005C133F">
      <w:pPr>
        <w:spacing w:after="0" w:line="360" w:lineRule="auto"/>
        <w:rPr>
          <w:b/>
          <w:bCs/>
          <w:lang w:val="es-DO"/>
        </w:rPr>
      </w:pPr>
      <w:r w:rsidRPr="005C133F">
        <w:rPr>
          <w:b/>
          <w:bCs/>
          <w:lang w:val="es-DO"/>
        </w:rPr>
        <w:lastRenderedPageBreak/>
        <w:t>Monitoreo de Contratos a Profesionales de la Salud</w:t>
      </w:r>
    </w:p>
    <w:p w14:paraId="24006AAC" w14:textId="77777777" w:rsidR="00733F08" w:rsidRPr="005C133F" w:rsidRDefault="00733F08" w:rsidP="005C133F">
      <w:pPr>
        <w:spacing w:after="0" w:line="360" w:lineRule="auto"/>
        <w:rPr>
          <w:b/>
          <w:bCs/>
          <w:lang w:val="es-DO"/>
        </w:rPr>
      </w:pPr>
    </w:p>
    <w:p w14:paraId="6D85BCAA" w14:textId="5EA64F48" w:rsidR="00733F08" w:rsidRPr="005C133F" w:rsidRDefault="00733F08" w:rsidP="005C133F">
      <w:pPr>
        <w:spacing w:after="0" w:line="360" w:lineRule="auto"/>
        <w:jc w:val="both"/>
        <w:rPr>
          <w:lang w:val="es-DO" w:eastAsia="es-DO"/>
        </w:rPr>
      </w:pPr>
      <w:r w:rsidRPr="005C133F">
        <w:rPr>
          <w:lang w:val="es-DO"/>
        </w:rPr>
        <w:t>Desde el inicio del monitoreo en el año 2023 a la fecha se han recibido un total de 18,</w:t>
      </w:r>
      <w:r w:rsidR="00A3381D">
        <w:rPr>
          <w:lang w:val="es-DO"/>
        </w:rPr>
        <w:t>893</w:t>
      </w:r>
      <w:r w:rsidRPr="005C133F">
        <w:rPr>
          <w:lang w:val="es-DO"/>
        </w:rPr>
        <w:t xml:space="preserve"> solicitudes de contrato sometidas por </w:t>
      </w:r>
      <w:r w:rsidRPr="005C133F">
        <w:rPr>
          <w:rFonts w:eastAsia="Franklin Gothic Book"/>
          <w:lang w:val="es-DO"/>
        </w:rPr>
        <w:t>7,</w:t>
      </w:r>
      <w:r w:rsidR="00A3381D">
        <w:rPr>
          <w:rFonts w:eastAsia="Franklin Gothic Book"/>
          <w:lang w:val="es-DO"/>
        </w:rPr>
        <w:t>869</w:t>
      </w:r>
      <w:r w:rsidRPr="005C133F">
        <w:rPr>
          <w:rFonts w:eastAsia="Franklin Gothic Book"/>
          <w:lang w:val="es-DO"/>
        </w:rPr>
        <w:t xml:space="preserve"> Prestadores Profesionales de la Salud (PS)</w:t>
      </w:r>
      <w:r w:rsidR="00A3381D">
        <w:rPr>
          <w:lang w:val="es-DO"/>
        </w:rPr>
        <w:t xml:space="preserve">. Del total, </w:t>
      </w:r>
      <w:r w:rsidRPr="005C133F">
        <w:rPr>
          <w:lang w:val="es-DO"/>
        </w:rPr>
        <w:t>12,</w:t>
      </w:r>
      <w:r w:rsidR="00A3381D">
        <w:rPr>
          <w:lang w:val="es-DO"/>
        </w:rPr>
        <w:t>359</w:t>
      </w:r>
      <w:r w:rsidRPr="005C133F">
        <w:rPr>
          <w:lang w:val="es-DO"/>
        </w:rPr>
        <w:t xml:space="preserve"> solicitudes resultaron en contrataciones con las ARS, 1,2</w:t>
      </w:r>
      <w:r w:rsidR="00A3381D">
        <w:rPr>
          <w:lang w:val="es-DO"/>
        </w:rPr>
        <w:t>47</w:t>
      </w:r>
      <w:r w:rsidRPr="005C133F">
        <w:rPr>
          <w:lang w:val="es-DO"/>
        </w:rPr>
        <w:t xml:space="preserve"> no resultaron en contratos y 5,</w:t>
      </w:r>
      <w:r w:rsidR="00A3381D">
        <w:rPr>
          <w:lang w:val="es-DO"/>
        </w:rPr>
        <w:t>287</w:t>
      </w:r>
      <w:r w:rsidRPr="005C133F">
        <w:rPr>
          <w:lang w:val="es-DO"/>
        </w:rPr>
        <w:t xml:space="preserve"> se encuentran pendientes de cierre. Dichos resultados fueron presentados al CNSS y posteriormente fue informado al Colegio Médico Dominicano para que notifique a los médicos de realizar los acercamientos a las ARS para los fines de completar su solicitud o actualizarlas.  </w:t>
      </w:r>
      <w:r w:rsidRPr="005C133F">
        <w:rPr>
          <w:lang w:val="es-DO" w:eastAsia="es-DO"/>
        </w:rPr>
        <w:t>Además, las 17 ARS fueron retroalimentadas e instruidas para apegarse a la resolución del CNSS No. 563-01, sobre otorgamiento de los códigos a las ARS en el tiempo establecido.</w:t>
      </w:r>
    </w:p>
    <w:p w14:paraId="3AAE4BAE" w14:textId="77777777" w:rsidR="007D0A58" w:rsidRPr="005C133F" w:rsidRDefault="007D0A58" w:rsidP="005C133F">
      <w:pPr>
        <w:spacing w:after="0" w:line="360" w:lineRule="auto"/>
        <w:jc w:val="both"/>
        <w:rPr>
          <w:lang w:val="es-DO" w:eastAsia="es-DO"/>
        </w:rPr>
      </w:pPr>
    </w:p>
    <w:p w14:paraId="36C04872" w14:textId="3949FD78" w:rsidR="00F266E2" w:rsidRPr="005C133F" w:rsidRDefault="007D0A58" w:rsidP="005C133F">
      <w:pPr>
        <w:spacing w:after="0" w:line="360" w:lineRule="auto"/>
        <w:jc w:val="both"/>
        <w:rPr>
          <w:rStyle w:val="normaltextrun"/>
          <w:rFonts w:eastAsiaTheme="majorEastAsia"/>
          <w:b/>
          <w:bCs/>
          <w:lang w:val="es-DO"/>
        </w:rPr>
      </w:pPr>
      <w:r w:rsidRPr="005C133F">
        <w:rPr>
          <w:b/>
          <w:bCs/>
          <w:lang w:val="es-DO" w:eastAsia="es-DO"/>
        </w:rPr>
        <w:t xml:space="preserve">Supervisión del </w:t>
      </w:r>
      <w:r w:rsidRPr="005C133F">
        <w:rPr>
          <w:rStyle w:val="normaltextrun"/>
          <w:rFonts w:eastAsiaTheme="majorEastAsia"/>
          <w:b/>
          <w:bCs/>
          <w:lang w:val="es-DO"/>
        </w:rPr>
        <w:t>IDOPPRIL</w:t>
      </w:r>
    </w:p>
    <w:p w14:paraId="6848090D" w14:textId="77777777" w:rsidR="007305CE" w:rsidRPr="005C133F" w:rsidRDefault="007305CE" w:rsidP="005C133F">
      <w:pPr>
        <w:spacing w:after="0" w:line="360" w:lineRule="auto"/>
        <w:jc w:val="both"/>
        <w:rPr>
          <w:rFonts w:eastAsiaTheme="majorEastAsia"/>
          <w:b/>
          <w:bCs/>
          <w:lang w:val="es-DO"/>
        </w:rPr>
      </w:pPr>
    </w:p>
    <w:p w14:paraId="045DE939" w14:textId="77777777" w:rsidR="00DB0AC7" w:rsidRPr="005C133F" w:rsidRDefault="00F266E2">
      <w:pPr>
        <w:pStyle w:val="Prrafodelista"/>
        <w:numPr>
          <w:ilvl w:val="0"/>
          <w:numId w:val="148"/>
        </w:numPr>
        <w:spacing w:after="0" w:line="360" w:lineRule="auto"/>
        <w:rPr>
          <w:lang w:val="es-DO" w:eastAsia="es-DO"/>
        </w:rPr>
      </w:pPr>
      <w:r w:rsidRPr="005C133F">
        <w:rPr>
          <w:lang w:val="es-DO" w:eastAsia="es-DO"/>
        </w:rPr>
        <w:t>Se ejecutaron</w:t>
      </w:r>
      <w:r w:rsidR="007D0A58" w:rsidRPr="005C133F">
        <w:rPr>
          <w:lang w:val="es-DO" w:eastAsia="es-DO"/>
        </w:rPr>
        <w:t xml:space="preserve"> las auditorías de supervisión y vigilancia a los siguientes procesos del IDOPPRIL: </w:t>
      </w:r>
    </w:p>
    <w:p w14:paraId="6BF6D617" w14:textId="77777777" w:rsidR="00DB0AC7" w:rsidRPr="005C133F" w:rsidRDefault="007D0A58">
      <w:pPr>
        <w:pStyle w:val="Prrafodelista"/>
        <w:numPr>
          <w:ilvl w:val="0"/>
          <w:numId w:val="149"/>
        </w:numPr>
        <w:spacing w:after="0" w:line="360" w:lineRule="auto"/>
        <w:rPr>
          <w:lang w:val="es-DO" w:eastAsia="es-DO"/>
        </w:rPr>
      </w:pPr>
      <w:r w:rsidRPr="005C133F">
        <w:rPr>
          <w:lang w:val="es-DO" w:eastAsia="es-DO"/>
        </w:rPr>
        <w:t>Subsidios y Contratos con Empresas,</w:t>
      </w:r>
    </w:p>
    <w:p w14:paraId="2D7A9098" w14:textId="77777777" w:rsidR="00DB0AC7" w:rsidRPr="005C133F" w:rsidRDefault="007D0A58">
      <w:pPr>
        <w:pStyle w:val="Prrafodelista"/>
        <w:numPr>
          <w:ilvl w:val="0"/>
          <w:numId w:val="149"/>
        </w:numPr>
        <w:spacing w:after="0" w:line="360" w:lineRule="auto"/>
        <w:rPr>
          <w:lang w:val="es-DO" w:eastAsia="es-DO"/>
        </w:rPr>
      </w:pPr>
      <w:r w:rsidRPr="005C133F">
        <w:rPr>
          <w:lang w:val="es-DO" w:eastAsia="es-DO"/>
        </w:rPr>
        <w:t xml:space="preserve">Cumplimiento de la Res. </w:t>
      </w:r>
      <w:r w:rsidR="00E86FC1" w:rsidRPr="005C133F">
        <w:rPr>
          <w:lang w:val="es-DO" w:eastAsia="es-DO"/>
        </w:rPr>
        <w:t>A</w:t>
      </w:r>
      <w:r w:rsidRPr="005C133F">
        <w:rPr>
          <w:lang w:val="es-DO" w:eastAsia="es-DO"/>
        </w:rPr>
        <w:t>dministrativa SISALRIL 255-23,</w:t>
      </w:r>
    </w:p>
    <w:p w14:paraId="6561345B" w14:textId="428DACAB" w:rsidR="00DB0AC7" w:rsidRPr="005C133F" w:rsidRDefault="007D0A58">
      <w:pPr>
        <w:pStyle w:val="Prrafodelista"/>
        <w:numPr>
          <w:ilvl w:val="0"/>
          <w:numId w:val="149"/>
        </w:numPr>
        <w:spacing w:after="0" w:line="360" w:lineRule="auto"/>
        <w:rPr>
          <w:lang w:val="es-DO" w:eastAsia="es-DO"/>
        </w:rPr>
      </w:pPr>
      <w:r w:rsidRPr="005C133F">
        <w:rPr>
          <w:lang w:val="es-DO" w:eastAsia="es-DO"/>
        </w:rPr>
        <w:t>Programa de Prevenció</w:t>
      </w:r>
      <w:r w:rsidR="00612BBF" w:rsidRPr="005C133F">
        <w:rPr>
          <w:lang w:val="es-DO" w:eastAsia="es-DO"/>
        </w:rPr>
        <w:t>n de Riesgos Laborales (PRL) - IDOPPRIL del año 2024,</w:t>
      </w:r>
    </w:p>
    <w:p w14:paraId="1BBD078E" w14:textId="707EAF34" w:rsidR="00932E27" w:rsidRPr="005C133F" w:rsidRDefault="007D0A58">
      <w:pPr>
        <w:pStyle w:val="Prrafodelista"/>
        <w:numPr>
          <w:ilvl w:val="0"/>
          <w:numId w:val="149"/>
        </w:numPr>
        <w:spacing w:after="0" w:line="360" w:lineRule="auto"/>
        <w:rPr>
          <w:lang w:val="es-DO" w:eastAsia="es-DO"/>
        </w:rPr>
      </w:pPr>
      <w:r w:rsidRPr="005C133F">
        <w:rPr>
          <w:lang w:val="es-DO" w:eastAsia="es-DO"/>
        </w:rPr>
        <w:t>Pensiones</w:t>
      </w:r>
    </w:p>
    <w:p w14:paraId="215B1092" w14:textId="52D129C8" w:rsidR="007D0A58" w:rsidRPr="005C133F" w:rsidRDefault="00F02B4E">
      <w:pPr>
        <w:pStyle w:val="Prrafodelista"/>
        <w:numPr>
          <w:ilvl w:val="0"/>
          <w:numId w:val="148"/>
        </w:numPr>
        <w:spacing w:after="0" w:line="360" w:lineRule="auto"/>
        <w:jc w:val="both"/>
        <w:rPr>
          <w:lang w:val="es-DO" w:eastAsia="es-DO"/>
        </w:rPr>
      </w:pPr>
      <w:r w:rsidRPr="005C133F">
        <w:rPr>
          <w:lang w:val="es-DO" w:eastAsia="es-DO"/>
        </w:rPr>
        <w:t>Se realizaron</w:t>
      </w:r>
      <w:r w:rsidR="007D0A58" w:rsidRPr="005C133F">
        <w:rPr>
          <w:lang w:val="es-DO" w:eastAsia="es-DO"/>
        </w:rPr>
        <w:t xml:space="preserve"> visitas de supervisión a 16 oficinas provinciales y stand del IDOPPRIL, </w:t>
      </w:r>
      <w:r w:rsidR="00F91798" w:rsidRPr="005C133F">
        <w:rPr>
          <w:lang w:val="es-DO" w:eastAsia="es-DO"/>
        </w:rPr>
        <w:t>en el marco de lo cual</w:t>
      </w:r>
      <w:r w:rsidRPr="005C133F">
        <w:rPr>
          <w:lang w:val="es-DO" w:eastAsia="es-DO"/>
        </w:rPr>
        <w:t xml:space="preserve"> se realiz</w:t>
      </w:r>
      <w:r w:rsidR="00932E27" w:rsidRPr="005C133F">
        <w:rPr>
          <w:lang w:val="es-DO" w:eastAsia="es-DO"/>
        </w:rPr>
        <w:t>aron</w:t>
      </w:r>
      <w:r w:rsidRPr="005C133F">
        <w:rPr>
          <w:lang w:val="es-DO" w:eastAsia="es-DO"/>
        </w:rPr>
        <w:t xml:space="preserve"> j</w:t>
      </w:r>
      <w:r w:rsidR="007D0A58" w:rsidRPr="005C133F">
        <w:rPr>
          <w:lang w:val="es-DO" w:eastAsia="es-DO"/>
        </w:rPr>
        <w:t>ornadas de orientación sobre el SRL y sus normas complementarias; impactando 71 Empresas, ARS y PSS con un total de 661 participantes. </w:t>
      </w:r>
    </w:p>
    <w:p w14:paraId="46A44EA5" w14:textId="60505EE6" w:rsidR="00764FC5" w:rsidRPr="005C133F" w:rsidRDefault="003A2142" w:rsidP="005C133F">
      <w:pPr>
        <w:spacing w:after="0" w:line="360" w:lineRule="auto"/>
        <w:jc w:val="both"/>
        <w:rPr>
          <w:b/>
          <w:bCs/>
          <w:lang w:val="es-DO" w:eastAsia="es-DO"/>
        </w:rPr>
      </w:pPr>
      <w:r w:rsidRPr="005C133F">
        <w:rPr>
          <w:b/>
          <w:bCs/>
          <w:lang w:val="es-DO" w:eastAsia="es-DO"/>
        </w:rPr>
        <w:lastRenderedPageBreak/>
        <w:t xml:space="preserve">Mejora de la Interrelación de Información, entre ARS-PSS-SISALRIL </w:t>
      </w:r>
    </w:p>
    <w:p w14:paraId="1A561266" w14:textId="77777777" w:rsidR="00291572" w:rsidRPr="005C133F" w:rsidRDefault="00291572" w:rsidP="005C133F">
      <w:pPr>
        <w:spacing w:after="0" w:line="360" w:lineRule="auto"/>
        <w:jc w:val="both"/>
        <w:rPr>
          <w:b/>
          <w:bCs/>
          <w:lang w:val="es-DO" w:eastAsia="es-DO"/>
        </w:rPr>
      </w:pPr>
    </w:p>
    <w:p w14:paraId="1EC6AA7C" w14:textId="32DD2B85" w:rsidR="00764FC5" w:rsidRPr="005C133F" w:rsidRDefault="00764FC5" w:rsidP="005C133F">
      <w:pPr>
        <w:spacing w:after="0" w:line="360" w:lineRule="auto"/>
        <w:jc w:val="both"/>
        <w:rPr>
          <w:rStyle w:val="normaltextrun"/>
          <w:rFonts w:eastAsiaTheme="majorEastAsia"/>
          <w:lang w:val="es-DO"/>
        </w:rPr>
      </w:pPr>
      <w:r w:rsidRPr="005C133F">
        <w:rPr>
          <w:rStyle w:val="normaltextrun"/>
          <w:rFonts w:eastAsiaTheme="majorEastAsia"/>
          <w:lang w:val="es-DO"/>
        </w:rPr>
        <w:t>Con el objetivo de transparentar las informaciones reportadas desde los PSS a las ARS, así como validar los servicios otorgados, se creó un nuevo esquema de reporte con una estructura estandarizada de datos que facilita el monitoreo, control y análisis sistemático de los procesos de auditoría médica, calidad de las atenciones, glosas y pagos entre las ARS/IDOPPRIL y PSS</w:t>
      </w:r>
      <w:r w:rsidR="001C2DA5" w:rsidRPr="005C133F">
        <w:rPr>
          <w:rStyle w:val="normaltextrun"/>
          <w:rFonts w:eastAsiaTheme="majorEastAsia"/>
          <w:lang w:val="es-DO"/>
        </w:rPr>
        <w:t xml:space="preserve">: </w:t>
      </w:r>
    </w:p>
    <w:p w14:paraId="39D432FF" w14:textId="77777777" w:rsidR="008B3EE6" w:rsidRPr="005C133F" w:rsidRDefault="008B3EE6" w:rsidP="005C133F">
      <w:pPr>
        <w:spacing w:after="0" w:line="360" w:lineRule="auto"/>
        <w:jc w:val="both"/>
        <w:rPr>
          <w:rStyle w:val="normaltextrun"/>
          <w:rFonts w:eastAsiaTheme="majorEastAsia"/>
          <w:highlight w:val="yellow"/>
          <w:lang w:val="es-DO"/>
        </w:rPr>
      </w:pPr>
    </w:p>
    <w:p w14:paraId="50365465" w14:textId="6253D52F" w:rsidR="0058515C" w:rsidRPr="005C133F" w:rsidRDefault="00625897" w:rsidP="005C133F">
      <w:pPr>
        <w:spacing w:after="0" w:line="360" w:lineRule="auto"/>
        <w:jc w:val="both"/>
        <w:rPr>
          <w:rStyle w:val="normaltextrun"/>
          <w:rFonts w:eastAsiaTheme="majorEastAsia"/>
          <w:lang w:val="es-DO"/>
        </w:rPr>
      </w:pPr>
      <w:r w:rsidRPr="005C133F">
        <w:rPr>
          <w:rStyle w:val="normaltextrun"/>
          <w:rFonts w:eastAsiaTheme="majorEastAsia"/>
          <w:lang w:val="es-DO"/>
        </w:rPr>
        <w:t xml:space="preserve">Para </w:t>
      </w:r>
      <w:r w:rsidR="0058515C" w:rsidRPr="005C133F">
        <w:rPr>
          <w:rStyle w:val="normaltextrun"/>
          <w:rFonts w:eastAsiaTheme="majorEastAsia"/>
          <w:lang w:val="es-DO"/>
        </w:rPr>
        <w:t xml:space="preserve">ARS/IDOPPRIL:  </w:t>
      </w:r>
    </w:p>
    <w:p w14:paraId="3FFD2F46" w14:textId="54A61635" w:rsidR="008B3EE6" w:rsidRPr="005C133F" w:rsidRDefault="0058515C">
      <w:pPr>
        <w:pStyle w:val="Prrafodelista"/>
        <w:numPr>
          <w:ilvl w:val="0"/>
          <w:numId w:val="55"/>
        </w:numPr>
        <w:spacing w:after="0" w:line="360" w:lineRule="auto"/>
        <w:jc w:val="both"/>
        <w:rPr>
          <w:rStyle w:val="normaltextrun"/>
          <w:rFonts w:eastAsiaTheme="majorEastAsia"/>
          <w:lang w:val="es-DO"/>
        </w:rPr>
      </w:pPr>
      <w:r w:rsidRPr="005C133F">
        <w:rPr>
          <w:rStyle w:val="normaltextrun"/>
          <w:rFonts w:eastAsiaTheme="majorEastAsia"/>
          <w:lang w:val="es-DO"/>
        </w:rPr>
        <w:t xml:space="preserve">Se </w:t>
      </w:r>
      <w:r w:rsidR="001C2DA5" w:rsidRPr="005C133F">
        <w:rPr>
          <w:rStyle w:val="normaltextrun"/>
          <w:rFonts w:eastAsiaTheme="majorEastAsia"/>
          <w:lang w:val="es-DO"/>
        </w:rPr>
        <w:t>elaboró la propuesta técnica de implementación de un Sistema de Indicadores Clave de Desempeño (</w:t>
      </w:r>
      <w:proofErr w:type="spellStart"/>
      <w:r w:rsidR="001C2DA5" w:rsidRPr="005C133F">
        <w:rPr>
          <w:rStyle w:val="normaltextrun"/>
          <w:rFonts w:eastAsiaTheme="majorEastAsia"/>
          <w:lang w:val="es-DO"/>
        </w:rPr>
        <w:t>KPI’s</w:t>
      </w:r>
      <w:proofErr w:type="spellEnd"/>
      <w:r w:rsidR="001C2DA5" w:rsidRPr="005C133F">
        <w:rPr>
          <w:rStyle w:val="normaltextrun"/>
          <w:rFonts w:eastAsiaTheme="majorEastAsia"/>
          <w:lang w:val="es-DO"/>
        </w:rPr>
        <w:t xml:space="preserve">), orientado al monitoreo continuo del cumplimiento normativo por parte de las Administradoras de Riesgos de Salud (ARS) con la finalidad de establecer un conjunto estandarizado de métricas que permitan evaluar de forma periódica y objetiva el desempeño institucional de las ARS en dimensiones esenciales como: cobertura efectiva, procesos de autorización, gestión contractual con Prestadores de Servicios de Salud (PSS), funcionamiento de la red contratada, auditoría médica, atención a usuarios (PQRS), y desempeño financiero conforme a lo establecido por las normativas vigentes. </w:t>
      </w:r>
    </w:p>
    <w:p w14:paraId="5AEA475C" w14:textId="74E38B99" w:rsidR="00A61115" w:rsidRDefault="001C2DA5">
      <w:pPr>
        <w:pStyle w:val="Prrafodelista"/>
        <w:numPr>
          <w:ilvl w:val="0"/>
          <w:numId w:val="55"/>
        </w:numPr>
        <w:spacing w:after="0" w:line="360" w:lineRule="auto"/>
        <w:jc w:val="both"/>
        <w:rPr>
          <w:rStyle w:val="normaltextrun"/>
          <w:rFonts w:eastAsiaTheme="majorEastAsia"/>
          <w:lang w:val="es-DO"/>
        </w:rPr>
      </w:pPr>
      <w:r w:rsidRPr="005C133F">
        <w:rPr>
          <w:rStyle w:val="normaltextrun"/>
          <w:rFonts w:eastAsiaTheme="majorEastAsia"/>
          <w:lang w:val="es-DO"/>
        </w:rPr>
        <w:t xml:space="preserve">Se desarrolló e implementó una nueva herramienta para la mejora en la captura y gestión de la información que las ARS envían mensualmente sobre el estado de las solicitudes de contrato realizadas por los prestadores profesionales de la salud (PS).  </w:t>
      </w:r>
    </w:p>
    <w:p w14:paraId="70E7FC78" w14:textId="77777777" w:rsidR="007877CE" w:rsidRDefault="007877CE" w:rsidP="007877CE">
      <w:pPr>
        <w:pStyle w:val="Prrafodelista"/>
        <w:spacing w:after="0" w:line="360" w:lineRule="auto"/>
        <w:jc w:val="both"/>
        <w:rPr>
          <w:rStyle w:val="normaltextrun"/>
          <w:rFonts w:eastAsiaTheme="majorEastAsia"/>
          <w:lang w:val="es-DO"/>
        </w:rPr>
      </w:pPr>
    </w:p>
    <w:p w14:paraId="7D9D51C1" w14:textId="77777777" w:rsidR="007877CE" w:rsidRPr="005C133F" w:rsidRDefault="007877CE" w:rsidP="007877CE">
      <w:pPr>
        <w:pStyle w:val="Prrafodelista"/>
        <w:spacing w:after="0" w:line="360" w:lineRule="auto"/>
        <w:jc w:val="both"/>
        <w:rPr>
          <w:rStyle w:val="normaltextrun"/>
          <w:rFonts w:eastAsiaTheme="majorEastAsia"/>
          <w:lang w:val="es-DO"/>
        </w:rPr>
      </w:pPr>
    </w:p>
    <w:p w14:paraId="19CA4D6B" w14:textId="3D5B1BCC" w:rsidR="0058515C" w:rsidRPr="005C133F" w:rsidRDefault="00625897" w:rsidP="005C133F">
      <w:pPr>
        <w:spacing w:after="0" w:line="360" w:lineRule="auto"/>
        <w:jc w:val="both"/>
        <w:rPr>
          <w:rStyle w:val="normaltextrun"/>
          <w:rFonts w:eastAsiaTheme="majorEastAsia"/>
          <w:lang w:val="es-DO"/>
        </w:rPr>
      </w:pPr>
      <w:r w:rsidRPr="005C133F">
        <w:rPr>
          <w:rStyle w:val="normaltextrun"/>
          <w:rFonts w:eastAsiaTheme="majorEastAsia"/>
          <w:lang w:val="es-DO"/>
        </w:rPr>
        <w:lastRenderedPageBreak/>
        <w:t xml:space="preserve">Para </w:t>
      </w:r>
      <w:r w:rsidR="0058515C" w:rsidRPr="005C133F">
        <w:rPr>
          <w:rStyle w:val="normaltextrun"/>
          <w:rFonts w:eastAsiaTheme="majorEastAsia"/>
          <w:lang w:val="es-DO"/>
        </w:rPr>
        <w:t xml:space="preserve">PSS: </w:t>
      </w:r>
    </w:p>
    <w:p w14:paraId="4316670C" w14:textId="0C8C9AD5" w:rsidR="001C2DA5" w:rsidRPr="005C133F" w:rsidRDefault="001C2DA5">
      <w:pPr>
        <w:pStyle w:val="Prrafodelista"/>
        <w:numPr>
          <w:ilvl w:val="0"/>
          <w:numId w:val="56"/>
        </w:numPr>
        <w:spacing w:after="0" w:line="360" w:lineRule="auto"/>
        <w:jc w:val="both"/>
        <w:rPr>
          <w:rStyle w:val="normaltextrun"/>
          <w:rFonts w:eastAsiaTheme="majorEastAsia"/>
          <w:lang w:val="es-DO"/>
        </w:rPr>
      </w:pPr>
      <w:r w:rsidRPr="005C133F">
        <w:rPr>
          <w:rStyle w:val="normaltextrun"/>
          <w:rFonts w:eastAsiaTheme="majorEastAsia"/>
          <w:lang w:val="es-DO"/>
        </w:rPr>
        <w:t>Se elaboraron propuestas para aplicar y dar seguimiento a los Indicadores Claves de Desempeño (KPI) en 51 establecimientos, 10 pertenecientes a la red pública y 41 establecimientos de la red privada.</w:t>
      </w:r>
    </w:p>
    <w:p w14:paraId="36304101" w14:textId="2F243E84" w:rsidR="0089086A" w:rsidRPr="005C133F" w:rsidRDefault="0089086A" w:rsidP="005C133F">
      <w:pPr>
        <w:tabs>
          <w:tab w:val="left" w:pos="1170"/>
        </w:tabs>
        <w:spacing w:after="0" w:line="360" w:lineRule="auto"/>
        <w:jc w:val="both"/>
        <w:rPr>
          <w:rStyle w:val="normaltextrun"/>
          <w:rFonts w:eastAsiaTheme="majorEastAsia"/>
          <w:lang w:val="es-DO"/>
        </w:rPr>
      </w:pPr>
    </w:p>
    <w:p w14:paraId="4E67065B" w14:textId="2B3E515A" w:rsidR="006831E6" w:rsidRPr="005C133F" w:rsidRDefault="00352266" w:rsidP="005C133F">
      <w:pPr>
        <w:spacing w:after="0" w:line="360" w:lineRule="auto"/>
        <w:jc w:val="both"/>
        <w:rPr>
          <w:rFonts w:eastAsiaTheme="majorEastAsia"/>
          <w:b/>
          <w:bCs/>
          <w:lang w:val="es-DO"/>
        </w:rPr>
      </w:pPr>
      <w:r w:rsidRPr="005C133F">
        <w:rPr>
          <w:rFonts w:eastAsiaTheme="majorEastAsia"/>
          <w:b/>
          <w:bCs/>
          <w:lang w:val="es-DO"/>
        </w:rPr>
        <w:t xml:space="preserve">Emisión de </w:t>
      </w:r>
      <w:r w:rsidR="00BC7575" w:rsidRPr="005C133F">
        <w:rPr>
          <w:rFonts w:eastAsiaTheme="majorEastAsia"/>
          <w:b/>
          <w:bCs/>
          <w:lang w:val="es-DO"/>
        </w:rPr>
        <w:t>instrucciones y normativas de cumplimiento obligatorio a la administración del SFS y SRL</w:t>
      </w:r>
    </w:p>
    <w:p w14:paraId="6C716B3C" w14:textId="77777777" w:rsidR="00EC3BDD" w:rsidRPr="005C133F" w:rsidRDefault="00EC3BDD" w:rsidP="005C133F">
      <w:pPr>
        <w:spacing w:after="0" w:line="360" w:lineRule="auto"/>
        <w:jc w:val="both"/>
        <w:rPr>
          <w:rFonts w:eastAsiaTheme="majorEastAsia"/>
          <w:b/>
          <w:bCs/>
          <w:lang w:val="es-DO"/>
        </w:rPr>
      </w:pPr>
    </w:p>
    <w:p w14:paraId="37533815" w14:textId="562BD907" w:rsidR="00BC7575" w:rsidRPr="005C133F" w:rsidRDefault="00E6756C">
      <w:pPr>
        <w:pStyle w:val="Prrafodelista"/>
        <w:numPr>
          <w:ilvl w:val="0"/>
          <w:numId w:val="138"/>
        </w:numPr>
        <w:spacing w:after="0" w:line="360" w:lineRule="auto"/>
        <w:jc w:val="both"/>
        <w:rPr>
          <w:rStyle w:val="normaltextrun"/>
          <w:rFonts w:eastAsiaTheme="majorEastAsia"/>
          <w:lang w:val="es-DO"/>
        </w:rPr>
      </w:pPr>
      <w:r w:rsidRPr="005C133F">
        <w:rPr>
          <w:b/>
          <w:bCs/>
          <w:lang w:val="es-ES"/>
        </w:rPr>
        <w:t>Reso</w:t>
      </w:r>
      <w:r w:rsidR="00977EDB" w:rsidRPr="005C133F">
        <w:rPr>
          <w:b/>
          <w:bCs/>
          <w:lang w:val="es-ES"/>
        </w:rPr>
        <w:t xml:space="preserve">luciones </w:t>
      </w:r>
    </w:p>
    <w:p w14:paraId="29D0773A" w14:textId="77777777" w:rsidR="004854C5" w:rsidRPr="005C133F" w:rsidRDefault="00F008D3" w:rsidP="005C133F">
      <w:pPr>
        <w:spacing w:after="0" w:line="360" w:lineRule="auto"/>
        <w:jc w:val="both"/>
        <w:rPr>
          <w:rFonts w:eastAsiaTheme="majorEastAsia"/>
          <w:lang w:val="es-ES"/>
        </w:rPr>
      </w:pPr>
      <w:r w:rsidRPr="005C133F">
        <w:rPr>
          <w:rFonts w:eastAsiaTheme="majorEastAsia"/>
          <w:lang w:val="es-ES"/>
        </w:rPr>
        <w:t>Se emitió la R</w:t>
      </w:r>
      <w:r w:rsidR="006831E6" w:rsidRPr="005C133F">
        <w:rPr>
          <w:rFonts w:eastAsiaTheme="majorEastAsia"/>
          <w:lang w:val="es-ES"/>
        </w:rPr>
        <w:t>esolución Administrativa núm. 00264-2025, de fecha 12 septiembre de 2025, que establece el proceso de registro y descargo de las autorizaciones de cobertura, reclamaciones y pagos por servicios de salud.  </w:t>
      </w:r>
    </w:p>
    <w:p w14:paraId="24E8E40D" w14:textId="77777777" w:rsidR="004273CE" w:rsidRPr="005C133F" w:rsidRDefault="004273CE" w:rsidP="005C133F">
      <w:pPr>
        <w:spacing w:after="0" w:line="360" w:lineRule="auto"/>
        <w:jc w:val="both"/>
        <w:rPr>
          <w:rFonts w:eastAsiaTheme="majorEastAsia"/>
          <w:lang w:val="es-ES"/>
        </w:rPr>
      </w:pPr>
    </w:p>
    <w:p w14:paraId="2CD1A199" w14:textId="204405D4" w:rsidR="00A024F1" w:rsidRPr="005C133F" w:rsidRDefault="00A024F1">
      <w:pPr>
        <w:pStyle w:val="Prrafodelista"/>
        <w:numPr>
          <w:ilvl w:val="0"/>
          <w:numId w:val="138"/>
        </w:numPr>
        <w:spacing w:after="0" w:line="360" w:lineRule="auto"/>
        <w:jc w:val="both"/>
        <w:rPr>
          <w:b/>
          <w:bCs/>
          <w:lang w:val="es-ES"/>
        </w:rPr>
      </w:pPr>
      <w:r w:rsidRPr="005C133F">
        <w:rPr>
          <w:rFonts w:eastAsiaTheme="majorEastAsia"/>
          <w:b/>
          <w:lang w:val="es-ES"/>
        </w:rPr>
        <w:t>Circulares</w:t>
      </w:r>
      <w:r w:rsidRPr="005C133F">
        <w:rPr>
          <w:b/>
          <w:bCs/>
          <w:lang w:val="es-ES"/>
        </w:rPr>
        <w:t> </w:t>
      </w:r>
    </w:p>
    <w:p w14:paraId="01314373" w14:textId="09369772" w:rsidR="00A024F1" w:rsidRPr="005C133F" w:rsidRDefault="00A024F1" w:rsidP="005C133F">
      <w:pPr>
        <w:spacing w:after="0" w:line="360" w:lineRule="auto"/>
        <w:jc w:val="both"/>
        <w:rPr>
          <w:rFonts w:eastAsiaTheme="majorEastAsia"/>
          <w:lang w:val="es-DO"/>
        </w:rPr>
      </w:pPr>
      <w:r w:rsidRPr="005C133F">
        <w:rPr>
          <w:rFonts w:eastAsiaTheme="majorEastAsia"/>
          <w:lang w:val="es-ES"/>
        </w:rPr>
        <w:t xml:space="preserve">Se </w:t>
      </w:r>
      <w:r w:rsidR="00977EDB" w:rsidRPr="005C133F">
        <w:rPr>
          <w:rFonts w:eastAsiaTheme="majorEastAsia"/>
          <w:lang w:val="es-ES"/>
        </w:rPr>
        <w:t>emitieron</w:t>
      </w:r>
      <w:r w:rsidRPr="005C133F">
        <w:rPr>
          <w:rFonts w:eastAsiaTheme="majorEastAsia"/>
          <w:lang w:val="es-ES"/>
        </w:rPr>
        <w:t> veintidós (22) circulares</w:t>
      </w:r>
      <w:r w:rsidR="00FD1649" w:rsidRPr="005C133F">
        <w:rPr>
          <w:rFonts w:eastAsiaTheme="majorEastAsia"/>
          <w:lang w:val="es-ES"/>
        </w:rPr>
        <w:t xml:space="preserve"> con instrucciones</w:t>
      </w:r>
      <w:r w:rsidRPr="005C133F">
        <w:rPr>
          <w:rFonts w:eastAsiaTheme="majorEastAsia"/>
          <w:lang w:val="es-ES"/>
        </w:rPr>
        <w:t>, las cuales se citan a continuación:  </w:t>
      </w:r>
      <w:r w:rsidRPr="005C133F">
        <w:rPr>
          <w:rFonts w:eastAsiaTheme="majorEastAsia"/>
          <w:lang w:val="es-DO"/>
        </w:rPr>
        <w:t> </w:t>
      </w:r>
    </w:p>
    <w:p w14:paraId="59F55696" w14:textId="77777777" w:rsidR="00A024F1" w:rsidRPr="005C133F" w:rsidRDefault="00A024F1" w:rsidP="005C133F">
      <w:pPr>
        <w:spacing w:after="0" w:line="360" w:lineRule="auto"/>
        <w:jc w:val="both"/>
        <w:rPr>
          <w:rFonts w:eastAsiaTheme="majorEastAsia"/>
          <w:lang w:val="es-DO"/>
        </w:rPr>
      </w:pPr>
      <w:r w:rsidRPr="005C133F">
        <w:rPr>
          <w:rFonts w:eastAsiaTheme="majorEastAsia"/>
          <w:lang w:val="es-DO"/>
        </w:rPr>
        <w:t> </w:t>
      </w:r>
    </w:p>
    <w:p w14:paraId="3407A118" w14:textId="77777777" w:rsidR="00A024F1" w:rsidRPr="005C133F" w:rsidRDefault="00A024F1">
      <w:pPr>
        <w:numPr>
          <w:ilvl w:val="0"/>
          <w:numId w:val="116"/>
        </w:numPr>
        <w:spacing w:after="0" w:line="360" w:lineRule="auto"/>
        <w:jc w:val="both"/>
        <w:rPr>
          <w:rFonts w:eastAsiaTheme="majorEastAsia"/>
          <w:lang w:val="es-DO"/>
        </w:rPr>
      </w:pPr>
      <w:r w:rsidRPr="005C133F">
        <w:rPr>
          <w:rFonts w:eastAsiaTheme="majorEastAsia"/>
          <w:lang w:val="es-ES"/>
        </w:rPr>
        <w:t>Circular SISALRIL-DEACT-DARCP-DTIC No. 2025001201, de fecha 21 de febrero del 2025. “Trasposición de Músculos Extraoculares" en el "Catálogo de Prestaciones del Plan de Servicios de Salud (PDSS)”. El objetivo es formalizar y comunicar el cambio de nomenclatura del procedimiento, asegurando que todos los actores del Sistema Dominicano de Seguridad Social utilicen el nombre actualizado.</w:t>
      </w:r>
      <w:r w:rsidRPr="005C133F">
        <w:rPr>
          <w:rFonts w:eastAsiaTheme="majorEastAsia"/>
          <w:lang w:val="es-DO"/>
        </w:rPr>
        <w:t> </w:t>
      </w:r>
    </w:p>
    <w:p w14:paraId="23BBEA8A" w14:textId="77777777" w:rsidR="00A024F1" w:rsidRPr="005C133F" w:rsidRDefault="00A024F1">
      <w:pPr>
        <w:numPr>
          <w:ilvl w:val="0"/>
          <w:numId w:val="117"/>
        </w:numPr>
        <w:spacing w:after="0" w:line="360" w:lineRule="auto"/>
        <w:jc w:val="both"/>
        <w:rPr>
          <w:rFonts w:eastAsiaTheme="majorEastAsia"/>
          <w:lang w:val="es-DO"/>
        </w:rPr>
      </w:pPr>
      <w:r w:rsidRPr="005C133F">
        <w:rPr>
          <w:rFonts w:eastAsiaTheme="majorEastAsia"/>
          <w:lang w:val="es-ES"/>
        </w:rPr>
        <w:t xml:space="preserve">Circular SISALRIL DAU-DJ - No.2025001356 de fecha 3 de marzo del año 2025. “Proceso de Alta y Baja De Usuarios De Traspaso Digital para la implementación de la Resolución Administrativa Núm. 00258-2023, que establece el traspaso y </w:t>
      </w:r>
      <w:r w:rsidRPr="005C133F">
        <w:rPr>
          <w:rFonts w:eastAsiaTheme="majorEastAsia"/>
          <w:lang w:val="es-ES"/>
        </w:rPr>
        <w:lastRenderedPageBreak/>
        <w:t>unificación de núcleo familiar en el Régimen Contributivo, de manera digital”.  Esta circular tiene como objetivo establecer y regular el procedimiento para la alta y baja de usuarios autorizados a realizar traspasos digitales de afiliados entre Administradoras de Riesgos de Salud (ARS) en el Régimen Contributivo del Sistema Dominicano de Seguridad Social.</w:t>
      </w:r>
      <w:r w:rsidRPr="005C133F">
        <w:rPr>
          <w:rFonts w:eastAsiaTheme="majorEastAsia"/>
          <w:lang w:val="es-DO"/>
        </w:rPr>
        <w:t> </w:t>
      </w:r>
    </w:p>
    <w:p w14:paraId="7B217B48" w14:textId="77777777" w:rsidR="00A024F1" w:rsidRPr="005C133F" w:rsidRDefault="00A024F1">
      <w:pPr>
        <w:numPr>
          <w:ilvl w:val="0"/>
          <w:numId w:val="118"/>
        </w:numPr>
        <w:spacing w:after="0" w:line="360" w:lineRule="auto"/>
        <w:jc w:val="both"/>
        <w:rPr>
          <w:rFonts w:eastAsiaTheme="majorEastAsia"/>
          <w:lang w:val="es-DO"/>
        </w:rPr>
      </w:pPr>
      <w:r w:rsidRPr="005C133F">
        <w:rPr>
          <w:rFonts w:eastAsiaTheme="majorEastAsia"/>
          <w:lang w:val="es-ES"/>
        </w:rPr>
        <w:t>Circular SISALRIL-DGR-DEACT-DTIC-DJ No.2025001544 de fecha 7 de marzo del año 2025. “Notificación de Esquema 38 para la actualización de carga de prestaciones pagadas en Planes Voluntarios de Salud Autorizados por la Superintendencia de Salud y Riesgos Laborales”.  La presente circular tiene como objetivo definir un esquema estandarizado para el reporte mensual de las prestaciones pagadas en Planes Voluntarios por parte de las Administradoras de Riesgos de Salud (ARS). </w:t>
      </w:r>
      <w:r w:rsidRPr="005C133F">
        <w:rPr>
          <w:rFonts w:eastAsiaTheme="majorEastAsia"/>
          <w:lang w:val="es-DO"/>
        </w:rPr>
        <w:t> </w:t>
      </w:r>
    </w:p>
    <w:p w14:paraId="4E83807A" w14:textId="77777777" w:rsidR="00A024F1" w:rsidRPr="005C133F" w:rsidRDefault="00A024F1">
      <w:pPr>
        <w:numPr>
          <w:ilvl w:val="0"/>
          <w:numId w:val="119"/>
        </w:numPr>
        <w:spacing w:after="0" w:line="360" w:lineRule="auto"/>
        <w:jc w:val="both"/>
        <w:rPr>
          <w:rFonts w:eastAsiaTheme="majorEastAsia"/>
          <w:lang w:val="es-DO"/>
        </w:rPr>
      </w:pPr>
      <w:r w:rsidRPr="005C133F">
        <w:rPr>
          <w:rFonts w:eastAsiaTheme="majorEastAsia"/>
          <w:lang w:val="es-ES"/>
        </w:rPr>
        <w:t>Circular SISALRIL- DGR-DJ No.2025001684 de fecha 14 marzo del año 2025. “Requerimiento de información a entidades supervisadas para fines de publicación en el portal web de la Superintendencia de Salud y Riesgos Laborales (SISALRIL)”.  Esta medida busca fortalecer la supervisión y la rendición de cuentas de las entidades supervisadas, estableciendo plazos y condiciones para la entrega y actualización continua de la información.</w:t>
      </w:r>
      <w:r w:rsidRPr="005C133F">
        <w:rPr>
          <w:rFonts w:eastAsiaTheme="majorEastAsia"/>
          <w:lang w:val="es-DO"/>
        </w:rPr>
        <w:t> </w:t>
      </w:r>
    </w:p>
    <w:p w14:paraId="25E4A3F6" w14:textId="77777777" w:rsidR="00A024F1" w:rsidRPr="005C133F" w:rsidRDefault="00A024F1">
      <w:pPr>
        <w:numPr>
          <w:ilvl w:val="0"/>
          <w:numId w:val="120"/>
        </w:numPr>
        <w:spacing w:after="0" w:line="360" w:lineRule="auto"/>
        <w:jc w:val="both"/>
        <w:rPr>
          <w:rFonts w:eastAsiaTheme="majorEastAsia"/>
          <w:lang w:val="es-DO"/>
        </w:rPr>
      </w:pPr>
      <w:r w:rsidRPr="005C133F">
        <w:rPr>
          <w:rFonts w:eastAsiaTheme="majorEastAsia"/>
          <w:lang w:val="es-ES"/>
        </w:rPr>
        <w:t xml:space="preserve">Circular SSRL-INT-2025-000069 de fecha 26 marzo del año 2025. “Incremento en el capital mínimo requerido y del límite de cobertura para las atenciones médicas por accidentes de tránsito y cuota moderadora variable”. El objetivo de la circular es informar la actualización del Salario Mínimo Nacional (SMN) de la seguridad social a RD$21,674.80, vigente desde el 1.º de abril de 2025, y comunicar las </w:t>
      </w:r>
      <w:r w:rsidRPr="005C133F">
        <w:rPr>
          <w:rFonts w:eastAsiaTheme="majorEastAsia"/>
          <w:lang w:val="es-ES"/>
        </w:rPr>
        <w:lastRenderedPageBreak/>
        <w:t>implicaciones de este ajuste en diversos aspectos del Sistema Dominicano de Seguridad Social. </w:t>
      </w:r>
      <w:r w:rsidRPr="005C133F">
        <w:rPr>
          <w:rFonts w:eastAsiaTheme="majorEastAsia"/>
          <w:lang w:val="es-DO"/>
        </w:rPr>
        <w:t> </w:t>
      </w:r>
    </w:p>
    <w:p w14:paraId="4F72CD76" w14:textId="77777777" w:rsidR="00A024F1" w:rsidRPr="005C133F" w:rsidRDefault="00A024F1">
      <w:pPr>
        <w:numPr>
          <w:ilvl w:val="0"/>
          <w:numId w:val="121"/>
        </w:numPr>
        <w:spacing w:after="0" w:line="360" w:lineRule="auto"/>
        <w:jc w:val="both"/>
        <w:rPr>
          <w:rFonts w:eastAsiaTheme="majorEastAsia"/>
          <w:lang w:val="es-DO"/>
        </w:rPr>
      </w:pPr>
      <w:r w:rsidRPr="005C133F">
        <w:rPr>
          <w:rFonts w:eastAsiaTheme="majorEastAsia"/>
          <w:lang w:val="es-ES"/>
        </w:rPr>
        <w:t>Circular SISALRIL -DEACT-DJ No. SSRL-INT-2025-000119 de fecha 1 abril del año 2025. “Notificación De Actualización Del Procedimiento Para La Evaluación De Los Planes Alternativos De Salud (PAS)”.  El objetivo de la circular es notificar la actualización del “Procedimiento para la Evaluación de los Planes Alternativos de Salud y su Documentación” (Código PC-AE01). </w:t>
      </w:r>
      <w:r w:rsidRPr="005C133F">
        <w:rPr>
          <w:rFonts w:eastAsiaTheme="majorEastAsia"/>
          <w:lang w:val="es-DO"/>
        </w:rPr>
        <w:t> </w:t>
      </w:r>
    </w:p>
    <w:p w14:paraId="02411172" w14:textId="77777777" w:rsidR="00A024F1" w:rsidRPr="005C133F" w:rsidRDefault="00A024F1">
      <w:pPr>
        <w:numPr>
          <w:ilvl w:val="0"/>
          <w:numId w:val="122"/>
        </w:numPr>
        <w:spacing w:after="0" w:line="360" w:lineRule="auto"/>
        <w:jc w:val="both"/>
        <w:rPr>
          <w:rFonts w:eastAsiaTheme="majorEastAsia"/>
          <w:lang w:val="es-DO"/>
        </w:rPr>
      </w:pPr>
      <w:r w:rsidRPr="005C133F">
        <w:rPr>
          <w:rFonts w:eastAsiaTheme="majorEastAsia"/>
          <w:lang w:val="es-ES"/>
        </w:rPr>
        <w:t>Circular SISALRIL-DJ No. SSRL-INT-2025-000168 de fecha 2 abril del año 2025. “Denuncia y Notificación de Infracciones A La Ley Núm. 87-01 Y Normativas Complementarias A La Superintendencia De Salud Y Riesgos Laborales”. La medida busca facilitar la detección temprana de irregularidades y garantizar la integridad y sostenibilidad del Seguro Familiar de Salud y el Seguro de Riesgos Laborales, a través de la denuncia y notificación a esta Superintendencia de las infracciones que se identifiquen por las ARS y el IDOPPRIL.</w:t>
      </w:r>
      <w:r w:rsidRPr="005C133F">
        <w:rPr>
          <w:rFonts w:eastAsiaTheme="majorEastAsia"/>
          <w:lang w:val="es-DO"/>
        </w:rPr>
        <w:t> </w:t>
      </w:r>
    </w:p>
    <w:p w14:paraId="1546F345" w14:textId="77777777" w:rsidR="00A024F1" w:rsidRPr="005C133F" w:rsidRDefault="00A024F1">
      <w:pPr>
        <w:numPr>
          <w:ilvl w:val="0"/>
          <w:numId w:val="123"/>
        </w:numPr>
        <w:spacing w:after="0" w:line="360" w:lineRule="auto"/>
        <w:jc w:val="both"/>
        <w:rPr>
          <w:rFonts w:eastAsiaTheme="majorEastAsia"/>
          <w:lang w:val="es-DO"/>
        </w:rPr>
      </w:pPr>
      <w:r w:rsidRPr="005C133F">
        <w:rPr>
          <w:rFonts w:eastAsiaTheme="majorEastAsia"/>
          <w:lang w:val="es-ES"/>
        </w:rPr>
        <w:t>Circular SSRL-INT-2025-000271 de fecha 11 abril del año 2025. “Designación de enlaces para la remisión y recepción de información relativa a la provisión de servicios de salud y planes regulados por la SISALRIL a través de la plataforma Microsoft </w:t>
      </w:r>
      <w:proofErr w:type="spellStart"/>
      <w:r w:rsidRPr="005C133F">
        <w:rPr>
          <w:rFonts w:eastAsiaTheme="majorEastAsia"/>
          <w:lang w:val="es-ES"/>
        </w:rPr>
        <w:t>Sharepoint</w:t>
      </w:r>
      <w:proofErr w:type="spellEnd"/>
      <w:r w:rsidRPr="005C133F">
        <w:rPr>
          <w:rFonts w:eastAsiaTheme="majorEastAsia"/>
          <w:lang w:val="es-ES"/>
        </w:rPr>
        <w:t>”. Esta medida busca mejorar la organización, trazabilidad, confidencialidad y seguridad en el manejo de datos, optimizando así los registros de indicadores de salud y gestión de la información. Además, se fijan los requisitos y el plazo para remitir los datos del representante designado, así como el procedimiento a seguir en caso de cambios en dicho personal.</w:t>
      </w:r>
      <w:r w:rsidRPr="005C133F">
        <w:rPr>
          <w:rFonts w:eastAsiaTheme="majorEastAsia"/>
          <w:lang w:val="es-DO"/>
        </w:rPr>
        <w:t> </w:t>
      </w:r>
    </w:p>
    <w:p w14:paraId="5DEF6207" w14:textId="77777777" w:rsidR="00A024F1" w:rsidRPr="005C133F" w:rsidRDefault="00A024F1">
      <w:pPr>
        <w:numPr>
          <w:ilvl w:val="0"/>
          <w:numId w:val="124"/>
        </w:numPr>
        <w:spacing w:after="0" w:line="360" w:lineRule="auto"/>
        <w:jc w:val="both"/>
        <w:rPr>
          <w:rFonts w:eastAsiaTheme="majorEastAsia"/>
          <w:lang w:val="es-DO"/>
        </w:rPr>
      </w:pPr>
      <w:r w:rsidRPr="005C133F">
        <w:rPr>
          <w:rFonts w:eastAsiaTheme="majorEastAsia"/>
          <w:lang w:val="es-ES"/>
        </w:rPr>
        <w:lastRenderedPageBreak/>
        <w:t>Circular SISALRIL–DGR-DJ Núm.000345 de fecha 21 abril del año 2025. “Remisión de Estados Financieros auditados relativos al período fiscal enero- diciembre 2024”. Mediante esta circular se notifica sobre la remisión a tiempo de los Estados Financieros auditados de los supervisados, procurando garantizar la transparencia financiera y asegurar el cumplimiento normativo. </w:t>
      </w:r>
      <w:r w:rsidRPr="005C133F">
        <w:rPr>
          <w:rFonts w:eastAsiaTheme="majorEastAsia"/>
          <w:lang w:val="es-DO"/>
        </w:rPr>
        <w:t> </w:t>
      </w:r>
    </w:p>
    <w:p w14:paraId="43908DB8" w14:textId="77777777" w:rsidR="00A024F1" w:rsidRPr="005C133F" w:rsidRDefault="00A024F1">
      <w:pPr>
        <w:numPr>
          <w:ilvl w:val="0"/>
          <w:numId w:val="125"/>
        </w:numPr>
        <w:spacing w:after="0" w:line="360" w:lineRule="auto"/>
        <w:jc w:val="both"/>
        <w:rPr>
          <w:rFonts w:eastAsiaTheme="majorEastAsia"/>
          <w:lang w:val="es-DO"/>
        </w:rPr>
      </w:pPr>
      <w:r w:rsidRPr="005C133F">
        <w:rPr>
          <w:rFonts w:eastAsiaTheme="majorEastAsia"/>
          <w:lang w:val="es-ES"/>
        </w:rPr>
        <w:t>Circular SISALRIL-DARCP-DJ SSRL-INT-2025-000687 de fecha 22 mayo del año 2025. “Advertencia sobre prácticas de cobros indebidos a los afiliados del Seguro Familiar De Salud (SFS) y del Seguro De Riesgos Laborales (SRL)”.  La Superintendencia de Salud y Riesgos Laborales (SISALRIL) reafirma la obligatoriedad del cumplimiento de las normativas vigentes, citando resoluciones específicas que regulan estas prácticas, y advierte que, en caso de verificarse infracciones, se aplicarán sanciones administrativas conforme a la Ley Núm. 87-01.</w:t>
      </w:r>
      <w:r w:rsidRPr="005C133F">
        <w:rPr>
          <w:rFonts w:eastAsiaTheme="majorEastAsia"/>
          <w:lang w:val="es-DO"/>
        </w:rPr>
        <w:t> </w:t>
      </w:r>
    </w:p>
    <w:p w14:paraId="1B99AA42" w14:textId="77777777" w:rsidR="00A024F1" w:rsidRPr="005C133F" w:rsidRDefault="00A024F1">
      <w:pPr>
        <w:numPr>
          <w:ilvl w:val="0"/>
          <w:numId w:val="126"/>
        </w:numPr>
        <w:spacing w:after="0" w:line="360" w:lineRule="auto"/>
        <w:jc w:val="both"/>
        <w:rPr>
          <w:rFonts w:eastAsiaTheme="majorEastAsia"/>
          <w:lang w:val="es-DO"/>
        </w:rPr>
      </w:pPr>
      <w:r w:rsidRPr="005C133F">
        <w:rPr>
          <w:rFonts w:eastAsiaTheme="majorEastAsia"/>
          <w:lang w:val="es-ES"/>
        </w:rPr>
        <w:t>Circular SSRL-INT-2025-000827 de fecha 3 junio del año 2025. “Otorgamiento de cobertura del Seguro Familiar de Salud (SFS) de los Regímenes Contributivo y Subsidiado, a los afiliados, dependientes directos y adicionales de los titulares afectados por la tragedia ocurrida en el centro de diversión “Jet Set”.  Mediante esta circular se instruye a las Administradoras de Riesgos de Salud (ARS) a otorgar y garantizar, de forma prioritaria y sin demoras, la cobertura del seguro familiar de salud (SFS) a los afiliados, dependientes directos y adicionales afectados por la tragedia ocurrida en el centro de diversión “Jet Set”. </w:t>
      </w:r>
      <w:r w:rsidRPr="005C133F">
        <w:rPr>
          <w:rFonts w:eastAsiaTheme="majorEastAsia"/>
          <w:lang w:val="es-DO"/>
        </w:rPr>
        <w:t> </w:t>
      </w:r>
    </w:p>
    <w:p w14:paraId="7125545B" w14:textId="77777777" w:rsidR="00A024F1" w:rsidRPr="005C133F" w:rsidRDefault="00A024F1">
      <w:pPr>
        <w:numPr>
          <w:ilvl w:val="0"/>
          <w:numId w:val="127"/>
        </w:numPr>
        <w:spacing w:after="0" w:line="360" w:lineRule="auto"/>
        <w:jc w:val="both"/>
        <w:rPr>
          <w:rFonts w:eastAsiaTheme="majorEastAsia"/>
          <w:lang w:val="es-DO"/>
        </w:rPr>
      </w:pPr>
      <w:r w:rsidRPr="005C133F">
        <w:rPr>
          <w:rFonts w:eastAsiaTheme="majorEastAsia"/>
          <w:lang w:val="es-ES"/>
        </w:rPr>
        <w:t xml:space="preserve">Circular SSRL-INT-2025-000847 de fecha 4 junio del año 2025. “Medidas para garantizar la cobertura de servicios de </w:t>
      </w:r>
      <w:r w:rsidRPr="005C133F">
        <w:rPr>
          <w:rFonts w:eastAsiaTheme="majorEastAsia"/>
          <w:lang w:val="es-ES"/>
        </w:rPr>
        <w:lastRenderedPageBreak/>
        <w:t>emergencia ante múltiples atenciones en un mismo día”. Esta circular tiene como objetivo instruir a las Administradoras de Riesgos de Salud (ARS) a no limitar la cobertura de servicios de emergencia cuando un afiliado requiera atención médica más de una vez en el mismo día, siempre que esté clínicamente justificado. </w:t>
      </w:r>
      <w:r w:rsidRPr="005C133F">
        <w:rPr>
          <w:rFonts w:eastAsiaTheme="majorEastAsia"/>
          <w:lang w:val="es-DO"/>
        </w:rPr>
        <w:t> </w:t>
      </w:r>
    </w:p>
    <w:p w14:paraId="4022119B" w14:textId="77777777" w:rsidR="00A024F1" w:rsidRPr="005C133F" w:rsidRDefault="00A024F1">
      <w:pPr>
        <w:numPr>
          <w:ilvl w:val="0"/>
          <w:numId w:val="128"/>
        </w:numPr>
        <w:spacing w:after="0" w:line="360" w:lineRule="auto"/>
        <w:jc w:val="both"/>
        <w:rPr>
          <w:rFonts w:eastAsiaTheme="majorEastAsia"/>
          <w:lang w:val="es-DO"/>
        </w:rPr>
      </w:pPr>
      <w:r w:rsidRPr="005C133F">
        <w:rPr>
          <w:rFonts w:eastAsiaTheme="majorEastAsia"/>
          <w:lang w:val="es-ES"/>
        </w:rPr>
        <w:t>Circular SSRL-INT-2025-000941 de fecha 11 junio del año 2025. “Actualización de información del personal responsable del proceso de carga de esquemas del Sistema De Monitoreo SIMON”. Se reitera que la información debe cumplir con criterios de organización, seguridad y trazabilidad, y cualquier cambio en el personal designado debe ser notificado oportunamente. </w:t>
      </w:r>
      <w:r w:rsidRPr="005C133F">
        <w:rPr>
          <w:rFonts w:eastAsiaTheme="majorEastAsia"/>
          <w:lang w:val="es-DO"/>
        </w:rPr>
        <w:t> </w:t>
      </w:r>
    </w:p>
    <w:p w14:paraId="760A4C89" w14:textId="77777777" w:rsidR="00A024F1" w:rsidRPr="005C133F" w:rsidRDefault="00A024F1">
      <w:pPr>
        <w:numPr>
          <w:ilvl w:val="0"/>
          <w:numId w:val="129"/>
        </w:numPr>
        <w:spacing w:after="0" w:line="360" w:lineRule="auto"/>
        <w:jc w:val="both"/>
        <w:rPr>
          <w:rFonts w:eastAsiaTheme="majorEastAsia"/>
          <w:lang w:val="es-DO"/>
        </w:rPr>
      </w:pPr>
      <w:r w:rsidRPr="005C133F">
        <w:rPr>
          <w:rFonts w:eastAsiaTheme="majorEastAsia"/>
          <w:lang w:val="es-ES"/>
        </w:rPr>
        <w:t>Circular SSRL-INT-2025-001151 de fecha 26 junio del año 2025. “Notificación del nuevo servidor para reporte de estatus de contratación de prestadores de servicios de salud (PSS) profesionales y puesta en vigencia del nuevo Instructivo para el reporte del estatus de solicitudes de contratación entre ARS y PSS profesionales”. El objetivo es la implementación de un nuevo mecanismo obligatorio para el envío de reportes de estatus en las solicitudes de contratación de Prestadores de Servicios de Salud (PSS) por parte de las ARS, mediante un servidor SFTP que sustituye el uso de correos electrónicos institucionales, con el fin de garantizar mayor seguridad, eficiencia y trazabilidad en el manejo de la información. </w:t>
      </w:r>
      <w:r w:rsidRPr="005C133F">
        <w:rPr>
          <w:rFonts w:eastAsiaTheme="majorEastAsia"/>
          <w:lang w:val="es-DO"/>
        </w:rPr>
        <w:t> </w:t>
      </w:r>
    </w:p>
    <w:p w14:paraId="04270CD3" w14:textId="77777777" w:rsidR="00A024F1" w:rsidRPr="005C133F" w:rsidRDefault="00A024F1">
      <w:pPr>
        <w:numPr>
          <w:ilvl w:val="0"/>
          <w:numId w:val="130"/>
        </w:numPr>
        <w:spacing w:after="0" w:line="360" w:lineRule="auto"/>
        <w:jc w:val="both"/>
        <w:rPr>
          <w:rFonts w:eastAsiaTheme="majorEastAsia"/>
          <w:lang w:val="es-DO"/>
        </w:rPr>
      </w:pPr>
      <w:r w:rsidRPr="005C133F">
        <w:rPr>
          <w:rFonts w:eastAsiaTheme="majorEastAsia"/>
          <w:lang w:val="es-ES"/>
        </w:rPr>
        <w:t xml:space="preserve">Circular SRL-INT-2025-001448 de fecha 21 julio del año 2025. “Autorización de excepción en la contratación de profesionales en el área de trasplantes para aplicación de la Circular SISALRIL Núm. 2023003418, de fecha 7 de junio de 2023”.  Esta medida busca garantizar la continuidad de los </w:t>
      </w:r>
      <w:r w:rsidRPr="005C133F">
        <w:rPr>
          <w:rFonts w:eastAsiaTheme="majorEastAsia"/>
          <w:lang w:val="es-ES"/>
        </w:rPr>
        <w:lastRenderedPageBreak/>
        <w:t>programas de trasplante renal ante la escasez de personal capacitado a nivel nacional, proteger los derechos de los afiliados y asegurar la operatividad del Seguro Familiar de Salud (SFS).</w:t>
      </w:r>
      <w:r w:rsidRPr="005C133F">
        <w:rPr>
          <w:rFonts w:eastAsiaTheme="majorEastAsia"/>
          <w:lang w:val="es-DO"/>
        </w:rPr>
        <w:t> </w:t>
      </w:r>
    </w:p>
    <w:p w14:paraId="6923A13D" w14:textId="77777777" w:rsidR="00A024F1" w:rsidRPr="005C133F" w:rsidRDefault="00A024F1">
      <w:pPr>
        <w:numPr>
          <w:ilvl w:val="0"/>
          <w:numId w:val="131"/>
        </w:numPr>
        <w:spacing w:after="0" w:line="360" w:lineRule="auto"/>
        <w:jc w:val="both"/>
        <w:rPr>
          <w:rFonts w:eastAsiaTheme="majorEastAsia"/>
          <w:lang w:val="es-DO"/>
        </w:rPr>
      </w:pPr>
      <w:r w:rsidRPr="005C133F">
        <w:rPr>
          <w:rFonts w:eastAsiaTheme="majorEastAsia"/>
          <w:lang w:val="es-ES"/>
        </w:rPr>
        <w:t>Circular SSRL-INT-2025-001714 de fecha 11 agosto del año 2025. “Advertencia sobre práctica de fotografía a los afiliados del Seguro Familiar de Salud (SFS) y el Seguro de Riesgos Laborales (SRL), para fines de coberturas de servicios de salud”.  Se informa a las ARS, IDOPPRIL y los Prestadores de Servicios de Salud (PSS) de abstenerse a condicionar la cobertura de servicios médicos a la presentación de fotografías, advirtiendo que esta práctica carece de base legal y vulnera derechos fundamentales como la dignidad, la intimidad y la protección de datos personales, garantizados por la Constitución y el ordenamiento jurídico dominicano. </w:t>
      </w:r>
      <w:r w:rsidRPr="005C133F">
        <w:rPr>
          <w:rFonts w:eastAsiaTheme="majorEastAsia"/>
          <w:lang w:val="es-DO"/>
        </w:rPr>
        <w:t> </w:t>
      </w:r>
    </w:p>
    <w:p w14:paraId="16ED8FE8" w14:textId="77777777" w:rsidR="00A024F1" w:rsidRPr="005C133F" w:rsidRDefault="00A024F1">
      <w:pPr>
        <w:numPr>
          <w:ilvl w:val="0"/>
          <w:numId w:val="132"/>
        </w:numPr>
        <w:spacing w:after="0" w:line="360" w:lineRule="auto"/>
        <w:jc w:val="both"/>
        <w:rPr>
          <w:rFonts w:eastAsiaTheme="majorEastAsia"/>
          <w:lang w:val="es-DO"/>
        </w:rPr>
      </w:pPr>
      <w:r w:rsidRPr="005C133F">
        <w:rPr>
          <w:rFonts w:eastAsiaTheme="majorEastAsia"/>
          <w:lang w:val="es-ES"/>
        </w:rPr>
        <w:t>Circular SSRL-INT-2025-002525, de fecha 15 de octubre de 2025. “Remisión de contratos vinculados a igualas y/o convenios suscritos con Prestadores de Servicios de Salud (PSS)”.  La presente tiene como objeto fortalecer los mecanismos de supervisión y control institucional y permitir la detección temprana de posibles desviaciones en el cumplimiento de la normativa de contratos de gestión. </w:t>
      </w:r>
      <w:r w:rsidRPr="005C133F">
        <w:rPr>
          <w:rFonts w:eastAsiaTheme="majorEastAsia"/>
          <w:lang w:val="es-DO"/>
        </w:rPr>
        <w:t> </w:t>
      </w:r>
    </w:p>
    <w:p w14:paraId="32B67C97" w14:textId="77777777" w:rsidR="00A024F1" w:rsidRPr="005C133F" w:rsidRDefault="00A024F1">
      <w:pPr>
        <w:numPr>
          <w:ilvl w:val="0"/>
          <w:numId w:val="133"/>
        </w:numPr>
        <w:spacing w:after="0" w:line="360" w:lineRule="auto"/>
        <w:jc w:val="both"/>
        <w:rPr>
          <w:rFonts w:eastAsiaTheme="majorEastAsia"/>
          <w:lang w:val="es-DO"/>
        </w:rPr>
      </w:pPr>
      <w:r w:rsidRPr="005C133F">
        <w:rPr>
          <w:rFonts w:eastAsiaTheme="majorEastAsia"/>
          <w:lang w:val="es-ES"/>
        </w:rPr>
        <w:t>Circular SSRL-INT-2025-002526, de fecha 15 de octubre de 2025. “Advertencia sobre denuncias por uso indebido de incentivos, regalos o dádivas para inducir afiliaciones y/o traspasos de afiliados del Sistema Dominicano de Seguridad Social”.  El objetivo principal de la circular es proteger el principio de libre elección del afiliado, el cual es un derecho fundamental dentro del Sistema Dominicano de Seguridad Social (SDSS), y asegurar una competencia leal entre las ARS.</w:t>
      </w:r>
      <w:r w:rsidRPr="005C133F">
        <w:rPr>
          <w:rFonts w:eastAsiaTheme="majorEastAsia"/>
          <w:lang w:val="es-DO"/>
        </w:rPr>
        <w:t> </w:t>
      </w:r>
    </w:p>
    <w:p w14:paraId="1DD6875F" w14:textId="77777777" w:rsidR="00A024F1" w:rsidRPr="005C133F" w:rsidRDefault="00A024F1">
      <w:pPr>
        <w:numPr>
          <w:ilvl w:val="0"/>
          <w:numId w:val="134"/>
        </w:numPr>
        <w:spacing w:after="0" w:line="360" w:lineRule="auto"/>
        <w:jc w:val="both"/>
        <w:rPr>
          <w:rFonts w:eastAsiaTheme="majorEastAsia"/>
          <w:lang w:val="es-DO"/>
        </w:rPr>
      </w:pPr>
      <w:r w:rsidRPr="005C133F">
        <w:rPr>
          <w:rFonts w:eastAsiaTheme="majorEastAsia"/>
          <w:lang w:val="es-ES"/>
        </w:rPr>
        <w:lastRenderedPageBreak/>
        <w:t>Circular SSRL-INT-2025-002827, de fecha 11 de noviembre de 2025. “Remisión de documentos societarios actualizados”.  El objetivo principal es que la Superintendencia de Salud y Riesgos Laborales (SISALRIL), en ejercicio de sus funciones de supervisión y fiscalización mantenga un registro actualizado y detallado de la estructura corporativa y accionaria de las ARS.</w:t>
      </w:r>
      <w:r w:rsidRPr="005C133F">
        <w:rPr>
          <w:rFonts w:eastAsiaTheme="majorEastAsia"/>
          <w:lang w:val="es-DO"/>
        </w:rPr>
        <w:t> </w:t>
      </w:r>
    </w:p>
    <w:p w14:paraId="4A140B2C" w14:textId="77777777" w:rsidR="00A024F1" w:rsidRPr="005C133F" w:rsidRDefault="00A024F1">
      <w:pPr>
        <w:numPr>
          <w:ilvl w:val="0"/>
          <w:numId w:val="135"/>
        </w:numPr>
        <w:spacing w:after="0" w:line="360" w:lineRule="auto"/>
        <w:jc w:val="both"/>
        <w:rPr>
          <w:rFonts w:eastAsiaTheme="majorEastAsia"/>
          <w:lang w:val="es-DO"/>
        </w:rPr>
      </w:pPr>
      <w:r w:rsidRPr="005C133F">
        <w:rPr>
          <w:rFonts w:eastAsiaTheme="majorEastAsia"/>
          <w:lang w:val="es-ES"/>
        </w:rPr>
        <w:t>Circular SSRL-INT-2025-003016, de fecha 20 de noviembre de 2025. “</w:t>
      </w:r>
      <w:r w:rsidRPr="005C133F">
        <w:rPr>
          <w:rFonts w:eastAsiaTheme="majorEastAsia"/>
          <w:lang w:val="es-DO"/>
        </w:rPr>
        <w:t>Incorporación coberturas en el Catálogo de Prestaciones del Plan de Servicios de Salud PDSS</w:t>
      </w:r>
      <w:r w:rsidRPr="005C133F">
        <w:rPr>
          <w:rFonts w:eastAsiaTheme="majorEastAsia"/>
          <w:lang w:val="es-ES"/>
        </w:rPr>
        <w:t>”.  Mediante esta circular se informa </w:t>
      </w:r>
      <w:r w:rsidRPr="005C133F">
        <w:rPr>
          <w:rFonts w:eastAsiaTheme="majorEastAsia"/>
          <w:lang w:val="es-DO"/>
        </w:rPr>
        <w:t>sobre la incorporación de coberturas en el “Catálogo de Prestaciones del Plan de Servicios de Salud PDSS” en beneficio de los afiliados del Seguro Familiar de Salud (SFS) del Régimen Contributivo, en atención a la Resolución CNSS No.624-02 del Consejo Nacional de Seguridad Social de fecha treinta y uno (31) de octubre del dos mil veinticinco (2025). </w:t>
      </w:r>
    </w:p>
    <w:p w14:paraId="7DFD71A5" w14:textId="77777777" w:rsidR="00A024F1" w:rsidRPr="005C133F" w:rsidRDefault="00A024F1">
      <w:pPr>
        <w:numPr>
          <w:ilvl w:val="0"/>
          <w:numId w:val="136"/>
        </w:numPr>
        <w:spacing w:after="0" w:line="360" w:lineRule="auto"/>
        <w:jc w:val="both"/>
        <w:rPr>
          <w:rFonts w:eastAsiaTheme="majorEastAsia"/>
          <w:lang w:val="es-DO"/>
        </w:rPr>
      </w:pPr>
      <w:r w:rsidRPr="005C133F">
        <w:rPr>
          <w:rFonts w:eastAsiaTheme="majorEastAsia"/>
          <w:lang w:val="es-ES"/>
        </w:rPr>
        <w:t>Circular SSRL-INT-2025-003041, de fecha 24 de noviembre de 2025. “Convocatoria Capacitación del Sistema de Información y Gestión de Planes (SIGEP)”.  Mediante esta circular se convocan a las ARS para la presentación y capacitación </w:t>
      </w:r>
      <w:r w:rsidRPr="005C133F">
        <w:rPr>
          <w:rFonts w:eastAsiaTheme="majorEastAsia"/>
          <w:lang w:val="es-DO"/>
        </w:rPr>
        <w:t>del Sistema de Información y Gestión de Planes (SIGEP); el cual automatiza el registro, evaluación y aprobación de los Planes Alternativos de Salud. </w:t>
      </w:r>
    </w:p>
    <w:p w14:paraId="7DD78F16" w14:textId="548649DE" w:rsidR="0089086A" w:rsidRPr="005C133F" w:rsidRDefault="00A024F1">
      <w:pPr>
        <w:numPr>
          <w:ilvl w:val="0"/>
          <w:numId w:val="137"/>
        </w:numPr>
        <w:spacing w:after="0" w:line="360" w:lineRule="auto"/>
        <w:jc w:val="both"/>
        <w:rPr>
          <w:rFonts w:eastAsiaTheme="majorEastAsia"/>
          <w:lang w:val="es-DO"/>
        </w:rPr>
      </w:pPr>
      <w:r w:rsidRPr="005C133F">
        <w:rPr>
          <w:rFonts w:eastAsiaTheme="majorEastAsia"/>
          <w:lang w:val="es-ES"/>
        </w:rPr>
        <w:t xml:space="preserve">Circular SSRL-INT-2025-003042, de fecha 24 de noviembre de 2025. “Actualización Formulario para Registro de Planes Alternativos de Salud en la SISALRIL en la Oficina Virtual -SISALRIL y Solicitud de Planes Alternativos de Salud”.  El objetivo principal es notificar a las ARS sobre la actualización de la documentación para el registro de planes alternativos de </w:t>
      </w:r>
      <w:r w:rsidRPr="005C133F">
        <w:rPr>
          <w:rFonts w:eastAsiaTheme="majorEastAsia"/>
          <w:lang w:val="es-ES"/>
        </w:rPr>
        <w:lastRenderedPageBreak/>
        <w:t>salud y requerir la remisión de los planes para adecuar de conformidad con la Resolución CNSS No.624-02.</w:t>
      </w:r>
      <w:r w:rsidRPr="005C133F">
        <w:rPr>
          <w:rFonts w:eastAsiaTheme="majorEastAsia"/>
          <w:lang w:val="es-DO"/>
        </w:rPr>
        <w:t> </w:t>
      </w:r>
    </w:p>
    <w:p w14:paraId="7F597010" w14:textId="77777777" w:rsidR="0089086A" w:rsidRPr="005C133F" w:rsidRDefault="0089086A" w:rsidP="005C133F">
      <w:pPr>
        <w:spacing w:after="0" w:line="360" w:lineRule="auto"/>
        <w:jc w:val="both"/>
        <w:rPr>
          <w:rFonts w:eastAsiaTheme="majorEastAsia"/>
          <w:lang w:val="es-ES"/>
        </w:rPr>
      </w:pPr>
    </w:p>
    <w:p w14:paraId="7D5C6AA2" w14:textId="21CCBB5E" w:rsidR="006831E6" w:rsidRPr="005C133F" w:rsidRDefault="004854C5" w:rsidP="005C133F">
      <w:pPr>
        <w:spacing w:after="0" w:line="360" w:lineRule="auto"/>
        <w:jc w:val="both"/>
        <w:rPr>
          <w:rFonts w:eastAsiaTheme="majorEastAsia"/>
          <w:b/>
          <w:bCs/>
          <w:lang w:val="es-DO"/>
        </w:rPr>
      </w:pPr>
      <w:r w:rsidRPr="005C133F">
        <w:rPr>
          <w:rFonts w:eastAsiaTheme="majorEastAsia"/>
          <w:b/>
          <w:bCs/>
          <w:lang w:val="es-DO"/>
        </w:rPr>
        <w:t>Emisión de resoluciones sancionadoras, de inconformidad y arbitrales sobre incumplimientos de la Ley 87-01 y aquellos vinculados al SFS y el SRL</w:t>
      </w:r>
      <w:r w:rsidR="006831E6" w:rsidRPr="005C133F">
        <w:rPr>
          <w:rFonts w:eastAsiaTheme="majorEastAsia"/>
          <w:b/>
          <w:bCs/>
          <w:lang w:val="es-DO"/>
        </w:rPr>
        <w:t> </w:t>
      </w:r>
    </w:p>
    <w:p w14:paraId="6F6E9745" w14:textId="77777777" w:rsidR="00FF04F2" w:rsidRPr="005C133F" w:rsidRDefault="00FF04F2" w:rsidP="005C133F">
      <w:pPr>
        <w:spacing w:after="0" w:line="360" w:lineRule="auto"/>
        <w:jc w:val="both"/>
        <w:rPr>
          <w:rFonts w:eastAsiaTheme="majorEastAsia"/>
          <w:lang w:val="es-DO"/>
        </w:rPr>
      </w:pPr>
    </w:p>
    <w:p w14:paraId="67D0959D" w14:textId="5C975E53" w:rsidR="00FF04F2" w:rsidRPr="005C133F" w:rsidRDefault="00FF04F2">
      <w:pPr>
        <w:numPr>
          <w:ilvl w:val="0"/>
          <w:numId w:val="72"/>
        </w:numPr>
        <w:spacing w:after="0" w:line="360" w:lineRule="auto"/>
        <w:jc w:val="both"/>
        <w:rPr>
          <w:b/>
          <w:bCs/>
          <w:lang w:val="es-DO"/>
        </w:rPr>
      </w:pPr>
      <w:r w:rsidRPr="005C133F">
        <w:rPr>
          <w:b/>
          <w:bCs/>
          <w:lang w:val="es-ES"/>
        </w:rPr>
        <w:t>Sancionadoras</w:t>
      </w:r>
      <w:r w:rsidRPr="005C133F">
        <w:rPr>
          <w:b/>
          <w:bCs/>
          <w:lang w:val="es-DO"/>
        </w:rPr>
        <w:t> </w:t>
      </w:r>
    </w:p>
    <w:p w14:paraId="4808A2B1" w14:textId="77777777" w:rsidR="00FF04F2" w:rsidRPr="005C133F" w:rsidRDefault="00FF04F2" w:rsidP="005C133F">
      <w:pPr>
        <w:spacing w:after="0" w:line="360" w:lineRule="auto"/>
        <w:jc w:val="both"/>
        <w:rPr>
          <w:lang w:val="es-DO"/>
        </w:rPr>
      </w:pPr>
      <w:r w:rsidRPr="005C133F">
        <w:rPr>
          <w:lang w:val="es-DO"/>
        </w:rPr>
        <w:t> </w:t>
      </w:r>
    </w:p>
    <w:p w14:paraId="0E564768" w14:textId="61051166" w:rsidR="00FF04F2" w:rsidRPr="005C133F" w:rsidRDefault="00FF04F2" w:rsidP="005C133F">
      <w:pPr>
        <w:spacing w:after="0" w:line="360" w:lineRule="auto"/>
        <w:jc w:val="both"/>
        <w:rPr>
          <w:lang w:val="es-DO"/>
        </w:rPr>
      </w:pPr>
      <w:r w:rsidRPr="005C133F">
        <w:rPr>
          <w:lang w:val="es-ES"/>
        </w:rPr>
        <w:t>Con arreglo a lo dispuesto en la Ley Núm. 87-01, que crea el Sistema Dominicano de Seguridad Social, así como en la Ley Núm. 107-13, sobre los Derechos de las Personas en sus Relaciones con la Administración y de Procedimiento Administrativo,</w:t>
      </w:r>
      <w:r w:rsidR="0030273C" w:rsidRPr="005C133F">
        <w:rPr>
          <w:lang w:val="es-ES"/>
        </w:rPr>
        <w:t xml:space="preserve"> </w:t>
      </w:r>
      <w:r w:rsidRPr="005C133F">
        <w:rPr>
          <w:lang w:val="es-ES"/>
        </w:rPr>
        <w:t>la Superintendencia de Salud y Riesgos Laborales (SISALRIL), impone las sanciones correspondientes a las infracciones administrativas en el marco del Seguro Familiar de Salud y del Seguro de Riesgos Laborales. En virtud de dichas atribuciones, y en el ejercicio de sus facultades legales, la Superintendencia de Salud y Riesgos Laborales, hasta la fecha en el año 2025, ha emitido dieci</w:t>
      </w:r>
      <w:r w:rsidR="00FC13BB" w:rsidRPr="005C133F">
        <w:rPr>
          <w:lang w:val="es-ES"/>
        </w:rPr>
        <w:t>ocho</w:t>
      </w:r>
      <w:r w:rsidRPr="005C133F">
        <w:rPr>
          <w:lang w:val="es-ES"/>
        </w:rPr>
        <w:t xml:space="preserve"> (</w:t>
      </w:r>
      <w:r w:rsidR="00FC13BB" w:rsidRPr="005C133F">
        <w:rPr>
          <w:lang w:val="es-ES"/>
        </w:rPr>
        <w:t>18</w:t>
      </w:r>
      <w:r w:rsidRPr="005C133F">
        <w:rPr>
          <w:lang w:val="es-ES"/>
        </w:rPr>
        <w:t>) Resoluciones Administrativas Sancionadoras, que se listan a continuación: </w:t>
      </w:r>
      <w:r w:rsidRPr="005C133F">
        <w:rPr>
          <w:lang w:val="es-DO"/>
        </w:rPr>
        <w:t> </w:t>
      </w:r>
    </w:p>
    <w:p w14:paraId="1EFE11DD" w14:textId="77777777" w:rsidR="00FF04F2" w:rsidRPr="005C133F" w:rsidRDefault="00FF04F2">
      <w:pPr>
        <w:numPr>
          <w:ilvl w:val="0"/>
          <w:numId w:val="73"/>
        </w:numPr>
        <w:spacing w:after="0" w:line="360" w:lineRule="auto"/>
        <w:jc w:val="both"/>
        <w:rPr>
          <w:lang w:val="es-DO"/>
        </w:rPr>
      </w:pPr>
      <w:r w:rsidRPr="005C133F">
        <w:rPr>
          <w:lang w:val="es-ES"/>
        </w:rPr>
        <w:t>Resolución sancionadora DJ-GIS Núm. 0001-2025, de fecha 03 de enero del año 2025, que resuelve el procedimiento administrativo sancionador, llevado a cabo contra la Administradora de Riesgos de Salud para Maestros (ARS SEMMA), por Déficit en el Capital Mínimo Requerido, Déficit en las Inversiones de Reservas Técnicas y Retraso en los Pagos de las Reclamaciones a las PSS.</w:t>
      </w:r>
      <w:r w:rsidRPr="005C133F">
        <w:rPr>
          <w:lang w:val="es-DO"/>
        </w:rPr>
        <w:t> </w:t>
      </w:r>
    </w:p>
    <w:p w14:paraId="13FFFDCA" w14:textId="77777777" w:rsidR="00FF04F2" w:rsidRPr="005C133F" w:rsidRDefault="00FF04F2">
      <w:pPr>
        <w:numPr>
          <w:ilvl w:val="0"/>
          <w:numId w:val="74"/>
        </w:numPr>
        <w:spacing w:after="0" w:line="360" w:lineRule="auto"/>
        <w:jc w:val="both"/>
        <w:rPr>
          <w:lang w:val="es-DO"/>
        </w:rPr>
      </w:pPr>
      <w:r w:rsidRPr="005C133F">
        <w:rPr>
          <w:lang w:val="es-ES"/>
        </w:rPr>
        <w:t xml:space="preserve">Resolución sancionadora DJ-GIS Núm. 0002-2025, de fecha 07 de abril del año 2025, que resuelve el procedimiento administrativo sancionador, llevado a cabo contra la </w:t>
      </w:r>
      <w:r w:rsidRPr="005C133F">
        <w:rPr>
          <w:lang w:val="es-ES"/>
        </w:rPr>
        <w:lastRenderedPageBreak/>
        <w:t>Administradora de Riesgos de Salud SeNaSa (ARS SENASA), por Retraso en el Pago de las Reclamaciones a las PSS.</w:t>
      </w:r>
      <w:r w:rsidRPr="005C133F">
        <w:rPr>
          <w:lang w:val="es-DO"/>
        </w:rPr>
        <w:t> </w:t>
      </w:r>
    </w:p>
    <w:p w14:paraId="5EB7F231" w14:textId="77777777" w:rsidR="00FF04F2" w:rsidRPr="005C133F" w:rsidRDefault="00FF04F2">
      <w:pPr>
        <w:numPr>
          <w:ilvl w:val="0"/>
          <w:numId w:val="75"/>
        </w:numPr>
        <w:spacing w:after="0" w:line="360" w:lineRule="auto"/>
        <w:jc w:val="both"/>
        <w:rPr>
          <w:lang w:val="es-DO"/>
        </w:rPr>
      </w:pPr>
      <w:r w:rsidRPr="005C133F">
        <w:rPr>
          <w:lang w:val="es-ES"/>
        </w:rPr>
        <w:t>Resolución sancionadora DJ-GIS Núm. 0003-2025, de fecha 07 de mayo del año 2025, que resuelve el procedimiento administrativo sancionador, llevado a cabo contra la Administradora de Riesgos de Salud SeNaSa (ARS SENASA), por Retraso en el Pago de las Reclamaciones a las PSS.</w:t>
      </w:r>
      <w:r w:rsidRPr="005C133F">
        <w:rPr>
          <w:lang w:val="es-DO"/>
        </w:rPr>
        <w:t> </w:t>
      </w:r>
    </w:p>
    <w:p w14:paraId="51D32A66" w14:textId="77777777" w:rsidR="00FF04F2" w:rsidRPr="005C133F" w:rsidRDefault="00FF04F2">
      <w:pPr>
        <w:numPr>
          <w:ilvl w:val="0"/>
          <w:numId w:val="76"/>
        </w:numPr>
        <w:spacing w:after="0" w:line="360" w:lineRule="auto"/>
        <w:jc w:val="both"/>
        <w:rPr>
          <w:lang w:val="es-DO"/>
        </w:rPr>
      </w:pPr>
      <w:r w:rsidRPr="005C133F">
        <w:rPr>
          <w:lang w:val="es-ES"/>
        </w:rPr>
        <w:t>Resolución sancionadora DJ-GIS Núm. 0004-2025, de fecha 21 de mayo del año 2025, que resuelve el procedimiento administrativo sancionador, llevado a cabo contra la Administradora de Riesgos de Salud para Maestros (ARS SEMMA), por Déficit en las Inversiones de Reservas Técnicas y Retraso en los Pagos de las Reclamaciones a las PSS.</w:t>
      </w:r>
      <w:r w:rsidRPr="005C133F">
        <w:rPr>
          <w:lang w:val="es-DO"/>
        </w:rPr>
        <w:t> </w:t>
      </w:r>
    </w:p>
    <w:p w14:paraId="2D0E7AC6" w14:textId="77777777" w:rsidR="00FF04F2" w:rsidRPr="005C133F" w:rsidRDefault="00FF04F2">
      <w:pPr>
        <w:numPr>
          <w:ilvl w:val="0"/>
          <w:numId w:val="77"/>
        </w:numPr>
        <w:spacing w:after="0" w:line="360" w:lineRule="auto"/>
        <w:jc w:val="both"/>
        <w:rPr>
          <w:lang w:val="es-DO"/>
        </w:rPr>
      </w:pPr>
      <w:r w:rsidRPr="005C133F">
        <w:rPr>
          <w:lang w:val="es-ES"/>
        </w:rPr>
        <w:t>Resolución sancionadora DJ-GIS Núm. 0005-2025, de fecha 28 de mayo del año 2025, que resuelve el procedimiento administrativo sancionador, llevado a cabo contra la Administradora de Riesgos de Salud APS (ARS APS), por violación a los plazos establecidos para remisión de estados financieros y retrasos a los pagos de las reclamaciones de las PSS.</w:t>
      </w:r>
      <w:r w:rsidRPr="005C133F">
        <w:rPr>
          <w:lang w:val="es-DO"/>
        </w:rPr>
        <w:t> </w:t>
      </w:r>
    </w:p>
    <w:p w14:paraId="1F88D11A" w14:textId="77777777" w:rsidR="00FF04F2" w:rsidRPr="005C133F" w:rsidRDefault="00FF04F2">
      <w:pPr>
        <w:numPr>
          <w:ilvl w:val="0"/>
          <w:numId w:val="78"/>
        </w:numPr>
        <w:spacing w:after="0" w:line="360" w:lineRule="auto"/>
        <w:jc w:val="both"/>
        <w:rPr>
          <w:lang w:val="es-DO"/>
        </w:rPr>
      </w:pPr>
      <w:r w:rsidRPr="005C133F">
        <w:rPr>
          <w:lang w:val="es-ES"/>
        </w:rPr>
        <w:t>Resolución sancionadora DJ-GIS Núm. 0006-2025, de fecha 29 de mayo del año 2025, que resuelve el procedimiento administrativo sancionador, llevado a cabo contra la Administradora de Riesgos de Salud APS (ARS APS), por el traspaso por unificación de núcleo familiar de manera irregular de la señora Jennifer Sanoja.</w:t>
      </w:r>
      <w:r w:rsidRPr="005C133F">
        <w:rPr>
          <w:lang w:val="es-DO"/>
        </w:rPr>
        <w:t> </w:t>
      </w:r>
    </w:p>
    <w:p w14:paraId="5ECA9DBF" w14:textId="77777777" w:rsidR="00FF04F2" w:rsidRPr="005C133F" w:rsidRDefault="00FF04F2">
      <w:pPr>
        <w:numPr>
          <w:ilvl w:val="0"/>
          <w:numId w:val="79"/>
        </w:numPr>
        <w:spacing w:after="0" w:line="360" w:lineRule="auto"/>
        <w:jc w:val="both"/>
        <w:rPr>
          <w:lang w:val="es-DO"/>
        </w:rPr>
      </w:pPr>
      <w:r w:rsidRPr="005C133F">
        <w:rPr>
          <w:lang w:val="es-ES"/>
        </w:rPr>
        <w:t xml:space="preserve">Resolución sancionadora DJ-GIS Núm. 0007-2025, de fecha 04 de julio del año 2025, que resuelve el procedimiento administrativo sancionador, llevado a cabo contra la Administradora de Riesgos de Salud APS (ARS APS), por el </w:t>
      </w:r>
      <w:r w:rsidRPr="005C133F">
        <w:rPr>
          <w:lang w:val="es-ES"/>
        </w:rPr>
        <w:lastRenderedPageBreak/>
        <w:t>traspaso por unificación de núcleo familiar de manera irregular del señor Hygot Isador y la señora Lura Pablo.</w:t>
      </w:r>
      <w:r w:rsidRPr="005C133F">
        <w:rPr>
          <w:lang w:val="es-DO"/>
        </w:rPr>
        <w:t> </w:t>
      </w:r>
    </w:p>
    <w:p w14:paraId="1E129748" w14:textId="77777777" w:rsidR="00FF04F2" w:rsidRPr="005C133F" w:rsidRDefault="00FF04F2">
      <w:pPr>
        <w:numPr>
          <w:ilvl w:val="0"/>
          <w:numId w:val="80"/>
        </w:numPr>
        <w:spacing w:after="0" w:line="360" w:lineRule="auto"/>
        <w:jc w:val="both"/>
        <w:rPr>
          <w:lang w:val="es-DO"/>
        </w:rPr>
      </w:pPr>
      <w:r w:rsidRPr="005C133F">
        <w:rPr>
          <w:lang w:val="es-ES"/>
        </w:rPr>
        <w:t>Resolución sancionadora DJ-GIS Núm. 0008-2025, de fecha 11 de julio del año 2025, que resuelve el procedimiento administrativo sancionador, llevado a cabo contra la Administradora de Riesgos de Salud Abel González (ARS ABEL GONZALEZ), por exceso de gastos generales y administrativos.</w:t>
      </w:r>
      <w:r w:rsidRPr="005C133F">
        <w:rPr>
          <w:lang w:val="es-DO"/>
        </w:rPr>
        <w:t> </w:t>
      </w:r>
    </w:p>
    <w:p w14:paraId="4A427867" w14:textId="77777777" w:rsidR="00FF04F2" w:rsidRPr="005C133F" w:rsidRDefault="00FF04F2">
      <w:pPr>
        <w:numPr>
          <w:ilvl w:val="0"/>
          <w:numId w:val="81"/>
        </w:numPr>
        <w:spacing w:after="0" w:line="360" w:lineRule="auto"/>
        <w:jc w:val="both"/>
        <w:rPr>
          <w:lang w:val="es-DO"/>
        </w:rPr>
      </w:pPr>
      <w:r w:rsidRPr="005C133F">
        <w:rPr>
          <w:lang w:val="es-ES"/>
        </w:rPr>
        <w:t>Resolución sancionadora DJ-GIS Núm. 0009-2025, de fecha 15 de julio del año 2025, que resuelve el procedimiento administrativo sancionador, llevado a cabo contra la Administradora de Riesgos de Salud Abel González (ARS ABEL GONZALEZ), por incumplimiento a las resoluciones administrativas 00111-2007 y 00194-2013.</w:t>
      </w:r>
      <w:r w:rsidRPr="005C133F">
        <w:rPr>
          <w:lang w:val="es-DO"/>
        </w:rPr>
        <w:t> </w:t>
      </w:r>
    </w:p>
    <w:p w14:paraId="7311D9B0" w14:textId="77777777" w:rsidR="00FF04F2" w:rsidRPr="005C133F" w:rsidRDefault="00FF04F2">
      <w:pPr>
        <w:numPr>
          <w:ilvl w:val="0"/>
          <w:numId w:val="82"/>
        </w:numPr>
        <w:spacing w:after="0" w:line="360" w:lineRule="auto"/>
        <w:jc w:val="both"/>
        <w:rPr>
          <w:lang w:val="es-DO"/>
        </w:rPr>
      </w:pPr>
      <w:r w:rsidRPr="005C133F">
        <w:rPr>
          <w:lang w:val="es-ES"/>
        </w:rPr>
        <w:t>Resolución sancionadora DJ-GIS Núm. 0010-2025, de fecha 21 de julio del año 2025, que resuelve el procedimiento administrativo sancionador, llevado a cabo contra la Administradora de Riesgos de Salud APS (ARS APS), falta de remisión de información y documentación requeridos por la SISALRIL.</w:t>
      </w:r>
      <w:r w:rsidRPr="005C133F">
        <w:rPr>
          <w:lang w:val="es-DO"/>
        </w:rPr>
        <w:t> </w:t>
      </w:r>
    </w:p>
    <w:p w14:paraId="0ED91FB7" w14:textId="77777777" w:rsidR="00FF04F2" w:rsidRPr="005C133F" w:rsidRDefault="00FF04F2">
      <w:pPr>
        <w:numPr>
          <w:ilvl w:val="0"/>
          <w:numId w:val="83"/>
        </w:numPr>
        <w:spacing w:after="0" w:line="360" w:lineRule="auto"/>
        <w:jc w:val="both"/>
        <w:rPr>
          <w:lang w:val="es-DO"/>
        </w:rPr>
      </w:pPr>
      <w:r w:rsidRPr="005C133F">
        <w:rPr>
          <w:lang w:val="es-ES"/>
        </w:rPr>
        <w:t>Resolución sancionadora DJ-GIS Núm. 0011-2025, de fecha 21 de julio del año 2025, que resuelve el procedimiento administrativo sancionador, llevado a cabo contra la Administradora de Riesgos de Salud SeNaSa (ARS SENASA), por negación de cobertura del procedimiento de cirugía de escoliosis a Diosmery Hernández.</w:t>
      </w:r>
      <w:r w:rsidRPr="005C133F">
        <w:rPr>
          <w:lang w:val="es-DO"/>
        </w:rPr>
        <w:t> </w:t>
      </w:r>
    </w:p>
    <w:p w14:paraId="3AA25CD0" w14:textId="77777777" w:rsidR="00FF04F2" w:rsidRPr="005C133F" w:rsidRDefault="00FF04F2">
      <w:pPr>
        <w:numPr>
          <w:ilvl w:val="0"/>
          <w:numId w:val="84"/>
        </w:numPr>
        <w:spacing w:after="0" w:line="360" w:lineRule="auto"/>
        <w:jc w:val="both"/>
        <w:rPr>
          <w:lang w:val="es-DO"/>
        </w:rPr>
      </w:pPr>
      <w:r w:rsidRPr="005C133F">
        <w:rPr>
          <w:lang w:val="es-ES"/>
        </w:rPr>
        <w:t xml:space="preserve">Resolución sancionadora DJ-GIS Núm. 0012-2025, de fecha 13 de agosto del año 2025, que resuelve el procedimiento administrativo sancionador, llevado a cabo contra el Prestador de Servicios de Salud Centro de Medicina Avanzada Dr. Abel </w:t>
      </w:r>
      <w:r w:rsidRPr="005C133F">
        <w:rPr>
          <w:lang w:val="es-ES"/>
        </w:rPr>
        <w:lastRenderedPageBreak/>
        <w:t>González, por Falta de Garantía de la Atención de Emergencias a dos Afiliados del Sistema Dominicano de Seguridad Social.</w:t>
      </w:r>
      <w:r w:rsidRPr="005C133F">
        <w:rPr>
          <w:lang w:val="es-DO"/>
        </w:rPr>
        <w:t> </w:t>
      </w:r>
    </w:p>
    <w:p w14:paraId="01CF6D49" w14:textId="77777777" w:rsidR="00FF04F2" w:rsidRPr="005C133F" w:rsidRDefault="00FF04F2">
      <w:pPr>
        <w:numPr>
          <w:ilvl w:val="0"/>
          <w:numId w:val="85"/>
        </w:numPr>
        <w:spacing w:after="0" w:line="360" w:lineRule="auto"/>
        <w:jc w:val="both"/>
        <w:rPr>
          <w:lang w:val="es-DO"/>
        </w:rPr>
      </w:pPr>
      <w:r w:rsidRPr="005C133F">
        <w:rPr>
          <w:lang w:val="es-ES"/>
        </w:rPr>
        <w:t>Resolución sancionadora DJ-GIS Núm. 0013-2025, de fecha 15 de septiembre del año 2025, que resuelve el procedimiento administrativo sancionador, llevado a cabo contra la Administradora de Riesgos de Salud APS (ARS APS), por realizar Traspasos Irregulares de 1552 Afiliados del Sistema Dominicano de Seguridad Social, bajo la modalidad de Unificación de Núcleo Familiar Irregular.</w:t>
      </w:r>
      <w:r w:rsidRPr="005C133F">
        <w:rPr>
          <w:lang w:val="es-DO"/>
        </w:rPr>
        <w:t> </w:t>
      </w:r>
    </w:p>
    <w:p w14:paraId="0DA03535" w14:textId="77777777" w:rsidR="00FF04F2" w:rsidRPr="005C133F" w:rsidRDefault="00FF04F2">
      <w:pPr>
        <w:numPr>
          <w:ilvl w:val="0"/>
          <w:numId w:val="86"/>
        </w:numPr>
        <w:spacing w:after="0" w:line="360" w:lineRule="auto"/>
        <w:jc w:val="both"/>
        <w:rPr>
          <w:lang w:val="es-DO"/>
        </w:rPr>
      </w:pPr>
      <w:r w:rsidRPr="005C133F">
        <w:rPr>
          <w:lang w:val="es-ES"/>
        </w:rPr>
        <w:t>Resolución sancionadora DJ-GIS Núm. 0014-2025, de fecha 15 de septiembre del año 2025, que resuelve el procedimiento administrativo sancionador, llevado a cabo contra la Administradora de Riesgos de Salud APS (ARS APS), por Traspasos Irregulares de Afiliados del Sistema Dominicano de Seguridad Social.</w:t>
      </w:r>
      <w:r w:rsidRPr="005C133F">
        <w:rPr>
          <w:lang w:val="es-DO"/>
        </w:rPr>
        <w:t> </w:t>
      </w:r>
    </w:p>
    <w:p w14:paraId="5625E1C2" w14:textId="77777777" w:rsidR="00FF04F2" w:rsidRPr="005C133F" w:rsidRDefault="00FF04F2">
      <w:pPr>
        <w:numPr>
          <w:ilvl w:val="0"/>
          <w:numId w:val="87"/>
        </w:numPr>
        <w:spacing w:after="0" w:line="360" w:lineRule="auto"/>
        <w:jc w:val="both"/>
        <w:rPr>
          <w:lang w:val="es-DO"/>
        </w:rPr>
      </w:pPr>
      <w:r w:rsidRPr="005C133F">
        <w:rPr>
          <w:lang w:val="es-ES"/>
        </w:rPr>
        <w:t>Resolución sancionadora DJ-GIS Núm. 0015-2025, de fecha 29 de septiembre del año 2025, que resuelve el procedimiento administrativo sancionador, llevado a cabo contra la Administradora de Riesgos de Salud MAPFRE (ARS MAPFRE SALUD), por limitar cobertura al no realizar separación de cuentas clínica correspondiente, imputando la totalidad de los consumos al grupo 9 (alto costo).</w:t>
      </w:r>
      <w:r w:rsidRPr="005C133F">
        <w:rPr>
          <w:lang w:val="es-DO"/>
        </w:rPr>
        <w:t> </w:t>
      </w:r>
    </w:p>
    <w:p w14:paraId="0652C677" w14:textId="77777777" w:rsidR="00FF04F2" w:rsidRPr="005C133F" w:rsidRDefault="00FF04F2">
      <w:pPr>
        <w:numPr>
          <w:ilvl w:val="0"/>
          <w:numId w:val="88"/>
        </w:numPr>
        <w:spacing w:after="0" w:line="360" w:lineRule="auto"/>
        <w:jc w:val="both"/>
        <w:rPr>
          <w:lang w:val="es-DO"/>
        </w:rPr>
      </w:pPr>
      <w:r w:rsidRPr="005C133F">
        <w:rPr>
          <w:lang w:val="es-ES"/>
        </w:rPr>
        <w:t>Resolución sancionadora DJ-GIS Núm. 0016-2025, de fecha 29 de septiembre del año 2025, que resuelve el procedimiento administrativo sancionador, llevado a cabo contra la Administradora de Riesgos de Salud Amor y Paz (ARS ASEMAP), incumplimiento a la resolución 581-03, no disponibilidad de la información y malas prácticas en los estándares de control interno.</w:t>
      </w:r>
      <w:r w:rsidRPr="005C133F">
        <w:rPr>
          <w:lang w:val="es-DO"/>
        </w:rPr>
        <w:t> </w:t>
      </w:r>
    </w:p>
    <w:p w14:paraId="309487CB" w14:textId="77777777" w:rsidR="00FF04F2" w:rsidRPr="005C133F" w:rsidRDefault="00FF04F2">
      <w:pPr>
        <w:numPr>
          <w:ilvl w:val="0"/>
          <w:numId w:val="89"/>
        </w:numPr>
        <w:spacing w:after="0" w:line="360" w:lineRule="auto"/>
        <w:jc w:val="both"/>
        <w:rPr>
          <w:lang w:val="es-DO"/>
        </w:rPr>
      </w:pPr>
      <w:r w:rsidRPr="005C133F">
        <w:rPr>
          <w:lang w:val="es-ES"/>
        </w:rPr>
        <w:lastRenderedPageBreak/>
        <w:t>Resolución sancionadora DJ-GIS Núm. 0017-2025, de fecha 15 de octubre del año 2025, que resuelve el procedimiento administrativo sancionador, llevado a cabo contra la Administradora de Riesgos de Salud APS (ARS APS), por no envió de información en los plazos y condiciones requeridos por la SISALRIL.</w:t>
      </w:r>
      <w:r w:rsidRPr="005C133F">
        <w:rPr>
          <w:lang w:val="es-DO"/>
        </w:rPr>
        <w:t> </w:t>
      </w:r>
    </w:p>
    <w:p w14:paraId="4D2A31F0" w14:textId="77777777" w:rsidR="00FF04F2" w:rsidRPr="005C133F" w:rsidRDefault="00FF04F2">
      <w:pPr>
        <w:numPr>
          <w:ilvl w:val="0"/>
          <w:numId w:val="90"/>
        </w:numPr>
        <w:spacing w:after="0" w:line="360" w:lineRule="auto"/>
        <w:jc w:val="both"/>
        <w:rPr>
          <w:lang w:val="es-DO"/>
        </w:rPr>
      </w:pPr>
      <w:r w:rsidRPr="005C133F">
        <w:rPr>
          <w:lang w:val="es-ES"/>
        </w:rPr>
        <w:t>Resolución sancionadora DJ-GIS Núm. 0018-2025, de fecha 05 de noviembre del año 2025, que resuelve el procedimiento administrativo sancionador, llevado a cabo contra la Administradora de Riesgos de Salud GMA (ARS GMA), no remisión de información y documentación requerida, así como falta de remisión oportuna y completa de esquemas de información.</w:t>
      </w:r>
      <w:r w:rsidRPr="005C133F">
        <w:rPr>
          <w:lang w:val="es-DO"/>
        </w:rPr>
        <w:t> </w:t>
      </w:r>
    </w:p>
    <w:p w14:paraId="66CAB10E" w14:textId="77777777" w:rsidR="00FF04F2" w:rsidRPr="005C133F" w:rsidRDefault="00FF04F2" w:rsidP="005C133F">
      <w:pPr>
        <w:spacing w:after="0" w:line="360" w:lineRule="auto"/>
        <w:jc w:val="both"/>
        <w:rPr>
          <w:b/>
          <w:bCs/>
          <w:lang w:val="es-DO"/>
        </w:rPr>
      </w:pPr>
      <w:r w:rsidRPr="005C133F">
        <w:rPr>
          <w:b/>
          <w:bCs/>
          <w:lang w:val="es-DO"/>
        </w:rPr>
        <w:t> </w:t>
      </w:r>
    </w:p>
    <w:p w14:paraId="58E3B8BE" w14:textId="0D9EC048" w:rsidR="00E70E21" w:rsidRPr="005C133F" w:rsidRDefault="00E70E21">
      <w:pPr>
        <w:numPr>
          <w:ilvl w:val="0"/>
          <w:numId w:val="72"/>
        </w:numPr>
        <w:spacing w:after="0" w:line="360" w:lineRule="auto"/>
        <w:jc w:val="both"/>
        <w:rPr>
          <w:b/>
          <w:bCs/>
          <w:lang w:val="es-DO"/>
        </w:rPr>
      </w:pPr>
      <w:r w:rsidRPr="005C133F">
        <w:rPr>
          <w:b/>
          <w:bCs/>
          <w:lang w:val="es-ES"/>
        </w:rPr>
        <w:t xml:space="preserve">Recursos de Inconformidad </w:t>
      </w:r>
      <w:r w:rsidRPr="005C133F">
        <w:rPr>
          <w:b/>
          <w:bCs/>
          <w:lang w:val="es-DO"/>
        </w:rPr>
        <w:t> </w:t>
      </w:r>
    </w:p>
    <w:p w14:paraId="31F9FEC9" w14:textId="77777777" w:rsidR="00FF04F2" w:rsidRPr="005C133F" w:rsidRDefault="00FF04F2" w:rsidP="005C133F">
      <w:pPr>
        <w:spacing w:after="0" w:line="360" w:lineRule="auto"/>
        <w:jc w:val="both"/>
        <w:rPr>
          <w:b/>
          <w:bCs/>
          <w:lang w:val="es-DO"/>
        </w:rPr>
      </w:pPr>
    </w:p>
    <w:p w14:paraId="2D2EE14F" w14:textId="475A0FBD" w:rsidR="00C42760" w:rsidRPr="005C133F" w:rsidRDefault="002923FB" w:rsidP="005C133F">
      <w:pPr>
        <w:spacing w:after="0" w:line="360" w:lineRule="auto"/>
        <w:contextualSpacing/>
        <w:jc w:val="both"/>
        <w:rPr>
          <w:rFonts w:eastAsia="Times New Roman"/>
          <w:bCs/>
          <w:lang w:val="es-ES"/>
        </w:rPr>
      </w:pPr>
      <w:r w:rsidRPr="005C133F">
        <w:rPr>
          <w:rFonts w:eastAsia="Times New Roman"/>
          <w:bCs/>
          <w:lang w:val="es-ES"/>
        </w:rPr>
        <w:t>En cumplimiento con el artículo 188 de la Ley No. 87-01 y el artículo 22 de la Ley Núm. 397-19 que faculta a la SISALRIL de revisar, como órgano jerárquico, las decisiones emitidas por el Instituto Dominicano de Prevención y Protección de Riesgos Laborales (IDOPPRIL) relativas a la administración y entrega de prestaciones del seguro de riesgos laborales ha conocido y emitido once (11) resoluciones, a saber:</w:t>
      </w:r>
    </w:p>
    <w:p w14:paraId="3B8680E0" w14:textId="67BBDD8A" w:rsidR="008749F4" w:rsidRPr="005C133F" w:rsidRDefault="002923FB">
      <w:pPr>
        <w:pStyle w:val="Prrafodelista"/>
        <w:numPr>
          <w:ilvl w:val="0"/>
          <w:numId w:val="69"/>
        </w:numPr>
        <w:spacing w:after="0" w:line="360" w:lineRule="auto"/>
        <w:jc w:val="both"/>
        <w:rPr>
          <w:rFonts w:eastAsia="Times New Roman"/>
          <w:bCs/>
          <w:lang w:val="es-ES"/>
        </w:rPr>
      </w:pPr>
      <w:r w:rsidRPr="005C133F">
        <w:rPr>
          <w:rFonts w:eastAsia="Aptos"/>
          <w:lang w:val="es-ES"/>
        </w:rPr>
        <w:t>Resolución DJ- GL No. 001-2025, de fecha 16 de enero de 2025;</w:t>
      </w:r>
    </w:p>
    <w:p w14:paraId="320AD5B6"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 xml:space="preserve">Resolución DJ- GL No. 002-2025, de fecha 28 de enero de 2025; </w:t>
      </w:r>
    </w:p>
    <w:p w14:paraId="64B573C4"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 xml:space="preserve">Resolución DJ- GL No. 003-2025, de fecha 3 de abril de 2025; </w:t>
      </w:r>
    </w:p>
    <w:p w14:paraId="20271F70"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Resolución DJ- GL No. 004-2025, de fecha 14 de abril de 2025;</w:t>
      </w:r>
    </w:p>
    <w:p w14:paraId="17EDE17C"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lastRenderedPageBreak/>
        <w:t xml:space="preserve">Resolución DJ- GL No. 005-2025, de fecha 20 de marzo de 2025; </w:t>
      </w:r>
    </w:p>
    <w:p w14:paraId="1BF004B3"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 xml:space="preserve">Resolución DJ- GL No. 006-2025, de fecha 8 de mayo de 2025; </w:t>
      </w:r>
    </w:p>
    <w:p w14:paraId="61F118C6"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Resolución DJ- GL No. 007-2025, de fecha 14 de mayo de 2025;</w:t>
      </w:r>
    </w:p>
    <w:p w14:paraId="79504449"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Resolución DJ- GL No. 008-2025, de fecha 31 de Julio de 2025;</w:t>
      </w:r>
    </w:p>
    <w:p w14:paraId="175894FD"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 xml:space="preserve">Resolución DJ- GL No. 010-2025, de fecha 31 de Julio de 2025; </w:t>
      </w:r>
    </w:p>
    <w:p w14:paraId="3C587A1D"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Resolución DJ- GL No. 011-2025, de fecha 4 de agosto de 2025;</w:t>
      </w:r>
    </w:p>
    <w:p w14:paraId="295179F6" w14:textId="77777777" w:rsidR="002923FB" w:rsidRPr="005C133F" w:rsidRDefault="002923FB">
      <w:pPr>
        <w:pStyle w:val="Prrafodelista"/>
        <w:numPr>
          <w:ilvl w:val="0"/>
          <w:numId w:val="69"/>
        </w:numPr>
        <w:spacing w:after="0" w:line="360" w:lineRule="auto"/>
        <w:jc w:val="both"/>
        <w:rPr>
          <w:rFonts w:eastAsia="Aptos"/>
          <w:lang w:val="es-ES"/>
        </w:rPr>
      </w:pPr>
      <w:r w:rsidRPr="005C133F">
        <w:rPr>
          <w:rFonts w:eastAsia="Aptos"/>
          <w:lang w:val="es-ES"/>
        </w:rPr>
        <w:t>Resolución DJ- GL No. 012-2025, de fecha 9 de septiembre de 2025.</w:t>
      </w:r>
    </w:p>
    <w:p w14:paraId="093CA6BF" w14:textId="77777777" w:rsidR="00756E52" w:rsidRPr="005C133F" w:rsidRDefault="00756E52" w:rsidP="005C133F">
      <w:pPr>
        <w:spacing w:after="0" w:line="360" w:lineRule="auto"/>
        <w:jc w:val="both"/>
        <w:rPr>
          <w:rFonts w:eastAsia="Aptos"/>
          <w:lang w:val="es-ES"/>
        </w:rPr>
      </w:pPr>
    </w:p>
    <w:p w14:paraId="656FCFB2" w14:textId="5693F8DC" w:rsidR="00756E52" w:rsidRPr="005C133F" w:rsidRDefault="00756E52">
      <w:pPr>
        <w:numPr>
          <w:ilvl w:val="0"/>
          <w:numId w:val="72"/>
        </w:numPr>
        <w:spacing w:after="0" w:line="360" w:lineRule="auto"/>
        <w:jc w:val="both"/>
        <w:rPr>
          <w:b/>
          <w:bCs/>
          <w:lang w:val="es-ES"/>
        </w:rPr>
      </w:pPr>
      <w:r w:rsidRPr="005C133F">
        <w:rPr>
          <w:b/>
          <w:bCs/>
          <w:lang w:val="es-ES"/>
        </w:rPr>
        <w:t xml:space="preserve">Recursos de Reconsideración </w:t>
      </w:r>
    </w:p>
    <w:p w14:paraId="4ACF10C8" w14:textId="77777777" w:rsidR="002923FB" w:rsidRPr="005C133F" w:rsidRDefault="002923FB" w:rsidP="005C133F">
      <w:pPr>
        <w:spacing w:after="0" w:line="360" w:lineRule="auto"/>
        <w:contextualSpacing/>
        <w:jc w:val="both"/>
        <w:rPr>
          <w:rFonts w:eastAsia="Times New Roman"/>
          <w:b/>
          <w:lang w:val="es-ES"/>
        </w:rPr>
      </w:pPr>
    </w:p>
    <w:p w14:paraId="04C3ADE3" w14:textId="6BEFA343" w:rsidR="002923FB" w:rsidRPr="005C133F" w:rsidRDefault="002923FB" w:rsidP="005C133F">
      <w:pPr>
        <w:spacing w:after="0" w:line="360" w:lineRule="auto"/>
        <w:contextualSpacing/>
        <w:jc w:val="both"/>
        <w:rPr>
          <w:rFonts w:eastAsia="Times New Roman"/>
          <w:bCs/>
          <w:lang w:val="es-ES"/>
        </w:rPr>
      </w:pPr>
      <w:r w:rsidRPr="005C133F">
        <w:rPr>
          <w:rFonts w:eastAsia="Times New Roman"/>
          <w:bCs/>
          <w:lang w:val="es-ES"/>
        </w:rPr>
        <w:t xml:space="preserve">Conforme a las disposiciones de los artículos 47 y 53 de la Ley núm. 107-13, sobre los Derechos de las Personas en sus Relaciones con la Administración y de Procedimiento Administrativo, corresponde a la Superintendencia de Salud y Riesgos Laborales (SISALRIL) conocer y decidir los recursos de reconsideración interpuestos por los administrados contra sus actuaciones. En cumplimiento de dicha atribución, </w:t>
      </w:r>
      <w:r w:rsidR="00190E4D" w:rsidRPr="005C133F">
        <w:rPr>
          <w:rFonts w:eastAsia="Times New Roman"/>
          <w:bCs/>
          <w:lang w:val="es-ES"/>
        </w:rPr>
        <w:t xml:space="preserve">durante </w:t>
      </w:r>
      <w:r w:rsidR="003E19B9" w:rsidRPr="005C133F">
        <w:rPr>
          <w:rFonts w:eastAsia="Times New Roman"/>
          <w:bCs/>
          <w:lang w:val="es-ES"/>
        </w:rPr>
        <w:t xml:space="preserve">el período </w:t>
      </w:r>
      <w:r w:rsidRPr="005C133F">
        <w:rPr>
          <w:rFonts w:eastAsia="Times New Roman"/>
          <w:bCs/>
          <w:lang w:val="es-ES"/>
        </w:rPr>
        <w:t>la institución</w:t>
      </w:r>
      <w:r w:rsidR="007878A8" w:rsidRPr="005C133F">
        <w:rPr>
          <w:rFonts w:eastAsia="Times New Roman"/>
          <w:bCs/>
          <w:lang w:val="es-ES"/>
        </w:rPr>
        <w:t xml:space="preserve"> reconoció</w:t>
      </w:r>
      <w:r w:rsidR="000D3E28" w:rsidRPr="005C133F">
        <w:rPr>
          <w:rFonts w:eastAsia="Times New Roman"/>
          <w:bCs/>
          <w:lang w:val="es-ES"/>
        </w:rPr>
        <w:t xml:space="preserve"> once (11)</w:t>
      </w:r>
      <w:r w:rsidRPr="005C133F">
        <w:rPr>
          <w:rFonts w:eastAsia="Times New Roman"/>
          <w:bCs/>
          <w:lang w:val="es-ES"/>
        </w:rPr>
        <w:t xml:space="preserve"> recursos</w:t>
      </w:r>
      <w:r w:rsidR="000D3E28" w:rsidRPr="005C133F">
        <w:rPr>
          <w:rFonts w:eastAsia="Times New Roman"/>
          <w:bCs/>
          <w:lang w:val="es-ES"/>
        </w:rPr>
        <w:t xml:space="preserve"> y</w:t>
      </w:r>
      <w:r w:rsidRPr="005C133F">
        <w:rPr>
          <w:rFonts w:eastAsia="Times New Roman"/>
          <w:bCs/>
          <w:lang w:val="es-ES"/>
        </w:rPr>
        <w:t xml:space="preserve"> </w:t>
      </w:r>
      <w:r w:rsidR="000D3E28" w:rsidRPr="005C133F">
        <w:rPr>
          <w:rFonts w:eastAsia="Times New Roman"/>
          <w:bCs/>
          <w:lang w:val="es-ES"/>
        </w:rPr>
        <w:t>emitió</w:t>
      </w:r>
      <w:r w:rsidRPr="005C133F">
        <w:rPr>
          <w:rFonts w:eastAsia="Times New Roman"/>
          <w:bCs/>
          <w:lang w:val="es-ES"/>
        </w:rPr>
        <w:t xml:space="preserve"> </w:t>
      </w:r>
      <w:r w:rsidR="000D3E28" w:rsidRPr="005C133F">
        <w:rPr>
          <w:rFonts w:eastAsia="Times New Roman"/>
          <w:bCs/>
          <w:lang w:val="es-ES"/>
        </w:rPr>
        <w:t xml:space="preserve">sus respectivas </w:t>
      </w:r>
      <w:r w:rsidRPr="005C133F">
        <w:rPr>
          <w:rFonts w:eastAsia="Times New Roman"/>
          <w:bCs/>
          <w:lang w:val="es-ES"/>
        </w:rPr>
        <w:t>resoluciones</w:t>
      </w:r>
      <w:r w:rsidR="000D3E28" w:rsidRPr="005C133F">
        <w:rPr>
          <w:rFonts w:eastAsia="Times New Roman"/>
          <w:bCs/>
          <w:lang w:val="es-ES"/>
        </w:rPr>
        <w:t xml:space="preserve">, a </w:t>
      </w:r>
      <w:r w:rsidRPr="005C133F">
        <w:rPr>
          <w:rFonts w:eastAsia="Times New Roman"/>
          <w:bCs/>
          <w:lang w:val="es-ES"/>
        </w:rPr>
        <w:t>saber:</w:t>
      </w:r>
    </w:p>
    <w:p w14:paraId="61F2A026" w14:textId="77777777" w:rsidR="002923FB" w:rsidRPr="005C133F" w:rsidRDefault="002923FB" w:rsidP="005C133F">
      <w:pPr>
        <w:widowControl w:val="0"/>
        <w:autoSpaceDE w:val="0"/>
        <w:autoSpaceDN w:val="0"/>
        <w:spacing w:after="0" w:line="360" w:lineRule="auto"/>
        <w:jc w:val="both"/>
        <w:rPr>
          <w:rFonts w:eastAsia="Times New Roman"/>
          <w:lang w:val="es-ES"/>
        </w:rPr>
      </w:pPr>
    </w:p>
    <w:p w14:paraId="33F6C4F8"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0001-2025, de fecha 16 de enero del 2025</w:t>
      </w:r>
      <w:bookmarkStart w:id="97" w:name="_Hlk213915523"/>
      <w:r w:rsidRPr="005C133F">
        <w:rPr>
          <w:rFonts w:eastAsia="Aptos"/>
          <w:lang w:val="es-ES"/>
        </w:rPr>
        <w:t>, que decide el recurso de reconsideración en ocasión sancionador en contra de la Administradora de Riesgos de Salud APS (ARS APS), interpuesto mediante la resolución DJ-GIS Núm. 0002-2024, de fecha 05 de octubre del año 2024</w:t>
      </w:r>
      <w:bookmarkEnd w:id="97"/>
      <w:r w:rsidRPr="005C133F">
        <w:rPr>
          <w:rFonts w:eastAsia="Aptos"/>
          <w:lang w:val="es-ES"/>
        </w:rPr>
        <w:t>.</w:t>
      </w:r>
    </w:p>
    <w:p w14:paraId="1CEF3EE7"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lastRenderedPageBreak/>
        <w:t>Resolución Recurso de Reconsideración DJ-RR No. 0002-2025, de fecha 18 de febrero del 2025, que decide el recurso de reconsideración en ocasión sancionador en contra de la Administradora de Riesgos de Salud SeNaSa (ARS SENASA), interpuesto mediante la resolución DJ-GIS Núm. 0003-2024, de fecha 25 de octubre del año 2024.</w:t>
      </w:r>
    </w:p>
    <w:p w14:paraId="214CF179"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0003-2025, de fecha 28 de marzo del 2025, que decide el recurso de reconsideración en ocasión sancionador en contra de la Administradora de Riesgos de Salud para Maestros (ARS SEMMA), interpuesto mediante la resolución DJ-GIS Núm. 0001-2025, de fecha 03 de enero del año 2025.</w:t>
      </w:r>
    </w:p>
    <w:p w14:paraId="1FD8625C"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0004-2024, de fecha 31 de julio del 2024, que decide Recurso de Reconsideración interpuesto por ARS Servicios de Igualas Médicas Dr. Abel González, S.A. (ARS Abel González), Administradoras de Riesgos de Salud Primera, S.A. (ARS Primera), Mapfre Salud ARS, S.A. y la Administradora de Riesgos de Salud Monumental, S.A. (ARS Monumental) contra la Circular SISALRIL-DAU-DJ Núm. 2025001356, sobre el proceso de alta y baja de usuarios de traspaso digital para la implementación de la Resolución Administrativa Núm. 00258-2023. Emitida por el Departamento de Litigios.</w:t>
      </w:r>
    </w:p>
    <w:p w14:paraId="4B422E20"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0005-2025, de fecha 24 de junio del 2025, que decide el recurso de reconsideración en ocasión sancionador en contra de la Administradora de Riesgos de Salud SeNaSa (ARS SENASA), interpuesto mediante la resolución DJ-GIS Núm. 0002-2025, de fecha 07 de abril del año 2025.</w:t>
      </w:r>
    </w:p>
    <w:p w14:paraId="44F05F23"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lastRenderedPageBreak/>
        <w:t>Resolución Recurso de Reconsideración DJ-RR No. 0006-2025, de fecha 21 de agosto del 2025, que decide el recurso de reconsideración en ocasión sancionador en contra de la Administradora de Riesgos de Salud SeNaSa (ARS SENASA), interpuesto mediante la resolución DJ-GIS Núm. 0003-2025, de fecha 07 de mayo del año 2025.</w:t>
      </w:r>
    </w:p>
    <w:p w14:paraId="547E8F90"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0007-2025, de fecha 22 de agosto del 2025, que decide el recurso de reconsideración en ocasión sancionador en contra de la Administradora de Riesgos de Salud APS (ARS APS), interpuesto mediante la resolución DJ-GIS Núm. 0006-2025, de fecha 29 de mayo del año 2025.</w:t>
      </w:r>
    </w:p>
    <w:p w14:paraId="16567CF4"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0008-2025, de fecha 22 de agosto del 2025, que decide el recurso de reconsideración en ocasión sancionador en contra de la Administradora de Riesgos de Salud APS (ARS APS), interpuesto mediante la resolución DJ-GIS Núm. 0005-2025, de fecha 28 de mayo del año 2025.</w:t>
      </w:r>
    </w:p>
    <w:p w14:paraId="0F0456DD"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0009-2025, de fecha 11 de septiembre del 2025, que decide el recurso de reconsideración en ocasión sancionador en contra de la Administradora de Riesgos de Salud APS (ARS APS), interpuesto mediante la resolución DJ-GIS Núm. 0007-2025, de fecha 04 de julio del año 2025.</w:t>
      </w:r>
    </w:p>
    <w:p w14:paraId="348514EF" w14:textId="77777777"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t>Resolución Recurso de Reconsideración DJ-RR No. 0010-2025, de fecha 22 de septiembre del 2025, que decide el recurso de reconsideración en ocasión sancionador en contra de la Administradora de Riesgos de Salud APS (ARS APS), interpuesto mediante la resolución DJ-GIS Núm. 0010-2025, de fecha 21 de julio del año 2025.</w:t>
      </w:r>
    </w:p>
    <w:p w14:paraId="19686E70" w14:textId="099E751F" w:rsidR="002923FB" w:rsidRPr="005C133F" w:rsidRDefault="002923FB">
      <w:pPr>
        <w:pStyle w:val="Prrafodelista"/>
        <w:numPr>
          <w:ilvl w:val="0"/>
          <w:numId w:val="70"/>
        </w:numPr>
        <w:spacing w:after="0" w:line="360" w:lineRule="auto"/>
        <w:jc w:val="both"/>
        <w:rPr>
          <w:rFonts w:eastAsia="Aptos"/>
          <w:lang w:val="es-ES"/>
        </w:rPr>
      </w:pPr>
      <w:r w:rsidRPr="005C133F">
        <w:rPr>
          <w:rFonts w:eastAsia="Aptos"/>
          <w:lang w:val="es-ES"/>
        </w:rPr>
        <w:lastRenderedPageBreak/>
        <w:t>Resolución Recurso de Reconsideración DJ-RR No. 0011-2025, de fecha 06 de noviembre del 2025, que decide el recurso de reconsideración en ocasión sancionador en contra de la Administradora de Riesgos de Salud SeNaSa (ARS SENASA), interpuesto mediante la resolución DJ-GIS Núm. 0011-2025, de fecha 21 de julio del año 2025.</w:t>
      </w:r>
    </w:p>
    <w:p w14:paraId="3EC1E741" w14:textId="77777777" w:rsidR="00A965CE" w:rsidRPr="005C133F" w:rsidRDefault="00A965CE" w:rsidP="005C133F">
      <w:pPr>
        <w:spacing w:after="0" w:line="360" w:lineRule="auto"/>
        <w:jc w:val="both"/>
        <w:rPr>
          <w:rFonts w:eastAsia="Aptos"/>
          <w:lang w:val="es-ES"/>
        </w:rPr>
      </w:pPr>
    </w:p>
    <w:p w14:paraId="03A79AC8" w14:textId="77777777" w:rsidR="00A965CE" w:rsidRPr="005C133F" w:rsidRDefault="00A965CE">
      <w:pPr>
        <w:numPr>
          <w:ilvl w:val="0"/>
          <w:numId w:val="91"/>
        </w:numPr>
        <w:spacing w:after="0" w:line="360" w:lineRule="auto"/>
        <w:jc w:val="both"/>
        <w:rPr>
          <w:rFonts w:eastAsia="Aptos"/>
          <w:lang w:val="es-DO"/>
        </w:rPr>
      </w:pPr>
      <w:r w:rsidRPr="005C133F">
        <w:rPr>
          <w:rFonts w:eastAsia="Aptos"/>
          <w:b/>
          <w:bCs/>
          <w:lang w:val="es-ES"/>
        </w:rPr>
        <w:t>Advertencias</w:t>
      </w:r>
      <w:r w:rsidRPr="005C133F">
        <w:rPr>
          <w:rFonts w:eastAsia="Aptos"/>
          <w:lang w:val="es-DO"/>
        </w:rPr>
        <w:t> </w:t>
      </w:r>
    </w:p>
    <w:p w14:paraId="4FE9A77F" w14:textId="77777777" w:rsidR="00A965CE" w:rsidRPr="005C133F" w:rsidRDefault="00A965CE" w:rsidP="005C133F">
      <w:pPr>
        <w:spacing w:after="0" w:line="360" w:lineRule="auto"/>
        <w:jc w:val="both"/>
        <w:rPr>
          <w:rFonts w:eastAsia="Aptos"/>
          <w:lang w:val="es-DO"/>
        </w:rPr>
      </w:pPr>
      <w:r w:rsidRPr="005C133F">
        <w:rPr>
          <w:rFonts w:eastAsia="Aptos"/>
          <w:lang w:val="es-DO"/>
        </w:rPr>
        <w:t> </w:t>
      </w:r>
    </w:p>
    <w:p w14:paraId="51CB9FDB" w14:textId="707E5B3F" w:rsidR="00A965CE" w:rsidRPr="005C133F" w:rsidRDefault="00A965CE" w:rsidP="005C133F">
      <w:pPr>
        <w:spacing w:after="0" w:line="360" w:lineRule="auto"/>
        <w:jc w:val="both"/>
        <w:rPr>
          <w:rFonts w:eastAsia="Aptos"/>
          <w:lang w:val="es-DO"/>
        </w:rPr>
      </w:pPr>
      <w:r w:rsidRPr="005C133F">
        <w:rPr>
          <w:rFonts w:eastAsia="Aptos"/>
          <w:lang w:val="es-ES"/>
        </w:rPr>
        <w:t xml:space="preserve">En el marco de sus funciones de supervisión y conforme a las disposiciones legales vigentes, la Superintendencia de Salud y Riesgos Laborales (SISALRIL) </w:t>
      </w:r>
      <w:r w:rsidR="0059413E" w:rsidRPr="005C133F">
        <w:rPr>
          <w:rFonts w:eastAsia="Aptos"/>
          <w:lang w:val="es-ES"/>
        </w:rPr>
        <w:t>emitió</w:t>
      </w:r>
      <w:r w:rsidR="00BE416E" w:rsidRPr="005C133F">
        <w:rPr>
          <w:rFonts w:eastAsia="Aptos"/>
          <w:lang w:val="es-ES"/>
        </w:rPr>
        <w:t xml:space="preserve"> </w:t>
      </w:r>
      <w:r w:rsidR="0073075C" w:rsidRPr="005C133F">
        <w:rPr>
          <w:rFonts w:eastAsia="Aptos"/>
          <w:lang w:val="es-ES"/>
        </w:rPr>
        <w:t>veintitrés (23)</w:t>
      </w:r>
      <w:r w:rsidRPr="005C133F">
        <w:rPr>
          <w:rFonts w:eastAsia="Aptos"/>
          <w:lang w:val="es-ES"/>
        </w:rPr>
        <w:t xml:space="preserve"> advertencias dirigidas a prevenir incumplimientos y orientar a los sujetos supervisados sobre la correcta observancia de sus obligaciones. A saber:</w:t>
      </w:r>
      <w:r w:rsidRPr="005C133F">
        <w:rPr>
          <w:rFonts w:eastAsia="Aptos"/>
          <w:lang w:val="es-DO"/>
        </w:rPr>
        <w:t> </w:t>
      </w:r>
    </w:p>
    <w:p w14:paraId="0BC083E8" w14:textId="77777777" w:rsidR="00A965CE" w:rsidRPr="005C133F" w:rsidRDefault="00A965CE">
      <w:pPr>
        <w:numPr>
          <w:ilvl w:val="0"/>
          <w:numId w:val="92"/>
        </w:numPr>
        <w:spacing w:after="0" w:line="360" w:lineRule="auto"/>
        <w:jc w:val="both"/>
        <w:rPr>
          <w:rFonts w:eastAsia="Aptos"/>
          <w:lang w:val="es-DO"/>
        </w:rPr>
      </w:pPr>
      <w:r w:rsidRPr="005C133F">
        <w:rPr>
          <w:rFonts w:eastAsia="Aptos"/>
          <w:lang w:val="es-ES"/>
        </w:rPr>
        <w:t>Comunicación SISALRIL-DARCP-DJ No. 2025001125, de fecha 19 de febrero del año 2025, que otorga un plazo de 05 días a la ARS SeNaSa, con la finalidad de remitir un informe sobre la negación de cobertura del afiliado José Rafael Ruiz Frías.</w:t>
      </w:r>
      <w:r w:rsidRPr="005C133F">
        <w:rPr>
          <w:rFonts w:eastAsia="Aptos"/>
          <w:lang w:val="es-DO"/>
        </w:rPr>
        <w:t> </w:t>
      </w:r>
    </w:p>
    <w:p w14:paraId="73910B9B" w14:textId="77777777" w:rsidR="00A965CE" w:rsidRPr="005C133F" w:rsidRDefault="00A965CE">
      <w:pPr>
        <w:numPr>
          <w:ilvl w:val="0"/>
          <w:numId w:val="93"/>
        </w:numPr>
        <w:spacing w:after="0" w:line="360" w:lineRule="auto"/>
        <w:jc w:val="both"/>
        <w:rPr>
          <w:rFonts w:eastAsia="Aptos"/>
          <w:lang w:val="es-DO"/>
        </w:rPr>
      </w:pPr>
      <w:r w:rsidRPr="005C133F">
        <w:rPr>
          <w:rFonts w:eastAsia="Aptos"/>
          <w:lang w:val="es-ES"/>
        </w:rPr>
        <w:t>Comunicación SISALRIL-DJ No. 2025001334, de fecha 28 de febrero del año 2025, que advierte a CEDIMAT sobre la denuncia de práctica de retención indebida de cadáver y cobro a afiliados del seguro familiar de salud.</w:t>
      </w:r>
      <w:r w:rsidRPr="005C133F">
        <w:rPr>
          <w:rFonts w:eastAsia="Aptos"/>
          <w:lang w:val="es-DO"/>
        </w:rPr>
        <w:t> </w:t>
      </w:r>
    </w:p>
    <w:p w14:paraId="1E773F95" w14:textId="77777777" w:rsidR="00A965CE" w:rsidRPr="005C133F" w:rsidRDefault="00A965CE">
      <w:pPr>
        <w:numPr>
          <w:ilvl w:val="0"/>
          <w:numId w:val="94"/>
        </w:numPr>
        <w:spacing w:after="0" w:line="360" w:lineRule="auto"/>
        <w:jc w:val="both"/>
        <w:rPr>
          <w:rFonts w:eastAsia="Aptos"/>
          <w:lang w:val="es-DO"/>
        </w:rPr>
      </w:pPr>
      <w:r w:rsidRPr="005C133F">
        <w:rPr>
          <w:rFonts w:eastAsia="Aptos"/>
          <w:lang w:val="es-ES"/>
        </w:rPr>
        <w:t>Comunicación SISALRIL-DJ No. 2025001652, de fecha 13 de marzo del año 2025, que advierte a la clínica La Concepción por denuncia de practica de cobro indebido a afiliados del Seguro Familiar de Salud.</w:t>
      </w:r>
      <w:r w:rsidRPr="005C133F">
        <w:rPr>
          <w:rFonts w:eastAsia="Aptos"/>
          <w:lang w:val="es-DO"/>
        </w:rPr>
        <w:t> </w:t>
      </w:r>
    </w:p>
    <w:p w14:paraId="5FCEFDC9" w14:textId="77777777" w:rsidR="00A965CE" w:rsidRPr="005C133F" w:rsidRDefault="00A965CE">
      <w:pPr>
        <w:numPr>
          <w:ilvl w:val="0"/>
          <w:numId w:val="95"/>
        </w:numPr>
        <w:spacing w:after="0" w:line="360" w:lineRule="auto"/>
        <w:jc w:val="both"/>
        <w:rPr>
          <w:rFonts w:eastAsia="Aptos"/>
          <w:lang w:val="es-DO"/>
        </w:rPr>
      </w:pPr>
      <w:r w:rsidRPr="005C133F">
        <w:rPr>
          <w:rFonts w:eastAsia="Aptos"/>
          <w:lang w:val="es-ES"/>
        </w:rPr>
        <w:t xml:space="preserve">Comunicación SISALRIL-DJ No. 2025001653, de fecha 13 de marzo del año 2025, que advierte al Centro </w:t>
      </w:r>
      <w:r w:rsidRPr="005C133F">
        <w:rPr>
          <w:rFonts w:eastAsia="Aptos"/>
          <w:lang w:val="es-ES"/>
        </w:rPr>
        <w:lastRenderedPageBreak/>
        <w:t>Otorrinolaringología y Especialidades por denuncia de practica de cobro indebido a afiliados del Seguro Familiar de Salud.</w:t>
      </w:r>
      <w:r w:rsidRPr="005C133F">
        <w:rPr>
          <w:rFonts w:eastAsia="Aptos"/>
          <w:lang w:val="es-DO"/>
        </w:rPr>
        <w:t> </w:t>
      </w:r>
    </w:p>
    <w:p w14:paraId="22EAECE0" w14:textId="77777777" w:rsidR="00A965CE" w:rsidRPr="005C133F" w:rsidRDefault="00A965CE">
      <w:pPr>
        <w:numPr>
          <w:ilvl w:val="0"/>
          <w:numId w:val="96"/>
        </w:numPr>
        <w:spacing w:after="0" w:line="360" w:lineRule="auto"/>
        <w:jc w:val="both"/>
        <w:rPr>
          <w:rFonts w:eastAsia="Aptos"/>
          <w:lang w:val="es-DO"/>
        </w:rPr>
      </w:pPr>
      <w:r w:rsidRPr="005C133F">
        <w:rPr>
          <w:rFonts w:eastAsia="Aptos"/>
          <w:lang w:val="es-ES"/>
        </w:rPr>
        <w:t>Comunicación SISALRIL-DJ No. 2025001788, de fecha 19 de marzo del año 2025, que advierte al Centro Médico Escaño, por denuncia de cobro indebido e instrucción de reembolso de montos totales pagados por el afiliado Cesar Alberto Martínez.</w:t>
      </w:r>
      <w:r w:rsidRPr="005C133F">
        <w:rPr>
          <w:rFonts w:eastAsia="Aptos"/>
          <w:lang w:val="es-DO"/>
        </w:rPr>
        <w:t> </w:t>
      </w:r>
    </w:p>
    <w:p w14:paraId="298E1396" w14:textId="77777777" w:rsidR="00A965CE" w:rsidRPr="005C133F" w:rsidRDefault="00A965CE">
      <w:pPr>
        <w:numPr>
          <w:ilvl w:val="0"/>
          <w:numId w:val="97"/>
        </w:numPr>
        <w:spacing w:after="0" w:line="360" w:lineRule="auto"/>
        <w:jc w:val="both"/>
        <w:rPr>
          <w:rFonts w:eastAsia="Aptos"/>
          <w:lang w:val="es-DO"/>
        </w:rPr>
      </w:pPr>
      <w:r w:rsidRPr="005C133F">
        <w:rPr>
          <w:rFonts w:eastAsia="Aptos"/>
          <w:lang w:val="es-ES"/>
        </w:rPr>
        <w:t>Comunicación SSRL-INT-2025-000120, de fecha 01 de abril del año 2025, que advierte a la Administradora de Riesgos de Salud SeNaSa, por denuncia de retraso de pagos a PSS e instrucción de regularización.</w:t>
      </w:r>
      <w:r w:rsidRPr="005C133F">
        <w:rPr>
          <w:rFonts w:eastAsia="Aptos"/>
          <w:lang w:val="es-DO"/>
        </w:rPr>
        <w:t> </w:t>
      </w:r>
    </w:p>
    <w:p w14:paraId="4A921C89" w14:textId="77777777" w:rsidR="00A965CE" w:rsidRPr="005C133F" w:rsidRDefault="00A965CE">
      <w:pPr>
        <w:numPr>
          <w:ilvl w:val="0"/>
          <w:numId w:val="98"/>
        </w:numPr>
        <w:spacing w:after="0" w:line="360" w:lineRule="auto"/>
        <w:jc w:val="both"/>
        <w:rPr>
          <w:rFonts w:eastAsia="Aptos"/>
          <w:lang w:val="es-DO"/>
        </w:rPr>
      </w:pPr>
      <w:r w:rsidRPr="005C133F">
        <w:rPr>
          <w:rFonts w:eastAsia="Aptos"/>
          <w:lang w:val="es-ES"/>
        </w:rPr>
        <w:t>Comunicación SSRL-INT-2025-000229, de fecha 09 de abril del año 2025, que instruye a la Administradora de Riesgos de Salud para Maestros (ARS SEMMA), a recibir las reclamaciones medicas de los PSS en las oficinas filiares de ARS SEMMA a nivel nacional.</w:t>
      </w:r>
      <w:r w:rsidRPr="005C133F">
        <w:rPr>
          <w:rFonts w:eastAsia="Aptos"/>
          <w:lang w:val="es-DO"/>
        </w:rPr>
        <w:t> </w:t>
      </w:r>
    </w:p>
    <w:p w14:paraId="625D92B4" w14:textId="77777777" w:rsidR="00A965CE" w:rsidRPr="005C133F" w:rsidRDefault="00A965CE">
      <w:pPr>
        <w:numPr>
          <w:ilvl w:val="0"/>
          <w:numId w:val="99"/>
        </w:numPr>
        <w:spacing w:after="0" w:line="360" w:lineRule="auto"/>
        <w:jc w:val="both"/>
        <w:rPr>
          <w:rFonts w:eastAsia="Aptos"/>
          <w:lang w:val="es-DO"/>
        </w:rPr>
      </w:pPr>
      <w:r w:rsidRPr="005C133F">
        <w:rPr>
          <w:rFonts w:eastAsia="Aptos"/>
          <w:lang w:val="es-ES"/>
        </w:rPr>
        <w:t>Comunicación SSRL-INT-2025-000267, de fecha 11 de abril del año 2025, que notifica a ARS SeNaSa, la denuncia por retraso a pago a Farmacia Vargas Sánchez, otorgando plazo 5 días para remisión de informe.</w:t>
      </w:r>
      <w:r w:rsidRPr="005C133F">
        <w:rPr>
          <w:rFonts w:eastAsia="Aptos"/>
          <w:lang w:val="es-DO"/>
        </w:rPr>
        <w:t> </w:t>
      </w:r>
    </w:p>
    <w:p w14:paraId="3AD1E28D" w14:textId="77777777" w:rsidR="00A965CE" w:rsidRPr="005C133F" w:rsidRDefault="00A965CE">
      <w:pPr>
        <w:numPr>
          <w:ilvl w:val="0"/>
          <w:numId w:val="100"/>
        </w:numPr>
        <w:spacing w:after="0" w:line="360" w:lineRule="auto"/>
        <w:jc w:val="both"/>
        <w:rPr>
          <w:rFonts w:eastAsia="Aptos"/>
          <w:lang w:val="es-DO"/>
        </w:rPr>
      </w:pPr>
      <w:r w:rsidRPr="005C133F">
        <w:rPr>
          <w:rFonts w:eastAsia="Aptos"/>
          <w:lang w:val="es-ES"/>
        </w:rPr>
        <w:t>Comunicación SSRL-INT-2025-000572, de fecha 14 de mayo del año 2025, que advierte al Hospital General Plaza de la Salud, por incidencias detectadas relacionadas por cobros indebidos, negación de coberturas y retención de pacientes.</w:t>
      </w:r>
      <w:r w:rsidRPr="005C133F">
        <w:rPr>
          <w:rFonts w:eastAsia="Aptos"/>
          <w:lang w:val="es-DO"/>
        </w:rPr>
        <w:t> </w:t>
      </w:r>
    </w:p>
    <w:p w14:paraId="20ED08ED" w14:textId="77777777" w:rsidR="00A965CE" w:rsidRPr="005C133F" w:rsidRDefault="00A965CE">
      <w:pPr>
        <w:numPr>
          <w:ilvl w:val="0"/>
          <w:numId w:val="101"/>
        </w:numPr>
        <w:spacing w:after="0" w:line="360" w:lineRule="auto"/>
        <w:jc w:val="both"/>
        <w:rPr>
          <w:rFonts w:eastAsia="Aptos"/>
          <w:lang w:val="es-DO"/>
        </w:rPr>
      </w:pPr>
      <w:r w:rsidRPr="005C133F">
        <w:rPr>
          <w:rFonts w:eastAsia="Aptos"/>
          <w:lang w:val="es-ES"/>
        </w:rPr>
        <w:t>Comunicación SSRL-INT-2025-000574, de fecha 14 de mayo del año 2025, que advierte a la Clínica Unión Medica del Norte, incidencias detectadas relacionadas por cobros indebidos, negación de coberturas y retención de pacientes.</w:t>
      </w:r>
      <w:r w:rsidRPr="005C133F">
        <w:rPr>
          <w:rFonts w:eastAsia="Aptos"/>
          <w:lang w:val="es-DO"/>
        </w:rPr>
        <w:t> </w:t>
      </w:r>
    </w:p>
    <w:p w14:paraId="407C2D6F" w14:textId="77777777" w:rsidR="00A965CE" w:rsidRPr="005C133F" w:rsidRDefault="00A965CE">
      <w:pPr>
        <w:numPr>
          <w:ilvl w:val="0"/>
          <w:numId w:val="102"/>
        </w:numPr>
        <w:spacing w:after="0" w:line="360" w:lineRule="auto"/>
        <w:jc w:val="both"/>
        <w:rPr>
          <w:rFonts w:eastAsia="Aptos"/>
          <w:lang w:val="es-DO"/>
        </w:rPr>
      </w:pPr>
      <w:r w:rsidRPr="005C133F">
        <w:rPr>
          <w:rFonts w:eastAsia="Aptos"/>
          <w:lang w:val="es-ES"/>
        </w:rPr>
        <w:t xml:space="preserve">Comunicación SSRL-INT-2025-000575, de fecha 14 de mayo del año 2025, que advierte al Hospital Metropolitano de </w:t>
      </w:r>
      <w:r w:rsidRPr="005C133F">
        <w:rPr>
          <w:rFonts w:eastAsia="Aptos"/>
          <w:lang w:val="es-ES"/>
        </w:rPr>
        <w:lastRenderedPageBreak/>
        <w:t>Santiago, incidencias detectadas relacionadas por cobros indebidos, negación de coberturas y retención de pacientes.</w:t>
      </w:r>
      <w:r w:rsidRPr="005C133F">
        <w:rPr>
          <w:rFonts w:eastAsia="Aptos"/>
          <w:lang w:val="es-DO"/>
        </w:rPr>
        <w:t> </w:t>
      </w:r>
    </w:p>
    <w:p w14:paraId="76E7E425" w14:textId="77777777" w:rsidR="00A965CE" w:rsidRPr="005C133F" w:rsidRDefault="00A965CE">
      <w:pPr>
        <w:numPr>
          <w:ilvl w:val="0"/>
          <w:numId w:val="103"/>
        </w:numPr>
        <w:spacing w:after="0" w:line="360" w:lineRule="auto"/>
        <w:jc w:val="both"/>
        <w:rPr>
          <w:rFonts w:eastAsia="Aptos"/>
          <w:lang w:val="es-DO"/>
        </w:rPr>
      </w:pPr>
      <w:r w:rsidRPr="005C133F">
        <w:rPr>
          <w:rFonts w:eastAsia="Aptos"/>
          <w:lang w:val="es-ES"/>
        </w:rPr>
        <w:t>Comunicación SSRL-INT-2025-000576, de fecha 14 de mayo del año 2025, que advierte al Centro Médico Cibao, incidencias detectadas relacionadas por cobros indebidos, negación de coberturas y retención de pacientes.</w:t>
      </w:r>
      <w:r w:rsidRPr="005C133F">
        <w:rPr>
          <w:rFonts w:eastAsia="Aptos"/>
          <w:lang w:val="es-DO"/>
        </w:rPr>
        <w:t> </w:t>
      </w:r>
    </w:p>
    <w:p w14:paraId="39286411" w14:textId="77777777" w:rsidR="00A965CE" w:rsidRPr="005C133F" w:rsidRDefault="00A965CE">
      <w:pPr>
        <w:numPr>
          <w:ilvl w:val="0"/>
          <w:numId w:val="104"/>
        </w:numPr>
        <w:spacing w:after="0" w:line="360" w:lineRule="auto"/>
        <w:jc w:val="both"/>
        <w:rPr>
          <w:rFonts w:eastAsia="Aptos"/>
          <w:lang w:val="es-DO"/>
        </w:rPr>
      </w:pPr>
      <w:r w:rsidRPr="005C133F">
        <w:rPr>
          <w:rFonts w:eastAsia="Aptos"/>
          <w:lang w:val="es-ES"/>
        </w:rPr>
        <w:t>Comunicación SSRL-INT-2025-000577, de fecha 14 de mayo del año 2025, que advierte al Centro Médico Dominico-cubano, incidencias detectadas relacionadas por cobros indebidos, negación de coberturas y retención de pacientes.</w:t>
      </w:r>
      <w:r w:rsidRPr="005C133F">
        <w:rPr>
          <w:rFonts w:eastAsia="Aptos"/>
          <w:lang w:val="es-DO"/>
        </w:rPr>
        <w:t> </w:t>
      </w:r>
    </w:p>
    <w:p w14:paraId="5D93A722" w14:textId="77777777" w:rsidR="00A965CE" w:rsidRPr="005C133F" w:rsidRDefault="00A965CE">
      <w:pPr>
        <w:numPr>
          <w:ilvl w:val="0"/>
          <w:numId w:val="105"/>
        </w:numPr>
        <w:spacing w:after="0" w:line="360" w:lineRule="auto"/>
        <w:jc w:val="both"/>
        <w:rPr>
          <w:rFonts w:eastAsia="Aptos"/>
          <w:lang w:val="es-DO"/>
        </w:rPr>
      </w:pPr>
      <w:r w:rsidRPr="005C133F">
        <w:rPr>
          <w:rFonts w:eastAsia="Aptos"/>
          <w:lang w:val="es-ES"/>
        </w:rPr>
        <w:t>Comunicación SSRL-INT-2025-00573, de fecha 14 de mayo de 2025, que advierte al Centro de diagnóstico y de telemedicina avanzada (CEDIMAT), por incidencias relacionadas con cobros indebidos, negación de cobertura y reembolso y retención de pacientes</w:t>
      </w:r>
      <w:r w:rsidRPr="005C133F">
        <w:rPr>
          <w:rFonts w:eastAsia="Aptos"/>
          <w:lang w:val="es-DO"/>
        </w:rPr>
        <w:t> </w:t>
      </w:r>
    </w:p>
    <w:p w14:paraId="047F9DB8" w14:textId="77777777" w:rsidR="00A965CE" w:rsidRPr="005C133F" w:rsidRDefault="00A965CE">
      <w:pPr>
        <w:numPr>
          <w:ilvl w:val="0"/>
          <w:numId w:val="106"/>
        </w:numPr>
        <w:spacing w:after="0" w:line="360" w:lineRule="auto"/>
        <w:jc w:val="both"/>
        <w:rPr>
          <w:rFonts w:eastAsia="Aptos"/>
          <w:lang w:val="es-DO"/>
        </w:rPr>
      </w:pPr>
      <w:r w:rsidRPr="005C133F">
        <w:rPr>
          <w:rFonts w:eastAsia="Aptos"/>
          <w:lang w:val="es-ES"/>
        </w:rPr>
        <w:t>Comunicación SSRL-INT-2025-000587, de fecha 15 de mayo del año 2025, que advierte al Centro Médico Moderno, incidencias detectadas relacionadas por cobros indebidos, negación de coberturas y retención de pacientes.</w:t>
      </w:r>
      <w:r w:rsidRPr="005C133F">
        <w:rPr>
          <w:rFonts w:eastAsia="Aptos"/>
          <w:lang w:val="es-DO"/>
        </w:rPr>
        <w:t> </w:t>
      </w:r>
    </w:p>
    <w:p w14:paraId="2ED25192" w14:textId="77777777" w:rsidR="00A965CE" w:rsidRPr="005C133F" w:rsidRDefault="00A965CE">
      <w:pPr>
        <w:numPr>
          <w:ilvl w:val="0"/>
          <w:numId w:val="107"/>
        </w:numPr>
        <w:spacing w:after="0" w:line="360" w:lineRule="auto"/>
        <w:jc w:val="both"/>
        <w:rPr>
          <w:rFonts w:eastAsia="Aptos"/>
          <w:lang w:val="es-DO"/>
        </w:rPr>
      </w:pPr>
      <w:r w:rsidRPr="005C133F">
        <w:rPr>
          <w:rFonts w:eastAsia="Aptos"/>
          <w:lang w:val="es-ES"/>
        </w:rPr>
        <w:t>Comunicación SSRL-INT-2025-000588, de fecha 15 de mayo del año 2025, que advierte al Centro Médico Vista del Jardín, incidencias detectadas relacionadas por cobros indebidos, negación de coberturas y retención de pacientes.</w:t>
      </w:r>
      <w:r w:rsidRPr="005C133F">
        <w:rPr>
          <w:rFonts w:eastAsia="Aptos"/>
          <w:lang w:val="es-DO"/>
        </w:rPr>
        <w:t> </w:t>
      </w:r>
    </w:p>
    <w:p w14:paraId="55900A95" w14:textId="77777777" w:rsidR="00A965CE" w:rsidRPr="005C133F" w:rsidRDefault="00A965CE">
      <w:pPr>
        <w:numPr>
          <w:ilvl w:val="0"/>
          <w:numId w:val="108"/>
        </w:numPr>
        <w:spacing w:after="0" w:line="360" w:lineRule="auto"/>
        <w:jc w:val="both"/>
        <w:rPr>
          <w:rFonts w:eastAsia="Aptos"/>
          <w:lang w:val="es-DO"/>
        </w:rPr>
      </w:pPr>
      <w:r w:rsidRPr="005C133F">
        <w:rPr>
          <w:rFonts w:eastAsia="Aptos"/>
          <w:lang w:val="es-ES"/>
        </w:rPr>
        <w:t>Acto No. 474/2025, de fecha 25 de julio del año 2025, contentivo del Acto de Puesta en Mora para remisión de requerimientos y reiteración de comunicación SSRL-INT-2025-001244, notificado a la Administradora de Riesgos de Salud APS (ARS APS).</w:t>
      </w:r>
      <w:r w:rsidRPr="005C133F">
        <w:rPr>
          <w:rFonts w:eastAsia="Aptos"/>
          <w:lang w:val="es-DO"/>
        </w:rPr>
        <w:t> </w:t>
      </w:r>
    </w:p>
    <w:p w14:paraId="11F2C6FB" w14:textId="77777777" w:rsidR="00A965CE" w:rsidRPr="005C133F" w:rsidRDefault="00A965CE">
      <w:pPr>
        <w:numPr>
          <w:ilvl w:val="0"/>
          <w:numId w:val="109"/>
        </w:numPr>
        <w:spacing w:after="0" w:line="360" w:lineRule="auto"/>
        <w:jc w:val="both"/>
        <w:rPr>
          <w:rFonts w:eastAsia="Aptos"/>
          <w:lang w:val="es-DO"/>
        </w:rPr>
      </w:pPr>
      <w:r w:rsidRPr="005C133F">
        <w:rPr>
          <w:rFonts w:eastAsia="Aptos"/>
          <w:lang w:val="es-ES"/>
        </w:rPr>
        <w:t xml:space="preserve">Comunicación SSRL-INT-2025-002347, de fecha 25 de septiembre del año 2025, que advierte a la Administradora de </w:t>
      </w:r>
      <w:r w:rsidRPr="005C133F">
        <w:rPr>
          <w:rFonts w:eastAsia="Aptos"/>
          <w:lang w:val="es-ES"/>
        </w:rPr>
        <w:lastRenderedPageBreak/>
        <w:t>Riesgos de Salud MAPFRE Salud (MAPFRE SALUD ARS), por retrasos en pagos a Prestadoras de Servicios de Salud (PSS) y emite instrucción de remisión de plan de acción tendente a su regularización. </w:t>
      </w:r>
      <w:r w:rsidRPr="005C133F">
        <w:rPr>
          <w:rFonts w:eastAsia="Aptos"/>
          <w:lang w:val="es-DO"/>
        </w:rPr>
        <w:t> </w:t>
      </w:r>
    </w:p>
    <w:p w14:paraId="29C83E49" w14:textId="77777777" w:rsidR="00A965CE" w:rsidRPr="005C133F" w:rsidRDefault="00A965CE">
      <w:pPr>
        <w:numPr>
          <w:ilvl w:val="0"/>
          <w:numId w:val="110"/>
        </w:numPr>
        <w:spacing w:after="0" w:line="360" w:lineRule="auto"/>
        <w:jc w:val="both"/>
        <w:rPr>
          <w:rFonts w:eastAsia="Aptos"/>
          <w:lang w:val="es-DO"/>
        </w:rPr>
      </w:pPr>
      <w:r w:rsidRPr="005C133F">
        <w:rPr>
          <w:rFonts w:eastAsia="Aptos"/>
          <w:lang w:val="es-ES"/>
        </w:rPr>
        <w:t>Comunicación SSRL-INT-2025-002348, de fecha 25 de septiembre del año 2025, que advierte a la Administradora de Riesgos de Salud Primera (PRIMERA ARS), por retrasos en pagos a Prestadoras de Servicios de Salud (PSS) y emite instrucción de remisión de plan de acción tendente a su regularización. </w:t>
      </w:r>
      <w:r w:rsidRPr="005C133F">
        <w:rPr>
          <w:rFonts w:eastAsia="Aptos"/>
          <w:lang w:val="es-DO"/>
        </w:rPr>
        <w:t> </w:t>
      </w:r>
    </w:p>
    <w:p w14:paraId="020A4BB8" w14:textId="77777777" w:rsidR="00A965CE" w:rsidRPr="005C133F" w:rsidRDefault="00A965CE">
      <w:pPr>
        <w:numPr>
          <w:ilvl w:val="0"/>
          <w:numId w:val="111"/>
        </w:numPr>
        <w:spacing w:after="0" w:line="360" w:lineRule="auto"/>
        <w:jc w:val="both"/>
        <w:rPr>
          <w:rFonts w:eastAsia="Aptos"/>
          <w:lang w:val="es-DO"/>
        </w:rPr>
      </w:pPr>
      <w:r w:rsidRPr="005C133F">
        <w:rPr>
          <w:rFonts w:eastAsia="Aptos"/>
          <w:lang w:val="es-ES"/>
        </w:rPr>
        <w:t>Acto No. 879/2025, de fecha 06 de noviembre del año 2025, contentivo del Acto de Intimación y Puesta en mora a la Administradora de Riesgos de Salud APS (ARS APS) para dar cumplimiento a las instrucciones y requerimientos realizados mediante las comunicaciones SSRL-INT-2025-002592 Y SSRL-INT-2025-002654, de fechas diecisiete (17) de octubre del dos mil veinticinco (2025) y veinte (20) de octubre del dos mil veinticinco (2025), respectivamente. </w:t>
      </w:r>
      <w:r w:rsidRPr="005C133F">
        <w:rPr>
          <w:rFonts w:eastAsia="Aptos"/>
          <w:lang w:val="es-DO"/>
        </w:rPr>
        <w:t> </w:t>
      </w:r>
    </w:p>
    <w:p w14:paraId="6007731C" w14:textId="77777777" w:rsidR="00A965CE" w:rsidRPr="005C133F" w:rsidRDefault="00A965CE">
      <w:pPr>
        <w:numPr>
          <w:ilvl w:val="0"/>
          <w:numId w:val="112"/>
        </w:numPr>
        <w:spacing w:after="0" w:line="360" w:lineRule="auto"/>
        <w:jc w:val="both"/>
        <w:rPr>
          <w:rFonts w:eastAsia="Aptos"/>
          <w:lang w:val="es-DO"/>
        </w:rPr>
      </w:pPr>
      <w:r w:rsidRPr="005C133F">
        <w:rPr>
          <w:rFonts w:eastAsia="Aptos"/>
          <w:lang w:val="es-ES"/>
        </w:rPr>
        <w:t>Comunicación SSRL-INT-2025-003036, de fecha 24 de noviembre 2025, que advierte al Centro de Obstetricia y Ginecología, por presuntas prácticas de cobros indebidos y retención y solicita un informe sobre los hallazgos reportados.</w:t>
      </w:r>
      <w:r w:rsidRPr="005C133F">
        <w:rPr>
          <w:rFonts w:eastAsia="Aptos"/>
          <w:lang w:val="es-DO"/>
        </w:rPr>
        <w:t> </w:t>
      </w:r>
    </w:p>
    <w:p w14:paraId="18D7EBE4" w14:textId="77777777" w:rsidR="00A965CE" w:rsidRPr="005C133F" w:rsidRDefault="00A965CE">
      <w:pPr>
        <w:numPr>
          <w:ilvl w:val="0"/>
          <w:numId w:val="113"/>
        </w:numPr>
        <w:spacing w:after="0" w:line="360" w:lineRule="auto"/>
        <w:jc w:val="both"/>
        <w:rPr>
          <w:rFonts w:eastAsia="Aptos"/>
          <w:lang w:val="es-DO"/>
        </w:rPr>
      </w:pPr>
      <w:r w:rsidRPr="005C133F">
        <w:rPr>
          <w:rFonts w:eastAsia="Aptos"/>
          <w:lang w:val="es-ES"/>
        </w:rPr>
        <w:t>Comunicación SSRL-INT-2025-003035, de fecha 24 de noviembre 2025, que advierte al Centro Médico Vista del jardín, por presuntas prácticas de cobros no autorizados de pacientes afiliados al SDSS y solicita un informe sobre los hallazgos reportados.</w:t>
      </w:r>
      <w:r w:rsidRPr="005C133F">
        <w:rPr>
          <w:rFonts w:eastAsia="Aptos"/>
          <w:lang w:val="es-DO"/>
        </w:rPr>
        <w:t> </w:t>
      </w:r>
    </w:p>
    <w:p w14:paraId="2E8157D4" w14:textId="77777777" w:rsidR="00A965CE" w:rsidRPr="005C133F" w:rsidRDefault="00A965CE">
      <w:pPr>
        <w:numPr>
          <w:ilvl w:val="0"/>
          <w:numId w:val="114"/>
        </w:numPr>
        <w:spacing w:after="0" w:line="360" w:lineRule="auto"/>
        <w:jc w:val="both"/>
        <w:rPr>
          <w:rFonts w:eastAsia="Aptos"/>
          <w:lang w:val="es-DO"/>
        </w:rPr>
      </w:pPr>
      <w:r w:rsidRPr="005C133F">
        <w:rPr>
          <w:rFonts w:eastAsia="Aptos"/>
          <w:lang w:val="es-ES"/>
        </w:rPr>
        <w:t xml:space="preserve">Comunicación SSRL-INT-2025-003038, de fecha 24 de noviembre 2025, que advierte al Centro Médico Dominico Cubano, por presuntas prácticas de retención de pacientes </w:t>
      </w:r>
      <w:r w:rsidRPr="005C133F">
        <w:rPr>
          <w:rFonts w:eastAsia="Aptos"/>
          <w:lang w:val="es-ES"/>
        </w:rPr>
        <w:lastRenderedPageBreak/>
        <w:t>afiliados al SDSS y solicita un informe sobre los hallazgos reportados.</w:t>
      </w:r>
      <w:r w:rsidRPr="005C133F">
        <w:rPr>
          <w:rFonts w:eastAsia="Aptos"/>
          <w:lang w:val="es-DO"/>
        </w:rPr>
        <w:t> </w:t>
      </w:r>
    </w:p>
    <w:p w14:paraId="33133D3A" w14:textId="77777777" w:rsidR="00A965CE" w:rsidRPr="005C133F" w:rsidRDefault="00A965CE">
      <w:pPr>
        <w:numPr>
          <w:ilvl w:val="0"/>
          <w:numId w:val="115"/>
        </w:numPr>
        <w:spacing w:after="0" w:line="360" w:lineRule="auto"/>
        <w:jc w:val="both"/>
        <w:rPr>
          <w:rFonts w:eastAsia="Aptos"/>
          <w:lang w:val="es-DO"/>
        </w:rPr>
      </w:pPr>
      <w:r w:rsidRPr="005C133F">
        <w:rPr>
          <w:rFonts w:eastAsia="Aptos"/>
          <w:lang w:val="es-ES"/>
        </w:rPr>
        <w:t>Comunicación SSRL-INT-2025-003039, de fecha 24 de noviembre 2025, que advierte al Centro de Diagnóstico y de Telemedicina Avanzada (CEDIMAT), por presuntas prácticas de cobros no autorizados y retención de pacientes y solicita un informe sobre los hallazgos reportados.</w:t>
      </w:r>
      <w:r w:rsidRPr="005C133F">
        <w:rPr>
          <w:rFonts w:eastAsia="Aptos"/>
          <w:lang w:val="es-DO"/>
        </w:rPr>
        <w:t> </w:t>
      </w:r>
    </w:p>
    <w:p w14:paraId="3CB54D5A" w14:textId="77777777" w:rsidR="003171C8" w:rsidRPr="005C133F" w:rsidRDefault="003171C8" w:rsidP="005C133F">
      <w:pPr>
        <w:spacing w:after="0" w:line="360" w:lineRule="auto"/>
        <w:jc w:val="both"/>
        <w:rPr>
          <w:rFonts w:eastAsia="Aptos"/>
          <w:lang w:val="es-DO"/>
        </w:rPr>
      </w:pPr>
    </w:p>
    <w:p w14:paraId="5E092435" w14:textId="77777777" w:rsidR="003171C8" w:rsidRPr="005C133F" w:rsidRDefault="003171C8">
      <w:pPr>
        <w:numPr>
          <w:ilvl w:val="0"/>
          <w:numId w:val="139"/>
        </w:numPr>
        <w:spacing w:after="0" w:line="360" w:lineRule="auto"/>
        <w:jc w:val="both"/>
        <w:rPr>
          <w:rFonts w:eastAsia="Aptos"/>
          <w:lang w:val="es-DO"/>
        </w:rPr>
      </w:pPr>
      <w:r w:rsidRPr="005C133F">
        <w:rPr>
          <w:rFonts w:eastAsia="Aptos"/>
          <w:b/>
          <w:bCs/>
          <w:lang w:val="es-ES"/>
        </w:rPr>
        <w:t>Recursos jerárquicos (apelación) ante el Consejo Nacional de Seguridad Social (CNSS)</w:t>
      </w:r>
      <w:r w:rsidRPr="005C133F">
        <w:rPr>
          <w:rFonts w:eastAsia="Aptos"/>
          <w:lang w:val="es-DO"/>
        </w:rPr>
        <w:t> </w:t>
      </w:r>
    </w:p>
    <w:p w14:paraId="1FBEE1B8" w14:textId="77777777" w:rsidR="003171C8" w:rsidRPr="005C133F" w:rsidRDefault="003171C8" w:rsidP="005C133F">
      <w:pPr>
        <w:spacing w:after="0" w:line="360" w:lineRule="auto"/>
        <w:jc w:val="both"/>
        <w:rPr>
          <w:rFonts w:eastAsia="Aptos"/>
          <w:lang w:val="es-DO"/>
        </w:rPr>
      </w:pPr>
      <w:r w:rsidRPr="005C133F">
        <w:rPr>
          <w:rFonts w:eastAsia="Aptos"/>
          <w:lang w:val="es-DO"/>
        </w:rPr>
        <w:t> </w:t>
      </w:r>
    </w:p>
    <w:p w14:paraId="2BEEE8E4" w14:textId="650E98C6" w:rsidR="003171C8" w:rsidRPr="005C133F" w:rsidRDefault="003171C8" w:rsidP="005C133F">
      <w:pPr>
        <w:spacing w:after="0" w:line="360" w:lineRule="auto"/>
        <w:jc w:val="both"/>
        <w:rPr>
          <w:rFonts w:eastAsia="Aptos"/>
          <w:lang w:val="es-DO"/>
        </w:rPr>
      </w:pPr>
      <w:r w:rsidRPr="005C133F">
        <w:rPr>
          <w:rFonts w:eastAsia="Aptos"/>
          <w:lang w:val="es-ES"/>
        </w:rPr>
        <w:t>En atención al literal q) del artículo 22 de la Ley Núm. 87-01, tiene la encomienda de defender las actuaciones, en ejercicio de sus facultades, realizadas por la SISALRIL o de las resoluciones emitidas frente a los Recursos de Apelación (Jerárquicos) interpuestos por los administrados ante el Consejo Nacional de Seguridad Social (CNSS). En esa tesitura, se han producido y depositado los siguientes cuatro (4) escritos de defensa, a saber:</w:t>
      </w:r>
      <w:r w:rsidRPr="005C133F">
        <w:rPr>
          <w:rFonts w:eastAsia="Aptos"/>
          <w:lang w:val="es-DO"/>
        </w:rPr>
        <w:t> </w:t>
      </w:r>
    </w:p>
    <w:p w14:paraId="07694E2B" w14:textId="77777777" w:rsidR="003171C8" w:rsidRPr="005C133F" w:rsidRDefault="003171C8">
      <w:pPr>
        <w:numPr>
          <w:ilvl w:val="0"/>
          <w:numId w:val="140"/>
        </w:numPr>
        <w:spacing w:after="0" w:line="360" w:lineRule="auto"/>
        <w:jc w:val="both"/>
        <w:rPr>
          <w:rFonts w:eastAsia="Aptos"/>
          <w:lang w:val="es-DO"/>
        </w:rPr>
      </w:pPr>
      <w:r w:rsidRPr="005C133F">
        <w:rPr>
          <w:rFonts w:eastAsia="Aptos"/>
          <w:lang w:val="es-ES"/>
        </w:rPr>
        <w:t>Escrito de defensa depositado en fecha 22 de abril de 2025 ante el Consejo Nacional de Seguridad Social (CNSS), en ocasión al Recurso de Apelación (Jerárquico) interpuesto por la Dirección General de Información y Defensa de los Afiliados a la Seguridad Social (DIDA), en representación del Sr. José Marcia Regalado Guerrero en contra de la Resolución SISALRIL núm. DJ-GAJ-02-2016 de fecha 16 de octubre de 2016. </w:t>
      </w:r>
      <w:r w:rsidRPr="005C133F">
        <w:rPr>
          <w:rFonts w:eastAsia="Aptos"/>
          <w:lang w:val="es-DO"/>
        </w:rPr>
        <w:t> </w:t>
      </w:r>
    </w:p>
    <w:p w14:paraId="6DE88B34" w14:textId="77777777" w:rsidR="003171C8" w:rsidRPr="005C133F" w:rsidRDefault="003171C8">
      <w:pPr>
        <w:numPr>
          <w:ilvl w:val="0"/>
          <w:numId w:val="141"/>
        </w:numPr>
        <w:spacing w:after="0" w:line="360" w:lineRule="auto"/>
        <w:jc w:val="both"/>
        <w:rPr>
          <w:rFonts w:eastAsia="Aptos"/>
          <w:lang w:val="es-DO"/>
        </w:rPr>
      </w:pPr>
      <w:r w:rsidRPr="005C133F">
        <w:rPr>
          <w:rFonts w:eastAsia="Aptos"/>
          <w:lang w:val="es-ES"/>
        </w:rPr>
        <w:t xml:space="preserve">Escrito de defensa depositado en fecha 20 de mayo de 2025 ante el Consejo Nacional de Seguridad Social (CNSS), en ocasión al Recurso de Apelación (Jerárquico) contra Resolución DJ-RR núm. 0002-2025, de fecha 18 de febrero de </w:t>
      </w:r>
      <w:r w:rsidRPr="005C133F">
        <w:rPr>
          <w:rFonts w:eastAsia="Aptos"/>
          <w:lang w:val="es-ES"/>
        </w:rPr>
        <w:lastRenderedPageBreak/>
        <w:t>2025, dictada por la Superintendencia de Salud y Riesgos Laborales (SISALRIL).</w:t>
      </w:r>
      <w:r w:rsidRPr="005C133F">
        <w:rPr>
          <w:rFonts w:eastAsia="Aptos"/>
          <w:lang w:val="es-DO"/>
        </w:rPr>
        <w:t> </w:t>
      </w:r>
    </w:p>
    <w:p w14:paraId="0D3143F4" w14:textId="77777777" w:rsidR="003171C8" w:rsidRPr="005C133F" w:rsidRDefault="003171C8">
      <w:pPr>
        <w:numPr>
          <w:ilvl w:val="0"/>
          <w:numId w:val="142"/>
        </w:numPr>
        <w:spacing w:after="0" w:line="360" w:lineRule="auto"/>
        <w:jc w:val="both"/>
        <w:rPr>
          <w:rFonts w:eastAsia="Aptos"/>
          <w:lang w:val="es-DO"/>
        </w:rPr>
      </w:pPr>
      <w:r w:rsidRPr="005C133F">
        <w:rPr>
          <w:rFonts w:eastAsia="Aptos"/>
          <w:lang w:val="es-ES"/>
        </w:rPr>
        <w:t>Escrito de defensa depositado en fecha 5 de agosto de 2025 ante el Consejo Nacional de Seguridad Social (CNSS) en ocasión al Recurso de Apelación (Jerárquico) interpuesto por el Instituto Dominicano de Prevención y Protección de Riesgos Laborales (IDOPPRIL), contra la Resolución DJ-GL núm. 006-2025 de fecha 8 de mayo de 2025, emitida por esta Superintendencia a favor del Sr. Juan De Jesús Mejía Santana. </w:t>
      </w:r>
      <w:r w:rsidRPr="005C133F">
        <w:rPr>
          <w:rFonts w:eastAsia="Aptos"/>
          <w:lang w:val="es-DO"/>
        </w:rPr>
        <w:t> </w:t>
      </w:r>
    </w:p>
    <w:p w14:paraId="36089712" w14:textId="77777777" w:rsidR="003171C8" w:rsidRPr="005C133F" w:rsidRDefault="003171C8">
      <w:pPr>
        <w:numPr>
          <w:ilvl w:val="0"/>
          <w:numId w:val="143"/>
        </w:numPr>
        <w:spacing w:after="0" w:line="360" w:lineRule="auto"/>
        <w:jc w:val="both"/>
        <w:rPr>
          <w:rFonts w:eastAsia="Aptos"/>
          <w:lang w:val="es-DO"/>
        </w:rPr>
      </w:pPr>
      <w:r w:rsidRPr="005C133F">
        <w:rPr>
          <w:rFonts w:eastAsia="Aptos"/>
          <w:lang w:val="es-ES"/>
        </w:rPr>
        <w:t>Escrito de defensa depositado en fecha 23 de septiembre de 2025 ante el Consejo Nacional de Seguridad Social (CNSS), en ocasión al Recurso de Apelación (Jerárquico) contra la Res. DJ-RR núm. 0005-2025, de fecha 24 de junio de 2025, emitida por la Superintendencia de Salud y Riesgos Laborales (SISALRIL).</w:t>
      </w:r>
      <w:r w:rsidRPr="005C133F">
        <w:rPr>
          <w:rFonts w:eastAsia="Aptos"/>
          <w:lang w:val="es-DO"/>
        </w:rPr>
        <w:t> </w:t>
      </w:r>
    </w:p>
    <w:p w14:paraId="51058AD5" w14:textId="77777777" w:rsidR="003171C8" w:rsidRPr="005C133F" w:rsidRDefault="003171C8" w:rsidP="005C133F">
      <w:pPr>
        <w:spacing w:after="0" w:line="360" w:lineRule="auto"/>
        <w:jc w:val="both"/>
        <w:rPr>
          <w:rFonts w:eastAsia="Aptos"/>
          <w:lang w:val="es-DO"/>
        </w:rPr>
      </w:pPr>
    </w:p>
    <w:p w14:paraId="7D7CFB66" w14:textId="4E13AD81" w:rsidR="00DB1F70" w:rsidRPr="005C133F" w:rsidRDefault="00DB1F70" w:rsidP="005C133F">
      <w:pPr>
        <w:widowControl w:val="0"/>
        <w:autoSpaceDE w:val="0"/>
        <w:autoSpaceDN w:val="0"/>
        <w:spacing w:after="0" w:line="360" w:lineRule="auto"/>
        <w:contextualSpacing/>
        <w:jc w:val="both"/>
        <w:rPr>
          <w:rFonts w:eastAsia="Times New Roman"/>
          <w:b/>
          <w:lang w:val="es-ES"/>
        </w:rPr>
      </w:pPr>
      <w:r w:rsidRPr="005C133F">
        <w:rPr>
          <w:rFonts w:eastAsia="Times New Roman"/>
          <w:b/>
          <w:lang w:val="es-ES"/>
        </w:rPr>
        <w:t>Procedimientos administrativos arbitrales en curso</w:t>
      </w:r>
    </w:p>
    <w:p w14:paraId="48CF94F5" w14:textId="77777777" w:rsidR="0034277E" w:rsidRPr="005C133F" w:rsidRDefault="0034277E" w:rsidP="005C133F">
      <w:pPr>
        <w:widowControl w:val="0"/>
        <w:autoSpaceDE w:val="0"/>
        <w:autoSpaceDN w:val="0"/>
        <w:spacing w:after="0" w:line="360" w:lineRule="auto"/>
        <w:contextualSpacing/>
        <w:jc w:val="both"/>
        <w:rPr>
          <w:rFonts w:eastAsia="Times New Roman"/>
          <w:b/>
          <w:lang w:val="es-ES"/>
        </w:rPr>
      </w:pPr>
    </w:p>
    <w:p w14:paraId="378C7A58" w14:textId="26108B69" w:rsidR="00DB1F70" w:rsidRPr="005C133F" w:rsidRDefault="00DB1F70" w:rsidP="005C133F">
      <w:pPr>
        <w:widowControl w:val="0"/>
        <w:autoSpaceDE w:val="0"/>
        <w:autoSpaceDN w:val="0"/>
        <w:spacing w:after="0" w:line="360" w:lineRule="auto"/>
        <w:contextualSpacing/>
        <w:jc w:val="both"/>
        <w:rPr>
          <w:rFonts w:eastAsia="Times New Roman"/>
          <w:bCs/>
          <w:lang w:val="es-ES"/>
        </w:rPr>
      </w:pPr>
      <w:r w:rsidRPr="005C133F">
        <w:rPr>
          <w:rFonts w:eastAsia="Times New Roman"/>
          <w:bCs/>
          <w:lang w:val="es-ES"/>
        </w:rPr>
        <w:t>En cuanto a los procedimientos arbitrales en curso, el Departamento de Conciliación y Arbitraje de la Dirección Jurídica se encuentra conociendo siete (7) solicitudes de intervención de la SISALRIL, en calidad de árbitro conciliador. A saber:</w:t>
      </w:r>
    </w:p>
    <w:p w14:paraId="233E530B"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t xml:space="preserve">Solicitud arbitral incoada por el Centro de Diagnósticos Cardiovasculares (CEDICARD), S.R.L., a causa de controversias derivadas por el incumplimiento de pago y glosas infundadas por parte del Seguro Nacional de Salud (ARS SeNaSa). Procedimiento pendiente de aprobación definitiva de la resolución administrativa arbitral que homologa acuerdo entre las partes en conflicto. </w:t>
      </w:r>
    </w:p>
    <w:p w14:paraId="29049501"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lastRenderedPageBreak/>
        <w:t xml:space="preserve">Solicitud de conciliación y arbitraje incoada por el Centro </w:t>
      </w:r>
      <w:proofErr w:type="spellStart"/>
      <w:r w:rsidRPr="005C133F">
        <w:rPr>
          <w:rFonts w:eastAsia="Aptos"/>
          <w:lang w:val="es-ES"/>
        </w:rPr>
        <w:t>Cardioneuro</w:t>
      </w:r>
      <w:proofErr w:type="spellEnd"/>
      <w:r w:rsidRPr="005C133F">
        <w:rPr>
          <w:rFonts w:eastAsia="Aptos"/>
          <w:lang w:val="es-ES"/>
        </w:rPr>
        <w:t xml:space="preserve"> Oftalmológico y Trasplante (CECANOT), por violación al plazo contractual para efectuar los pagos por servicios, irregularidades en los procesos de auditoría médica y falta de respuesta a las objeciones y glosas formuladas por varias administradoras de riesgos de salud (ARS).</w:t>
      </w:r>
    </w:p>
    <w:p w14:paraId="2FD51032"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t xml:space="preserve">Solicitud de arbitraje incoada por el Centro Médico Cuevas Leclerc, S.R.L., por procesos de conciliación sin resolución y falta de retroalimentación respecto de las glosas y objeciones formuladas por parte de las Administradoras de Riesgos de Salud Primera (ARS Primera) y Humano (ARS Humano). </w:t>
      </w:r>
    </w:p>
    <w:p w14:paraId="1BDB16EC"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t xml:space="preserve">Solicitud de conciliación y arbitraje incoada por el Centro Médico Guadalupe, S.R.L., por imposición de objeciones correspondientes a material de osteosíntesis y no pertinencia médica por uso de antibióticos por parte de la Administradora de Riesgos de Salud Futuro, S.A. (ARS Futuro). </w:t>
      </w:r>
    </w:p>
    <w:p w14:paraId="3F0B1D86"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t>Solicitud de arbitraje incoado por la Clínica Corazones del Cibao, S.A., con ocasión de glosas y objeciones (no pertinencia médica) a expedientes clínicos relativos a angioplastias y colocación de múltiples “</w:t>
      </w:r>
      <w:proofErr w:type="spellStart"/>
      <w:r w:rsidRPr="005C133F">
        <w:rPr>
          <w:rFonts w:eastAsia="Aptos"/>
          <w:lang w:val="es-ES"/>
        </w:rPr>
        <w:t>stents</w:t>
      </w:r>
      <w:proofErr w:type="spellEnd"/>
      <w:r w:rsidRPr="005C133F">
        <w:rPr>
          <w:rFonts w:eastAsia="Aptos"/>
          <w:lang w:val="es-ES"/>
        </w:rPr>
        <w:t>”, contra el Seguro Nacional de Salud (ARS SeNaSa). Este procedimiento en la actualidad ha variado parcialmente en cuanto a su objeto, por acuerdo amigable entre las partes en controversia; resta definir los detalles del acuerdo definitivo pendiente de validación por parte del árbitro conciliador.</w:t>
      </w:r>
    </w:p>
    <w:p w14:paraId="28786397"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t xml:space="preserve">Solicitud arbitral incoada por el Centro Policlínico Nacional, S.R.L., a causa de controversias derivadas por glosas relativas a no pago de honorarios a emergenciólogos por parte de la Administradora de Riesgos de Salud Abel González. </w:t>
      </w:r>
    </w:p>
    <w:p w14:paraId="2D915D64" w14:textId="77777777" w:rsidR="00DB1F70" w:rsidRPr="005C133F" w:rsidRDefault="00DB1F70">
      <w:pPr>
        <w:pStyle w:val="Prrafodelista"/>
        <w:numPr>
          <w:ilvl w:val="0"/>
          <w:numId w:val="71"/>
        </w:numPr>
        <w:spacing w:after="0" w:line="360" w:lineRule="auto"/>
        <w:jc w:val="both"/>
        <w:rPr>
          <w:rFonts w:eastAsia="Aptos"/>
          <w:lang w:val="es-ES"/>
        </w:rPr>
      </w:pPr>
      <w:r w:rsidRPr="005C133F">
        <w:rPr>
          <w:rFonts w:eastAsia="Aptos"/>
          <w:lang w:val="es-ES"/>
        </w:rPr>
        <w:lastRenderedPageBreak/>
        <w:t>Solicitud de arbitraje por motivo de glosas y objeciones a expedientes médicos sometida por el Hospital de Especialidades Médicas Materno Infantil Dr. Paulino, contra el Seguro Nacional de Salud (ARS SeNaSa).</w:t>
      </w:r>
    </w:p>
    <w:p w14:paraId="33F99EFF" w14:textId="77777777" w:rsidR="001C2DA5" w:rsidRPr="005C133F" w:rsidRDefault="001C2DA5" w:rsidP="005C133F">
      <w:pPr>
        <w:spacing w:after="0" w:line="360" w:lineRule="auto"/>
        <w:jc w:val="both"/>
        <w:rPr>
          <w:rStyle w:val="normaltextrun"/>
          <w:rFonts w:eastAsiaTheme="majorEastAsia"/>
          <w:lang w:val="es-ES"/>
        </w:rPr>
      </w:pPr>
    </w:p>
    <w:p w14:paraId="11B23E74" w14:textId="6ED791C8" w:rsidR="000E2F84" w:rsidRPr="005C133F" w:rsidRDefault="00701D73" w:rsidP="005C133F">
      <w:pPr>
        <w:pStyle w:val="SUBTITULOM"/>
        <w:spacing w:after="0"/>
      </w:pPr>
      <w:bookmarkStart w:id="98" w:name="_Toc219121845"/>
      <w:r w:rsidRPr="005C133F">
        <w:t>3.3.2</w:t>
      </w:r>
      <w:r w:rsidR="007F54FD" w:rsidRPr="005C133F">
        <w:t xml:space="preserve"> Fortalecimiento de la coordinación para la gestión de convenios en el régimen contributivo de los prestadores públicos que cumpl</w:t>
      </w:r>
      <w:r w:rsidR="0054208D" w:rsidRPr="005C133F">
        <w:t>e</w:t>
      </w:r>
      <w:r w:rsidR="007F54FD" w:rsidRPr="005C133F">
        <w:t>n con los requisitos de contratación</w:t>
      </w:r>
      <w:bookmarkEnd w:id="98"/>
    </w:p>
    <w:p w14:paraId="334184C7" w14:textId="77777777" w:rsidR="00540BE2" w:rsidRPr="005C133F" w:rsidRDefault="00540BE2" w:rsidP="005C133F">
      <w:pPr>
        <w:spacing w:after="0" w:line="360" w:lineRule="auto"/>
        <w:rPr>
          <w:noProof/>
          <w:lang w:val="es-DO"/>
        </w:rPr>
      </w:pPr>
    </w:p>
    <w:p w14:paraId="6C04862E" w14:textId="2F4F8772" w:rsidR="006D3836" w:rsidRPr="005C133F" w:rsidRDefault="006D3836" w:rsidP="005C133F">
      <w:pPr>
        <w:spacing w:after="0" w:line="360" w:lineRule="auto"/>
        <w:jc w:val="both"/>
        <w:rPr>
          <w:lang w:val="es-DO"/>
        </w:rPr>
      </w:pPr>
      <w:r w:rsidRPr="005C133F">
        <w:rPr>
          <w:lang w:val="es-DO"/>
        </w:rPr>
        <w:t xml:space="preserve">Para el año 2025, se programó gestionar la contratación en el régimen contributivo de 64 centros de salud públicos a ser seleccionados de una lista de 197 hospitales del Servicio Nacional de </w:t>
      </w:r>
      <w:r w:rsidR="00940BB5" w:rsidRPr="005C133F">
        <w:rPr>
          <w:lang w:val="es-DO"/>
        </w:rPr>
        <w:t>Salud habilitados</w:t>
      </w:r>
      <w:r w:rsidRPr="005C133F">
        <w:rPr>
          <w:lang w:val="es-DO"/>
        </w:rPr>
        <w:t xml:space="preserve"> para dichos fines. A inicios del año se </w:t>
      </w:r>
      <w:r w:rsidR="00940BB5" w:rsidRPr="005C133F">
        <w:rPr>
          <w:lang w:val="es-DO"/>
        </w:rPr>
        <w:t>identificaron de</w:t>
      </w:r>
      <w:r w:rsidRPr="005C133F">
        <w:rPr>
          <w:lang w:val="es-DO"/>
        </w:rPr>
        <w:t xml:space="preserve"> 43 que cumplían con los </w:t>
      </w:r>
      <w:r w:rsidR="00940BB5" w:rsidRPr="005C133F">
        <w:rPr>
          <w:lang w:val="es-DO"/>
        </w:rPr>
        <w:t>requisitos para</w:t>
      </w:r>
      <w:r w:rsidRPr="005C133F">
        <w:rPr>
          <w:lang w:val="es-DO"/>
        </w:rPr>
        <w:t xml:space="preserve"> </w:t>
      </w:r>
      <w:r w:rsidR="00940BB5" w:rsidRPr="005C133F">
        <w:rPr>
          <w:lang w:val="es-DO"/>
        </w:rPr>
        <w:t>contratación y</w:t>
      </w:r>
      <w:r w:rsidRPr="005C133F">
        <w:rPr>
          <w:lang w:val="es-DO"/>
        </w:rPr>
        <w:t xml:space="preserve"> notificación a las ARS</w:t>
      </w:r>
      <w:r w:rsidR="009401A6" w:rsidRPr="005C133F">
        <w:rPr>
          <w:lang w:val="es-DO"/>
        </w:rPr>
        <w:t xml:space="preserve">. </w:t>
      </w:r>
    </w:p>
    <w:p w14:paraId="29887E5C" w14:textId="09CF7FF6" w:rsidR="00031375" w:rsidRPr="005C133F" w:rsidRDefault="00AA4DC6" w:rsidP="005C133F">
      <w:pPr>
        <w:spacing w:after="0" w:line="360" w:lineRule="auto"/>
        <w:jc w:val="both"/>
        <w:rPr>
          <w:lang w:val="es-DO"/>
        </w:rPr>
      </w:pPr>
      <w:r w:rsidRPr="005C133F">
        <w:rPr>
          <w:lang w:val="es-DO"/>
        </w:rPr>
        <w:t xml:space="preserve">Se logró la contratación </w:t>
      </w:r>
      <w:r w:rsidR="00940BB5" w:rsidRPr="005C133F">
        <w:rPr>
          <w:lang w:val="es-DO"/>
        </w:rPr>
        <w:t>de 78</w:t>
      </w:r>
      <w:r w:rsidRPr="005C133F">
        <w:rPr>
          <w:lang w:val="es-DO"/>
        </w:rPr>
        <w:t xml:space="preserve"> establecimientos durante el año 2025</w:t>
      </w:r>
      <w:r w:rsidR="004E636F" w:rsidRPr="005C133F">
        <w:rPr>
          <w:lang w:val="es-DO"/>
        </w:rPr>
        <w:t>; e</w:t>
      </w:r>
      <w:r w:rsidR="005C5557" w:rsidRPr="005C133F">
        <w:rPr>
          <w:lang w:val="es-DO"/>
        </w:rPr>
        <w:t xml:space="preserve">ntre estos, </w:t>
      </w:r>
      <w:r w:rsidR="00A70564" w:rsidRPr="005C133F">
        <w:rPr>
          <w:lang w:val="es-DO"/>
        </w:rPr>
        <w:t>21</w:t>
      </w:r>
      <w:r w:rsidR="00FA4E91" w:rsidRPr="005C133F">
        <w:rPr>
          <w:lang w:val="es-DO"/>
        </w:rPr>
        <w:t xml:space="preserve"> establecimiento de primer nivel</w:t>
      </w:r>
      <w:r w:rsidR="008961BA" w:rsidRPr="005C133F">
        <w:rPr>
          <w:lang w:val="es-DO"/>
        </w:rPr>
        <w:t xml:space="preserve"> con los que se </w:t>
      </w:r>
      <w:r w:rsidR="002258E6" w:rsidRPr="005C133F">
        <w:rPr>
          <w:lang w:val="es-DO"/>
        </w:rPr>
        <w:t>inició la solicitud</w:t>
      </w:r>
      <w:r w:rsidR="002B3F56" w:rsidRPr="005C133F">
        <w:rPr>
          <w:lang w:val="es-DO"/>
        </w:rPr>
        <w:t xml:space="preserve"> de formalización y </w:t>
      </w:r>
      <w:r w:rsidR="002258E6" w:rsidRPr="005C133F">
        <w:rPr>
          <w:lang w:val="es-DO"/>
        </w:rPr>
        <w:t xml:space="preserve">negociación de tarifas </w:t>
      </w:r>
      <w:r w:rsidR="00CE5825" w:rsidRPr="005C133F">
        <w:rPr>
          <w:lang w:val="es-DO"/>
        </w:rPr>
        <w:t>con las</w:t>
      </w:r>
      <w:r w:rsidR="002258E6" w:rsidRPr="005C133F">
        <w:rPr>
          <w:lang w:val="es-DO"/>
        </w:rPr>
        <w:t xml:space="preserve"> ARS</w:t>
      </w:r>
      <w:r w:rsidR="00E63D37" w:rsidRPr="005C133F">
        <w:rPr>
          <w:lang w:val="es-DO"/>
        </w:rPr>
        <w:t xml:space="preserve"> </w:t>
      </w:r>
      <w:r w:rsidR="00940BB5" w:rsidRPr="005C133F">
        <w:rPr>
          <w:lang w:val="es-DO"/>
        </w:rPr>
        <w:t>y 43</w:t>
      </w:r>
      <w:r w:rsidR="00E63D37" w:rsidRPr="005C133F">
        <w:rPr>
          <w:lang w:val="es-DO"/>
        </w:rPr>
        <w:t xml:space="preserve"> establecimientos </w:t>
      </w:r>
      <w:r w:rsidR="002F33FA" w:rsidRPr="005C133F">
        <w:rPr>
          <w:lang w:val="es-DO"/>
        </w:rPr>
        <w:t xml:space="preserve">de </w:t>
      </w:r>
      <w:r w:rsidR="002258E6" w:rsidRPr="005C133F">
        <w:rPr>
          <w:lang w:val="es-DO"/>
        </w:rPr>
        <w:t>segundo y tercer nivel</w:t>
      </w:r>
      <w:r w:rsidR="00CD00A1" w:rsidRPr="005C133F">
        <w:rPr>
          <w:lang w:val="es-DO"/>
        </w:rPr>
        <w:t xml:space="preserve"> priorizados</w:t>
      </w:r>
      <w:r w:rsidR="00891061" w:rsidRPr="005C133F">
        <w:rPr>
          <w:lang w:val="es-DO"/>
        </w:rPr>
        <w:t xml:space="preserve"> </w:t>
      </w:r>
      <w:r w:rsidR="00C75128" w:rsidRPr="005C133F">
        <w:rPr>
          <w:lang w:val="es-DO"/>
        </w:rPr>
        <w:t xml:space="preserve">(habilitados a inicios </w:t>
      </w:r>
      <w:r w:rsidR="00891061" w:rsidRPr="005C133F">
        <w:rPr>
          <w:lang w:val="es-DO"/>
        </w:rPr>
        <w:t xml:space="preserve"> de año</w:t>
      </w:r>
      <w:r w:rsidR="00C75128" w:rsidRPr="005C133F">
        <w:rPr>
          <w:lang w:val="es-DO"/>
        </w:rPr>
        <w:t>)</w:t>
      </w:r>
      <w:r w:rsidR="00891061" w:rsidRPr="005C133F">
        <w:rPr>
          <w:lang w:val="es-DO"/>
        </w:rPr>
        <w:t xml:space="preserve"> </w:t>
      </w:r>
      <w:r w:rsidR="002F33FA" w:rsidRPr="005C133F">
        <w:rPr>
          <w:lang w:val="es-DO"/>
        </w:rPr>
        <w:t xml:space="preserve">a los que </w:t>
      </w:r>
      <w:r w:rsidR="00AB1453" w:rsidRPr="005C133F">
        <w:rPr>
          <w:lang w:val="es-DO"/>
        </w:rPr>
        <w:t xml:space="preserve">se </w:t>
      </w:r>
      <w:r w:rsidR="00AF5606" w:rsidRPr="005C133F">
        <w:rPr>
          <w:lang w:val="es-DO"/>
        </w:rPr>
        <w:t xml:space="preserve">les </w:t>
      </w:r>
      <w:r w:rsidR="00AB1453" w:rsidRPr="005C133F">
        <w:rPr>
          <w:lang w:val="es-DO"/>
        </w:rPr>
        <w:t xml:space="preserve">gestionó </w:t>
      </w:r>
      <w:r w:rsidR="001E7DB6" w:rsidRPr="005C133F">
        <w:rPr>
          <w:lang w:val="es-DO"/>
        </w:rPr>
        <w:t>la contratación</w:t>
      </w:r>
      <w:r w:rsidR="007243D8" w:rsidRPr="005C133F">
        <w:rPr>
          <w:lang w:val="es-DO"/>
        </w:rPr>
        <w:t xml:space="preserve">. </w:t>
      </w:r>
    </w:p>
    <w:p w14:paraId="2E3617FC" w14:textId="2F550F7E" w:rsidR="000E2F84" w:rsidRPr="005C133F" w:rsidRDefault="004A0132" w:rsidP="005C133F">
      <w:pPr>
        <w:spacing w:after="0" w:line="360" w:lineRule="auto"/>
        <w:jc w:val="both"/>
        <w:rPr>
          <w:noProof/>
          <w:lang w:val="es-DO"/>
        </w:rPr>
      </w:pPr>
      <w:r w:rsidRPr="005C133F">
        <w:rPr>
          <w:lang w:val="es-DO"/>
        </w:rPr>
        <w:t xml:space="preserve">En cuanto al fortalecimiento de las capacidades técnicas de los Prestadores de Servicios de Salud (PSS), se realizaron 22 capacitaciones con prestadores públicos y privados. En estas capacitaciones fueron impactadas 1,793 personas sobre los temas Seguro Familiar de Salud, Facturación y Auditoría de los Servicios de Salud, Calidad de los Servicios de Salud, y Costos y Tarifas. Los talleres sobre “Calidad de los Servicios de Salud y Seguridad del Paciente” y “Costos y tarifas, fueron realizados respectivamente con el acompañamiento del Ministerio de Salud Pública y Asistencia </w:t>
      </w:r>
      <w:r w:rsidRPr="005C133F">
        <w:rPr>
          <w:lang w:val="es-DO"/>
        </w:rPr>
        <w:lastRenderedPageBreak/>
        <w:t xml:space="preserve">Social (MISPAS) y la Asociación Nacional de Clínicas Privadas (ANDECLIP). </w:t>
      </w:r>
      <w:r w:rsidR="000E2F84" w:rsidRPr="005C133F">
        <w:rPr>
          <w:noProof/>
          <w:lang w:val="es-DO"/>
        </w:rPr>
        <w:tab/>
      </w:r>
    </w:p>
    <w:p w14:paraId="56B96878" w14:textId="77777777" w:rsidR="007C49E3" w:rsidRPr="005C133F" w:rsidRDefault="007C49E3" w:rsidP="005C133F">
      <w:pPr>
        <w:spacing w:after="0" w:line="360" w:lineRule="auto"/>
        <w:jc w:val="both"/>
        <w:rPr>
          <w:lang w:val="es-DO"/>
        </w:rPr>
      </w:pPr>
    </w:p>
    <w:p w14:paraId="60682CA8" w14:textId="2A7F9DBF" w:rsidR="00B11519" w:rsidRPr="005C133F" w:rsidRDefault="00BF0A06" w:rsidP="005C133F">
      <w:pPr>
        <w:pStyle w:val="SUBTITULITO"/>
        <w:spacing w:before="0" w:after="0"/>
        <w:rPr>
          <w:rFonts w:eastAsia="Calibri"/>
          <w:noProof/>
        </w:rPr>
      </w:pPr>
      <w:bookmarkStart w:id="99" w:name="_Toc219121846"/>
      <w:r w:rsidRPr="005C133F">
        <w:rPr>
          <w:rFonts w:eastAsia="Calibri"/>
          <w:noProof/>
        </w:rPr>
        <w:t>3.4</w:t>
      </w:r>
      <w:r w:rsidR="0008115C" w:rsidRPr="005C133F">
        <w:rPr>
          <w:rFonts w:eastAsia="Calibri"/>
          <w:noProof/>
        </w:rPr>
        <w:t xml:space="preserve"> </w:t>
      </w:r>
      <w:r w:rsidRPr="005C133F">
        <w:rPr>
          <w:rFonts w:eastAsia="Calibri"/>
          <w:noProof/>
        </w:rPr>
        <w:t>Excelencia en el Servicio</w:t>
      </w:r>
      <w:bookmarkEnd w:id="99"/>
    </w:p>
    <w:p w14:paraId="57C7CD4B" w14:textId="77777777" w:rsidR="00540BE2" w:rsidRPr="00165F14" w:rsidRDefault="00540BE2" w:rsidP="005C133F">
      <w:pPr>
        <w:spacing w:after="0" w:line="360" w:lineRule="auto"/>
        <w:rPr>
          <w:noProof/>
          <w:lang w:val="es-DO"/>
        </w:rPr>
      </w:pPr>
    </w:p>
    <w:p w14:paraId="428BE8C6" w14:textId="23FC6A2D" w:rsidR="00B11519" w:rsidRPr="005C133F" w:rsidRDefault="00445031" w:rsidP="005C133F">
      <w:pPr>
        <w:pStyle w:val="SUBTITULITO"/>
        <w:spacing w:before="0" w:after="0"/>
        <w:rPr>
          <w:rFonts w:eastAsia="Calibri"/>
          <w:noProof/>
        </w:rPr>
      </w:pPr>
      <w:bookmarkStart w:id="100" w:name="_Toc219121847"/>
      <w:r w:rsidRPr="005C133F">
        <w:rPr>
          <w:rFonts w:eastAsia="Calibri"/>
          <w:noProof/>
        </w:rPr>
        <w:t>3.</w:t>
      </w:r>
      <w:r w:rsidR="00090E34" w:rsidRPr="005C133F">
        <w:rPr>
          <w:rFonts w:eastAsia="Calibri"/>
          <w:noProof/>
        </w:rPr>
        <w:t>4.1 Supervisión del recaudo y entrega oportuna de los subsidios de Maternidad, Lactancia y enfermedad común</w:t>
      </w:r>
      <w:bookmarkEnd w:id="100"/>
    </w:p>
    <w:p w14:paraId="087054ED" w14:textId="77777777" w:rsidR="00B11519" w:rsidRPr="005C133F" w:rsidRDefault="00B11519" w:rsidP="005C133F">
      <w:pPr>
        <w:spacing w:after="0" w:line="360" w:lineRule="auto"/>
        <w:rPr>
          <w:noProof/>
          <w:lang w:val="es-DO"/>
        </w:rPr>
      </w:pPr>
    </w:p>
    <w:p w14:paraId="6EEFAFAC" w14:textId="5EA3B6E7" w:rsidR="00B11519" w:rsidRPr="005C133F" w:rsidRDefault="00B47691" w:rsidP="005C133F">
      <w:pPr>
        <w:spacing w:after="0" w:line="360" w:lineRule="auto"/>
        <w:jc w:val="both"/>
        <w:rPr>
          <w:lang w:val="es-DO"/>
        </w:rPr>
      </w:pPr>
      <w:r w:rsidRPr="005C133F">
        <w:rPr>
          <w:lang w:val="es-DO"/>
        </w:rPr>
        <w:t>En el 2025, s</w:t>
      </w:r>
      <w:r w:rsidR="00DC01AB" w:rsidRPr="005C133F">
        <w:rPr>
          <w:lang w:val="es-DO"/>
        </w:rPr>
        <w:t>e realizó un (1) estudio actuarial sobre la situación del Fondo de Subsidios al 31 de diciembre del 2024. Al 31 de diciembre del 2024 proyectado, se tiene un valor comprometido registrado de RD$ 39,248,752,881.34, es decir, de todos los subsidios ocurridos, registrados y aprobados, de dicho monto se ha pagado RD$36,581,828,012.39 y quedan pendientes de pagos RD$2,666,924,868.95, donde este último valor constituye la reserva incurrida reportado pendiente de pago.</w:t>
      </w:r>
    </w:p>
    <w:p w14:paraId="5A3BA6A4" w14:textId="77777777" w:rsidR="00DC01AB" w:rsidRPr="005C133F" w:rsidRDefault="00DC01AB">
      <w:pPr>
        <w:pStyle w:val="Prrafodelista"/>
        <w:numPr>
          <w:ilvl w:val="0"/>
          <w:numId w:val="62"/>
        </w:numPr>
        <w:spacing w:after="0" w:line="360" w:lineRule="auto"/>
        <w:jc w:val="both"/>
        <w:rPr>
          <w:lang w:val="es-DO"/>
        </w:rPr>
      </w:pPr>
      <w:r w:rsidRPr="005C133F">
        <w:rPr>
          <w:lang w:val="es-DO"/>
        </w:rPr>
        <w:t>Al 31 de diciembre del 2024 se estima una reserva para los subsidios ocurridos dentro del período septiembre 2008 – diciembre del 2024 pero que no han sido reportados de RD$2,781,279,936.28.</w:t>
      </w:r>
    </w:p>
    <w:p w14:paraId="3D74D57E" w14:textId="77777777" w:rsidR="00DC01AB" w:rsidRPr="005C133F" w:rsidRDefault="00DC01AB">
      <w:pPr>
        <w:pStyle w:val="Prrafodelista"/>
        <w:numPr>
          <w:ilvl w:val="0"/>
          <w:numId w:val="62"/>
        </w:numPr>
        <w:spacing w:after="0" w:line="360" w:lineRule="auto"/>
        <w:jc w:val="both"/>
        <w:rPr>
          <w:lang w:val="es-DO"/>
        </w:rPr>
      </w:pPr>
      <w:r w:rsidRPr="005C133F">
        <w:rPr>
          <w:lang w:val="es-DO"/>
        </w:rPr>
        <w:t>Por lo que, al 31 de diciembre del 2024, se estima una reserva (pendiente de pago y la de subsidios incurridos, pero aún no reportados de: RD$5,448,204,805.23.</w:t>
      </w:r>
    </w:p>
    <w:p w14:paraId="29A08BAD" w14:textId="77777777" w:rsidR="001537CC" w:rsidRPr="005C133F" w:rsidRDefault="00DC01AB">
      <w:pPr>
        <w:pStyle w:val="Prrafodelista"/>
        <w:numPr>
          <w:ilvl w:val="0"/>
          <w:numId w:val="62"/>
        </w:numPr>
        <w:spacing w:after="0" w:line="360" w:lineRule="auto"/>
        <w:jc w:val="both"/>
        <w:rPr>
          <w:lang w:val="es-DO"/>
        </w:rPr>
      </w:pPr>
      <w:r w:rsidRPr="005C133F">
        <w:rPr>
          <w:lang w:val="es-DO"/>
        </w:rPr>
        <w:t>El resultado de Egresos (incluyendo reservas) que asciende a                                  RD$42,030,032,817.62 menos los Ingresos que los respaldan que ascienden a RD$37,302,744,792.51 daría un déficit para respaldar las obligaciones contraídas y esperadas de RD$4,727,288,025.11</w:t>
      </w:r>
      <w:r w:rsidR="00B11519" w:rsidRPr="005C133F">
        <w:rPr>
          <w:lang w:val="es-DO"/>
        </w:rPr>
        <w:t xml:space="preserve">. </w:t>
      </w:r>
    </w:p>
    <w:p w14:paraId="1C62BAF3" w14:textId="067EE230" w:rsidR="002610D5" w:rsidRPr="005C133F" w:rsidRDefault="00DC01AB">
      <w:pPr>
        <w:pStyle w:val="Prrafodelista"/>
        <w:numPr>
          <w:ilvl w:val="0"/>
          <w:numId w:val="62"/>
        </w:numPr>
        <w:spacing w:after="0" w:line="360" w:lineRule="auto"/>
        <w:jc w:val="both"/>
        <w:rPr>
          <w:lang w:val="es-DO"/>
        </w:rPr>
      </w:pPr>
      <w:r w:rsidRPr="005C133F">
        <w:rPr>
          <w:lang w:val="es-DO"/>
        </w:rPr>
        <w:t>Si el IBNR (reserva para los subsidios ocurridos dentro del período septiembre 2008 – diciembre 2024 pero</w:t>
      </w:r>
      <w:r w:rsidR="002205E0" w:rsidRPr="005C133F">
        <w:rPr>
          <w:lang w:val="es-DO"/>
        </w:rPr>
        <w:t xml:space="preserve"> que no han </w:t>
      </w:r>
      <w:r w:rsidR="002205E0" w:rsidRPr="005C133F">
        <w:rPr>
          <w:lang w:val="es-DO"/>
        </w:rPr>
        <w:lastRenderedPageBreak/>
        <w:t>sido reportados) fuera cero, es decir, que ya solo se pagará lo conocido hasta diciembre del 2024 con lo que se tiene hasta el día de hoy se tiene una insuficiencia financiera de los Subsidios por el valor de RD$1,946,008,088.83.</w:t>
      </w:r>
    </w:p>
    <w:p w14:paraId="3ADA0D44" w14:textId="77777777" w:rsidR="00015853" w:rsidRPr="005C133F" w:rsidRDefault="00015853" w:rsidP="005C133F">
      <w:pPr>
        <w:spacing w:after="0" w:line="360" w:lineRule="auto"/>
        <w:jc w:val="both"/>
        <w:rPr>
          <w:lang w:val="es-DO"/>
        </w:rPr>
      </w:pPr>
    </w:p>
    <w:p w14:paraId="046B5A27" w14:textId="70687E97" w:rsidR="002610D5" w:rsidRPr="005C133F" w:rsidRDefault="00B21DC9" w:rsidP="005C133F">
      <w:pPr>
        <w:spacing w:after="0" w:line="360" w:lineRule="auto"/>
        <w:jc w:val="both"/>
        <w:rPr>
          <w:b/>
          <w:bCs/>
          <w:lang w:val="es-MX"/>
        </w:rPr>
      </w:pPr>
      <w:r w:rsidRPr="005C133F">
        <w:rPr>
          <w:b/>
          <w:bCs/>
          <w:lang w:val="es-MX"/>
        </w:rPr>
        <w:t>Gestión y control de Subsidios por Maternidad, Lactancia y Enfermedad Común</w:t>
      </w:r>
    </w:p>
    <w:p w14:paraId="25B04D8C" w14:textId="77777777" w:rsidR="00540BE2" w:rsidRPr="005C133F" w:rsidRDefault="00540BE2" w:rsidP="005C133F">
      <w:pPr>
        <w:spacing w:after="0" w:line="360" w:lineRule="auto"/>
        <w:jc w:val="both"/>
        <w:rPr>
          <w:b/>
          <w:bCs/>
          <w:lang w:val="es-MX"/>
        </w:rPr>
      </w:pPr>
    </w:p>
    <w:p w14:paraId="110C2DB0" w14:textId="4627460A" w:rsidR="000913CC" w:rsidRPr="005C133F" w:rsidRDefault="00753377" w:rsidP="005C133F">
      <w:pPr>
        <w:spacing w:after="0" w:line="360" w:lineRule="auto"/>
        <w:jc w:val="both"/>
        <w:rPr>
          <w:lang w:val="es-DO"/>
        </w:rPr>
      </w:pPr>
      <w:r w:rsidRPr="005C133F">
        <w:rPr>
          <w:lang w:val="es-DO"/>
        </w:rPr>
        <w:t>Durante los meses enero-diciembre 2025</w:t>
      </w:r>
      <w:r w:rsidR="00B43970" w:rsidRPr="005C133F">
        <w:rPr>
          <w:lang w:val="es-DO"/>
        </w:rPr>
        <w:t xml:space="preserve"> se pagó un monto total</w:t>
      </w:r>
      <w:r w:rsidR="00CF7A2C" w:rsidRPr="005C133F">
        <w:rPr>
          <w:lang w:val="es-DO"/>
        </w:rPr>
        <w:t xml:space="preserve"> de </w:t>
      </w:r>
      <w:r w:rsidR="005D39ED" w:rsidRPr="005C133F">
        <w:rPr>
          <w:lang w:val="es-DO"/>
        </w:rPr>
        <w:t>RD$4,481</w:t>
      </w:r>
      <w:r w:rsidR="00D64428" w:rsidRPr="005C133F">
        <w:rPr>
          <w:lang w:val="es-DO"/>
        </w:rPr>
        <w:t>,322,343.60</w:t>
      </w:r>
      <w:r w:rsidR="004827E7" w:rsidRPr="005C133F">
        <w:rPr>
          <w:lang w:val="es-DO"/>
        </w:rPr>
        <w:t xml:space="preserve"> en sub</w:t>
      </w:r>
      <w:r w:rsidR="00FC5012" w:rsidRPr="005C133F">
        <w:rPr>
          <w:lang w:val="es-DO"/>
        </w:rPr>
        <w:t>sidios por maternidad, lactancia y enfermeda</w:t>
      </w:r>
      <w:r w:rsidR="007D0B12" w:rsidRPr="005C133F">
        <w:rPr>
          <w:lang w:val="es-DO"/>
        </w:rPr>
        <w:t>d, impactando con ello a 203</w:t>
      </w:r>
      <w:r w:rsidR="00E15A12" w:rsidRPr="005C133F">
        <w:rPr>
          <w:lang w:val="es-DO"/>
        </w:rPr>
        <w:t>,527 beneficiario</w:t>
      </w:r>
      <w:r w:rsidR="00AD5C77" w:rsidRPr="005C133F">
        <w:rPr>
          <w:lang w:val="es-DO"/>
        </w:rPr>
        <w:t>s</w:t>
      </w:r>
      <w:r w:rsidR="00E15A12" w:rsidRPr="005C133F">
        <w:rPr>
          <w:lang w:val="es-DO"/>
        </w:rPr>
        <w:t xml:space="preserve"> en los diferentes tipos de subsidios, conforme </w:t>
      </w:r>
      <w:r w:rsidR="00E25261" w:rsidRPr="005C133F">
        <w:rPr>
          <w:lang w:val="es-DO"/>
        </w:rPr>
        <w:t>a los procesos de validación y co</w:t>
      </w:r>
      <w:r w:rsidR="0073496F" w:rsidRPr="005C133F">
        <w:rPr>
          <w:lang w:val="es-DO"/>
        </w:rPr>
        <w:t>ntroles</w:t>
      </w:r>
      <w:r w:rsidR="00E25261" w:rsidRPr="005C133F">
        <w:rPr>
          <w:lang w:val="es-DO"/>
        </w:rPr>
        <w:t xml:space="preserve"> establecidos. </w:t>
      </w:r>
      <w:r w:rsidR="00971BEC" w:rsidRPr="005C133F">
        <w:rPr>
          <w:lang w:val="es-DO"/>
        </w:rPr>
        <w:t>A continuación</w:t>
      </w:r>
      <w:r w:rsidR="00AE3AC2" w:rsidRPr="005C133F">
        <w:rPr>
          <w:lang w:val="es-DO"/>
        </w:rPr>
        <w:t>, l</w:t>
      </w:r>
      <w:r w:rsidR="00971BEC" w:rsidRPr="005C133F">
        <w:rPr>
          <w:lang w:val="es-DO"/>
        </w:rPr>
        <w:t>os detalles correspondientes:</w:t>
      </w:r>
    </w:p>
    <w:p w14:paraId="10035249" w14:textId="341E9192" w:rsidR="00AE3AC2" w:rsidRPr="005C133F" w:rsidRDefault="00AE3AC2" w:rsidP="005C133F">
      <w:pPr>
        <w:spacing w:after="0" w:line="360" w:lineRule="auto"/>
        <w:jc w:val="center"/>
        <w:rPr>
          <w:lang w:val="es-DO"/>
        </w:rPr>
      </w:pPr>
    </w:p>
    <w:p w14:paraId="2FF80842" w14:textId="2E08AADE" w:rsidR="00A1457B" w:rsidRPr="005C133F" w:rsidRDefault="00A1457B" w:rsidP="0067066E">
      <w:pPr>
        <w:pStyle w:val="Descripcin"/>
        <w:keepNext/>
        <w:spacing w:after="0"/>
        <w:jc w:val="center"/>
        <w:rPr>
          <w:b/>
          <w:bCs/>
          <w:i w:val="0"/>
          <w:iCs w:val="0"/>
          <w:color w:val="767171"/>
          <w:sz w:val="24"/>
          <w:szCs w:val="24"/>
          <w:lang w:val="es-DO"/>
        </w:rPr>
      </w:pPr>
      <w:bookmarkStart w:id="101" w:name="_Toc218784168"/>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36</w:t>
      </w:r>
      <w:r w:rsidRPr="005C133F">
        <w:rPr>
          <w:b/>
          <w:bCs/>
          <w:i w:val="0"/>
          <w:iCs w:val="0"/>
          <w:color w:val="767171"/>
          <w:sz w:val="24"/>
          <w:szCs w:val="24"/>
          <w:lang w:val="es-DO"/>
        </w:rPr>
        <w:fldChar w:fldCharType="end"/>
      </w:r>
      <w:r w:rsidRPr="005C133F">
        <w:rPr>
          <w:b/>
          <w:bCs/>
          <w:i w:val="0"/>
          <w:iCs w:val="0"/>
          <w:color w:val="767171"/>
          <w:sz w:val="24"/>
          <w:szCs w:val="24"/>
          <w:lang w:val="es-DO"/>
        </w:rPr>
        <w:t>. Subsidios por Maternidad, Lactancia y Enfermedad Común en 2025</w:t>
      </w:r>
      <w:bookmarkEnd w:id="101"/>
    </w:p>
    <w:tbl>
      <w:tblPr>
        <w:tblW w:w="8577" w:type="dxa"/>
        <w:jc w:val="center"/>
        <w:tblCellMar>
          <w:left w:w="70" w:type="dxa"/>
          <w:right w:w="70" w:type="dxa"/>
        </w:tblCellMar>
        <w:tblLook w:val="04A0" w:firstRow="1" w:lastRow="0" w:firstColumn="1" w:lastColumn="0" w:noHBand="0" w:noVBand="1"/>
      </w:tblPr>
      <w:tblGrid>
        <w:gridCol w:w="1501"/>
        <w:gridCol w:w="2767"/>
        <w:gridCol w:w="2048"/>
        <w:gridCol w:w="2261"/>
      </w:tblGrid>
      <w:tr w:rsidR="007C49E3" w:rsidRPr="005C133F" w14:paraId="04FC7849" w14:textId="77777777" w:rsidTr="0067066E">
        <w:trPr>
          <w:trHeight w:val="587"/>
          <w:tblHeader/>
          <w:jc w:val="center"/>
        </w:trPr>
        <w:tc>
          <w:tcPr>
            <w:tcW w:w="0" w:type="auto"/>
            <w:tcBorders>
              <w:top w:val="single" w:sz="4" w:space="0" w:color="A6A6A6"/>
              <w:left w:val="single" w:sz="4" w:space="0" w:color="A6A6A6"/>
              <w:bottom w:val="single" w:sz="4" w:space="0" w:color="A6A6A6"/>
              <w:right w:val="single" w:sz="4" w:space="0" w:color="A6A6A6"/>
            </w:tcBorders>
            <w:shd w:val="clear" w:color="auto" w:fill="011C50"/>
            <w:vAlign w:val="bottom"/>
            <w:hideMark/>
          </w:tcPr>
          <w:p w14:paraId="6D7BFD4D" w14:textId="1EA0BF4A" w:rsidR="00935194" w:rsidRPr="005C133F" w:rsidRDefault="00935194" w:rsidP="007877CE">
            <w:pPr>
              <w:spacing w:after="0" w:line="240" w:lineRule="auto"/>
              <w:jc w:val="center"/>
              <w:rPr>
                <w:rFonts w:eastAsia="Times New Roman"/>
                <w:b/>
                <w:color w:val="FFFFFF" w:themeColor="background1"/>
                <w:spacing w:val="0"/>
                <w:lang w:val="es-DO" w:eastAsia="es-DO"/>
              </w:rPr>
            </w:pPr>
            <w:r w:rsidRPr="005C133F">
              <w:rPr>
                <w:rFonts w:eastAsia="Times New Roman"/>
                <w:b/>
                <w:color w:val="FFFFFF" w:themeColor="background1"/>
                <w:spacing w:val="0"/>
                <w:lang w:eastAsia="es-DO"/>
              </w:rPr>
              <w:t>Tipo de </w:t>
            </w:r>
            <w:proofErr w:type="spellStart"/>
            <w:r w:rsidRPr="005C133F">
              <w:rPr>
                <w:rFonts w:eastAsia="Times New Roman"/>
                <w:b/>
                <w:color w:val="FFFFFF" w:themeColor="background1"/>
                <w:spacing w:val="0"/>
                <w:lang w:eastAsia="es-DO"/>
              </w:rPr>
              <w:t>subsidios</w:t>
            </w:r>
            <w:proofErr w:type="spellEnd"/>
          </w:p>
        </w:tc>
        <w:tc>
          <w:tcPr>
            <w:tcW w:w="0" w:type="auto"/>
            <w:tcBorders>
              <w:top w:val="single" w:sz="4" w:space="0" w:color="A6A6A6"/>
              <w:left w:val="nil"/>
              <w:bottom w:val="single" w:sz="4" w:space="0" w:color="A6A6A6"/>
              <w:right w:val="single" w:sz="4" w:space="0" w:color="A6A6A6"/>
            </w:tcBorders>
            <w:shd w:val="clear" w:color="auto" w:fill="011C50"/>
            <w:vAlign w:val="center"/>
            <w:hideMark/>
          </w:tcPr>
          <w:p w14:paraId="48B16B62" w14:textId="17D74A6F" w:rsidR="00935194" w:rsidRPr="005C133F" w:rsidRDefault="00935194" w:rsidP="007877CE">
            <w:pPr>
              <w:spacing w:after="0" w:line="240" w:lineRule="auto"/>
              <w:jc w:val="center"/>
              <w:rPr>
                <w:rFonts w:eastAsia="Times New Roman"/>
                <w:b/>
                <w:color w:val="FFFFFF" w:themeColor="background1"/>
                <w:spacing w:val="0"/>
                <w:lang w:val="es-DO" w:eastAsia="es-DO"/>
              </w:rPr>
            </w:pPr>
            <w:proofErr w:type="spellStart"/>
            <w:r w:rsidRPr="005C133F">
              <w:rPr>
                <w:rFonts w:eastAsia="Times New Roman"/>
                <w:b/>
                <w:color w:val="FFFFFF" w:themeColor="background1"/>
                <w:spacing w:val="0"/>
                <w:lang w:eastAsia="es-DO"/>
              </w:rPr>
              <w:t>Cantidad</w:t>
            </w:r>
            <w:proofErr w:type="spellEnd"/>
            <w:r w:rsidRPr="005C133F">
              <w:rPr>
                <w:rFonts w:eastAsia="Times New Roman"/>
                <w:b/>
                <w:color w:val="FFFFFF" w:themeColor="background1"/>
                <w:spacing w:val="0"/>
                <w:lang w:eastAsia="es-DO"/>
              </w:rPr>
              <w:t> de </w:t>
            </w:r>
            <w:proofErr w:type="spellStart"/>
            <w:r w:rsidRPr="005C133F">
              <w:rPr>
                <w:rFonts w:eastAsia="Times New Roman"/>
                <w:b/>
                <w:color w:val="FFFFFF" w:themeColor="background1"/>
                <w:spacing w:val="0"/>
                <w:lang w:eastAsia="es-DO"/>
              </w:rPr>
              <w:t>beneficiarios</w:t>
            </w:r>
            <w:proofErr w:type="spellEnd"/>
          </w:p>
        </w:tc>
        <w:tc>
          <w:tcPr>
            <w:tcW w:w="0" w:type="auto"/>
            <w:tcBorders>
              <w:top w:val="single" w:sz="4" w:space="0" w:color="A6A6A6"/>
              <w:left w:val="nil"/>
              <w:bottom w:val="single" w:sz="4" w:space="0" w:color="A6A6A6"/>
              <w:right w:val="single" w:sz="4" w:space="0" w:color="A6A6A6"/>
            </w:tcBorders>
            <w:shd w:val="clear" w:color="auto" w:fill="011C50"/>
            <w:vAlign w:val="center"/>
            <w:hideMark/>
          </w:tcPr>
          <w:p w14:paraId="5971648B" w14:textId="394F41EA" w:rsidR="00935194" w:rsidRPr="005C133F" w:rsidRDefault="00935194" w:rsidP="007877CE">
            <w:pPr>
              <w:spacing w:after="0" w:line="240" w:lineRule="auto"/>
              <w:jc w:val="center"/>
              <w:rPr>
                <w:rFonts w:eastAsia="Times New Roman"/>
                <w:b/>
                <w:color w:val="FFFFFF" w:themeColor="background1"/>
                <w:spacing w:val="0"/>
                <w:lang w:val="es-DO" w:eastAsia="es-DO"/>
              </w:rPr>
            </w:pPr>
            <w:proofErr w:type="spellStart"/>
            <w:r w:rsidRPr="005C133F">
              <w:rPr>
                <w:rFonts w:eastAsia="Times New Roman"/>
                <w:b/>
                <w:color w:val="FFFFFF" w:themeColor="background1"/>
                <w:spacing w:val="0"/>
                <w:lang w:eastAsia="es-DO"/>
              </w:rPr>
              <w:t>Cantidad</w:t>
            </w:r>
            <w:proofErr w:type="spellEnd"/>
            <w:r w:rsidRPr="005C133F">
              <w:rPr>
                <w:rFonts w:eastAsia="Times New Roman"/>
                <w:b/>
                <w:color w:val="FFFFFF" w:themeColor="background1"/>
                <w:spacing w:val="0"/>
                <w:lang w:eastAsia="es-DO"/>
              </w:rPr>
              <w:t> de </w:t>
            </w:r>
            <w:proofErr w:type="spellStart"/>
            <w:r w:rsidRPr="005C133F">
              <w:rPr>
                <w:rFonts w:eastAsia="Times New Roman"/>
                <w:b/>
                <w:color w:val="FFFFFF" w:themeColor="background1"/>
                <w:spacing w:val="0"/>
                <w:lang w:eastAsia="es-DO"/>
              </w:rPr>
              <w:t>pagos</w:t>
            </w:r>
            <w:proofErr w:type="spellEnd"/>
          </w:p>
        </w:tc>
        <w:tc>
          <w:tcPr>
            <w:tcW w:w="0" w:type="auto"/>
            <w:tcBorders>
              <w:top w:val="single" w:sz="4" w:space="0" w:color="A6A6A6"/>
              <w:left w:val="nil"/>
              <w:bottom w:val="single" w:sz="4" w:space="0" w:color="A6A6A6"/>
              <w:right w:val="single" w:sz="4" w:space="0" w:color="A6A6A6"/>
            </w:tcBorders>
            <w:shd w:val="clear" w:color="auto" w:fill="011C50"/>
            <w:vAlign w:val="center"/>
            <w:hideMark/>
          </w:tcPr>
          <w:p w14:paraId="6E2B0F72" w14:textId="30A093B0" w:rsidR="00935194" w:rsidRPr="005C133F" w:rsidRDefault="00935194" w:rsidP="007877CE">
            <w:pPr>
              <w:spacing w:after="0" w:line="240" w:lineRule="auto"/>
              <w:jc w:val="center"/>
              <w:rPr>
                <w:rFonts w:eastAsia="Times New Roman"/>
                <w:b/>
                <w:color w:val="FFFFFF" w:themeColor="background1"/>
                <w:spacing w:val="0"/>
                <w:lang w:eastAsia="es-DO"/>
              </w:rPr>
            </w:pPr>
            <w:proofErr w:type="spellStart"/>
            <w:r w:rsidRPr="005C133F">
              <w:rPr>
                <w:rFonts w:eastAsia="Times New Roman"/>
                <w:b/>
                <w:color w:val="FFFFFF" w:themeColor="background1"/>
                <w:spacing w:val="0"/>
                <w:lang w:eastAsia="es-DO"/>
              </w:rPr>
              <w:t>Montos</w:t>
            </w:r>
            <w:proofErr w:type="spellEnd"/>
            <w:r w:rsidRPr="005C133F">
              <w:rPr>
                <w:rFonts w:eastAsia="Times New Roman"/>
                <w:b/>
                <w:color w:val="FFFFFF" w:themeColor="background1"/>
                <w:spacing w:val="0"/>
                <w:lang w:eastAsia="es-DO"/>
              </w:rPr>
              <w:t> </w:t>
            </w:r>
            <w:proofErr w:type="spellStart"/>
            <w:r w:rsidRPr="005C133F">
              <w:rPr>
                <w:rFonts w:eastAsia="Times New Roman"/>
                <w:b/>
                <w:color w:val="FFFFFF" w:themeColor="background1"/>
                <w:spacing w:val="0"/>
                <w:lang w:eastAsia="es-DO"/>
              </w:rPr>
              <w:t>Pagado</w:t>
            </w:r>
            <w:proofErr w:type="spellEnd"/>
            <w:r w:rsidRPr="005C133F">
              <w:rPr>
                <w:rFonts w:eastAsia="Times New Roman"/>
                <w:b/>
                <w:color w:val="FFFFFF" w:themeColor="background1"/>
                <w:spacing w:val="0"/>
                <w:lang w:eastAsia="es-DO"/>
              </w:rPr>
              <w:t> RD$</w:t>
            </w:r>
          </w:p>
        </w:tc>
      </w:tr>
      <w:tr w:rsidR="004921FF" w:rsidRPr="005C133F" w14:paraId="486A550B" w14:textId="77777777" w:rsidTr="0067066E">
        <w:trPr>
          <w:trHeight w:val="587"/>
          <w:jc w:val="center"/>
        </w:trPr>
        <w:tc>
          <w:tcPr>
            <w:tcW w:w="0" w:type="auto"/>
            <w:tcBorders>
              <w:top w:val="nil"/>
              <w:left w:val="single" w:sz="4" w:space="0" w:color="A6A6A6"/>
              <w:bottom w:val="single" w:sz="4" w:space="0" w:color="A6A6A6"/>
              <w:right w:val="single" w:sz="4" w:space="0" w:color="A6A6A6"/>
            </w:tcBorders>
            <w:vAlign w:val="center"/>
            <w:hideMark/>
          </w:tcPr>
          <w:p w14:paraId="649F4356" w14:textId="77777777" w:rsidR="00935194" w:rsidRPr="005C133F" w:rsidRDefault="00935194" w:rsidP="007877CE">
            <w:pPr>
              <w:spacing w:after="0" w:line="240" w:lineRule="auto"/>
              <w:rPr>
                <w:rFonts w:eastAsia="Times New Roman"/>
                <w:spacing w:val="0"/>
                <w:lang w:val="es-DO" w:eastAsia="es-DO"/>
              </w:rPr>
            </w:pPr>
            <w:proofErr w:type="spellStart"/>
            <w:r w:rsidRPr="005C133F">
              <w:rPr>
                <w:rFonts w:eastAsia="Times New Roman"/>
                <w:spacing w:val="0"/>
                <w:lang w:eastAsia="es-DO"/>
              </w:rPr>
              <w:t>Maternidad</w:t>
            </w:r>
            <w:proofErr w:type="spellEnd"/>
          </w:p>
        </w:tc>
        <w:tc>
          <w:tcPr>
            <w:tcW w:w="0" w:type="auto"/>
            <w:tcBorders>
              <w:top w:val="nil"/>
              <w:left w:val="nil"/>
              <w:bottom w:val="single" w:sz="4" w:space="0" w:color="A6A6A6"/>
              <w:right w:val="single" w:sz="4" w:space="0" w:color="A6A6A6"/>
            </w:tcBorders>
            <w:vAlign w:val="center"/>
            <w:hideMark/>
          </w:tcPr>
          <w:p w14:paraId="4CE72AA2"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26,785</w:t>
            </w:r>
          </w:p>
        </w:tc>
        <w:tc>
          <w:tcPr>
            <w:tcW w:w="0" w:type="auto"/>
            <w:tcBorders>
              <w:top w:val="nil"/>
              <w:left w:val="nil"/>
              <w:bottom w:val="single" w:sz="4" w:space="0" w:color="A6A6A6"/>
              <w:right w:val="single" w:sz="4" w:space="0" w:color="A6A6A6"/>
            </w:tcBorders>
            <w:vAlign w:val="center"/>
            <w:hideMark/>
          </w:tcPr>
          <w:p w14:paraId="5B5B745F"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44,081</w:t>
            </w:r>
          </w:p>
        </w:tc>
        <w:tc>
          <w:tcPr>
            <w:tcW w:w="0" w:type="auto"/>
            <w:tcBorders>
              <w:top w:val="nil"/>
              <w:left w:val="nil"/>
              <w:bottom w:val="single" w:sz="4" w:space="0" w:color="A6A6A6"/>
              <w:right w:val="single" w:sz="4" w:space="0" w:color="A6A6A6"/>
            </w:tcBorders>
            <w:vAlign w:val="center"/>
            <w:hideMark/>
          </w:tcPr>
          <w:p w14:paraId="5E8C5373" w14:textId="77777777" w:rsidR="00935194" w:rsidRPr="005C133F" w:rsidRDefault="00935194" w:rsidP="007877CE">
            <w:pPr>
              <w:spacing w:after="0" w:line="240" w:lineRule="auto"/>
              <w:jc w:val="center"/>
              <w:rPr>
                <w:rFonts w:eastAsia="Times New Roman"/>
                <w:spacing w:val="0"/>
                <w:lang w:eastAsia="es-DO"/>
              </w:rPr>
            </w:pPr>
            <w:r w:rsidRPr="005C133F">
              <w:rPr>
                <w:rFonts w:eastAsia="Times New Roman"/>
                <w:spacing w:val="0"/>
                <w:lang w:eastAsia="es-DO"/>
              </w:rPr>
              <w:t>921,375,114.07</w:t>
            </w:r>
          </w:p>
        </w:tc>
      </w:tr>
      <w:tr w:rsidR="004921FF" w:rsidRPr="005C133F" w14:paraId="6FD74EC6" w14:textId="77777777" w:rsidTr="0067066E">
        <w:trPr>
          <w:trHeight w:val="587"/>
          <w:jc w:val="center"/>
        </w:trPr>
        <w:tc>
          <w:tcPr>
            <w:tcW w:w="0" w:type="auto"/>
            <w:tcBorders>
              <w:top w:val="nil"/>
              <w:left w:val="single" w:sz="4" w:space="0" w:color="A6A6A6"/>
              <w:bottom w:val="single" w:sz="4" w:space="0" w:color="A6A6A6"/>
              <w:right w:val="single" w:sz="4" w:space="0" w:color="A6A6A6"/>
            </w:tcBorders>
            <w:vAlign w:val="center"/>
            <w:hideMark/>
          </w:tcPr>
          <w:p w14:paraId="324D60E9" w14:textId="77777777" w:rsidR="00935194" w:rsidRPr="005C133F" w:rsidRDefault="00935194" w:rsidP="007877CE">
            <w:pPr>
              <w:spacing w:after="0" w:line="240" w:lineRule="auto"/>
              <w:rPr>
                <w:rFonts w:eastAsia="Times New Roman"/>
                <w:spacing w:val="0"/>
                <w:lang w:val="es-DO" w:eastAsia="es-DO"/>
              </w:rPr>
            </w:pPr>
            <w:proofErr w:type="spellStart"/>
            <w:r w:rsidRPr="005C133F">
              <w:rPr>
                <w:rFonts w:eastAsia="Times New Roman"/>
                <w:spacing w:val="0"/>
                <w:lang w:eastAsia="es-DO"/>
              </w:rPr>
              <w:t>Lactancia</w:t>
            </w:r>
            <w:proofErr w:type="spellEnd"/>
          </w:p>
        </w:tc>
        <w:tc>
          <w:tcPr>
            <w:tcW w:w="0" w:type="auto"/>
            <w:tcBorders>
              <w:top w:val="nil"/>
              <w:left w:val="nil"/>
              <w:bottom w:val="single" w:sz="4" w:space="0" w:color="A6A6A6"/>
              <w:right w:val="single" w:sz="4" w:space="0" w:color="A6A6A6"/>
            </w:tcBorders>
            <w:vAlign w:val="center"/>
            <w:hideMark/>
          </w:tcPr>
          <w:p w14:paraId="5D8BA349"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75,496</w:t>
            </w:r>
          </w:p>
        </w:tc>
        <w:tc>
          <w:tcPr>
            <w:tcW w:w="0" w:type="auto"/>
            <w:tcBorders>
              <w:top w:val="nil"/>
              <w:left w:val="nil"/>
              <w:bottom w:val="single" w:sz="4" w:space="0" w:color="A6A6A6"/>
              <w:right w:val="single" w:sz="4" w:space="0" w:color="A6A6A6"/>
            </w:tcBorders>
            <w:vAlign w:val="center"/>
            <w:hideMark/>
          </w:tcPr>
          <w:p w14:paraId="5103FCCA"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455,372</w:t>
            </w:r>
          </w:p>
        </w:tc>
        <w:tc>
          <w:tcPr>
            <w:tcW w:w="0" w:type="auto"/>
            <w:tcBorders>
              <w:top w:val="nil"/>
              <w:left w:val="nil"/>
              <w:bottom w:val="single" w:sz="4" w:space="0" w:color="A6A6A6"/>
              <w:right w:val="single" w:sz="4" w:space="0" w:color="A6A6A6"/>
            </w:tcBorders>
            <w:vAlign w:val="center"/>
            <w:hideMark/>
          </w:tcPr>
          <w:p w14:paraId="21059FFC" w14:textId="77777777" w:rsidR="00935194" w:rsidRPr="005C133F" w:rsidRDefault="00935194" w:rsidP="007877CE">
            <w:pPr>
              <w:spacing w:after="0" w:line="240" w:lineRule="auto"/>
              <w:jc w:val="center"/>
              <w:rPr>
                <w:rFonts w:eastAsia="Times New Roman"/>
                <w:spacing w:val="0"/>
                <w:lang w:eastAsia="es-DO"/>
              </w:rPr>
            </w:pPr>
            <w:r w:rsidRPr="005C133F">
              <w:rPr>
                <w:rFonts w:eastAsia="Times New Roman"/>
                <w:spacing w:val="0"/>
                <w:lang w:eastAsia="es-DO"/>
              </w:rPr>
              <w:t>1,911,536,859.95</w:t>
            </w:r>
          </w:p>
        </w:tc>
      </w:tr>
      <w:tr w:rsidR="004921FF" w:rsidRPr="005C133F" w14:paraId="463FC9D9" w14:textId="77777777" w:rsidTr="0067066E">
        <w:trPr>
          <w:trHeight w:val="587"/>
          <w:jc w:val="center"/>
        </w:trPr>
        <w:tc>
          <w:tcPr>
            <w:tcW w:w="0" w:type="auto"/>
            <w:tcBorders>
              <w:top w:val="nil"/>
              <w:left w:val="single" w:sz="4" w:space="0" w:color="A6A6A6"/>
              <w:bottom w:val="single" w:sz="4" w:space="0" w:color="A6A6A6"/>
              <w:right w:val="single" w:sz="4" w:space="0" w:color="A6A6A6"/>
            </w:tcBorders>
            <w:vAlign w:val="center"/>
            <w:hideMark/>
          </w:tcPr>
          <w:p w14:paraId="31F60608" w14:textId="77777777" w:rsidR="00935194" w:rsidRPr="005C133F" w:rsidRDefault="00935194" w:rsidP="007877CE">
            <w:pPr>
              <w:spacing w:after="0" w:line="240" w:lineRule="auto"/>
              <w:rPr>
                <w:rFonts w:eastAsia="Times New Roman"/>
                <w:spacing w:val="0"/>
                <w:lang w:val="es-DO" w:eastAsia="es-DO"/>
              </w:rPr>
            </w:pPr>
            <w:proofErr w:type="spellStart"/>
            <w:r w:rsidRPr="005C133F">
              <w:rPr>
                <w:rFonts w:eastAsia="Times New Roman"/>
                <w:spacing w:val="0"/>
                <w:lang w:eastAsia="es-DO"/>
              </w:rPr>
              <w:t>Enfermedad</w:t>
            </w:r>
            <w:proofErr w:type="spellEnd"/>
            <w:r w:rsidRPr="005C133F">
              <w:rPr>
                <w:rFonts w:eastAsia="Times New Roman"/>
                <w:spacing w:val="0"/>
                <w:lang w:eastAsia="es-DO"/>
              </w:rPr>
              <w:t xml:space="preserve"> </w:t>
            </w:r>
            <w:proofErr w:type="spellStart"/>
            <w:r w:rsidRPr="005C133F">
              <w:rPr>
                <w:rFonts w:eastAsia="Times New Roman"/>
                <w:spacing w:val="0"/>
                <w:lang w:eastAsia="es-DO"/>
              </w:rPr>
              <w:t>común</w:t>
            </w:r>
            <w:proofErr w:type="spellEnd"/>
          </w:p>
        </w:tc>
        <w:tc>
          <w:tcPr>
            <w:tcW w:w="0" w:type="auto"/>
            <w:tcBorders>
              <w:top w:val="nil"/>
              <w:left w:val="nil"/>
              <w:bottom w:val="single" w:sz="4" w:space="0" w:color="A6A6A6"/>
              <w:right w:val="single" w:sz="4" w:space="0" w:color="A6A6A6"/>
            </w:tcBorders>
            <w:vAlign w:val="center"/>
            <w:hideMark/>
          </w:tcPr>
          <w:p w14:paraId="46521D60"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101,246</w:t>
            </w:r>
          </w:p>
        </w:tc>
        <w:tc>
          <w:tcPr>
            <w:tcW w:w="0" w:type="auto"/>
            <w:tcBorders>
              <w:top w:val="nil"/>
              <w:left w:val="nil"/>
              <w:bottom w:val="single" w:sz="4" w:space="0" w:color="A6A6A6"/>
              <w:right w:val="single" w:sz="4" w:space="0" w:color="A6A6A6"/>
            </w:tcBorders>
            <w:vAlign w:val="center"/>
            <w:hideMark/>
          </w:tcPr>
          <w:p w14:paraId="573DB5C1" w14:textId="77777777" w:rsidR="00935194" w:rsidRPr="005C133F" w:rsidRDefault="00935194" w:rsidP="007877CE">
            <w:pPr>
              <w:spacing w:after="0" w:line="240" w:lineRule="auto"/>
              <w:jc w:val="center"/>
              <w:rPr>
                <w:rFonts w:eastAsia="Times New Roman"/>
                <w:spacing w:val="0"/>
                <w:lang w:val="es-DO" w:eastAsia="es-DO"/>
              </w:rPr>
            </w:pPr>
            <w:r w:rsidRPr="005C133F">
              <w:rPr>
                <w:rFonts w:eastAsia="Times New Roman"/>
                <w:spacing w:val="0"/>
                <w:lang w:eastAsia="es-DO"/>
              </w:rPr>
              <w:t>164,937</w:t>
            </w:r>
          </w:p>
        </w:tc>
        <w:tc>
          <w:tcPr>
            <w:tcW w:w="0" w:type="auto"/>
            <w:tcBorders>
              <w:top w:val="nil"/>
              <w:left w:val="nil"/>
              <w:bottom w:val="single" w:sz="4" w:space="0" w:color="A6A6A6"/>
              <w:right w:val="single" w:sz="4" w:space="0" w:color="A6A6A6"/>
            </w:tcBorders>
            <w:vAlign w:val="center"/>
            <w:hideMark/>
          </w:tcPr>
          <w:p w14:paraId="75728AB2" w14:textId="77777777" w:rsidR="00935194" w:rsidRPr="005C133F" w:rsidRDefault="00935194" w:rsidP="007877CE">
            <w:pPr>
              <w:spacing w:after="0" w:line="240" w:lineRule="auto"/>
              <w:jc w:val="center"/>
              <w:rPr>
                <w:rFonts w:eastAsia="Times New Roman"/>
                <w:spacing w:val="0"/>
                <w:lang w:eastAsia="es-DO"/>
              </w:rPr>
            </w:pPr>
            <w:r w:rsidRPr="005C133F">
              <w:rPr>
                <w:rFonts w:eastAsia="Times New Roman"/>
                <w:spacing w:val="0"/>
                <w:lang w:eastAsia="es-DO"/>
              </w:rPr>
              <w:t>1,648,410,369.58</w:t>
            </w:r>
          </w:p>
        </w:tc>
      </w:tr>
      <w:tr w:rsidR="0067066E" w:rsidRPr="0067066E" w14:paraId="487CDDAB" w14:textId="77777777" w:rsidTr="0067066E">
        <w:trPr>
          <w:trHeight w:val="587"/>
          <w:jc w:val="center"/>
        </w:trPr>
        <w:tc>
          <w:tcPr>
            <w:tcW w:w="0" w:type="auto"/>
            <w:tcBorders>
              <w:top w:val="nil"/>
              <w:left w:val="single" w:sz="4" w:space="0" w:color="A6A6A6"/>
              <w:bottom w:val="single" w:sz="4" w:space="0" w:color="A6A6A6"/>
              <w:right w:val="single" w:sz="4" w:space="0" w:color="A6A6A6"/>
            </w:tcBorders>
            <w:shd w:val="clear" w:color="auto" w:fill="011C50"/>
            <w:vAlign w:val="center"/>
            <w:hideMark/>
          </w:tcPr>
          <w:p w14:paraId="182F54FD" w14:textId="77777777" w:rsidR="00935194" w:rsidRPr="0067066E" w:rsidRDefault="00935194" w:rsidP="007877CE">
            <w:pPr>
              <w:spacing w:after="0" w:line="240" w:lineRule="auto"/>
              <w:rPr>
                <w:rFonts w:eastAsia="Times New Roman"/>
                <w:b/>
                <w:color w:val="FFFFFF" w:themeColor="background1"/>
                <w:spacing w:val="0"/>
                <w:lang w:val="es-DO" w:eastAsia="es-DO"/>
              </w:rPr>
            </w:pPr>
            <w:proofErr w:type="spellStart"/>
            <w:r w:rsidRPr="0067066E">
              <w:rPr>
                <w:rFonts w:eastAsia="Times New Roman"/>
                <w:b/>
                <w:color w:val="FFFFFF" w:themeColor="background1"/>
                <w:spacing w:val="0"/>
                <w:lang w:eastAsia="es-DO"/>
              </w:rPr>
              <w:t>Totales</w:t>
            </w:r>
            <w:proofErr w:type="spellEnd"/>
          </w:p>
        </w:tc>
        <w:tc>
          <w:tcPr>
            <w:tcW w:w="0" w:type="auto"/>
            <w:tcBorders>
              <w:top w:val="nil"/>
              <w:left w:val="nil"/>
              <w:bottom w:val="single" w:sz="4" w:space="0" w:color="A6A6A6"/>
              <w:right w:val="single" w:sz="4" w:space="0" w:color="A6A6A6"/>
            </w:tcBorders>
            <w:shd w:val="clear" w:color="auto" w:fill="011C50"/>
            <w:vAlign w:val="center"/>
            <w:hideMark/>
          </w:tcPr>
          <w:p w14:paraId="6ADC2880" w14:textId="77777777" w:rsidR="00935194" w:rsidRPr="0067066E" w:rsidRDefault="00935194" w:rsidP="007877CE">
            <w:pPr>
              <w:spacing w:after="0" w:line="240" w:lineRule="auto"/>
              <w:jc w:val="center"/>
              <w:rPr>
                <w:rFonts w:eastAsia="Times New Roman"/>
                <w:b/>
                <w:color w:val="FFFFFF" w:themeColor="background1"/>
                <w:spacing w:val="0"/>
                <w:lang w:val="es-DO" w:eastAsia="es-DO"/>
              </w:rPr>
            </w:pPr>
            <w:r w:rsidRPr="0067066E">
              <w:rPr>
                <w:rFonts w:eastAsia="Times New Roman"/>
                <w:b/>
                <w:color w:val="FFFFFF" w:themeColor="background1"/>
                <w:spacing w:val="0"/>
                <w:lang w:val="es-DO" w:eastAsia="es-DO"/>
              </w:rPr>
              <w:t>203,527</w:t>
            </w:r>
          </w:p>
        </w:tc>
        <w:tc>
          <w:tcPr>
            <w:tcW w:w="0" w:type="auto"/>
            <w:tcBorders>
              <w:top w:val="nil"/>
              <w:left w:val="nil"/>
              <w:bottom w:val="single" w:sz="4" w:space="0" w:color="A6A6A6"/>
              <w:right w:val="single" w:sz="4" w:space="0" w:color="A6A6A6"/>
            </w:tcBorders>
            <w:shd w:val="clear" w:color="auto" w:fill="011C50"/>
            <w:vAlign w:val="center"/>
            <w:hideMark/>
          </w:tcPr>
          <w:p w14:paraId="1B0AB85A" w14:textId="77777777" w:rsidR="00935194" w:rsidRPr="0067066E" w:rsidRDefault="00935194" w:rsidP="007877CE">
            <w:pPr>
              <w:spacing w:after="0" w:line="240" w:lineRule="auto"/>
              <w:jc w:val="center"/>
              <w:rPr>
                <w:rFonts w:eastAsia="Times New Roman"/>
                <w:b/>
                <w:color w:val="FFFFFF" w:themeColor="background1"/>
                <w:spacing w:val="0"/>
                <w:lang w:val="es-DO" w:eastAsia="es-DO"/>
              </w:rPr>
            </w:pPr>
            <w:r w:rsidRPr="0067066E">
              <w:rPr>
                <w:rFonts w:eastAsia="Times New Roman"/>
                <w:b/>
                <w:color w:val="FFFFFF" w:themeColor="background1"/>
                <w:spacing w:val="0"/>
                <w:lang w:val="es-DO" w:eastAsia="es-DO"/>
              </w:rPr>
              <w:t>664,390</w:t>
            </w:r>
          </w:p>
        </w:tc>
        <w:tc>
          <w:tcPr>
            <w:tcW w:w="0" w:type="auto"/>
            <w:tcBorders>
              <w:top w:val="nil"/>
              <w:left w:val="nil"/>
              <w:bottom w:val="single" w:sz="4" w:space="0" w:color="A6A6A6"/>
              <w:right w:val="single" w:sz="4" w:space="0" w:color="A6A6A6"/>
            </w:tcBorders>
            <w:shd w:val="clear" w:color="auto" w:fill="011C50"/>
            <w:vAlign w:val="center"/>
            <w:hideMark/>
          </w:tcPr>
          <w:p w14:paraId="054F264C" w14:textId="77777777" w:rsidR="00935194" w:rsidRPr="0067066E" w:rsidRDefault="00935194" w:rsidP="007877CE">
            <w:pPr>
              <w:spacing w:after="0" w:line="240" w:lineRule="auto"/>
              <w:jc w:val="center"/>
              <w:rPr>
                <w:rFonts w:eastAsia="Times New Roman"/>
                <w:b/>
                <w:color w:val="FFFFFF" w:themeColor="background1"/>
                <w:spacing w:val="0"/>
                <w:lang w:val="es-DO" w:eastAsia="es-DO"/>
              </w:rPr>
            </w:pPr>
            <w:r w:rsidRPr="0067066E">
              <w:rPr>
                <w:rFonts w:eastAsia="Times New Roman"/>
                <w:b/>
                <w:color w:val="FFFFFF" w:themeColor="background1"/>
                <w:spacing w:val="0"/>
                <w:lang w:val="es-DO" w:eastAsia="es-DO"/>
              </w:rPr>
              <w:t>4,481,322,343.60</w:t>
            </w:r>
          </w:p>
        </w:tc>
      </w:tr>
    </w:tbl>
    <w:p w14:paraId="60466EB7" w14:textId="48D6837D" w:rsidR="003E0755" w:rsidRPr="00AC2DB2" w:rsidRDefault="003E0755" w:rsidP="007877CE">
      <w:pPr>
        <w:spacing w:after="0" w:line="360" w:lineRule="auto"/>
        <w:rPr>
          <w:sz w:val="18"/>
          <w:szCs w:val="18"/>
          <w:lang w:val="es-MX"/>
        </w:rPr>
      </w:pPr>
      <w:r w:rsidRPr="00AC2DB2">
        <w:rPr>
          <w:sz w:val="18"/>
          <w:szCs w:val="18"/>
          <w:lang w:val="es-MX"/>
        </w:rPr>
        <w:t>Fuente: Sistema de Información y Pagos de Subsidios, SISALRIL</w:t>
      </w:r>
    </w:p>
    <w:p w14:paraId="4DA2D94A" w14:textId="4141E703" w:rsidR="00935194" w:rsidRPr="005C133F" w:rsidRDefault="0073496F" w:rsidP="005C133F">
      <w:pPr>
        <w:spacing w:after="0" w:line="360" w:lineRule="auto"/>
        <w:rPr>
          <w:noProof/>
          <w:lang w:val="es-DO"/>
        </w:rPr>
      </w:pPr>
      <w:r w:rsidRPr="005C133F">
        <w:rPr>
          <w:noProof/>
          <w:lang w:val="es-DO"/>
        </w:rPr>
        <w:br w:type="page"/>
      </w:r>
    </w:p>
    <w:p w14:paraId="0D0C80E3" w14:textId="64F775B4" w:rsidR="006F4ACD" w:rsidRPr="005C133F" w:rsidRDefault="006F4ACD" w:rsidP="005C133F">
      <w:pPr>
        <w:pStyle w:val="SUBTITULITO"/>
        <w:spacing w:after="0"/>
        <w:rPr>
          <w:rFonts w:eastAsia="Calibri"/>
          <w:noProof/>
        </w:rPr>
      </w:pPr>
      <w:bookmarkStart w:id="102" w:name="_Toc219121848"/>
      <w:r w:rsidRPr="005C133F">
        <w:rPr>
          <w:rFonts w:eastAsia="Calibri"/>
          <w:noProof/>
        </w:rPr>
        <w:lastRenderedPageBreak/>
        <w:t>3.4.2 Programas de información y sensibilización sobre derechos, deberes, funcionamiento del SFS y SRL y canales institucionales disponibles</w:t>
      </w:r>
      <w:bookmarkEnd w:id="102"/>
    </w:p>
    <w:p w14:paraId="3A981ADE" w14:textId="77777777" w:rsidR="00BD7A32" w:rsidRPr="005C133F" w:rsidRDefault="00BD7A32" w:rsidP="005C133F">
      <w:pPr>
        <w:spacing w:after="0" w:line="360" w:lineRule="auto"/>
        <w:jc w:val="both"/>
        <w:rPr>
          <w:b/>
          <w:bCs/>
          <w:lang w:val="es-MX"/>
        </w:rPr>
      </w:pPr>
    </w:p>
    <w:p w14:paraId="54772EE0" w14:textId="6030D523" w:rsidR="00BD7A32" w:rsidRPr="005C133F" w:rsidRDefault="00BD7A32" w:rsidP="005C133F">
      <w:pPr>
        <w:spacing w:after="0" w:line="360" w:lineRule="auto"/>
        <w:jc w:val="both"/>
        <w:rPr>
          <w:b/>
          <w:bCs/>
          <w:lang w:val="es-MX"/>
        </w:rPr>
      </w:pPr>
      <w:r w:rsidRPr="005C133F">
        <w:rPr>
          <w:b/>
          <w:bCs/>
          <w:lang w:val="es-MX"/>
        </w:rPr>
        <w:t>Divulgación de Información sobre el SFS y el SRL</w:t>
      </w:r>
    </w:p>
    <w:p w14:paraId="2AEF3477" w14:textId="77777777" w:rsidR="00796F6C" w:rsidRPr="005C133F" w:rsidRDefault="00796F6C" w:rsidP="005C133F">
      <w:pPr>
        <w:spacing w:after="0" w:line="360" w:lineRule="auto"/>
        <w:jc w:val="both"/>
        <w:rPr>
          <w:b/>
          <w:bCs/>
          <w:lang w:val="es-MX"/>
        </w:rPr>
      </w:pPr>
    </w:p>
    <w:p w14:paraId="5B31F781" w14:textId="3EBF84A1" w:rsidR="002E7444" w:rsidRDefault="009E239B" w:rsidP="00CC0D07">
      <w:pPr>
        <w:spacing w:after="0" w:line="360" w:lineRule="auto"/>
        <w:jc w:val="both"/>
        <w:rPr>
          <w:lang w:val="es-MX"/>
        </w:rPr>
      </w:pPr>
      <w:r w:rsidRPr="005C133F">
        <w:rPr>
          <w:lang w:val="es-MX"/>
        </w:rPr>
        <w:t>Durante el período enero-</w:t>
      </w:r>
      <w:r w:rsidR="00407793">
        <w:rPr>
          <w:lang w:val="es-MX"/>
        </w:rPr>
        <w:t>diciembre</w:t>
      </w:r>
      <w:r w:rsidR="00BD7A32" w:rsidRPr="005C133F">
        <w:rPr>
          <w:lang w:val="es-MX"/>
        </w:rPr>
        <w:t xml:space="preserve"> 2025, </w:t>
      </w:r>
      <w:r w:rsidRPr="005C133F">
        <w:rPr>
          <w:lang w:val="es-MX"/>
        </w:rPr>
        <w:t xml:space="preserve">se impartieron </w:t>
      </w:r>
      <w:r w:rsidR="00BD7A32" w:rsidRPr="005C133F">
        <w:rPr>
          <w:lang w:val="es-MX"/>
        </w:rPr>
        <w:t>44 charlas</w:t>
      </w:r>
      <w:r w:rsidR="00101964" w:rsidRPr="005C133F">
        <w:rPr>
          <w:lang w:val="es-MX"/>
        </w:rPr>
        <w:t xml:space="preserve"> sobre diferentes temas </w:t>
      </w:r>
      <w:r w:rsidR="00E354A6" w:rsidRPr="005C133F">
        <w:rPr>
          <w:lang w:val="es-MX"/>
        </w:rPr>
        <w:t xml:space="preserve">relacionados con el SFS y el SRL, impactando 2,030 personas de diferentes sectores sociales, de los cuales </w:t>
      </w:r>
      <w:r w:rsidR="00BD7A32" w:rsidRPr="005C133F">
        <w:rPr>
          <w:lang w:val="es-MX"/>
        </w:rPr>
        <w:t xml:space="preserve">1,418 mujeres </w:t>
      </w:r>
      <w:r w:rsidR="00E354A6" w:rsidRPr="005C133F">
        <w:rPr>
          <w:lang w:val="es-MX"/>
        </w:rPr>
        <w:t xml:space="preserve">fueron </w:t>
      </w:r>
      <w:r w:rsidR="00BD7A32" w:rsidRPr="005C133F">
        <w:rPr>
          <w:lang w:val="es-MX"/>
        </w:rPr>
        <w:t>y 612</w:t>
      </w:r>
      <w:r w:rsidR="00E354A6" w:rsidRPr="005C133F">
        <w:rPr>
          <w:lang w:val="es-MX"/>
        </w:rPr>
        <w:t xml:space="preserve">. </w:t>
      </w:r>
    </w:p>
    <w:p w14:paraId="39DF0548" w14:textId="77777777" w:rsidR="00CC0D07" w:rsidRPr="00CC0D07" w:rsidRDefault="00CC0D07" w:rsidP="0067066E">
      <w:pPr>
        <w:spacing w:after="0" w:line="360" w:lineRule="auto"/>
        <w:jc w:val="center"/>
        <w:rPr>
          <w:lang w:val="es-MX"/>
        </w:rPr>
      </w:pPr>
    </w:p>
    <w:p w14:paraId="55C33C9B" w14:textId="70CAE2FF" w:rsidR="00ED4F47" w:rsidRPr="005C133F" w:rsidRDefault="00ED4F47" w:rsidP="0067066E">
      <w:pPr>
        <w:pStyle w:val="Descripcin"/>
        <w:keepNext/>
        <w:spacing w:after="0"/>
        <w:jc w:val="center"/>
        <w:rPr>
          <w:b/>
          <w:bCs/>
          <w:i w:val="0"/>
          <w:iCs w:val="0"/>
          <w:color w:val="767171"/>
          <w:sz w:val="24"/>
          <w:szCs w:val="24"/>
          <w:lang w:val="es-MX"/>
        </w:rPr>
      </w:pPr>
      <w:bookmarkStart w:id="103" w:name="_Toc218784169"/>
      <w:r w:rsidRPr="005C133F">
        <w:rPr>
          <w:b/>
          <w:bCs/>
          <w:i w:val="0"/>
          <w:iCs w:val="0"/>
          <w:color w:val="767171"/>
          <w:sz w:val="24"/>
          <w:szCs w:val="24"/>
          <w:lang w:val="es-MX"/>
        </w:rPr>
        <w:t xml:space="preserve">Tabla </w:t>
      </w:r>
      <w:r w:rsidRPr="005C133F">
        <w:rPr>
          <w:b/>
          <w:bCs/>
          <w:i w:val="0"/>
          <w:iCs w:val="0"/>
          <w:color w:val="767171"/>
          <w:sz w:val="24"/>
          <w:szCs w:val="24"/>
          <w:lang w:val="es-MX"/>
        </w:rPr>
        <w:fldChar w:fldCharType="begin"/>
      </w:r>
      <w:r w:rsidRPr="005C133F">
        <w:rPr>
          <w:b/>
          <w:bCs/>
          <w:i w:val="0"/>
          <w:iCs w:val="0"/>
          <w:color w:val="767171"/>
          <w:sz w:val="24"/>
          <w:szCs w:val="24"/>
          <w:lang w:val="es-MX"/>
        </w:rPr>
        <w:instrText xml:space="preserve"> SEQ Tabla \* ARABIC </w:instrText>
      </w:r>
      <w:r w:rsidRPr="005C133F">
        <w:rPr>
          <w:b/>
          <w:bCs/>
          <w:i w:val="0"/>
          <w:iCs w:val="0"/>
          <w:color w:val="767171"/>
          <w:sz w:val="24"/>
          <w:szCs w:val="24"/>
          <w:lang w:val="es-MX"/>
        </w:rPr>
        <w:fldChar w:fldCharType="separate"/>
      </w:r>
      <w:r w:rsidR="00814341">
        <w:rPr>
          <w:b/>
          <w:bCs/>
          <w:i w:val="0"/>
          <w:iCs w:val="0"/>
          <w:noProof/>
          <w:color w:val="767171"/>
          <w:sz w:val="24"/>
          <w:szCs w:val="24"/>
          <w:lang w:val="es-MX"/>
        </w:rPr>
        <w:t>37</w:t>
      </w:r>
      <w:r w:rsidRPr="005C133F">
        <w:rPr>
          <w:b/>
          <w:bCs/>
          <w:i w:val="0"/>
          <w:iCs w:val="0"/>
          <w:color w:val="767171"/>
          <w:sz w:val="24"/>
          <w:szCs w:val="24"/>
          <w:lang w:val="es-MX"/>
        </w:rPr>
        <w:fldChar w:fldCharType="end"/>
      </w:r>
      <w:r w:rsidRPr="005C133F">
        <w:rPr>
          <w:b/>
          <w:bCs/>
          <w:i w:val="0"/>
          <w:iCs w:val="0"/>
          <w:color w:val="767171"/>
          <w:sz w:val="24"/>
          <w:szCs w:val="24"/>
          <w:lang w:val="es-MX"/>
        </w:rPr>
        <w:t>. Actividades de Información sobre el SFS y el SRL</w:t>
      </w:r>
      <w:bookmarkEnd w:id="103"/>
    </w:p>
    <w:tbl>
      <w:tblPr>
        <w:tblW w:w="791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top w:w="15" w:type="dxa"/>
          <w:left w:w="70" w:type="dxa"/>
          <w:bottom w:w="15" w:type="dxa"/>
          <w:right w:w="70" w:type="dxa"/>
        </w:tblCellMar>
        <w:tblLook w:val="04A0" w:firstRow="1" w:lastRow="0" w:firstColumn="1" w:lastColumn="0" w:noHBand="0" w:noVBand="1"/>
      </w:tblPr>
      <w:tblGrid>
        <w:gridCol w:w="1289"/>
        <w:gridCol w:w="2439"/>
        <w:gridCol w:w="1038"/>
        <w:gridCol w:w="1039"/>
        <w:gridCol w:w="2105"/>
      </w:tblGrid>
      <w:tr w:rsidR="00AC2DB2" w:rsidRPr="00AC2DB2" w14:paraId="5FDE5A3A" w14:textId="77777777" w:rsidTr="0067066E">
        <w:trPr>
          <w:trHeight w:val="519"/>
          <w:tblHeader/>
          <w:jc w:val="center"/>
        </w:trPr>
        <w:tc>
          <w:tcPr>
            <w:tcW w:w="0" w:type="auto"/>
            <w:shd w:val="clear" w:color="auto" w:fill="011C50"/>
            <w:vAlign w:val="bottom"/>
            <w:hideMark/>
          </w:tcPr>
          <w:p w14:paraId="17265396"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Mes</w:t>
            </w:r>
          </w:p>
        </w:tc>
        <w:tc>
          <w:tcPr>
            <w:tcW w:w="0" w:type="auto"/>
            <w:shd w:val="clear" w:color="auto" w:fill="011C50"/>
            <w:vAlign w:val="bottom"/>
            <w:hideMark/>
          </w:tcPr>
          <w:p w14:paraId="346171D1" w14:textId="4956E1C3"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Cantidad  de Charlas</w:t>
            </w:r>
          </w:p>
        </w:tc>
        <w:tc>
          <w:tcPr>
            <w:tcW w:w="0" w:type="auto"/>
            <w:shd w:val="clear" w:color="auto" w:fill="011C50"/>
            <w:noWrap/>
            <w:vAlign w:val="bottom"/>
            <w:hideMark/>
          </w:tcPr>
          <w:p w14:paraId="19582DFA" w14:textId="251FC2B8"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Mujeres</w:t>
            </w:r>
          </w:p>
        </w:tc>
        <w:tc>
          <w:tcPr>
            <w:tcW w:w="0" w:type="auto"/>
            <w:shd w:val="clear" w:color="auto" w:fill="011C50"/>
            <w:noWrap/>
            <w:vAlign w:val="bottom"/>
            <w:hideMark/>
          </w:tcPr>
          <w:p w14:paraId="66E89B7F"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Hombre</w:t>
            </w:r>
          </w:p>
        </w:tc>
        <w:tc>
          <w:tcPr>
            <w:tcW w:w="0" w:type="auto"/>
            <w:shd w:val="clear" w:color="auto" w:fill="011C50"/>
            <w:noWrap/>
            <w:vAlign w:val="bottom"/>
            <w:hideMark/>
          </w:tcPr>
          <w:p w14:paraId="04A24283" w14:textId="4E7DCE41"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Total Capacitados</w:t>
            </w:r>
          </w:p>
        </w:tc>
      </w:tr>
      <w:tr w:rsidR="004921FF" w:rsidRPr="00AC2DB2" w14:paraId="72480853" w14:textId="77777777" w:rsidTr="0067066E">
        <w:trPr>
          <w:trHeight w:val="315"/>
          <w:jc w:val="center"/>
        </w:trPr>
        <w:tc>
          <w:tcPr>
            <w:tcW w:w="0" w:type="auto"/>
            <w:noWrap/>
            <w:vAlign w:val="bottom"/>
            <w:hideMark/>
          </w:tcPr>
          <w:p w14:paraId="70385D93"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 xml:space="preserve">Enero </w:t>
            </w:r>
          </w:p>
        </w:tc>
        <w:tc>
          <w:tcPr>
            <w:tcW w:w="0" w:type="auto"/>
            <w:vAlign w:val="bottom"/>
            <w:hideMark/>
          </w:tcPr>
          <w:p w14:paraId="3D6ACFE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0</w:t>
            </w:r>
          </w:p>
        </w:tc>
        <w:tc>
          <w:tcPr>
            <w:tcW w:w="0" w:type="auto"/>
            <w:vAlign w:val="bottom"/>
            <w:hideMark/>
          </w:tcPr>
          <w:p w14:paraId="45B7BD4B"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0</w:t>
            </w:r>
          </w:p>
        </w:tc>
        <w:tc>
          <w:tcPr>
            <w:tcW w:w="0" w:type="auto"/>
            <w:vAlign w:val="bottom"/>
            <w:hideMark/>
          </w:tcPr>
          <w:p w14:paraId="34E5CC4D"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0</w:t>
            </w:r>
          </w:p>
        </w:tc>
        <w:tc>
          <w:tcPr>
            <w:tcW w:w="0" w:type="auto"/>
            <w:vAlign w:val="bottom"/>
            <w:hideMark/>
          </w:tcPr>
          <w:p w14:paraId="6EDB6895"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0</w:t>
            </w:r>
          </w:p>
        </w:tc>
      </w:tr>
      <w:tr w:rsidR="004921FF" w:rsidRPr="00AC2DB2" w14:paraId="08084AAE" w14:textId="77777777" w:rsidTr="0067066E">
        <w:trPr>
          <w:trHeight w:val="315"/>
          <w:jc w:val="center"/>
        </w:trPr>
        <w:tc>
          <w:tcPr>
            <w:tcW w:w="0" w:type="auto"/>
            <w:noWrap/>
            <w:vAlign w:val="bottom"/>
            <w:hideMark/>
          </w:tcPr>
          <w:p w14:paraId="50743D15"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Febrero</w:t>
            </w:r>
          </w:p>
        </w:tc>
        <w:tc>
          <w:tcPr>
            <w:tcW w:w="0" w:type="auto"/>
            <w:vAlign w:val="bottom"/>
            <w:hideMark/>
          </w:tcPr>
          <w:p w14:paraId="16581BE2"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w:t>
            </w:r>
          </w:p>
        </w:tc>
        <w:tc>
          <w:tcPr>
            <w:tcW w:w="0" w:type="auto"/>
            <w:vAlign w:val="bottom"/>
            <w:hideMark/>
          </w:tcPr>
          <w:p w14:paraId="4D326AF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63</w:t>
            </w:r>
          </w:p>
        </w:tc>
        <w:tc>
          <w:tcPr>
            <w:tcW w:w="0" w:type="auto"/>
            <w:vAlign w:val="bottom"/>
            <w:hideMark/>
          </w:tcPr>
          <w:p w14:paraId="223F6D77"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33</w:t>
            </w:r>
          </w:p>
        </w:tc>
        <w:tc>
          <w:tcPr>
            <w:tcW w:w="0" w:type="auto"/>
            <w:vAlign w:val="bottom"/>
            <w:hideMark/>
          </w:tcPr>
          <w:p w14:paraId="765723E0"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96</w:t>
            </w:r>
          </w:p>
        </w:tc>
      </w:tr>
      <w:tr w:rsidR="004921FF" w:rsidRPr="00AC2DB2" w14:paraId="1329A602" w14:textId="77777777" w:rsidTr="0067066E">
        <w:trPr>
          <w:trHeight w:val="315"/>
          <w:jc w:val="center"/>
        </w:trPr>
        <w:tc>
          <w:tcPr>
            <w:tcW w:w="0" w:type="auto"/>
            <w:noWrap/>
            <w:vAlign w:val="bottom"/>
            <w:hideMark/>
          </w:tcPr>
          <w:p w14:paraId="4125A3E4"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Marzo</w:t>
            </w:r>
          </w:p>
        </w:tc>
        <w:tc>
          <w:tcPr>
            <w:tcW w:w="0" w:type="auto"/>
            <w:vAlign w:val="bottom"/>
            <w:hideMark/>
          </w:tcPr>
          <w:p w14:paraId="5C0D41E3"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6</w:t>
            </w:r>
          </w:p>
        </w:tc>
        <w:tc>
          <w:tcPr>
            <w:tcW w:w="0" w:type="auto"/>
            <w:vAlign w:val="bottom"/>
            <w:hideMark/>
          </w:tcPr>
          <w:p w14:paraId="03A57610"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165</w:t>
            </w:r>
          </w:p>
        </w:tc>
        <w:tc>
          <w:tcPr>
            <w:tcW w:w="0" w:type="auto"/>
            <w:vAlign w:val="bottom"/>
            <w:hideMark/>
          </w:tcPr>
          <w:p w14:paraId="7DAEFA0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65</w:t>
            </w:r>
          </w:p>
        </w:tc>
        <w:tc>
          <w:tcPr>
            <w:tcW w:w="0" w:type="auto"/>
            <w:vAlign w:val="bottom"/>
            <w:hideMark/>
          </w:tcPr>
          <w:p w14:paraId="3CBBFEC5"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230</w:t>
            </w:r>
          </w:p>
        </w:tc>
      </w:tr>
      <w:tr w:rsidR="004921FF" w:rsidRPr="00AC2DB2" w14:paraId="08F6B0A4" w14:textId="77777777" w:rsidTr="0067066E">
        <w:trPr>
          <w:trHeight w:val="315"/>
          <w:jc w:val="center"/>
        </w:trPr>
        <w:tc>
          <w:tcPr>
            <w:tcW w:w="0" w:type="auto"/>
            <w:noWrap/>
            <w:vAlign w:val="bottom"/>
            <w:hideMark/>
          </w:tcPr>
          <w:p w14:paraId="3FD2576B"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Abril</w:t>
            </w:r>
          </w:p>
        </w:tc>
        <w:tc>
          <w:tcPr>
            <w:tcW w:w="0" w:type="auto"/>
            <w:noWrap/>
            <w:vAlign w:val="bottom"/>
            <w:hideMark/>
          </w:tcPr>
          <w:p w14:paraId="037082A9"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w:t>
            </w:r>
          </w:p>
        </w:tc>
        <w:tc>
          <w:tcPr>
            <w:tcW w:w="0" w:type="auto"/>
            <w:noWrap/>
            <w:vAlign w:val="bottom"/>
            <w:hideMark/>
          </w:tcPr>
          <w:p w14:paraId="0E513842"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33</w:t>
            </w:r>
          </w:p>
        </w:tc>
        <w:tc>
          <w:tcPr>
            <w:tcW w:w="0" w:type="auto"/>
            <w:noWrap/>
            <w:vAlign w:val="bottom"/>
            <w:hideMark/>
          </w:tcPr>
          <w:p w14:paraId="5CE7EB8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16</w:t>
            </w:r>
          </w:p>
        </w:tc>
        <w:tc>
          <w:tcPr>
            <w:tcW w:w="0" w:type="auto"/>
            <w:noWrap/>
            <w:vAlign w:val="bottom"/>
            <w:hideMark/>
          </w:tcPr>
          <w:p w14:paraId="48448D8A"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49</w:t>
            </w:r>
          </w:p>
        </w:tc>
      </w:tr>
      <w:tr w:rsidR="004921FF" w:rsidRPr="00AC2DB2" w14:paraId="57FA48FC" w14:textId="77777777" w:rsidTr="0067066E">
        <w:trPr>
          <w:trHeight w:val="315"/>
          <w:jc w:val="center"/>
        </w:trPr>
        <w:tc>
          <w:tcPr>
            <w:tcW w:w="0" w:type="auto"/>
            <w:noWrap/>
            <w:vAlign w:val="bottom"/>
            <w:hideMark/>
          </w:tcPr>
          <w:p w14:paraId="7AE33E52"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Mayo</w:t>
            </w:r>
          </w:p>
        </w:tc>
        <w:tc>
          <w:tcPr>
            <w:tcW w:w="0" w:type="auto"/>
            <w:noWrap/>
            <w:vAlign w:val="bottom"/>
            <w:hideMark/>
          </w:tcPr>
          <w:p w14:paraId="7ADAB936"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7</w:t>
            </w:r>
          </w:p>
        </w:tc>
        <w:tc>
          <w:tcPr>
            <w:tcW w:w="0" w:type="auto"/>
            <w:noWrap/>
            <w:vAlign w:val="bottom"/>
            <w:hideMark/>
          </w:tcPr>
          <w:p w14:paraId="34003C56"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236</w:t>
            </w:r>
          </w:p>
        </w:tc>
        <w:tc>
          <w:tcPr>
            <w:tcW w:w="0" w:type="auto"/>
            <w:noWrap/>
            <w:vAlign w:val="bottom"/>
            <w:hideMark/>
          </w:tcPr>
          <w:p w14:paraId="0817827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52</w:t>
            </w:r>
          </w:p>
        </w:tc>
        <w:tc>
          <w:tcPr>
            <w:tcW w:w="0" w:type="auto"/>
            <w:noWrap/>
            <w:vAlign w:val="bottom"/>
            <w:hideMark/>
          </w:tcPr>
          <w:p w14:paraId="08F5C7A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288</w:t>
            </w:r>
          </w:p>
        </w:tc>
      </w:tr>
      <w:tr w:rsidR="004921FF" w:rsidRPr="00AC2DB2" w14:paraId="33DFB46C" w14:textId="77777777" w:rsidTr="0067066E">
        <w:trPr>
          <w:trHeight w:val="315"/>
          <w:jc w:val="center"/>
        </w:trPr>
        <w:tc>
          <w:tcPr>
            <w:tcW w:w="0" w:type="auto"/>
            <w:noWrap/>
            <w:vAlign w:val="bottom"/>
            <w:hideMark/>
          </w:tcPr>
          <w:p w14:paraId="37CEBF2B"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Junio</w:t>
            </w:r>
          </w:p>
        </w:tc>
        <w:tc>
          <w:tcPr>
            <w:tcW w:w="0" w:type="auto"/>
            <w:noWrap/>
            <w:vAlign w:val="bottom"/>
            <w:hideMark/>
          </w:tcPr>
          <w:p w14:paraId="1188A360"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4</w:t>
            </w:r>
          </w:p>
        </w:tc>
        <w:tc>
          <w:tcPr>
            <w:tcW w:w="0" w:type="auto"/>
            <w:noWrap/>
            <w:vAlign w:val="bottom"/>
            <w:hideMark/>
          </w:tcPr>
          <w:p w14:paraId="41F049A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273</w:t>
            </w:r>
          </w:p>
        </w:tc>
        <w:tc>
          <w:tcPr>
            <w:tcW w:w="0" w:type="auto"/>
            <w:noWrap/>
            <w:vAlign w:val="bottom"/>
            <w:hideMark/>
          </w:tcPr>
          <w:p w14:paraId="3A476DB4"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165</w:t>
            </w:r>
          </w:p>
        </w:tc>
        <w:tc>
          <w:tcPr>
            <w:tcW w:w="0" w:type="auto"/>
            <w:noWrap/>
            <w:vAlign w:val="bottom"/>
            <w:hideMark/>
          </w:tcPr>
          <w:p w14:paraId="614875E5"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438</w:t>
            </w:r>
          </w:p>
        </w:tc>
      </w:tr>
      <w:tr w:rsidR="004921FF" w:rsidRPr="00AC2DB2" w14:paraId="11AD6654" w14:textId="77777777" w:rsidTr="0067066E">
        <w:trPr>
          <w:trHeight w:val="315"/>
          <w:jc w:val="center"/>
        </w:trPr>
        <w:tc>
          <w:tcPr>
            <w:tcW w:w="0" w:type="auto"/>
            <w:noWrap/>
            <w:vAlign w:val="bottom"/>
            <w:hideMark/>
          </w:tcPr>
          <w:p w14:paraId="28197218"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Julio</w:t>
            </w:r>
          </w:p>
        </w:tc>
        <w:tc>
          <w:tcPr>
            <w:tcW w:w="0" w:type="auto"/>
            <w:noWrap/>
            <w:vAlign w:val="bottom"/>
            <w:hideMark/>
          </w:tcPr>
          <w:p w14:paraId="733ADAE8"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w:t>
            </w:r>
          </w:p>
        </w:tc>
        <w:tc>
          <w:tcPr>
            <w:tcW w:w="0" w:type="auto"/>
            <w:noWrap/>
            <w:vAlign w:val="bottom"/>
            <w:hideMark/>
          </w:tcPr>
          <w:p w14:paraId="33ECEE78"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w:t>
            </w:r>
          </w:p>
        </w:tc>
        <w:tc>
          <w:tcPr>
            <w:tcW w:w="0" w:type="auto"/>
            <w:noWrap/>
            <w:vAlign w:val="bottom"/>
            <w:hideMark/>
          </w:tcPr>
          <w:p w14:paraId="2385328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18</w:t>
            </w:r>
          </w:p>
        </w:tc>
        <w:tc>
          <w:tcPr>
            <w:tcW w:w="0" w:type="auto"/>
            <w:noWrap/>
            <w:vAlign w:val="bottom"/>
            <w:hideMark/>
          </w:tcPr>
          <w:p w14:paraId="47F15DE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19</w:t>
            </w:r>
          </w:p>
        </w:tc>
      </w:tr>
      <w:tr w:rsidR="004921FF" w:rsidRPr="00AC2DB2" w14:paraId="4EA1D85A" w14:textId="77777777" w:rsidTr="0067066E">
        <w:trPr>
          <w:trHeight w:val="315"/>
          <w:jc w:val="center"/>
        </w:trPr>
        <w:tc>
          <w:tcPr>
            <w:tcW w:w="0" w:type="auto"/>
            <w:noWrap/>
            <w:vAlign w:val="bottom"/>
            <w:hideMark/>
          </w:tcPr>
          <w:p w14:paraId="443B6973"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Agosto</w:t>
            </w:r>
          </w:p>
        </w:tc>
        <w:tc>
          <w:tcPr>
            <w:tcW w:w="0" w:type="auto"/>
            <w:noWrap/>
            <w:vAlign w:val="bottom"/>
            <w:hideMark/>
          </w:tcPr>
          <w:p w14:paraId="36493ED0"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5</w:t>
            </w:r>
          </w:p>
        </w:tc>
        <w:tc>
          <w:tcPr>
            <w:tcW w:w="0" w:type="auto"/>
            <w:noWrap/>
            <w:vAlign w:val="bottom"/>
            <w:hideMark/>
          </w:tcPr>
          <w:p w14:paraId="32FB89D4"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98</w:t>
            </w:r>
          </w:p>
        </w:tc>
        <w:tc>
          <w:tcPr>
            <w:tcW w:w="0" w:type="auto"/>
            <w:noWrap/>
            <w:vAlign w:val="bottom"/>
            <w:hideMark/>
          </w:tcPr>
          <w:p w14:paraId="76E362CD"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44</w:t>
            </w:r>
          </w:p>
        </w:tc>
        <w:tc>
          <w:tcPr>
            <w:tcW w:w="0" w:type="auto"/>
            <w:noWrap/>
            <w:vAlign w:val="bottom"/>
            <w:hideMark/>
          </w:tcPr>
          <w:p w14:paraId="0C525C0B"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142</w:t>
            </w:r>
          </w:p>
        </w:tc>
      </w:tr>
      <w:tr w:rsidR="004921FF" w:rsidRPr="00AC2DB2" w14:paraId="765EA7DA" w14:textId="77777777" w:rsidTr="0067066E">
        <w:trPr>
          <w:trHeight w:val="315"/>
          <w:jc w:val="center"/>
        </w:trPr>
        <w:tc>
          <w:tcPr>
            <w:tcW w:w="0" w:type="auto"/>
            <w:noWrap/>
            <w:vAlign w:val="bottom"/>
            <w:hideMark/>
          </w:tcPr>
          <w:p w14:paraId="31F5E40A"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Septiembre</w:t>
            </w:r>
          </w:p>
        </w:tc>
        <w:tc>
          <w:tcPr>
            <w:tcW w:w="0" w:type="auto"/>
            <w:noWrap/>
            <w:vAlign w:val="bottom"/>
            <w:hideMark/>
          </w:tcPr>
          <w:p w14:paraId="413A2A53"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7</w:t>
            </w:r>
          </w:p>
        </w:tc>
        <w:tc>
          <w:tcPr>
            <w:tcW w:w="0" w:type="auto"/>
            <w:noWrap/>
            <w:vAlign w:val="bottom"/>
            <w:hideMark/>
          </w:tcPr>
          <w:p w14:paraId="6F76920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161</w:t>
            </w:r>
          </w:p>
        </w:tc>
        <w:tc>
          <w:tcPr>
            <w:tcW w:w="0" w:type="auto"/>
            <w:noWrap/>
            <w:vAlign w:val="bottom"/>
            <w:hideMark/>
          </w:tcPr>
          <w:p w14:paraId="32CE3679"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62</w:t>
            </w:r>
          </w:p>
        </w:tc>
        <w:tc>
          <w:tcPr>
            <w:tcW w:w="0" w:type="auto"/>
            <w:noWrap/>
            <w:vAlign w:val="bottom"/>
            <w:hideMark/>
          </w:tcPr>
          <w:p w14:paraId="2C0C7E86"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223</w:t>
            </w:r>
          </w:p>
        </w:tc>
      </w:tr>
      <w:tr w:rsidR="004921FF" w:rsidRPr="00AC2DB2" w14:paraId="38C8965F" w14:textId="77777777" w:rsidTr="0067066E">
        <w:trPr>
          <w:trHeight w:val="315"/>
          <w:jc w:val="center"/>
        </w:trPr>
        <w:tc>
          <w:tcPr>
            <w:tcW w:w="0" w:type="auto"/>
            <w:noWrap/>
            <w:vAlign w:val="bottom"/>
            <w:hideMark/>
          </w:tcPr>
          <w:p w14:paraId="285A59D9"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Octubre</w:t>
            </w:r>
          </w:p>
        </w:tc>
        <w:tc>
          <w:tcPr>
            <w:tcW w:w="0" w:type="auto"/>
            <w:noWrap/>
            <w:vAlign w:val="bottom"/>
            <w:hideMark/>
          </w:tcPr>
          <w:p w14:paraId="2D3592DB"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5</w:t>
            </w:r>
          </w:p>
        </w:tc>
        <w:tc>
          <w:tcPr>
            <w:tcW w:w="0" w:type="auto"/>
            <w:noWrap/>
            <w:vAlign w:val="bottom"/>
            <w:hideMark/>
          </w:tcPr>
          <w:p w14:paraId="7B4F97CC"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155</w:t>
            </w:r>
          </w:p>
        </w:tc>
        <w:tc>
          <w:tcPr>
            <w:tcW w:w="0" w:type="auto"/>
            <w:noWrap/>
            <w:vAlign w:val="bottom"/>
            <w:hideMark/>
          </w:tcPr>
          <w:p w14:paraId="377F6ED0"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86</w:t>
            </w:r>
          </w:p>
        </w:tc>
        <w:tc>
          <w:tcPr>
            <w:tcW w:w="0" w:type="auto"/>
            <w:noWrap/>
            <w:vAlign w:val="bottom"/>
            <w:hideMark/>
          </w:tcPr>
          <w:p w14:paraId="2ECAE539"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241</w:t>
            </w:r>
          </w:p>
        </w:tc>
      </w:tr>
      <w:tr w:rsidR="004921FF" w:rsidRPr="00AC2DB2" w14:paraId="7AFCA10C" w14:textId="77777777" w:rsidTr="0067066E">
        <w:trPr>
          <w:trHeight w:val="315"/>
          <w:jc w:val="center"/>
        </w:trPr>
        <w:tc>
          <w:tcPr>
            <w:tcW w:w="0" w:type="auto"/>
            <w:noWrap/>
            <w:vAlign w:val="bottom"/>
            <w:hideMark/>
          </w:tcPr>
          <w:p w14:paraId="023D8C1D"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Noviembre</w:t>
            </w:r>
          </w:p>
        </w:tc>
        <w:tc>
          <w:tcPr>
            <w:tcW w:w="0" w:type="auto"/>
            <w:noWrap/>
            <w:vAlign w:val="bottom"/>
            <w:hideMark/>
          </w:tcPr>
          <w:p w14:paraId="0E34E099"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4</w:t>
            </w:r>
          </w:p>
        </w:tc>
        <w:tc>
          <w:tcPr>
            <w:tcW w:w="0" w:type="auto"/>
            <w:noWrap/>
            <w:vAlign w:val="bottom"/>
            <w:hideMark/>
          </w:tcPr>
          <w:p w14:paraId="1D98F992"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114</w:t>
            </w:r>
          </w:p>
        </w:tc>
        <w:tc>
          <w:tcPr>
            <w:tcW w:w="0" w:type="auto"/>
            <w:noWrap/>
            <w:vAlign w:val="bottom"/>
            <w:hideMark/>
          </w:tcPr>
          <w:p w14:paraId="10AB120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53</w:t>
            </w:r>
          </w:p>
        </w:tc>
        <w:tc>
          <w:tcPr>
            <w:tcW w:w="0" w:type="auto"/>
            <w:noWrap/>
            <w:vAlign w:val="bottom"/>
            <w:hideMark/>
          </w:tcPr>
          <w:p w14:paraId="0DE08FE3"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167</w:t>
            </w:r>
          </w:p>
        </w:tc>
      </w:tr>
      <w:tr w:rsidR="004921FF" w:rsidRPr="00AC2DB2" w14:paraId="6B272421" w14:textId="77777777" w:rsidTr="0067066E">
        <w:trPr>
          <w:trHeight w:val="315"/>
          <w:jc w:val="center"/>
        </w:trPr>
        <w:tc>
          <w:tcPr>
            <w:tcW w:w="0" w:type="auto"/>
            <w:noWrap/>
            <w:vAlign w:val="bottom"/>
            <w:hideMark/>
          </w:tcPr>
          <w:p w14:paraId="48BB424B" w14:textId="77777777" w:rsidR="00137A37" w:rsidRPr="00AC2DB2" w:rsidRDefault="00137A37" w:rsidP="007877CE">
            <w:pPr>
              <w:spacing w:after="0" w:line="240" w:lineRule="auto"/>
              <w:rPr>
                <w:rFonts w:eastAsia="Times New Roman"/>
                <w:spacing w:val="0"/>
                <w:lang w:val="es-DO" w:eastAsia="es-DO"/>
              </w:rPr>
            </w:pPr>
            <w:r w:rsidRPr="00AC2DB2">
              <w:rPr>
                <w:rFonts w:eastAsia="Times New Roman"/>
                <w:spacing w:val="0"/>
                <w:lang w:val="es-DO" w:eastAsia="es-DO"/>
              </w:rPr>
              <w:t xml:space="preserve">Diciembre   </w:t>
            </w:r>
          </w:p>
        </w:tc>
        <w:tc>
          <w:tcPr>
            <w:tcW w:w="0" w:type="auto"/>
            <w:noWrap/>
            <w:vAlign w:val="bottom"/>
            <w:hideMark/>
          </w:tcPr>
          <w:p w14:paraId="52EB17AE"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3</w:t>
            </w:r>
          </w:p>
        </w:tc>
        <w:tc>
          <w:tcPr>
            <w:tcW w:w="0" w:type="auto"/>
            <w:noWrap/>
            <w:vAlign w:val="bottom"/>
            <w:hideMark/>
          </w:tcPr>
          <w:p w14:paraId="1FF83F49"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119</w:t>
            </w:r>
          </w:p>
        </w:tc>
        <w:tc>
          <w:tcPr>
            <w:tcW w:w="0" w:type="auto"/>
            <w:noWrap/>
            <w:vAlign w:val="bottom"/>
            <w:hideMark/>
          </w:tcPr>
          <w:p w14:paraId="11A09B87"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18</w:t>
            </w:r>
          </w:p>
        </w:tc>
        <w:tc>
          <w:tcPr>
            <w:tcW w:w="0" w:type="auto"/>
            <w:noWrap/>
            <w:vAlign w:val="bottom"/>
            <w:hideMark/>
          </w:tcPr>
          <w:p w14:paraId="597B52DF" w14:textId="77777777" w:rsidR="00137A37" w:rsidRPr="00AC2DB2" w:rsidRDefault="00137A37" w:rsidP="007877CE">
            <w:pPr>
              <w:spacing w:after="0" w:line="240" w:lineRule="auto"/>
              <w:jc w:val="center"/>
              <w:rPr>
                <w:rFonts w:eastAsia="Times New Roman"/>
                <w:spacing w:val="0"/>
                <w:lang w:val="es-DO" w:eastAsia="es-DO"/>
              </w:rPr>
            </w:pPr>
            <w:r w:rsidRPr="00AC2DB2">
              <w:rPr>
                <w:rFonts w:eastAsia="Times New Roman"/>
                <w:spacing w:val="0"/>
                <w:lang w:val="es-DO" w:eastAsia="es-DO"/>
              </w:rPr>
              <w:t>137</w:t>
            </w:r>
          </w:p>
        </w:tc>
      </w:tr>
      <w:tr w:rsidR="00AC2DB2" w:rsidRPr="00AC2DB2" w14:paraId="42CA49EB" w14:textId="77777777" w:rsidTr="0067066E">
        <w:trPr>
          <w:trHeight w:val="315"/>
          <w:jc w:val="center"/>
        </w:trPr>
        <w:tc>
          <w:tcPr>
            <w:tcW w:w="0" w:type="auto"/>
            <w:shd w:val="clear" w:color="auto" w:fill="011C50"/>
            <w:noWrap/>
            <w:vAlign w:val="bottom"/>
            <w:hideMark/>
          </w:tcPr>
          <w:p w14:paraId="57A1EE23" w14:textId="77777777" w:rsidR="00137A37" w:rsidRPr="00AC2DB2" w:rsidRDefault="00137A37" w:rsidP="007877CE">
            <w:pPr>
              <w:spacing w:after="0" w:line="240" w:lineRule="auto"/>
              <w:jc w:val="right"/>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 xml:space="preserve">Total </w:t>
            </w:r>
          </w:p>
        </w:tc>
        <w:tc>
          <w:tcPr>
            <w:tcW w:w="0" w:type="auto"/>
            <w:shd w:val="clear" w:color="auto" w:fill="011C50"/>
            <w:vAlign w:val="bottom"/>
            <w:hideMark/>
          </w:tcPr>
          <w:p w14:paraId="7A39A122"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44</w:t>
            </w:r>
          </w:p>
        </w:tc>
        <w:tc>
          <w:tcPr>
            <w:tcW w:w="0" w:type="auto"/>
            <w:shd w:val="clear" w:color="auto" w:fill="011C50"/>
            <w:vAlign w:val="bottom"/>
            <w:hideMark/>
          </w:tcPr>
          <w:p w14:paraId="0FE78F30"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1418</w:t>
            </w:r>
          </w:p>
        </w:tc>
        <w:tc>
          <w:tcPr>
            <w:tcW w:w="0" w:type="auto"/>
            <w:shd w:val="clear" w:color="auto" w:fill="011C50"/>
            <w:vAlign w:val="bottom"/>
            <w:hideMark/>
          </w:tcPr>
          <w:p w14:paraId="416CE567"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612</w:t>
            </w:r>
          </w:p>
        </w:tc>
        <w:tc>
          <w:tcPr>
            <w:tcW w:w="0" w:type="auto"/>
            <w:shd w:val="clear" w:color="auto" w:fill="011C50"/>
            <w:vAlign w:val="bottom"/>
            <w:hideMark/>
          </w:tcPr>
          <w:p w14:paraId="09A96668" w14:textId="77777777" w:rsidR="00137A37" w:rsidRPr="00AC2DB2" w:rsidRDefault="00137A37" w:rsidP="007877CE">
            <w:pPr>
              <w:spacing w:after="0" w:line="240" w:lineRule="auto"/>
              <w:jc w:val="center"/>
              <w:rPr>
                <w:rFonts w:eastAsia="Times New Roman"/>
                <w:b/>
                <w:bCs/>
                <w:color w:val="FFFFFF" w:themeColor="background1"/>
                <w:spacing w:val="0"/>
                <w:lang w:val="es-DO" w:eastAsia="es-DO"/>
              </w:rPr>
            </w:pPr>
            <w:r w:rsidRPr="00AC2DB2">
              <w:rPr>
                <w:rFonts w:eastAsia="Times New Roman"/>
                <w:b/>
                <w:bCs/>
                <w:color w:val="FFFFFF" w:themeColor="background1"/>
                <w:spacing w:val="0"/>
                <w:lang w:val="es-DO" w:eastAsia="es-DO"/>
              </w:rPr>
              <w:t>2030</w:t>
            </w:r>
          </w:p>
        </w:tc>
      </w:tr>
    </w:tbl>
    <w:p w14:paraId="54463212" w14:textId="35057216" w:rsidR="003E0755" w:rsidRPr="00AC2DB2" w:rsidRDefault="003E0755" w:rsidP="00AC2DB2">
      <w:pPr>
        <w:spacing w:after="0" w:line="360" w:lineRule="auto"/>
        <w:rPr>
          <w:sz w:val="18"/>
          <w:szCs w:val="18"/>
          <w:lang w:val="es-MX"/>
        </w:rPr>
      </w:pPr>
      <w:r w:rsidRPr="00AC2DB2">
        <w:rPr>
          <w:sz w:val="18"/>
          <w:szCs w:val="18"/>
          <w:lang w:val="es-MX"/>
        </w:rPr>
        <w:t xml:space="preserve">Fuente: </w:t>
      </w:r>
      <w:r w:rsidR="004B369F" w:rsidRPr="00AC2DB2">
        <w:rPr>
          <w:sz w:val="18"/>
          <w:szCs w:val="18"/>
          <w:lang w:val="es-MX"/>
        </w:rPr>
        <w:t>Reporte mensual, listado de asistencia</w:t>
      </w:r>
    </w:p>
    <w:p w14:paraId="3EC0953D" w14:textId="77777777" w:rsidR="00831195" w:rsidRPr="005C133F" w:rsidRDefault="00831195" w:rsidP="005C133F">
      <w:pPr>
        <w:spacing w:after="0" w:line="360" w:lineRule="auto"/>
        <w:jc w:val="both"/>
        <w:rPr>
          <w:b/>
          <w:bCs/>
          <w:lang w:val="es-MX"/>
        </w:rPr>
      </w:pPr>
    </w:p>
    <w:p w14:paraId="765AF3D4" w14:textId="07DE2DAC" w:rsidR="00ED4F47" w:rsidRPr="005C133F" w:rsidRDefault="00ED4F47" w:rsidP="005861FF">
      <w:pPr>
        <w:spacing w:after="0" w:line="240" w:lineRule="auto"/>
        <w:jc w:val="center"/>
        <w:rPr>
          <w:b/>
          <w:bCs/>
          <w:lang w:val="es-MX"/>
        </w:rPr>
      </w:pPr>
      <w:bookmarkStart w:id="104" w:name="_Toc218784170"/>
      <w:r w:rsidRPr="005C133F">
        <w:rPr>
          <w:b/>
          <w:bCs/>
          <w:lang w:val="es-MX"/>
        </w:rPr>
        <w:t xml:space="preserve">Tabla </w:t>
      </w:r>
      <w:r w:rsidRPr="005C133F">
        <w:rPr>
          <w:b/>
          <w:bCs/>
          <w:lang w:val="es-MX"/>
        </w:rPr>
        <w:fldChar w:fldCharType="begin"/>
      </w:r>
      <w:r w:rsidRPr="005C133F">
        <w:rPr>
          <w:b/>
          <w:bCs/>
          <w:lang w:val="es-MX"/>
        </w:rPr>
        <w:instrText xml:space="preserve"> SEQ Tabla \* ARABIC </w:instrText>
      </w:r>
      <w:r w:rsidRPr="005C133F">
        <w:rPr>
          <w:b/>
          <w:bCs/>
          <w:lang w:val="es-MX"/>
        </w:rPr>
        <w:fldChar w:fldCharType="separate"/>
      </w:r>
      <w:r w:rsidR="00814341">
        <w:rPr>
          <w:b/>
          <w:bCs/>
          <w:noProof/>
          <w:lang w:val="es-MX"/>
        </w:rPr>
        <w:t>38</w:t>
      </w:r>
      <w:r w:rsidRPr="005C133F">
        <w:rPr>
          <w:b/>
          <w:bCs/>
          <w:lang w:val="es-MX"/>
        </w:rPr>
        <w:fldChar w:fldCharType="end"/>
      </w:r>
      <w:r w:rsidRPr="005C133F">
        <w:rPr>
          <w:b/>
          <w:bCs/>
          <w:lang w:val="es-MX"/>
        </w:rPr>
        <w:t>. Capacitaciones sobre el uso correcto de la Oficina Virtual para registrar los Subsidio, a través de la Regional</w:t>
      </w:r>
      <w:bookmarkEnd w:id="104"/>
    </w:p>
    <w:tbl>
      <w:tblPr>
        <w:tblW w:w="3720" w:type="dxa"/>
        <w:jc w:val="center"/>
        <w:tblCellMar>
          <w:left w:w="70" w:type="dxa"/>
          <w:right w:w="70" w:type="dxa"/>
        </w:tblCellMar>
        <w:tblLook w:val="04A0" w:firstRow="1" w:lastRow="0" w:firstColumn="1" w:lastColumn="0" w:noHBand="0" w:noVBand="1"/>
      </w:tblPr>
      <w:tblGrid>
        <w:gridCol w:w="1294"/>
        <w:gridCol w:w="1234"/>
        <w:gridCol w:w="1192"/>
      </w:tblGrid>
      <w:tr w:rsidR="00C5165D" w:rsidRPr="00C5165D" w14:paraId="409A5B93" w14:textId="77777777" w:rsidTr="00C5165D">
        <w:trPr>
          <w:trHeight w:val="948"/>
          <w:tblHeader/>
          <w:jc w:val="center"/>
        </w:trPr>
        <w:tc>
          <w:tcPr>
            <w:tcW w:w="1240"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302F15D" w14:textId="77777777" w:rsidR="00C5165D" w:rsidRPr="00C5165D" w:rsidRDefault="00C5165D" w:rsidP="00C5165D">
            <w:pPr>
              <w:spacing w:after="0" w:line="240" w:lineRule="auto"/>
              <w:jc w:val="center"/>
              <w:rPr>
                <w:rFonts w:eastAsia="Times New Roman"/>
                <w:b/>
                <w:bCs/>
                <w:color w:val="FFFFFF"/>
                <w:spacing w:val="0"/>
                <w:lang w:val="es-DO" w:eastAsia="es-DO"/>
              </w:rPr>
            </w:pPr>
            <w:bookmarkStart w:id="105" w:name="RANGE!G2"/>
            <w:r w:rsidRPr="00C5165D">
              <w:rPr>
                <w:rFonts w:eastAsia="Times New Roman"/>
                <w:b/>
                <w:bCs/>
                <w:color w:val="FFFFFF"/>
                <w:spacing w:val="0"/>
                <w:lang w:val="es-DO" w:eastAsia="es-DO"/>
              </w:rPr>
              <w:t>Mes</w:t>
            </w:r>
            <w:bookmarkEnd w:id="105"/>
          </w:p>
        </w:tc>
        <w:tc>
          <w:tcPr>
            <w:tcW w:w="1240" w:type="dxa"/>
            <w:tcBorders>
              <w:top w:val="single" w:sz="8" w:space="0" w:color="767171"/>
              <w:left w:val="nil"/>
              <w:bottom w:val="single" w:sz="8" w:space="0" w:color="767171"/>
              <w:right w:val="single" w:sz="8" w:space="0" w:color="767171"/>
            </w:tcBorders>
            <w:shd w:val="clear" w:color="000000" w:fill="011C50"/>
            <w:vAlign w:val="center"/>
            <w:hideMark/>
          </w:tcPr>
          <w:p w14:paraId="32F25068" w14:textId="77777777" w:rsidR="00C5165D" w:rsidRPr="00C5165D" w:rsidRDefault="00C5165D" w:rsidP="00C5165D">
            <w:pPr>
              <w:spacing w:after="0" w:line="240" w:lineRule="auto"/>
              <w:jc w:val="center"/>
              <w:rPr>
                <w:rFonts w:eastAsia="Times New Roman"/>
                <w:b/>
                <w:bCs/>
                <w:color w:val="FFFFFF"/>
                <w:spacing w:val="0"/>
                <w:lang w:val="es-DO" w:eastAsia="es-DO"/>
              </w:rPr>
            </w:pPr>
            <w:r w:rsidRPr="00C5165D">
              <w:rPr>
                <w:rFonts w:eastAsia="Times New Roman"/>
                <w:b/>
                <w:bCs/>
                <w:color w:val="FFFFFF"/>
                <w:spacing w:val="0"/>
                <w:lang w:val="es-DO" w:eastAsia="es-DO"/>
              </w:rPr>
              <w:t>Presencial</w:t>
            </w:r>
          </w:p>
        </w:tc>
        <w:tc>
          <w:tcPr>
            <w:tcW w:w="1240" w:type="dxa"/>
            <w:tcBorders>
              <w:top w:val="single" w:sz="8" w:space="0" w:color="767171"/>
              <w:left w:val="nil"/>
              <w:bottom w:val="single" w:sz="8" w:space="0" w:color="767171"/>
              <w:right w:val="single" w:sz="8" w:space="0" w:color="767171"/>
            </w:tcBorders>
            <w:shd w:val="clear" w:color="000000" w:fill="011C50"/>
            <w:vAlign w:val="center"/>
            <w:hideMark/>
          </w:tcPr>
          <w:p w14:paraId="15037489" w14:textId="77777777" w:rsidR="00C5165D" w:rsidRPr="00C5165D" w:rsidRDefault="00C5165D" w:rsidP="00C5165D">
            <w:pPr>
              <w:spacing w:after="0" w:line="240" w:lineRule="auto"/>
              <w:jc w:val="center"/>
              <w:rPr>
                <w:rFonts w:eastAsia="Times New Roman"/>
                <w:b/>
                <w:bCs/>
                <w:color w:val="FFFFFF"/>
                <w:spacing w:val="0"/>
                <w:lang w:val="es-DO" w:eastAsia="es-DO"/>
              </w:rPr>
            </w:pPr>
            <w:r w:rsidRPr="00C5165D">
              <w:rPr>
                <w:rFonts w:eastAsia="Times New Roman"/>
                <w:b/>
                <w:bCs/>
                <w:color w:val="FFFFFF"/>
                <w:spacing w:val="0"/>
                <w:lang w:val="es-DO" w:eastAsia="es-DO"/>
              </w:rPr>
              <w:t>Virtual</w:t>
            </w:r>
          </w:p>
        </w:tc>
      </w:tr>
      <w:tr w:rsidR="00C5165D" w:rsidRPr="00C5165D" w14:paraId="2545310D"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7CB7EBE4"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Enero  </w:t>
            </w:r>
          </w:p>
        </w:tc>
        <w:tc>
          <w:tcPr>
            <w:tcW w:w="1240" w:type="dxa"/>
            <w:tcBorders>
              <w:top w:val="nil"/>
              <w:left w:val="nil"/>
              <w:bottom w:val="single" w:sz="8" w:space="0" w:color="767171"/>
              <w:right w:val="single" w:sz="8" w:space="0" w:color="767171"/>
            </w:tcBorders>
            <w:vAlign w:val="center"/>
            <w:hideMark/>
          </w:tcPr>
          <w:p w14:paraId="36E193B2"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06EBF5E6"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639CD6F3"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6A7797E9"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Febrero </w:t>
            </w:r>
          </w:p>
        </w:tc>
        <w:tc>
          <w:tcPr>
            <w:tcW w:w="1240" w:type="dxa"/>
            <w:tcBorders>
              <w:top w:val="nil"/>
              <w:left w:val="nil"/>
              <w:bottom w:val="single" w:sz="8" w:space="0" w:color="767171"/>
              <w:right w:val="single" w:sz="8" w:space="0" w:color="767171"/>
            </w:tcBorders>
            <w:vAlign w:val="center"/>
            <w:hideMark/>
          </w:tcPr>
          <w:p w14:paraId="090BBDD5"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227E5558"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62CA59FC"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12EF1B25"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lastRenderedPageBreak/>
              <w:t>Marzo </w:t>
            </w:r>
          </w:p>
        </w:tc>
        <w:tc>
          <w:tcPr>
            <w:tcW w:w="1240" w:type="dxa"/>
            <w:tcBorders>
              <w:top w:val="nil"/>
              <w:left w:val="nil"/>
              <w:bottom w:val="single" w:sz="8" w:space="0" w:color="767171"/>
              <w:right w:val="single" w:sz="8" w:space="0" w:color="767171"/>
            </w:tcBorders>
            <w:vAlign w:val="center"/>
            <w:hideMark/>
          </w:tcPr>
          <w:p w14:paraId="79F11F5F"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1</w:t>
            </w:r>
          </w:p>
        </w:tc>
        <w:tc>
          <w:tcPr>
            <w:tcW w:w="1240" w:type="dxa"/>
            <w:tcBorders>
              <w:top w:val="nil"/>
              <w:left w:val="nil"/>
              <w:bottom w:val="single" w:sz="8" w:space="0" w:color="767171"/>
              <w:right w:val="single" w:sz="8" w:space="0" w:color="767171"/>
            </w:tcBorders>
            <w:vAlign w:val="center"/>
            <w:hideMark/>
          </w:tcPr>
          <w:p w14:paraId="324D83E9"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3</w:t>
            </w:r>
          </w:p>
        </w:tc>
      </w:tr>
      <w:tr w:rsidR="00C5165D" w:rsidRPr="00C5165D" w14:paraId="7B470F8D"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07EAF84F"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Abril </w:t>
            </w:r>
          </w:p>
        </w:tc>
        <w:tc>
          <w:tcPr>
            <w:tcW w:w="1240" w:type="dxa"/>
            <w:tcBorders>
              <w:top w:val="nil"/>
              <w:left w:val="nil"/>
              <w:bottom w:val="single" w:sz="8" w:space="0" w:color="767171"/>
              <w:right w:val="single" w:sz="8" w:space="0" w:color="767171"/>
            </w:tcBorders>
            <w:vAlign w:val="center"/>
            <w:hideMark/>
          </w:tcPr>
          <w:p w14:paraId="5C44A76B"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1</w:t>
            </w:r>
          </w:p>
        </w:tc>
        <w:tc>
          <w:tcPr>
            <w:tcW w:w="1240" w:type="dxa"/>
            <w:tcBorders>
              <w:top w:val="nil"/>
              <w:left w:val="nil"/>
              <w:bottom w:val="single" w:sz="8" w:space="0" w:color="767171"/>
              <w:right w:val="single" w:sz="8" w:space="0" w:color="767171"/>
            </w:tcBorders>
            <w:vAlign w:val="center"/>
            <w:hideMark/>
          </w:tcPr>
          <w:p w14:paraId="50D7A0F7"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3</w:t>
            </w:r>
          </w:p>
        </w:tc>
      </w:tr>
      <w:tr w:rsidR="00C5165D" w:rsidRPr="00C5165D" w14:paraId="13E8AD2F"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702C7CAC"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Mayo </w:t>
            </w:r>
          </w:p>
        </w:tc>
        <w:tc>
          <w:tcPr>
            <w:tcW w:w="1240" w:type="dxa"/>
            <w:tcBorders>
              <w:top w:val="nil"/>
              <w:left w:val="nil"/>
              <w:bottom w:val="single" w:sz="8" w:space="0" w:color="767171"/>
              <w:right w:val="single" w:sz="8" w:space="0" w:color="767171"/>
            </w:tcBorders>
            <w:vAlign w:val="center"/>
            <w:hideMark/>
          </w:tcPr>
          <w:p w14:paraId="75B7B46A"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23912FEF"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4DAD774F"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604890E1"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Junio </w:t>
            </w:r>
          </w:p>
        </w:tc>
        <w:tc>
          <w:tcPr>
            <w:tcW w:w="1240" w:type="dxa"/>
            <w:tcBorders>
              <w:top w:val="nil"/>
              <w:left w:val="nil"/>
              <w:bottom w:val="single" w:sz="8" w:space="0" w:color="767171"/>
              <w:right w:val="single" w:sz="8" w:space="0" w:color="767171"/>
            </w:tcBorders>
            <w:vAlign w:val="center"/>
            <w:hideMark/>
          </w:tcPr>
          <w:p w14:paraId="5AEAF967"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036ED351"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69B600D0"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12C6E3F9"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Julio </w:t>
            </w:r>
          </w:p>
        </w:tc>
        <w:tc>
          <w:tcPr>
            <w:tcW w:w="1240" w:type="dxa"/>
            <w:tcBorders>
              <w:top w:val="nil"/>
              <w:left w:val="nil"/>
              <w:bottom w:val="single" w:sz="8" w:space="0" w:color="767171"/>
              <w:right w:val="single" w:sz="8" w:space="0" w:color="767171"/>
            </w:tcBorders>
            <w:vAlign w:val="center"/>
            <w:hideMark/>
          </w:tcPr>
          <w:p w14:paraId="73248BDD"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5C169744"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08C1DC7F"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064A2819"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Agosto </w:t>
            </w:r>
          </w:p>
        </w:tc>
        <w:tc>
          <w:tcPr>
            <w:tcW w:w="1240" w:type="dxa"/>
            <w:tcBorders>
              <w:top w:val="nil"/>
              <w:left w:val="nil"/>
              <w:bottom w:val="single" w:sz="8" w:space="0" w:color="767171"/>
              <w:right w:val="single" w:sz="8" w:space="0" w:color="767171"/>
            </w:tcBorders>
            <w:vAlign w:val="center"/>
            <w:hideMark/>
          </w:tcPr>
          <w:p w14:paraId="65F0F636"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6822591F"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29872741"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1034ACA3"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Septiembre </w:t>
            </w:r>
          </w:p>
        </w:tc>
        <w:tc>
          <w:tcPr>
            <w:tcW w:w="1240" w:type="dxa"/>
            <w:tcBorders>
              <w:top w:val="nil"/>
              <w:left w:val="nil"/>
              <w:bottom w:val="single" w:sz="8" w:space="0" w:color="767171"/>
              <w:right w:val="single" w:sz="8" w:space="0" w:color="767171"/>
            </w:tcBorders>
            <w:vAlign w:val="center"/>
            <w:hideMark/>
          </w:tcPr>
          <w:p w14:paraId="4FCF9B0B"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6A7BC6D1"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0695A223"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40F9AE99"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Octubre </w:t>
            </w:r>
          </w:p>
        </w:tc>
        <w:tc>
          <w:tcPr>
            <w:tcW w:w="1240" w:type="dxa"/>
            <w:tcBorders>
              <w:top w:val="nil"/>
              <w:left w:val="nil"/>
              <w:bottom w:val="single" w:sz="8" w:space="0" w:color="767171"/>
              <w:right w:val="single" w:sz="8" w:space="0" w:color="767171"/>
            </w:tcBorders>
            <w:vAlign w:val="center"/>
            <w:hideMark/>
          </w:tcPr>
          <w:p w14:paraId="45ABF015"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702640EC"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5F813C80"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3579CAB1"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Noviembre </w:t>
            </w:r>
          </w:p>
        </w:tc>
        <w:tc>
          <w:tcPr>
            <w:tcW w:w="1240" w:type="dxa"/>
            <w:tcBorders>
              <w:top w:val="nil"/>
              <w:left w:val="nil"/>
              <w:bottom w:val="single" w:sz="8" w:space="0" w:color="767171"/>
              <w:right w:val="single" w:sz="8" w:space="0" w:color="767171"/>
            </w:tcBorders>
            <w:vAlign w:val="center"/>
            <w:hideMark/>
          </w:tcPr>
          <w:p w14:paraId="1C61C810"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6E44C688"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673D49B4" w14:textId="77777777" w:rsidTr="00C5165D">
        <w:trPr>
          <w:trHeight w:val="324"/>
          <w:jc w:val="center"/>
        </w:trPr>
        <w:tc>
          <w:tcPr>
            <w:tcW w:w="1240" w:type="dxa"/>
            <w:tcBorders>
              <w:top w:val="nil"/>
              <w:left w:val="single" w:sz="8" w:space="0" w:color="767171"/>
              <w:bottom w:val="single" w:sz="8" w:space="0" w:color="767171"/>
              <w:right w:val="single" w:sz="8" w:space="0" w:color="767171"/>
            </w:tcBorders>
            <w:vAlign w:val="center"/>
            <w:hideMark/>
          </w:tcPr>
          <w:p w14:paraId="7BFAE652" w14:textId="77777777" w:rsidR="00C5165D" w:rsidRPr="00C5165D" w:rsidRDefault="00C5165D" w:rsidP="00C5165D">
            <w:pPr>
              <w:spacing w:after="0" w:line="240" w:lineRule="auto"/>
              <w:rPr>
                <w:rFonts w:eastAsia="Times New Roman"/>
                <w:spacing w:val="0"/>
                <w:lang w:val="es-DO" w:eastAsia="es-DO"/>
              </w:rPr>
            </w:pPr>
            <w:r w:rsidRPr="00C5165D">
              <w:rPr>
                <w:rFonts w:eastAsia="Times New Roman"/>
                <w:spacing w:val="0"/>
                <w:lang w:val="es-DO" w:eastAsia="es-DO"/>
              </w:rPr>
              <w:t>Diciembre </w:t>
            </w:r>
          </w:p>
        </w:tc>
        <w:tc>
          <w:tcPr>
            <w:tcW w:w="1240" w:type="dxa"/>
            <w:tcBorders>
              <w:top w:val="nil"/>
              <w:left w:val="nil"/>
              <w:bottom w:val="single" w:sz="8" w:space="0" w:color="767171"/>
              <w:right w:val="single" w:sz="8" w:space="0" w:color="767171"/>
            </w:tcBorders>
            <w:vAlign w:val="center"/>
            <w:hideMark/>
          </w:tcPr>
          <w:p w14:paraId="6362C03D"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0</w:t>
            </w:r>
          </w:p>
        </w:tc>
        <w:tc>
          <w:tcPr>
            <w:tcW w:w="1240" w:type="dxa"/>
            <w:tcBorders>
              <w:top w:val="nil"/>
              <w:left w:val="nil"/>
              <w:bottom w:val="single" w:sz="8" w:space="0" w:color="767171"/>
              <w:right w:val="single" w:sz="8" w:space="0" w:color="767171"/>
            </w:tcBorders>
            <w:vAlign w:val="center"/>
            <w:hideMark/>
          </w:tcPr>
          <w:p w14:paraId="5E75C617" w14:textId="77777777" w:rsidR="00C5165D" w:rsidRPr="00C5165D" w:rsidRDefault="00C5165D" w:rsidP="00C5165D">
            <w:pPr>
              <w:spacing w:after="0" w:line="240" w:lineRule="auto"/>
              <w:jc w:val="center"/>
              <w:rPr>
                <w:rFonts w:eastAsia="Times New Roman"/>
                <w:spacing w:val="0"/>
                <w:lang w:val="es-DO" w:eastAsia="es-DO"/>
              </w:rPr>
            </w:pPr>
            <w:r w:rsidRPr="00C5165D">
              <w:rPr>
                <w:rFonts w:eastAsia="Times New Roman"/>
                <w:spacing w:val="0"/>
                <w:lang w:val="es-DO" w:eastAsia="es-DO"/>
              </w:rPr>
              <w:t>4</w:t>
            </w:r>
          </w:p>
        </w:tc>
      </w:tr>
      <w:tr w:rsidR="00C5165D" w:rsidRPr="00C5165D" w14:paraId="770914E6" w14:textId="77777777" w:rsidTr="00C5165D">
        <w:trPr>
          <w:trHeight w:val="324"/>
          <w:jc w:val="center"/>
        </w:trPr>
        <w:tc>
          <w:tcPr>
            <w:tcW w:w="1240" w:type="dxa"/>
            <w:tcBorders>
              <w:top w:val="nil"/>
              <w:left w:val="single" w:sz="8" w:space="0" w:color="767171"/>
              <w:bottom w:val="single" w:sz="8" w:space="0" w:color="767171"/>
              <w:right w:val="single" w:sz="8" w:space="0" w:color="767171"/>
            </w:tcBorders>
            <w:shd w:val="clear" w:color="000000" w:fill="011C50"/>
            <w:vAlign w:val="center"/>
            <w:hideMark/>
          </w:tcPr>
          <w:p w14:paraId="35416711" w14:textId="16C5E80B" w:rsidR="00C5165D" w:rsidRPr="00C5165D" w:rsidRDefault="00C5165D" w:rsidP="00407793">
            <w:pPr>
              <w:spacing w:after="0" w:line="240" w:lineRule="auto"/>
              <w:jc w:val="center"/>
              <w:rPr>
                <w:rFonts w:eastAsia="Times New Roman"/>
                <w:b/>
                <w:bCs/>
                <w:color w:val="FFFFFF"/>
                <w:spacing w:val="0"/>
                <w:lang w:val="es-DO" w:eastAsia="es-DO"/>
              </w:rPr>
            </w:pPr>
          </w:p>
        </w:tc>
        <w:tc>
          <w:tcPr>
            <w:tcW w:w="1240" w:type="dxa"/>
            <w:tcBorders>
              <w:top w:val="nil"/>
              <w:left w:val="nil"/>
              <w:bottom w:val="single" w:sz="8" w:space="0" w:color="767171"/>
              <w:right w:val="single" w:sz="8" w:space="0" w:color="767171"/>
            </w:tcBorders>
            <w:shd w:val="clear" w:color="000000" w:fill="011C50"/>
            <w:vAlign w:val="center"/>
            <w:hideMark/>
          </w:tcPr>
          <w:p w14:paraId="291BC780" w14:textId="77777777" w:rsidR="00C5165D" w:rsidRPr="00C5165D" w:rsidRDefault="00C5165D" w:rsidP="00407793">
            <w:pPr>
              <w:spacing w:after="0" w:line="240" w:lineRule="auto"/>
              <w:jc w:val="center"/>
              <w:rPr>
                <w:rFonts w:eastAsia="Times New Roman"/>
                <w:b/>
                <w:bCs/>
                <w:color w:val="FFFFFF"/>
                <w:spacing w:val="0"/>
                <w:lang w:val="es-DO" w:eastAsia="es-DO"/>
              </w:rPr>
            </w:pPr>
            <w:r w:rsidRPr="00C5165D">
              <w:rPr>
                <w:rFonts w:eastAsia="Times New Roman"/>
                <w:b/>
                <w:bCs/>
                <w:color w:val="FFFFFF"/>
                <w:spacing w:val="0"/>
                <w:lang w:val="es-DO" w:eastAsia="es-DO"/>
              </w:rPr>
              <w:t>2</w:t>
            </w:r>
          </w:p>
        </w:tc>
        <w:tc>
          <w:tcPr>
            <w:tcW w:w="1240" w:type="dxa"/>
            <w:tcBorders>
              <w:top w:val="nil"/>
              <w:left w:val="nil"/>
              <w:bottom w:val="single" w:sz="8" w:space="0" w:color="767171"/>
              <w:right w:val="single" w:sz="8" w:space="0" w:color="767171"/>
            </w:tcBorders>
            <w:shd w:val="clear" w:color="000000" w:fill="011C50"/>
            <w:vAlign w:val="center"/>
            <w:hideMark/>
          </w:tcPr>
          <w:p w14:paraId="29C1488D" w14:textId="77777777" w:rsidR="00C5165D" w:rsidRPr="00C5165D" w:rsidRDefault="00C5165D" w:rsidP="00407793">
            <w:pPr>
              <w:spacing w:after="0" w:line="240" w:lineRule="auto"/>
              <w:jc w:val="center"/>
              <w:rPr>
                <w:rFonts w:eastAsia="Times New Roman"/>
                <w:b/>
                <w:bCs/>
                <w:color w:val="FFFFFF"/>
                <w:spacing w:val="0"/>
                <w:lang w:val="es-DO" w:eastAsia="es-DO"/>
              </w:rPr>
            </w:pPr>
            <w:r w:rsidRPr="00C5165D">
              <w:rPr>
                <w:rFonts w:eastAsia="Times New Roman"/>
                <w:b/>
                <w:bCs/>
                <w:color w:val="FFFFFF"/>
                <w:spacing w:val="0"/>
                <w:lang w:val="es-DO" w:eastAsia="es-DO"/>
              </w:rPr>
              <w:t>46</w:t>
            </w:r>
          </w:p>
        </w:tc>
      </w:tr>
    </w:tbl>
    <w:p w14:paraId="7093AAAB" w14:textId="2DBE92BF" w:rsidR="00796F6C" w:rsidRPr="00C5165D" w:rsidRDefault="00C5165D" w:rsidP="00C5165D">
      <w:pPr>
        <w:tabs>
          <w:tab w:val="left" w:pos="2674"/>
        </w:tabs>
        <w:spacing w:after="0" w:line="360" w:lineRule="auto"/>
        <w:jc w:val="center"/>
        <w:rPr>
          <w:sz w:val="18"/>
          <w:szCs w:val="18"/>
          <w:lang w:val="es-MX"/>
        </w:rPr>
      </w:pPr>
      <w:r w:rsidRPr="00C5165D">
        <w:rPr>
          <w:sz w:val="18"/>
          <w:szCs w:val="18"/>
          <w:lang w:val="es-MX"/>
        </w:rPr>
        <w:t>Fuente: Dirección de Interacción y Asistencia al Usuario, SISALRIL</w:t>
      </w:r>
    </w:p>
    <w:p w14:paraId="32CF0622" w14:textId="70F48987" w:rsidR="00361910" w:rsidRPr="005C133F" w:rsidRDefault="00C5165D" w:rsidP="00C5165D">
      <w:pPr>
        <w:tabs>
          <w:tab w:val="left" w:pos="2917"/>
        </w:tabs>
        <w:spacing w:after="0" w:line="360" w:lineRule="auto"/>
        <w:jc w:val="both"/>
        <w:rPr>
          <w:b/>
          <w:bCs/>
          <w:lang w:val="es-MX"/>
        </w:rPr>
      </w:pPr>
      <w:r>
        <w:rPr>
          <w:b/>
          <w:bCs/>
          <w:lang w:val="es-MX"/>
        </w:rPr>
        <w:tab/>
      </w:r>
    </w:p>
    <w:p w14:paraId="1C2FD8B8" w14:textId="271A30CE" w:rsidR="00831195" w:rsidRPr="005C133F" w:rsidRDefault="00831195" w:rsidP="005C133F">
      <w:pPr>
        <w:spacing w:after="0" w:line="360" w:lineRule="auto"/>
        <w:jc w:val="both"/>
        <w:rPr>
          <w:b/>
          <w:bCs/>
          <w:lang w:val="es-MX"/>
        </w:rPr>
      </w:pPr>
      <w:r w:rsidRPr="005C133F">
        <w:rPr>
          <w:b/>
          <w:bCs/>
          <w:lang w:val="es-MX"/>
        </w:rPr>
        <w:t xml:space="preserve">Celebración de AULA SISALRIL </w:t>
      </w:r>
    </w:p>
    <w:p w14:paraId="22400C80" w14:textId="77777777" w:rsidR="00831195" w:rsidRPr="005C133F" w:rsidRDefault="00831195" w:rsidP="005C133F">
      <w:pPr>
        <w:spacing w:after="0" w:line="360" w:lineRule="auto"/>
        <w:contextualSpacing/>
        <w:jc w:val="both"/>
        <w:rPr>
          <w:rFonts w:eastAsia="Times New Roman"/>
          <w:highlight w:val="green"/>
          <w:lang w:val="es-DO"/>
        </w:rPr>
      </w:pPr>
    </w:p>
    <w:p w14:paraId="7299DE93" w14:textId="2484EE18" w:rsidR="00831195" w:rsidRPr="005C133F" w:rsidRDefault="00410C36" w:rsidP="005C133F">
      <w:pPr>
        <w:spacing w:after="0" w:line="360" w:lineRule="auto"/>
        <w:contextualSpacing/>
        <w:jc w:val="both"/>
        <w:rPr>
          <w:rFonts w:eastAsia="Times New Roman"/>
          <w:lang w:val="es-DO"/>
        </w:rPr>
      </w:pPr>
      <w:r w:rsidRPr="005C133F">
        <w:rPr>
          <w:rFonts w:eastAsia="Times New Roman"/>
          <w:lang w:val="es-DO"/>
        </w:rPr>
        <w:t xml:space="preserve">Se desarrollo el espacio </w:t>
      </w:r>
      <w:r w:rsidR="00831195" w:rsidRPr="005C133F">
        <w:rPr>
          <w:rFonts w:eastAsia="Times New Roman"/>
          <w:lang w:val="es-DO"/>
        </w:rPr>
        <w:t>Aula SISALRIL</w:t>
      </w:r>
      <w:r w:rsidR="00986750" w:rsidRPr="005C133F">
        <w:rPr>
          <w:rFonts w:eastAsia="Times New Roman"/>
          <w:lang w:val="es-DO"/>
        </w:rPr>
        <w:t>,</w:t>
      </w:r>
      <w:r w:rsidR="00831195" w:rsidRPr="005C133F">
        <w:rPr>
          <w:rFonts w:eastAsia="Times New Roman"/>
          <w:lang w:val="es-DO"/>
        </w:rPr>
        <w:t xml:space="preserve"> un espacio técnico y académico orientado al abordaje de temas de interés nacional desde una perspectiva jurídica y con un enfoque transversal al Sistema Dominicano de Seguridad Social. A través de esta iniciativa se </w:t>
      </w:r>
      <w:r w:rsidR="004A3F5A" w:rsidRPr="005C133F">
        <w:rPr>
          <w:rFonts w:eastAsia="Times New Roman"/>
          <w:lang w:val="es-DO"/>
        </w:rPr>
        <w:t xml:space="preserve">realizaron </w:t>
      </w:r>
      <w:r w:rsidR="00831195" w:rsidRPr="005C133F">
        <w:rPr>
          <w:rFonts w:eastAsia="Times New Roman"/>
          <w:lang w:val="es-DO"/>
        </w:rPr>
        <w:t>debate</w:t>
      </w:r>
      <w:r w:rsidR="004A3F5A" w:rsidRPr="005C133F">
        <w:rPr>
          <w:rFonts w:eastAsia="Times New Roman"/>
          <w:lang w:val="es-DO"/>
        </w:rPr>
        <w:t>s</w:t>
      </w:r>
      <w:r w:rsidR="00831195" w:rsidRPr="005C133F">
        <w:rPr>
          <w:rFonts w:eastAsia="Times New Roman"/>
          <w:lang w:val="es-DO"/>
        </w:rPr>
        <w:t xml:space="preserve"> especializado</w:t>
      </w:r>
      <w:r w:rsidR="004A3F5A" w:rsidRPr="005C133F">
        <w:rPr>
          <w:rFonts w:eastAsia="Times New Roman"/>
          <w:lang w:val="es-DO"/>
        </w:rPr>
        <w:t>s</w:t>
      </w:r>
      <w:r w:rsidR="00831195" w:rsidRPr="005C133F">
        <w:rPr>
          <w:rFonts w:eastAsia="Times New Roman"/>
          <w:lang w:val="es-DO"/>
        </w:rPr>
        <w:t>,</w:t>
      </w:r>
      <w:r w:rsidR="000B707A" w:rsidRPr="005C133F">
        <w:rPr>
          <w:rFonts w:eastAsia="Times New Roman"/>
          <w:lang w:val="es-DO"/>
        </w:rPr>
        <w:t xml:space="preserve"> de </w:t>
      </w:r>
      <w:r w:rsidR="00831195" w:rsidRPr="005C133F">
        <w:rPr>
          <w:rFonts w:eastAsia="Times New Roman"/>
          <w:lang w:val="es-DO"/>
        </w:rPr>
        <w:t xml:space="preserve">reflexión crítica </w:t>
      </w:r>
      <w:r w:rsidR="000B707A" w:rsidRPr="005C133F">
        <w:rPr>
          <w:rFonts w:eastAsia="Times New Roman"/>
          <w:lang w:val="es-DO"/>
        </w:rPr>
        <w:t>e</w:t>
      </w:r>
      <w:r w:rsidR="00831195" w:rsidRPr="005C133F">
        <w:rPr>
          <w:rFonts w:eastAsia="Times New Roman"/>
          <w:lang w:val="es-DO"/>
        </w:rPr>
        <w:t xml:space="preserve"> intercambio de ideas entre los distintos actores del sector contribuyendo al fortalecimiento del conocimiento y la gestión pública. Durante el año, se </w:t>
      </w:r>
      <w:r w:rsidR="009B684F" w:rsidRPr="005C133F">
        <w:rPr>
          <w:rFonts w:eastAsia="Times New Roman"/>
          <w:lang w:val="es-DO"/>
        </w:rPr>
        <w:t>celebraron</w:t>
      </w:r>
      <w:r w:rsidR="00831195" w:rsidRPr="005C133F">
        <w:rPr>
          <w:rFonts w:eastAsia="Times New Roman"/>
          <w:lang w:val="es-DO"/>
        </w:rPr>
        <w:t xml:space="preserve"> dos encuentros, a saber:</w:t>
      </w:r>
    </w:p>
    <w:p w14:paraId="13FC99CA" w14:textId="02737B7B" w:rsidR="00831195" w:rsidRPr="005C133F" w:rsidRDefault="009B684F">
      <w:pPr>
        <w:pStyle w:val="Prrafodelista"/>
        <w:widowControl w:val="0"/>
        <w:numPr>
          <w:ilvl w:val="0"/>
          <w:numId w:val="181"/>
        </w:numPr>
        <w:autoSpaceDE w:val="0"/>
        <w:autoSpaceDN w:val="0"/>
        <w:spacing w:after="0" w:line="360" w:lineRule="auto"/>
        <w:jc w:val="both"/>
        <w:rPr>
          <w:rFonts w:eastAsia="Calibri"/>
          <w:lang w:val="es-DO"/>
        </w:rPr>
      </w:pPr>
      <w:r w:rsidRPr="005C133F">
        <w:rPr>
          <w:rFonts w:eastAsia="Calibri"/>
          <w:lang w:val="es-DO"/>
        </w:rPr>
        <w:t>E</w:t>
      </w:r>
      <w:r w:rsidR="00831195" w:rsidRPr="005C133F">
        <w:rPr>
          <w:rFonts w:eastAsia="Calibri"/>
          <w:lang w:val="es-DO"/>
        </w:rPr>
        <w:t xml:space="preserve">n fecha 29 de agosto del 2025, con el tema: “Nueva Ley de Contrataciones Públicas, oportunidades para compras estratégicas en el Sector Salud”, realizado presencialmente y trasmitido en vivo vía YouTube. </w:t>
      </w:r>
    </w:p>
    <w:p w14:paraId="5CA4974C" w14:textId="4A68E765" w:rsidR="00831195" w:rsidRPr="005C133F" w:rsidRDefault="00C23052">
      <w:pPr>
        <w:pStyle w:val="Prrafodelista"/>
        <w:widowControl w:val="0"/>
        <w:numPr>
          <w:ilvl w:val="0"/>
          <w:numId w:val="181"/>
        </w:numPr>
        <w:autoSpaceDE w:val="0"/>
        <w:autoSpaceDN w:val="0"/>
        <w:spacing w:after="0" w:line="360" w:lineRule="auto"/>
        <w:jc w:val="both"/>
        <w:rPr>
          <w:rFonts w:eastAsia="Calibri"/>
          <w:lang w:val="es-DO"/>
        </w:rPr>
      </w:pPr>
      <w:r w:rsidRPr="005C133F">
        <w:rPr>
          <w:rFonts w:eastAsia="Calibri"/>
          <w:lang w:val="es-DO"/>
        </w:rPr>
        <w:t>E</w:t>
      </w:r>
      <w:r w:rsidR="00831195" w:rsidRPr="005C133F">
        <w:rPr>
          <w:rFonts w:eastAsia="Calibri"/>
          <w:lang w:val="es-DO"/>
        </w:rPr>
        <w:t xml:space="preserve">n fecha 31 de octubre del 2025, con el tema: “El Sistema Dominicano de Seguridad Social y Derechos Conexos Reconocidos por la República Dominicana”, realizado </w:t>
      </w:r>
      <w:r w:rsidR="00831195" w:rsidRPr="005C133F">
        <w:rPr>
          <w:rFonts w:eastAsia="Calibri"/>
          <w:lang w:val="es-DO"/>
        </w:rPr>
        <w:lastRenderedPageBreak/>
        <w:t>presencialmente y colgado en la plataforma de YouTube.</w:t>
      </w:r>
    </w:p>
    <w:p w14:paraId="294E49D5" w14:textId="77777777" w:rsidR="00361910" w:rsidRPr="005C133F" w:rsidRDefault="00361910" w:rsidP="005C133F">
      <w:pPr>
        <w:spacing w:after="0" w:line="360" w:lineRule="auto"/>
        <w:jc w:val="both"/>
        <w:rPr>
          <w:b/>
          <w:bCs/>
          <w:lang w:val="es-MX"/>
        </w:rPr>
      </w:pPr>
    </w:p>
    <w:p w14:paraId="75830A95" w14:textId="5E2AC181" w:rsidR="00DF38A9" w:rsidRPr="005C133F" w:rsidRDefault="00DF38A9" w:rsidP="005C133F">
      <w:pPr>
        <w:spacing w:after="0" w:line="360" w:lineRule="auto"/>
        <w:jc w:val="both"/>
        <w:rPr>
          <w:b/>
          <w:bCs/>
          <w:lang w:val="es-MX"/>
        </w:rPr>
      </w:pPr>
      <w:r w:rsidRPr="005C133F">
        <w:rPr>
          <w:b/>
          <w:bCs/>
          <w:lang w:val="es-MX"/>
        </w:rPr>
        <w:t>Servicios a Promotores de Salud</w:t>
      </w:r>
    </w:p>
    <w:p w14:paraId="761C905F" w14:textId="43CE2BD4" w:rsidR="00492DF7" w:rsidRPr="005C133F" w:rsidRDefault="002B01A3" w:rsidP="005C133F">
      <w:pPr>
        <w:spacing w:before="240" w:after="0" w:line="360" w:lineRule="auto"/>
        <w:jc w:val="both"/>
        <w:rPr>
          <w:lang w:val="es-DO"/>
        </w:rPr>
      </w:pPr>
      <w:r w:rsidRPr="005C133F">
        <w:rPr>
          <w:lang w:val="es-MX"/>
        </w:rPr>
        <w:t xml:space="preserve">De enero a </w:t>
      </w:r>
      <w:r w:rsidR="00DF38A9" w:rsidRPr="005C133F">
        <w:rPr>
          <w:lang w:val="es-DO"/>
        </w:rPr>
        <w:t xml:space="preserve">diciembre 2025, </w:t>
      </w:r>
      <w:r w:rsidRPr="005C133F">
        <w:rPr>
          <w:lang w:val="es-DO"/>
        </w:rPr>
        <w:t>se realizaron</w:t>
      </w:r>
      <w:r w:rsidR="00DF38A9" w:rsidRPr="005C133F">
        <w:rPr>
          <w:lang w:val="es-DO"/>
        </w:rPr>
        <w:t xml:space="preserve"> </w:t>
      </w:r>
      <w:r w:rsidR="00407793">
        <w:rPr>
          <w:lang w:val="es-DO"/>
        </w:rPr>
        <w:t>692</w:t>
      </w:r>
      <w:r w:rsidR="00DF38A9" w:rsidRPr="005C133F">
        <w:rPr>
          <w:lang w:val="es-DO"/>
        </w:rPr>
        <w:t xml:space="preserve"> renovaciones de promotores de salud</w:t>
      </w:r>
      <w:r w:rsidR="005248D2" w:rsidRPr="005C133F">
        <w:rPr>
          <w:lang w:val="es-DO"/>
        </w:rPr>
        <w:t xml:space="preserve">, </w:t>
      </w:r>
      <w:r w:rsidR="00407793">
        <w:rPr>
          <w:lang w:val="es-DO"/>
        </w:rPr>
        <w:t>1</w:t>
      </w:r>
      <w:r w:rsidR="005248D2" w:rsidRPr="005C133F">
        <w:rPr>
          <w:lang w:val="es-DO"/>
        </w:rPr>
        <w:t xml:space="preserve"> cambios </w:t>
      </w:r>
      <w:r w:rsidR="00CB5B22" w:rsidRPr="005C133F">
        <w:rPr>
          <w:lang w:val="es-DO"/>
        </w:rPr>
        <w:t xml:space="preserve">de razón social y </w:t>
      </w:r>
      <w:r w:rsidR="00407793">
        <w:rPr>
          <w:lang w:val="es-DO"/>
        </w:rPr>
        <w:t>1</w:t>
      </w:r>
      <w:r w:rsidR="00CB5B22" w:rsidRPr="005C133F">
        <w:rPr>
          <w:lang w:val="es-DO"/>
        </w:rPr>
        <w:t xml:space="preserve"> reposiciones de carnet</w:t>
      </w:r>
      <w:r w:rsidR="009F2CF7" w:rsidRPr="005C133F">
        <w:rPr>
          <w:lang w:val="es-DO"/>
        </w:rPr>
        <w:t>.</w:t>
      </w:r>
      <w:r w:rsidRPr="005C133F">
        <w:rPr>
          <w:lang w:val="es-DO"/>
        </w:rPr>
        <w:t xml:space="preserve"> </w:t>
      </w:r>
    </w:p>
    <w:p w14:paraId="33ED8A46" w14:textId="2714EFE3" w:rsidR="00ED4F47" w:rsidRPr="005C133F" w:rsidRDefault="00ED4F47" w:rsidP="005C133F">
      <w:pPr>
        <w:pStyle w:val="Descripcin"/>
        <w:keepNext/>
        <w:spacing w:after="0" w:line="360" w:lineRule="auto"/>
        <w:jc w:val="center"/>
        <w:rPr>
          <w:b/>
          <w:bCs/>
          <w:i w:val="0"/>
          <w:iCs w:val="0"/>
          <w:color w:val="767171"/>
          <w:sz w:val="24"/>
          <w:szCs w:val="24"/>
          <w:lang w:val="es-MX"/>
        </w:rPr>
      </w:pPr>
      <w:bookmarkStart w:id="106" w:name="_Toc218784171"/>
      <w:r w:rsidRPr="005C133F">
        <w:rPr>
          <w:b/>
          <w:bCs/>
          <w:i w:val="0"/>
          <w:iCs w:val="0"/>
          <w:color w:val="767171"/>
          <w:sz w:val="24"/>
          <w:szCs w:val="24"/>
          <w:lang w:val="es-MX"/>
        </w:rPr>
        <w:t xml:space="preserve">Tabla </w:t>
      </w:r>
      <w:r w:rsidRPr="005C133F">
        <w:rPr>
          <w:b/>
          <w:bCs/>
          <w:i w:val="0"/>
          <w:iCs w:val="0"/>
          <w:color w:val="767171"/>
          <w:sz w:val="24"/>
          <w:szCs w:val="24"/>
          <w:lang w:val="es-MX"/>
        </w:rPr>
        <w:fldChar w:fldCharType="begin"/>
      </w:r>
      <w:r w:rsidRPr="005C133F">
        <w:rPr>
          <w:b/>
          <w:bCs/>
          <w:i w:val="0"/>
          <w:iCs w:val="0"/>
          <w:color w:val="767171"/>
          <w:sz w:val="24"/>
          <w:szCs w:val="24"/>
          <w:lang w:val="es-MX"/>
        </w:rPr>
        <w:instrText xml:space="preserve"> SEQ Tabla \* ARABIC </w:instrText>
      </w:r>
      <w:r w:rsidRPr="005C133F">
        <w:rPr>
          <w:b/>
          <w:bCs/>
          <w:i w:val="0"/>
          <w:iCs w:val="0"/>
          <w:color w:val="767171"/>
          <w:sz w:val="24"/>
          <w:szCs w:val="24"/>
          <w:lang w:val="es-MX"/>
        </w:rPr>
        <w:fldChar w:fldCharType="separate"/>
      </w:r>
      <w:r w:rsidR="00814341">
        <w:rPr>
          <w:b/>
          <w:bCs/>
          <w:i w:val="0"/>
          <w:iCs w:val="0"/>
          <w:noProof/>
          <w:color w:val="767171"/>
          <w:sz w:val="24"/>
          <w:szCs w:val="24"/>
          <w:lang w:val="es-MX"/>
        </w:rPr>
        <w:t>39</w:t>
      </w:r>
      <w:r w:rsidRPr="005C133F">
        <w:rPr>
          <w:b/>
          <w:bCs/>
          <w:i w:val="0"/>
          <w:iCs w:val="0"/>
          <w:color w:val="767171"/>
          <w:sz w:val="24"/>
          <w:szCs w:val="24"/>
          <w:lang w:val="es-MX"/>
        </w:rPr>
        <w:fldChar w:fldCharType="end"/>
      </w:r>
      <w:r w:rsidRPr="005C133F">
        <w:rPr>
          <w:b/>
          <w:bCs/>
          <w:i w:val="0"/>
          <w:iCs w:val="0"/>
          <w:color w:val="767171"/>
          <w:sz w:val="24"/>
          <w:szCs w:val="24"/>
          <w:lang w:val="es-MX"/>
        </w:rPr>
        <w:t>. Renovaciones de Promotores 2025</w:t>
      </w:r>
      <w:bookmarkEnd w:id="106"/>
    </w:p>
    <w:tbl>
      <w:tblPr>
        <w:tblW w:w="0" w:type="auto"/>
        <w:tblCellMar>
          <w:left w:w="70" w:type="dxa"/>
          <w:right w:w="70" w:type="dxa"/>
        </w:tblCellMar>
        <w:tblLook w:val="04A0" w:firstRow="1" w:lastRow="0" w:firstColumn="1" w:lastColumn="0" w:noHBand="0" w:noVBand="1"/>
      </w:tblPr>
      <w:tblGrid>
        <w:gridCol w:w="1234"/>
        <w:gridCol w:w="1779"/>
        <w:gridCol w:w="1805"/>
        <w:gridCol w:w="1486"/>
        <w:gridCol w:w="1596"/>
      </w:tblGrid>
      <w:tr w:rsidR="00407793" w:rsidRPr="00407793" w14:paraId="6B72E04A" w14:textId="77777777" w:rsidTr="00407793">
        <w:trPr>
          <w:trHeight w:val="948"/>
          <w:tblHeader/>
        </w:trPr>
        <w:tc>
          <w:tcPr>
            <w:tcW w:w="0" w:type="auto"/>
            <w:tcBorders>
              <w:top w:val="nil"/>
              <w:left w:val="single" w:sz="8" w:space="0" w:color="A6A6A6"/>
              <w:bottom w:val="single" w:sz="8" w:space="0" w:color="A6A6A6"/>
              <w:right w:val="single" w:sz="8" w:space="0" w:color="A6A6A6"/>
            </w:tcBorders>
            <w:shd w:val="clear" w:color="auto" w:fill="011C50"/>
            <w:noWrap/>
            <w:vAlign w:val="center"/>
            <w:hideMark/>
          </w:tcPr>
          <w:p w14:paraId="415C6D6A"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Mes</w:t>
            </w:r>
          </w:p>
        </w:tc>
        <w:tc>
          <w:tcPr>
            <w:tcW w:w="0" w:type="auto"/>
            <w:tcBorders>
              <w:top w:val="nil"/>
              <w:left w:val="nil"/>
              <w:bottom w:val="single" w:sz="8" w:space="0" w:color="A6A6A6"/>
              <w:right w:val="single" w:sz="8" w:space="0" w:color="A6A6A6"/>
            </w:tcBorders>
            <w:shd w:val="clear" w:color="auto" w:fill="011C50"/>
            <w:vAlign w:val="center"/>
            <w:hideMark/>
          </w:tcPr>
          <w:p w14:paraId="11DE611D"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 xml:space="preserve">Renovaciones  Físicas </w:t>
            </w:r>
          </w:p>
        </w:tc>
        <w:tc>
          <w:tcPr>
            <w:tcW w:w="0" w:type="auto"/>
            <w:tcBorders>
              <w:top w:val="nil"/>
              <w:left w:val="nil"/>
              <w:bottom w:val="single" w:sz="8" w:space="0" w:color="A6A6A6"/>
              <w:right w:val="single" w:sz="8" w:space="0" w:color="A6A6A6"/>
            </w:tcBorders>
            <w:shd w:val="clear" w:color="auto" w:fill="011C50"/>
            <w:vAlign w:val="center"/>
            <w:hideMark/>
          </w:tcPr>
          <w:p w14:paraId="1B4054B4"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 xml:space="preserve">Renovaciones Morales </w:t>
            </w:r>
          </w:p>
        </w:tc>
        <w:tc>
          <w:tcPr>
            <w:tcW w:w="0" w:type="auto"/>
            <w:tcBorders>
              <w:top w:val="nil"/>
              <w:left w:val="nil"/>
              <w:bottom w:val="single" w:sz="8" w:space="0" w:color="A6A6A6"/>
              <w:right w:val="single" w:sz="8" w:space="0" w:color="A6A6A6"/>
            </w:tcBorders>
            <w:shd w:val="clear" w:color="auto" w:fill="011C50"/>
            <w:vAlign w:val="center"/>
            <w:hideMark/>
          </w:tcPr>
          <w:p w14:paraId="0DFE3597"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Cambio  de  Razón Social</w:t>
            </w:r>
          </w:p>
        </w:tc>
        <w:tc>
          <w:tcPr>
            <w:tcW w:w="0" w:type="auto"/>
            <w:tcBorders>
              <w:top w:val="nil"/>
              <w:left w:val="nil"/>
              <w:bottom w:val="single" w:sz="8" w:space="0" w:color="A6A6A6"/>
              <w:right w:val="single" w:sz="8" w:space="0" w:color="A6A6A6"/>
            </w:tcBorders>
            <w:shd w:val="clear" w:color="auto" w:fill="011C50"/>
            <w:vAlign w:val="center"/>
            <w:hideMark/>
          </w:tcPr>
          <w:p w14:paraId="6C5A9E2C"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 xml:space="preserve">Reposición de  Carnet  </w:t>
            </w:r>
          </w:p>
        </w:tc>
      </w:tr>
      <w:tr w:rsidR="00407793" w:rsidRPr="00407793" w14:paraId="18CE34AD"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31135CB6"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Enero</w:t>
            </w:r>
          </w:p>
        </w:tc>
        <w:tc>
          <w:tcPr>
            <w:tcW w:w="0" w:type="auto"/>
            <w:tcBorders>
              <w:top w:val="nil"/>
              <w:left w:val="nil"/>
              <w:bottom w:val="single" w:sz="8" w:space="0" w:color="A6A6A6"/>
              <w:right w:val="single" w:sz="8" w:space="0" w:color="A6A6A6"/>
            </w:tcBorders>
            <w:noWrap/>
            <w:vAlign w:val="center"/>
            <w:hideMark/>
          </w:tcPr>
          <w:p w14:paraId="4ED88643"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29</w:t>
            </w:r>
          </w:p>
        </w:tc>
        <w:tc>
          <w:tcPr>
            <w:tcW w:w="0" w:type="auto"/>
            <w:tcBorders>
              <w:top w:val="nil"/>
              <w:left w:val="nil"/>
              <w:bottom w:val="single" w:sz="8" w:space="0" w:color="A6A6A6"/>
              <w:right w:val="single" w:sz="8" w:space="0" w:color="A6A6A6"/>
            </w:tcBorders>
            <w:noWrap/>
            <w:vAlign w:val="center"/>
            <w:hideMark/>
          </w:tcPr>
          <w:p w14:paraId="63A3918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w:t>
            </w:r>
          </w:p>
        </w:tc>
        <w:tc>
          <w:tcPr>
            <w:tcW w:w="0" w:type="auto"/>
            <w:tcBorders>
              <w:top w:val="nil"/>
              <w:left w:val="nil"/>
              <w:bottom w:val="single" w:sz="8" w:space="0" w:color="A6A6A6"/>
              <w:right w:val="single" w:sz="8" w:space="0" w:color="A6A6A6"/>
            </w:tcBorders>
            <w:noWrap/>
            <w:vAlign w:val="center"/>
            <w:hideMark/>
          </w:tcPr>
          <w:p w14:paraId="1511E18D"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1</w:t>
            </w:r>
          </w:p>
        </w:tc>
        <w:tc>
          <w:tcPr>
            <w:tcW w:w="0" w:type="auto"/>
            <w:tcBorders>
              <w:top w:val="nil"/>
              <w:left w:val="nil"/>
              <w:bottom w:val="single" w:sz="8" w:space="0" w:color="A6A6A6"/>
              <w:right w:val="single" w:sz="8" w:space="0" w:color="A6A6A6"/>
            </w:tcBorders>
            <w:noWrap/>
            <w:vAlign w:val="center"/>
            <w:hideMark/>
          </w:tcPr>
          <w:p w14:paraId="6A068FF9"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5987D4DB"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39C795EF"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Febrero</w:t>
            </w:r>
          </w:p>
        </w:tc>
        <w:tc>
          <w:tcPr>
            <w:tcW w:w="0" w:type="auto"/>
            <w:tcBorders>
              <w:top w:val="nil"/>
              <w:left w:val="nil"/>
              <w:bottom w:val="single" w:sz="8" w:space="0" w:color="A6A6A6"/>
              <w:right w:val="single" w:sz="8" w:space="0" w:color="A6A6A6"/>
            </w:tcBorders>
            <w:noWrap/>
            <w:vAlign w:val="center"/>
            <w:hideMark/>
          </w:tcPr>
          <w:p w14:paraId="38CFB76F"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35</w:t>
            </w:r>
          </w:p>
        </w:tc>
        <w:tc>
          <w:tcPr>
            <w:tcW w:w="0" w:type="auto"/>
            <w:tcBorders>
              <w:top w:val="nil"/>
              <w:left w:val="nil"/>
              <w:bottom w:val="single" w:sz="8" w:space="0" w:color="A6A6A6"/>
              <w:right w:val="single" w:sz="8" w:space="0" w:color="A6A6A6"/>
            </w:tcBorders>
            <w:noWrap/>
            <w:vAlign w:val="center"/>
            <w:hideMark/>
          </w:tcPr>
          <w:p w14:paraId="13BCED5A"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4</w:t>
            </w:r>
          </w:p>
        </w:tc>
        <w:tc>
          <w:tcPr>
            <w:tcW w:w="0" w:type="auto"/>
            <w:tcBorders>
              <w:top w:val="nil"/>
              <w:left w:val="nil"/>
              <w:bottom w:val="single" w:sz="8" w:space="0" w:color="A6A6A6"/>
              <w:right w:val="single" w:sz="8" w:space="0" w:color="A6A6A6"/>
            </w:tcBorders>
            <w:noWrap/>
            <w:vAlign w:val="center"/>
            <w:hideMark/>
          </w:tcPr>
          <w:p w14:paraId="51EA48DF"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23FA6F2D"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1</w:t>
            </w:r>
          </w:p>
        </w:tc>
      </w:tr>
      <w:tr w:rsidR="00407793" w:rsidRPr="00407793" w14:paraId="02F851E9"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4AFDC8A6"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Marzo</w:t>
            </w:r>
          </w:p>
        </w:tc>
        <w:tc>
          <w:tcPr>
            <w:tcW w:w="0" w:type="auto"/>
            <w:tcBorders>
              <w:top w:val="nil"/>
              <w:left w:val="nil"/>
              <w:bottom w:val="single" w:sz="8" w:space="0" w:color="A6A6A6"/>
              <w:right w:val="single" w:sz="8" w:space="0" w:color="A6A6A6"/>
            </w:tcBorders>
            <w:noWrap/>
            <w:vAlign w:val="center"/>
            <w:hideMark/>
          </w:tcPr>
          <w:p w14:paraId="05076226"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50</w:t>
            </w:r>
          </w:p>
        </w:tc>
        <w:tc>
          <w:tcPr>
            <w:tcW w:w="0" w:type="auto"/>
            <w:tcBorders>
              <w:top w:val="nil"/>
              <w:left w:val="nil"/>
              <w:bottom w:val="single" w:sz="8" w:space="0" w:color="A6A6A6"/>
              <w:right w:val="single" w:sz="8" w:space="0" w:color="A6A6A6"/>
            </w:tcBorders>
            <w:noWrap/>
            <w:vAlign w:val="center"/>
            <w:hideMark/>
          </w:tcPr>
          <w:p w14:paraId="074CF71E"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8</w:t>
            </w:r>
          </w:p>
        </w:tc>
        <w:tc>
          <w:tcPr>
            <w:tcW w:w="0" w:type="auto"/>
            <w:tcBorders>
              <w:top w:val="nil"/>
              <w:left w:val="nil"/>
              <w:bottom w:val="single" w:sz="8" w:space="0" w:color="A6A6A6"/>
              <w:right w:val="single" w:sz="8" w:space="0" w:color="A6A6A6"/>
            </w:tcBorders>
            <w:noWrap/>
            <w:vAlign w:val="center"/>
            <w:hideMark/>
          </w:tcPr>
          <w:p w14:paraId="2EB0ECED"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547E0E52"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59AF1C82"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0B6AFD43"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Abril</w:t>
            </w:r>
          </w:p>
        </w:tc>
        <w:tc>
          <w:tcPr>
            <w:tcW w:w="0" w:type="auto"/>
            <w:tcBorders>
              <w:top w:val="nil"/>
              <w:left w:val="nil"/>
              <w:bottom w:val="single" w:sz="8" w:space="0" w:color="A6A6A6"/>
              <w:right w:val="single" w:sz="8" w:space="0" w:color="A6A6A6"/>
            </w:tcBorders>
            <w:noWrap/>
            <w:vAlign w:val="center"/>
            <w:hideMark/>
          </w:tcPr>
          <w:p w14:paraId="2282ADDD"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40</w:t>
            </w:r>
          </w:p>
        </w:tc>
        <w:tc>
          <w:tcPr>
            <w:tcW w:w="0" w:type="auto"/>
            <w:tcBorders>
              <w:top w:val="nil"/>
              <w:left w:val="nil"/>
              <w:bottom w:val="single" w:sz="8" w:space="0" w:color="A6A6A6"/>
              <w:right w:val="single" w:sz="8" w:space="0" w:color="A6A6A6"/>
            </w:tcBorders>
            <w:noWrap/>
            <w:vAlign w:val="center"/>
            <w:hideMark/>
          </w:tcPr>
          <w:p w14:paraId="0A54BC70"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12</w:t>
            </w:r>
          </w:p>
        </w:tc>
        <w:tc>
          <w:tcPr>
            <w:tcW w:w="0" w:type="auto"/>
            <w:tcBorders>
              <w:top w:val="nil"/>
              <w:left w:val="nil"/>
              <w:bottom w:val="single" w:sz="8" w:space="0" w:color="A6A6A6"/>
              <w:right w:val="single" w:sz="8" w:space="0" w:color="A6A6A6"/>
            </w:tcBorders>
            <w:noWrap/>
            <w:vAlign w:val="center"/>
            <w:hideMark/>
          </w:tcPr>
          <w:p w14:paraId="6FCDD204"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45FEC3EC"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4D358154"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2DE59705"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Mayo</w:t>
            </w:r>
          </w:p>
        </w:tc>
        <w:tc>
          <w:tcPr>
            <w:tcW w:w="0" w:type="auto"/>
            <w:tcBorders>
              <w:top w:val="nil"/>
              <w:left w:val="nil"/>
              <w:bottom w:val="single" w:sz="8" w:space="0" w:color="A6A6A6"/>
              <w:right w:val="single" w:sz="8" w:space="0" w:color="A6A6A6"/>
            </w:tcBorders>
            <w:noWrap/>
            <w:vAlign w:val="center"/>
            <w:hideMark/>
          </w:tcPr>
          <w:p w14:paraId="5BDF74F4"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60</w:t>
            </w:r>
          </w:p>
        </w:tc>
        <w:tc>
          <w:tcPr>
            <w:tcW w:w="0" w:type="auto"/>
            <w:tcBorders>
              <w:top w:val="nil"/>
              <w:left w:val="nil"/>
              <w:bottom w:val="single" w:sz="8" w:space="0" w:color="A6A6A6"/>
              <w:right w:val="single" w:sz="8" w:space="0" w:color="A6A6A6"/>
            </w:tcBorders>
            <w:noWrap/>
            <w:vAlign w:val="center"/>
            <w:hideMark/>
          </w:tcPr>
          <w:p w14:paraId="2696A230"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14</w:t>
            </w:r>
          </w:p>
        </w:tc>
        <w:tc>
          <w:tcPr>
            <w:tcW w:w="0" w:type="auto"/>
            <w:tcBorders>
              <w:top w:val="nil"/>
              <w:left w:val="nil"/>
              <w:bottom w:val="single" w:sz="8" w:space="0" w:color="A6A6A6"/>
              <w:right w:val="single" w:sz="8" w:space="0" w:color="A6A6A6"/>
            </w:tcBorders>
            <w:noWrap/>
            <w:vAlign w:val="center"/>
            <w:hideMark/>
          </w:tcPr>
          <w:p w14:paraId="7BD8D457"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485703B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1F92FFC5"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18AF602A"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Junio</w:t>
            </w:r>
          </w:p>
        </w:tc>
        <w:tc>
          <w:tcPr>
            <w:tcW w:w="0" w:type="auto"/>
            <w:tcBorders>
              <w:top w:val="nil"/>
              <w:left w:val="nil"/>
              <w:bottom w:val="single" w:sz="8" w:space="0" w:color="A6A6A6"/>
              <w:right w:val="single" w:sz="8" w:space="0" w:color="A6A6A6"/>
            </w:tcBorders>
            <w:noWrap/>
            <w:vAlign w:val="center"/>
            <w:hideMark/>
          </w:tcPr>
          <w:p w14:paraId="1B08ED46"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32</w:t>
            </w:r>
          </w:p>
        </w:tc>
        <w:tc>
          <w:tcPr>
            <w:tcW w:w="0" w:type="auto"/>
            <w:tcBorders>
              <w:top w:val="nil"/>
              <w:left w:val="nil"/>
              <w:bottom w:val="single" w:sz="8" w:space="0" w:color="A6A6A6"/>
              <w:right w:val="single" w:sz="8" w:space="0" w:color="A6A6A6"/>
            </w:tcBorders>
            <w:noWrap/>
            <w:vAlign w:val="center"/>
            <w:hideMark/>
          </w:tcPr>
          <w:p w14:paraId="40834AE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w:t>
            </w:r>
          </w:p>
        </w:tc>
        <w:tc>
          <w:tcPr>
            <w:tcW w:w="0" w:type="auto"/>
            <w:tcBorders>
              <w:top w:val="nil"/>
              <w:left w:val="nil"/>
              <w:bottom w:val="single" w:sz="8" w:space="0" w:color="A6A6A6"/>
              <w:right w:val="single" w:sz="8" w:space="0" w:color="A6A6A6"/>
            </w:tcBorders>
            <w:noWrap/>
            <w:vAlign w:val="center"/>
            <w:hideMark/>
          </w:tcPr>
          <w:p w14:paraId="07DC7947"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30253C9C"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373C8D23"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656AECE6"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Julio</w:t>
            </w:r>
          </w:p>
        </w:tc>
        <w:tc>
          <w:tcPr>
            <w:tcW w:w="0" w:type="auto"/>
            <w:tcBorders>
              <w:top w:val="nil"/>
              <w:left w:val="nil"/>
              <w:bottom w:val="single" w:sz="8" w:space="0" w:color="A6A6A6"/>
              <w:right w:val="single" w:sz="8" w:space="0" w:color="A6A6A6"/>
            </w:tcBorders>
            <w:noWrap/>
            <w:vAlign w:val="center"/>
            <w:hideMark/>
          </w:tcPr>
          <w:p w14:paraId="520F2692"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62</w:t>
            </w:r>
          </w:p>
        </w:tc>
        <w:tc>
          <w:tcPr>
            <w:tcW w:w="0" w:type="auto"/>
            <w:tcBorders>
              <w:top w:val="nil"/>
              <w:left w:val="nil"/>
              <w:bottom w:val="single" w:sz="8" w:space="0" w:color="A6A6A6"/>
              <w:right w:val="single" w:sz="8" w:space="0" w:color="A6A6A6"/>
            </w:tcBorders>
            <w:noWrap/>
            <w:vAlign w:val="center"/>
            <w:hideMark/>
          </w:tcPr>
          <w:p w14:paraId="2A4781E9"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8</w:t>
            </w:r>
          </w:p>
        </w:tc>
        <w:tc>
          <w:tcPr>
            <w:tcW w:w="0" w:type="auto"/>
            <w:tcBorders>
              <w:top w:val="nil"/>
              <w:left w:val="nil"/>
              <w:bottom w:val="single" w:sz="8" w:space="0" w:color="A6A6A6"/>
              <w:right w:val="single" w:sz="8" w:space="0" w:color="A6A6A6"/>
            </w:tcBorders>
            <w:noWrap/>
            <w:vAlign w:val="center"/>
            <w:hideMark/>
          </w:tcPr>
          <w:p w14:paraId="144F9D7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4D57AAB4"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68E37A53"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28FF5813"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Agosto</w:t>
            </w:r>
          </w:p>
        </w:tc>
        <w:tc>
          <w:tcPr>
            <w:tcW w:w="0" w:type="auto"/>
            <w:tcBorders>
              <w:top w:val="nil"/>
              <w:left w:val="nil"/>
              <w:bottom w:val="single" w:sz="8" w:space="0" w:color="A6A6A6"/>
              <w:right w:val="single" w:sz="8" w:space="0" w:color="A6A6A6"/>
            </w:tcBorders>
            <w:noWrap/>
            <w:vAlign w:val="center"/>
            <w:hideMark/>
          </w:tcPr>
          <w:p w14:paraId="66E29B0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40</w:t>
            </w:r>
          </w:p>
        </w:tc>
        <w:tc>
          <w:tcPr>
            <w:tcW w:w="0" w:type="auto"/>
            <w:tcBorders>
              <w:top w:val="nil"/>
              <w:left w:val="nil"/>
              <w:bottom w:val="single" w:sz="8" w:space="0" w:color="A6A6A6"/>
              <w:right w:val="single" w:sz="8" w:space="0" w:color="A6A6A6"/>
            </w:tcBorders>
            <w:noWrap/>
            <w:vAlign w:val="center"/>
            <w:hideMark/>
          </w:tcPr>
          <w:p w14:paraId="1E6167DB"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7</w:t>
            </w:r>
          </w:p>
        </w:tc>
        <w:tc>
          <w:tcPr>
            <w:tcW w:w="0" w:type="auto"/>
            <w:tcBorders>
              <w:top w:val="nil"/>
              <w:left w:val="nil"/>
              <w:bottom w:val="single" w:sz="8" w:space="0" w:color="A6A6A6"/>
              <w:right w:val="single" w:sz="8" w:space="0" w:color="A6A6A6"/>
            </w:tcBorders>
            <w:noWrap/>
            <w:vAlign w:val="center"/>
            <w:hideMark/>
          </w:tcPr>
          <w:p w14:paraId="19DA0504"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5BFF36BB"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45B0B96C"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79D8AC8C"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Septiembre</w:t>
            </w:r>
          </w:p>
        </w:tc>
        <w:tc>
          <w:tcPr>
            <w:tcW w:w="0" w:type="auto"/>
            <w:tcBorders>
              <w:top w:val="nil"/>
              <w:left w:val="nil"/>
              <w:bottom w:val="single" w:sz="8" w:space="0" w:color="A6A6A6"/>
              <w:right w:val="single" w:sz="8" w:space="0" w:color="A6A6A6"/>
            </w:tcBorders>
            <w:noWrap/>
            <w:vAlign w:val="center"/>
            <w:hideMark/>
          </w:tcPr>
          <w:p w14:paraId="0860745E"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34</w:t>
            </w:r>
          </w:p>
        </w:tc>
        <w:tc>
          <w:tcPr>
            <w:tcW w:w="0" w:type="auto"/>
            <w:tcBorders>
              <w:top w:val="nil"/>
              <w:left w:val="nil"/>
              <w:bottom w:val="single" w:sz="8" w:space="0" w:color="A6A6A6"/>
              <w:right w:val="single" w:sz="8" w:space="0" w:color="A6A6A6"/>
            </w:tcBorders>
            <w:noWrap/>
            <w:vAlign w:val="center"/>
            <w:hideMark/>
          </w:tcPr>
          <w:p w14:paraId="775CF736"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w:t>
            </w:r>
          </w:p>
        </w:tc>
        <w:tc>
          <w:tcPr>
            <w:tcW w:w="0" w:type="auto"/>
            <w:tcBorders>
              <w:top w:val="nil"/>
              <w:left w:val="nil"/>
              <w:bottom w:val="single" w:sz="8" w:space="0" w:color="A6A6A6"/>
              <w:right w:val="single" w:sz="8" w:space="0" w:color="A6A6A6"/>
            </w:tcBorders>
            <w:noWrap/>
            <w:vAlign w:val="center"/>
            <w:hideMark/>
          </w:tcPr>
          <w:p w14:paraId="4484D43E"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36CF31A8"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23C15C64"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27C63156"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Octubre</w:t>
            </w:r>
          </w:p>
        </w:tc>
        <w:tc>
          <w:tcPr>
            <w:tcW w:w="0" w:type="auto"/>
            <w:tcBorders>
              <w:top w:val="nil"/>
              <w:left w:val="nil"/>
              <w:bottom w:val="single" w:sz="8" w:space="0" w:color="A6A6A6"/>
              <w:right w:val="single" w:sz="8" w:space="0" w:color="A6A6A6"/>
            </w:tcBorders>
            <w:noWrap/>
            <w:vAlign w:val="center"/>
            <w:hideMark/>
          </w:tcPr>
          <w:p w14:paraId="795F868E"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66</w:t>
            </w:r>
          </w:p>
        </w:tc>
        <w:tc>
          <w:tcPr>
            <w:tcW w:w="0" w:type="auto"/>
            <w:tcBorders>
              <w:top w:val="nil"/>
              <w:left w:val="nil"/>
              <w:bottom w:val="single" w:sz="8" w:space="0" w:color="A6A6A6"/>
              <w:right w:val="single" w:sz="8" w:space="0" w:color="A6A6A6"/>
            </w:tcBorders>
            <w:noWrap/>
            <w:vAlign w:val="center"/>
            <w:hideMark/>
          </w:tcPr>
          <w:p w14:paraId="60B9FF61"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20</w:t>
            </w:r>
          </w:p>
        </w:tc>
        <w:tc>
          <w:tcPr>
            <w:tcW w:w="0" w:type="auto"/>
            <w:tcBorders>
              <w:top w:val="nil"/>
              <w:left w:val="nil"/>
              <w:bottom w:val="single" w:sz="8" w:space="0" w:color="A6A6A6"/>
              <w:right w:val="single" w:sz="8" w:space="0" w:color="A6A6A6"/>
            </w:tcBorders>
            <w:noWrap/>
            <w:vAlign w:val="center"/>
            <w:hideMark/>
          </w:tcPr>
          <w:p w14:paraId="5A870793"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093A7C5B"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3A4C6AF6"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4C023E0C"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Noviembre</w:t>
            </w:r>
          </w:p>
        </w:tc>
        <w:tc>
          <w:tcPr>
            <w:tcW w:w="0" w:type="auto"/>
            <w:tcBorders>
              <w:top w:val="nil"/>
              <w:left w:val="nil"/>
              <w:bottom w:val="single" w:sz="8" w:space="0" w:color="A6A6A6"/>
              <w:right w:val="single" w:sz="8" w:space="0" w:color="A6A6A6"/>
            </w:tcBorders>
            <w:noWrap/>
            <w:vAlign w:val="center"/>
            <w:hideMark/>
          </w:tcPr>
          <w:p w14:paraId="0D132469"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66</w:t>
            </w:r>
          </w:p>
        </w:tc>
        <w:tc>
          <w:tcPr>
            <w:tcW w:w="0" w:type="auto"/>
            <w:tcBorders>
              <w:top w:val="nil"/>
              <w:left w:val="nil"/>
              <w:bottom w:val="single" w:sz="8" w:space="0" w:color="A6A6A6"/>
              <w:right w:val="single" w:sz="8" w:space="0" w:color="A6A6A6"/>
            </w:tcBorders>
            <w:noWrap/>
            <w:vAlign w:val="center"/>
            <w:hideMark/>
          </w:tcPr>
          <w:p w14:paraId="32687FA6"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30</w:t>
            </w:r>
          </w:p>
        </w:tc>
        <w:tc>
          <w:tcPr>
            <w:tcW w:w="0" w:type="auto"/>
            <w:tcBorders>
              <w:top w:val="nil"/>
              <w:left w:val="nil"/>
              <w:bottom w:val="single" w:sz="8" w:space="0" w:color="A6A6A6"/>
              <w:right w:val="single" w:sz="8" w:space="0" w:color="A6A6A6"/>
            </w:tcBorders>
            <w:noWrap/>
            <w:vAlign w:val="center"/>
            <w:hideMark/>
          </w:tcPr>
          <w:p w14:paraId="6DF5E349"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0D1D5B83"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32E0AC44" w14:textId="77777777" w:rsidTr="00407793">
        <w:trPr>
          <w:trHeight w:val="324"/>
        </w:trPr>
        <w:tc>
          <w:tcPr>
            <w:tcW w:w="0" w:type="auto"/>
            <w:tcBorders>
              <w:top w:val="nil"/>
              <w:left w:val="single" w:sz="8" w:space="0" w:color="A6A6A6"/>
              <w:bottom w:val="single" w:sz="8" w:space="0" w:color="A6A6A6"/>
              <w:right w:val="single" w:sz="8" w:space="0" w:color="A6A6A6"/>
            </w:tcBorders>
            <w:noWrap/>
            <w:vAlign w:val="center"/>
            <w:hideMark/>
          </w:tcPr>
          <w:p w14:paraId="20B025F4" w14:textId="77777777" w:rsidR="00407793" w:rsidRPr="00407793" w:rsidRDefault="00407793" w:rsidP="00407793">
            <w:pPr>
              <w:spacing w:after="0" w:line="240" w:lineRule="auto"/>
              <w:rPr>
                <w:rFonts w:eastAsia="Times New Roman"/>
                <w:spacing w:val="0"/>
                <w:lang w:val="es-DO" w:eastAsia="es-DO"/>
              </w:rPr>
            </w:pPr>
            <w:r w:rsidRPr="00407793">
              <w:rPr>
                <w:rFonts w:eastAsia="Times New Roman"/>
                <w:spacing w:val="0"/>
                <w:lang w:val="es-DO" w:eastAsia="es-DO"/>
              </w:rPr>
              <w:t>Diciembre</w:t>
            </w:r>
          </w:p>
        </w:tc>
        <w:tc>
          <w:tcPr>
            <w:tcW w:w="0" w:type="auto"/>
            <w:tcBorders>
              <w:top w:val="nil"/>
              <w:left w:val="nil"/>
              <w:bottom w:val="single" w:sz="8" w:space="0" w:color="A6A6A6"/>
              <w:right w:val="single" w:sz="8" w:space="0" w:color="A6A6A6"/>
            </w:tcBorders>
            <w:noWrap/>
            <w:vAlign w:val="center"/>
            <w:hideMark/>
          </w:tcPr>
          <w:p w14:paraId="20ACB92A"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49</w:t>
            </w:r>
          </w:p>
        </w:tc>
        <w:tc>
          <w:tcPr>
            <w:tcW w:w="0" w:type="auto"/>
            <w:tcBorders>
              <w:top w:val="nil"/>
              <w:left w:val="nil"/>
              <w:bottom w:val="single" w:sz="8" w:space="0" w:color="A6A6A6"/>
              <w:right w:val="single" w:sz="8" w:space="0" w:color="A6A6A6"/>
            </w:tcBorders>
            <w:noWrap/>
            <w:vAlign w:val="center"/>
            <w:hideMark/>
          </w:tcPr>
          <w:p w14:paraId="1D484A97"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8</w:t>
            </w:r>
          </w:p>
        </w:tc>
        <w:tc>
          <w:tcPr>
            <w:tcW w:w="0" w:type="auto"/>
            <w:tcBorders>
              <w:top w:val="nil"/>
              <w:left w:val="nil"/>
              <w:bottom w:val="single" w:sz="8" w:space="0" w:color="A6A6A6"/>
              <w:right w:val="single" w:sz="8" w:space="0" w:color="A6A6A6"/>
            </w:tcBorders>
            <w:noWrap/>
            <w:vAlign w:val="center"/>
            <w:hideMark/>
          </w:tcPr>
          <w:p w14:paraId="79623D85"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c>
          <w:tcPr>
            <w:tcW w:w="0" w:type="auto"/>
            <w:tcBorders>
              <w:top w:val="nil"/>
              <w:left w:val="nil"/>
              <w:bottom w:val="single" w:sz="8" w:space="0" w:color="A6A6A6"/>
              <w:right w:val="single" w:sz="8" w:space="0" w:color="A6A6A6"/>
            </w:tcBorders>
            <w:noWrap/>
            <w:vAlign w:val="center"/>
            <w:hideMark/>
          </w:tcPr>
          <w:p w14:paraId="48DF2023" w14:textId="77777777" w:rsidR="00407793" w:rsidRPr="00407793" w:rsidRDefault="00407793" w:rsidP="00407793">
            <w:pPr>
              <w:spacing w:after="0" w:line="240" w:lineRule="auto"/>
              <w:jc w:val="center"/>
              <w:rPr>
                <w:rFonts w:eastAsia="Times New Roman"/>
                <w:spacing w:val="0"/>
                <w:lang w:val="es-DO" w:eastAsia="es-DO"/>
              </w:rPr>
            </w:pPr>
            <w:r w:rsidRPr="00407793">
              <w:rPr>
                <w:rFonts w:eastAsia="Times New Roman"/>
                <w:spacing w:val="0"/>
                <w:lang w:val="es-DO" w:eastAsia="es-DO"/>
              </w:rPr>
              <w:t> </w:t>
            </w:r>
          </w:p>
        </w:tc>
      </w:tr>
      <w:tr w:rsidR="00407793" w:rsidRPr="00407793" w14:paraId="6D7FA50F" w14:textId="77777777" w:rsidTr="00407793">
        <w:trPr>
          <w:trHeight w:val="324"/>
        </w:trPr>
        <w:tc>
          <w:tcPr>
            <w:tcW w:w="0" w:type="auto"/>
            <w:tcBorders>
              <w:top w:val="nil"/>
              <w:left w:val="single" w:sz="8" w:space="0" w:color="A6A6A6"/>
              <w:bottom w:val="single" w:sz="8" w:space="0" w:color="A6A6A6"/>
              <w:right w:val="single" w:sz="8" w:space="0" w:color="A6A6A6"/>
            </w:tcBorders>
            <w:shd w:val="clear" w:color="000000" w:fill="011C50"/>
            <w:noWrap/>
            <w:vAlign w:val="center"/>
            <w:hideMark/>
          </w:tcPr>
          <w:p w14:paraId="703D8677" w14:textId="77777777" w:rsidR="00407793" w:rsidRPr="00407793" w:rsidRDefault="00407793" w:rsidP="00407793">
            <w:pPr>
              <w:spacing w:after="0" w:line="240" w:lineRule="auto"/>
              <w:jc w:val="right"/>
              <w:rPr>
                <w:rFonts w:eastAsia="Times New Roman"/>
                <w:b/>
                <w:bCs/>
                <w:color w:val="FFFFFF"/>
                <w:spacing w:val="0"/>
                <w:lang w:val="es-DO" w:eastAsia="es-DO"/>
              </w:rPr>
            </w:pPr>
            <w:r w:rsidRPr="00407793">
              <w:rPr>
                <w:rFonts w:eastAsia="Times New Roman"/>
                <w:b/>
                <w:bCs/>
                <w:color w:val="FFFFFF"/>
                <w:spacing w:val="0"/>
                <w:lang w:val="es-DO" w:eastAsia="es-DO"/>
              </w:rPr>
              <w:t xml:space="preserve">Total </w:t>
            </w:r>
          </w:p>
        </w:tc>
        <w:tc>
          <w:tcPr>
            <w:tcW w:w="0" w:type="auto"/>
            <w:tcBorders>
              <w:top w:val="nil"/>
              <w:left w:val="nil"/>
              <w:bottom w:val="single" w:sz="8" w:space="0" w:color="A6A6A6"/>
              <w:right w:val="single" w:sz="8" w:space="0" w:color="A6A6A6"/>
            </w:tcBorders>
            <w:shd w:val="clear" w:color="000000" w:fill="011C50"/>
            <w:noWrap/>
            <w:vAlign w:val="center"/>
            <w:hideMark/>
          </w:tcPr>
          <w:p w14:paraId="035C744D"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563</w:t>
            </w:r>
          </w:p>
        </w:tc>
        <w:tc>
          <w:tcPr>
            <w:tcW w:w="0" w:type="auto"/>
            <w:tcBorders>
              <w:top w:val="nil"/>
              <w:left w:val="nil"/>
              <w:bottom w:val="single" w:sz="8" w:space="0" w:color="A6A6A6"/>
              <w:right w:val="single" w:sz="8" w:space="0" w:color="A6A6A6"/>
            </w:tcBorders>
            <w:shd w:val="clear" w:color="000000" w:fill="011C50"/>
            <w:noWrap/>
            <w:vAlign w:val="center"/>
            <w:hideMark/>
          </w:tcPr>
          <w:p w14:paraId="0CE66533"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129</w:t>
            </w:r>
          </w:p>
        </w:tc>
        <w:tc>
          <w:tcPr>
            <w:tcW w:w="0" w:type="auto"/>
            <w:tcBorders>
              <w:top w:val="nil"/>
              <w:left w:val="nil"/>
              <w:bottom w:val="single" w:sz="8" w:space="0" w:color="A6A6A6"/>
              <w:right w:val="single" w:sz="8" w:space="0" w:color="A6A6A6"/>
            </w:tcBorders>
            <w:shd w:val="clear" w:color="000000" w:fill="011C50"/>
            <w:noWrap/>
            <w:vAlign w:val="center"/>
            <w:hideMark/>
          </w:tcPr>
          <w:p w14:paraId="7DC503FB"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1</w:t>
            </w:r>
          </w:p>
        </w:tc>
        <w:tc>
          <w:tcPr>
            <w:tcW w:w="0" w:type="auto"/>
            <w:tcBorders>
              <w:top w:val="nil"/>
              <w:left w:val="nil"/>
              <w:bottom w:val="single" w:sz="8" w:space="0" w:color="A6A6A6"/>
              <w:right w:val="single" w:sz="8" w:space="0" w:color="A6A6A6"/>
            </w:tcBorders>
            <w:shd w:val="clear" w:color="000000" w:fill="011C50"/>
            <w:noWrap/>
            <w:vAlign w:val="center"/>
            <w:hideMark/>
          </w:tcPr>
          <w:p w14:paraId="0A36A5B4" w14:textId="77777777" w:rsidR="00407793" w:rsidRPr="00407793" w:rsidRDefault="00407793" w:rsidP="00407793">
            <w:pPr>
              <w:spacing w:after="0" w:line="240" w:lineRule="auto"/>
              <w:jc w:val="center"/>
              <w:rPr>
                <w:rFonts w:eastAsia="Times New Roman"/>
                <w:b/>
                <w:bCs/>
                <w:color w:val="FFFFFF"/>
                <w:spacing w:val="0"/>
                <w:lang w:val="es-DO" w:eastAsia="es-DO"/>
              </w:rPr>
            </w:pPr>
            <w:r w:rsidRPr="00407793">
              <w:rPr>
                <w:rFonts w:eastAsia="Times New Roman"/>
                <w:b/>
                <w:bCs/>
                <w:color w:val="FFFFFF"/>
                <w:spacing w:val="0"/>
                <w:lang w:val="es-DO" w:eastAsia="es-DO"/>
              </w:rPr>
              <w:t>1</w:t>
            </w:r>
          </w:p>
        </w:tc>
      </w:tr>
    </w:tbl>
    <w:p w14:paraId="10D2BA80" w14:textId="04E2941A" w:rsidR="00DF38A9" w:rsidRPr="005861FF" w:rsidRDefault="00DF38A9" w:rsidP="005861FF">
      <w:pPr>
        <w:spacing w:after="0" w:line="360" w:lineRule="auto"/>
        <w:rPr>
          <w:sz w:val="18"/>
          <w:szCs w:val="18"/>
          <w:lang w:val="es-MX"/>
        </w:rPr>
      </w:pPr>
      <w:r w:rsidRPr="005861FF">
        <w:rPr>
          <w:sz w:val="18"/>
          <w:szCs w:val="18"/>
          <w:lang w:val="es-MX"/>
        </w:rPr>
        <w:t>Fuente: Sistema de Información y Estadísticas (SIES</w:t>
      </w:r>
      <w:r w:rsidR="00394F78">
        <w:rPr>
          <w:sz w:val="18"/>
          <w:szCs w:val="18"/>
          <w:lang w:val="es-MX"/>
        </w:rPr>
        <w:t>)</w:t>
      </w:r>
    </w:p>
    <w:p w14:paraId="7F498BCD" w14:textId="77777777" w:rsidR="00DF38A9" w:rsidRPr="005C133F" w:rsidRDefault="00DF38A9" w:rsidP="005C133F">
      <w:pPr>
        <w:spacing w:after="0" w:line="360" w:lineRule="auto"/>
        <w:jc w:val="both"/>
        <w:rPr>
          <w:lang w:val="es-MX"/>
        </w:rPr>
      </w:pPr>
    </w:p>
    <w:p w14:paraId="661DB764" w14:textId="45B3031A" w:rsidR="00DF38A9" w:rsidRPr="001F6197" w:rsidRDefault="002B01A3" w:rsidP="00AC2DB2">
      <w:pPr>
        <w:spacing w:after="0" w:line="360" w:lineRule="auto"/>
        <w:jc w:val="both"/>
        <w:rPr>
          <w:lang w:val="es-DO"/>
        </w:rPr>
      </w:pPr>
      <w:r w:rsidRPr="005C133F">
        <w:rPr>
          <w:lang w:val="es-DO"/>
        </w:rPr>
        <w:t xml:space="preserve">Por igual, de enero a </w:t>
      </w:r>
      <w:r w:rsidR="00DF38A9" w:rsidRPr="005C133F">
        <w:rPr>
          <w:lang w:val="es-DO"/>
        </w:rPr>
        <w:t>diciembre 2025</w:t>
      </w:r>
      <w:r w:rsidRPr="005C133F">
        <w:rPr>
          <w:lang w:val="es-DO"/>
        </w:rPr>
        <w:t xml:space="preserve">, </w:t>
      </w:r>
      <w:r w:rsidR="00DF38A9" w:rsidRPr="005C133F">
        <w:rPr>
          <w:lang w:val="es-DO"/>
        </w:rPr>
        <w:t>se realizaron 1</w:t>
      </w:r>
      <w:r w:rsidR="00394F78">
        <w:rPr>
          <w:lang w:val="es-DO"/>
        </w:rPr>
        <w:t>47</w:t>
      </w:r>
      <w:r w:rsidR="00DF38A9" w:rsidRPr="005C133F">
        <w:rPr>
          <w:lang w:val="es-DO"/>
        </w:rPr>
        <w:t xml:space="preserve"> acreditaciones de promotores de salud emitidas durante el año 2025:</w:t>
      </w:r>
    </w:p>
    <w:p w14:paraId="397495D2" w14:textId="5E8BBD8A" w:rsidR="005F194E" w:rsidRPr="005C133F" w:rsidRDefault="005F194E" w:rsidP="00DA702D">
      <w:pPr>
        <w:spacing w:before="240" w:after="0" w:line="240" w:lineRule="auto"/>
        <w:jc w:val="center"/>
        <w:rPr>
          <w:b/>
          <w:bCs/>
          <w:lang w:val="es-DO"/>
        </w:rPr>
      </w:pPr>
      <w:bookmarkStart w:id="107" w:name="_Toc218784172"/>
      <w:r w:rsidRPr="005C133F">
        <w:rPr>
          <w:b/>
          <w:bCs/>
          <w:lang w:val="es-DO"/>
        </w:rPr>
        <w:t xml:space="preserve">Tabla </w:t>
      </w:r>
      <w:r w:rsidRPr="005C133F">
        <w:rPr>
          <w:b/>
          <w:bCs/>
          <w:lang w:val="es-DO"/>
        </w:rPr>
        <w:fldChar w:fldCharType="begin"/>
      </w:r>
      <w:r w:rsidRPr="005C133F">
        <w:rPr>
          <w:b/>
          <w:bCs/>
          <w:lang w:val="es-DO"/>
        </w:rPr>
        <w:instrText xml:space="preserve"> SEQ Tabla \* ARABIC </w:instrText>
      </w:r>
      <w:r w:rsidRPr="005C133F">
        <w:rPr>
          <w:b/>
          <w:bCs/>
          <w:lang w:val="es-DO"/>
        </w:rPr>
        <w:fldChar w:fldCharType="separate"/>
      </w:r>
      <w:r w:rsidR="00814341">
        <w:rPr>
          <w:b/>
          <w:bCs/>
          <w:noProof/>
          <w:lang w:val="es-DO"/>
        </w:rPr>
        <w:t>40</w:t>
      </w:r>
      <w:r w:rsidRPr="005C133F">
        <w:rPr>
          <w:b/>
          <w:bCs/>
          <w:lang w:val="es-DO"/>
        </w:rPr>
        <w:fldChar w:fldCharType="end"/>
      </w:r>
      <w:r w:rsidRPr="005C133F">
        <w:rPr>
          <w:b/>
          <w:bCs/>
          <w:lang w:val="es-DO"/>
        </w:rPr>
        <w:t>. Acreditaciones de Promotores 2025</w:t>
      </w:r>
      <w:bookmarkEnd w:id="107"/>
    </w:p>
    <w:tbl>
      <w:tblPr>
        <w:tblW w:w="4680" w:type="dxa"/>
        <w:jc w:val="center"/>
        <w:tblCellMar>
          <w:left w:w="70" w:type="dxa"/>
          <w:right w:w="70" w:type="dxa"/>
        </w:tblCellMar>
        <w:tblLook w:val="04A0" w:firstRow="1" w:lastRow="0" w:firstColumn="1" w:lastColumn="0" w:noHBand="0" w:noVBand="1"/>
      </w:tblPr>
      <w:tblGrid>
        <w:gridCol w:w="2195"/>
        <w:gridCol w:w="2485"/>
      </w:tblGrid>
      <w:tr w:rsidR="007C49E3" w:rsidRPr="005C133F" w14:paraId="3A39A476" w14:textId="77777777" w:rsidTr="005F194E">
        <w:trPr>
          <w:trHeight w:val="743"/>
          <w:tblHeader/>
          <w:jc w:val="center"/>
        </w:trPr>
        <w:tc>
          <w:tcPr>
            <w:tcW w:w="2195" w:type="dxa"/>
            <w:tcBorders>
              <w:top w:val="nil"/>
              <w:left w:val="single" w:sz="4" w:space="0" w:color="A6A6A6"/>
              <w:bottom w:val="single" w:sz="4" w:space="0" w:color="A6A6A6"/>
              <w:right w:val="single" w:sz="4" w:space="0" w:color="A6A6A6"/>
            </w:tcBorders>
            <w:shd w:val="clear" w:color="auto" w:fill="011C50"/>
            <w:noWrap/>
            <w:vAlign w:val="center"/>
            <w:hideMark/>
          </w:tcPr>
          <w:p w14:paraId="627B07B2" w14:textId="77777777" w:rsidR="00DF38A9" w:rsidRPr="005C133F" w:rsidRDefault="00DF38A9" w:rsidP="00DA702D">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Mes</w:t>
            </w:r>
          </w:p>
        </w:tc>
        <w:tc>
          <w:tcPr>
            <w:tcW w:w="2485" w:type="dxa"/>
            <w:tcBorders>
              <w:top w:val="nil"/>
              <w:left w:val="nil"/>
              <w:bottom w:val="single" w:sz="4" w:space="0" w:color="A6A6A6"/>
              <w:right w:val="single" w:sz="4" w:space="0" w:color="A6A6A6"/>
            </w:tcBorders>
            <w:shd w:val="clear" w:color="auto" w:fill="011C50"/>
            <w:noWrap/>
            <w:vAlign w:val="center"/>
            <w:hideMark/>
          </w:tcPr>
          <w:p w14:paraId="24E32CC7" w14:textId="77777777" w:rsidR="00DF38A9" w:rsidRPr="005C133F" w:rsidRDefault="00DF38A9" w:rsidP="00DA702D">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 xml:space="preserve">Acreditados </w:t>
            </w:r>
          </w:p>
        </w:tc>
      </w:tr>
      <w:tr w:rsidR="004921FF" w:rsidRPr="005C133F" w14:paraId="0F12BA55"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5067185C"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 xml:space="preserve">Enero </w:t>
            </w:r>
          </w:p>
        </w:tc>
        <w:tc>
          <w:tcPr>
            <w:tcW w:w="2485" w:type="dxa"/>
            <w:tcBorders>
              <w:top w:val="nil"/>
              <w:left w:val="nil"/>
              <w:bottom w:val="single" w:sz="4" w:space="0" w:color="A6A6A6"/>
              <w:right w:val="single" w:sz="4" w:space="0" w:color="A6A6A6"/>
            </w:tcBorders>
            <w:noWrap/>
            <w:vAlign w:val="center"/>
            <w:hideMark/>
          </w:tcPr>
          <w:p w14:paraId="1E1E64EE"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17</w:t>
            </w:r>
          </w:p>
        </w:tc>
      </w:tr>
      <w:tr w:rsidR="004921FF" w:rsidRPr="005C133F" w14:paraId="16C14C00"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5C830760"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Febrero</w:t>
            </w:r>
          </w:p>
        </w:tc>
        <w:tc>
          <w:tcPr>
            <w:tcW w:w="2485" w:type="dxa"/>
            <w:tcBorders>
              <w:top w:val="nil"/>
              <w:left w:val="nil"/>
              <w:bottom w:val="single" w:sz="4" w:space="0" w:color="A6A6A6"/>
              <w:right w:val="single" w:sz="4" w:space="0" w:color="A6A6A6"/>
            </w:tcBorders>
            <w:noWrap/>
            <w:vAlign w:val="center"/>
            <w:hideMark/>
          </w:tcPr>
          <w:p w14:paraId="29BEC611"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5</w:t>
            </w:r>
          </w:p>
        </w:tc>
      </w:tr>
      <w:tr w:rsidR="004921FF" w:rsidRPr="005C133F" w14:paraId="5FFD79FB"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108D5CF7"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Marzo</w:t>
            </w:r>
          </w:p>
        </w:tc>
        <w:tc>
          <w:tcPr>
            <w:tcW w:w="2485" w:type="dxa"/>
            <w:tcBorders>
              <w:top w:val="nil"/>
              <w:left w:val="nil"/>
              <w:bottom w:val="single" w:sz="4" w:space="0" w:color="A6A6A6"/>
              <w:right w:val="single" w:sz="4" w:space="0" w:color="A6A6A6"/>
            </w:tcBorders>
            <w:noWrap/>
            <w:vAlign w:val="center"/>
            <w:hideMark/>
          </w:tcPr>
          <w:p w14:paraId="1A3435B7"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19</w:t>
            </w:r>
          </w:p>
        </w:tc>
      </w:tr>
      <w:tr w:rsidR="004921FF" w:rsidRPr="005C133F" w14:paraId="5D5F2C1C"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1A3D7D7C"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lastRenderedPageBreak/>
              <w:t>Abril</w:t>
            </w:r>
          </w:p>
        </w:tc>
        <w:tc>
          <w:tcPr>
            <w:tcW w:w="2485" w:type="dxa"/>
            <w:tcBorders>
              <w:top w:val="nil"/>
              <w:left w:val="nil"/>
              <w:bottom w:val="single" w:sz="4" w:space="0" w:color="A6A6A6"/>
              <w:right w:val="single" w:sz="4" w:space="0" w:color="A6A6A6"/>
            </w:tcBorders>
            <w:noWrap/>
            <w:vAlign w:val="center"/>
            <w:hideMark/>
          </w:tcPr>
          <w:p w14:paraId="4403B5B8"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15</w:t>
            </w:r>
          </w:p>
        </w:tc>
      </w:tr>
      <w:tr w:rsidR="004921FF" w:rsidRPr="005C133F" w14:paraId="1AB443C3"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272C06F7"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Mayo</w:t>
            </w:r>
          </w:p>
        </w:tc>
        <w:tc>
          <w:tcPr>
            <w:tcW w:w="2485" w:type="dxa"/>
            <w:tcBorders>
              <w:top w:val="nil"/>
              <w:left w:val="nil"/>
              <w:bottom w:val="single" w:sz="4" w:space="0" w:color="A6A6A6"/>
              <w:right w:val="single" w:sz="4" w:space="0" w:color="A6A6A6"/>
            </w:tcBorders>
            <w:noWrap/>
            <w:vAlign w:val="center"/>
            <w:hideMark/>
          </w:tcPr>
          <w:p w14:paraId="5F13EE92"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9</w:t>
            </w:r>
          </w:p>
        </w:tc>
      </w:tr>
      <w:tr w:rsidR="004921FF" w:rsidRPr="005C133F" w14:paraId="3673EB18"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109858D3"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Junio</w:t>
            </w:r>
          </w:p>
        </w:tc>
        <w:tc>
          <w:tcPr>
            <w:tcW w:w="2485" w:type="dxa"/>
            <w:tcBorders>
              <w:top w:val="nil"/>
              <w:left w:val="nil"/>
              <w:bottom w:val="single" w:sz="4" w:space="0" w:color="A6A6A6"/>
              <w:right w:val="single" w:sz="4" w:space="0" w:color="A6A6A6"/>
            </w:tcBorders>
            <w:noWrap/>
            <w:vAlign w:val="center"/>
            <w:hideMark/>
          </w:tcPr>
          <w:p w14:paraId="3F9446FB"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15</w:t>
            </w:r>
          </w:p>
        </w:tc>
      </w:tr>
      <w:tr w:rsidR="004921FF" w:rsidRPr="005C133F" w14:paraId="0874C525"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180EBE61"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Julio</w:t>
            </w:r>
          </w:p>
        </w:tc>
        <w:tc>
          <w:tcPr>
            <w:tcW w:w="2485" w:type="dxa"/>
            <w:tcBorders>
              <w:top w:val="nil"/>
              <w:left w:val="nil"/>
              <w:bottom w:val="single" w:sz="4" w:space="0" w:color="A6A6A6"/>
              <w:right w:val="single" w:sz="4" w:space="0" w:color="A6A6A6"/>
            </w:tcBorders>
            <w:noWrap/>
            <w:vAlign w:val="center"/>
            <w:hideMark/>
          </w:tcPr>
          <w:p w14:paraId="08AA4DBB"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5</w:t>
            </w:r>
          </w:p>
        </w:tc>
      </w:tr>
      <w:tr w:rsidR="004921FF" w:rsidRPr="005C133F" w14:paraId="5CE81258"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02BBD77D"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Agosto</w:t>
            </w:r>
          </w:p>
        </w:tc>
        <w:tc>
          <w:tcPr>
            <w:tcW w:w="2485" w:type="dxa"/>
            <w:tcBorders>
              <w:top w:val="nil"/>
              <w:left w:val="nil"/>
              <w:bottom w:val="single" w:sz="4" w:space="0" w:color="A6A6A6"/>
              <w:right w:val="single" w:sz="4" w:space="0" w:color="A6A6A6"/>
            </w:tcBorders>
            <w:noWrap/>
            <w:vAlign w:val="center"/>
            <w:hideMark/>
          </w:tcPr>
          <w:p w14:paraId="7B468EFA"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14</w:t>
            </w:r>
          </w:p>
        </w:tc>
      </w:tr>
      <w:tr w:rsidR="004921FF" w:rsidRPr="005C133F" w14:paraId="0BB5D171"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4E149EBF"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Septiembre</w:t>
            </w:r>
          </w:p>
        </w:tc>
        <w:tc>
          <w:tcPr>
            <w:tcW w:w="2485" w:type="dxa"/>
            <w:tcBorders>
              <w:top w:val="nil"/>
              <w:left w:val="nil"/>
              <w:bottom w:val="single" w:sz="4" w:space="0" w:color="A6A6A6"/>
              <w:right w:val="single" w:sz="4" w:space="0" w:color="A6A6A6"/>
            </w:tcBorders>
            <w:noWrap/>
            <w:vAlign w:val="center"/>
            <w:hideMark/>
          </w:tcPr>
          <w:p w14:paraId="081AEAFE"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22</w:t>
            </w:r>
          </w:p>
        </w:tc>
      </w:tr>
      <w:tr w:rsidR="004921FF" w:rsidRPr="005C133F" w14:paraId="12F8F7FC"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5930943F"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Octubre</w:t>
            </w:r>
          </w:p>
        </w:tc>
        <w:tc>
          <w:tcPr>
            <w:tcW w:w="2485" w:type="dxa"/>
            <w:tcBorders>
              <w:top w:val="nil"/>
              <w:left w:val="nil"/>
              <w:bottom w:val="single" w:sz="4" w:space="0" w:color="A6A6A6"/>
              <w:right w:val="single" w:sz="4" w:space="0" w:color="A6A6A6"/>
            </w:tcBorders>
            <w:noWrap/>
            <w:vAlign w:val="center"/>
            <w:hideMark/>
          </w:tcPr>
          <w:p w14:paraId="37B41791"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21</w:t>
            </w:r>
          </w:p>
        </w:tc>
      </w:tr>
      <w:tr w:rsidR="004921FF" w:rsidRPr="005C133F" w14:paraId="3EA4703E"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744E3E02"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Noviembre</w:t>
            </w:r>
          </w:p>
        </w:tc>
        <w:tc>
          <w:tcPr>
            <w:tcW w:w="2485" w:type="dxa"/>
            <w:tcBorders>
              <w:top w:val="nil"/>
              <w:left w:val="nil"/>
              <w:bottom w:val="single" w:sz="4" w:space="0" w:color="A6A6A6"/>
              <w:right w:val="single" w:sz="4" w:space="0" w:color="A6A6A6"/>
            </w:tcBorders>
            <w:noWrap/>
            <w:vAlign w:val="center"/>
            <w:hideMark/>
          </w:tcPr>
          <w:p w14:paraId="78ADCD28"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5</w:t>
            </w:r>
          </w:p>
        </w:tc>
      </w:tr>
      <w:tr w:rsidR="004921FF" w:rsidRPr="005C133F" w14:paraId="315987E3" w14:textId="77777777" w:rsidTr="005F194E">
        <w:trPr>
          <w:trHeight w:val="315"/>
          <w:jc w:val="center"/>
        </w:trPr>
        <w:tc>
          <w:tcPr>
            <w:tcW w:w="2195" w:type="dxa"/>
            <w:tcBorders>
              <w:top w:val="nil"/>
              <w:left w:val="single" w:sz="4" w:space="0" w:color="A6A6A6"/>
              <w:bottom w:val="single" w:sz="4" w:space="0" w:color="A6A6A6"/>
              <w:right w:val="single" w:sz="4" w:space="0" w:color="A6A6A6"/>
            </w:tcBorders>
            <w:noWrap/>
            <w:vAlign w:val="center"/>
            <w:hideMark/>
          </w:tcPr>
          <w:p w14:paraId="4572C5FA" w14:textId="77777777" w:rsidR="00DF38A9" w:rsidRPr="005C133F" w:rsidRDefault="00DF38A9" w:rsidP="00DA702D">
            <w:pPr>
              <w:spacing w:after="0" w:line="240" w:lineRule="auto"/>
              <w:jc w:val="center"/>
              <w:rPr>
                <w:rFonts w:eastAsia="Times New Roman"/>
                <w:lang w:val="es-DO" w:eastAsia="es-DO"/>
              </w:rPr>
            </w:pPr>
            <w:r w:rsidRPr="005C133F">
              <w:rPr>
                <w:rFonts w:eastAsia="Times New Roman"/>
                <w:lang w:val="es-DO" w:eastAsia="es-DO"/>
              </w:rPr>
              <w:t>Diciembre</w:t>
            </w:r>
          </w:p>
        </w:tc>
        <w:tc>
          <w:tcPr>
            <w:tcW w:w="2485" w:type="dxa"/>
            <w:tcBorders>
              <w:top w:val="nil"/>
              <w:left w:val="nil"/>
              <w:bottom w:val="single" w:sz="4" w:space="0" w:color="A6A6A6"/>
              <w:right w:val="single" w:sz="4" w:space="0" w:color="A6A6A6"/>
            </w:tcBorders>
            <w:noWrap/>
            <w:vAlign w:val="center"/>
            <w:hideMark/>
          </w:tcPr>
          <w:p w14:paraId="5F21DE49" w14:textId="2BC77CB0" w:rsidR="00DF38A9" w:rsidRPr="005C133F" w:rsidRDefault="00394F78" w:rsidP="00DA702D">
            <w:pPr>
              <w:spacing w:after="0" w:line="240" w:lineRule="auto"/>
              <w:jc w:val="center"/>
              <w:rPr>
                <w:rFonts w:eastAsia="Times New Roman"/>
                <w:lang w:val="es-DO" w:eastAsia="es-DO"/>
              </w:rPr>
            </w:pPr>
            <w:r>
              <w:rPr>
                <w:rFonts w:eastAsia="Times New Roman"/>
                <w:lang w:val="es-DO" w:eastAsia="es-DO"/>
              </w:rPr>
              <w:t>0</w:t>
            </w:r>
          </w:p>
        </w:tc>
      </w:tr>
      <w:tr w:rsidR="007C49E3" w:rsidRPr="005C133F" w14:paraId="2422AD11" w14:textId="77777777" w:rsidTr="005F194E">
        <w:trPr>
          <w:trHeight w:val="315"/>
          <w:jc w:val="center"/>
        </w:trPr>
        <w:tc>
          <w:tcPr>
            <w:tcW w:w="2195" w:type="dxa"/>
            <w:tcBorders>
              <w:top w:val="nil"/>
              <w:left w:val="single" w:sz="4" w:space="0" w:color="A6A6A6"/>
              <w:bottom w:val="single" w:sz="4" w:space="0" w:color="A6A6A6"/>
              <w:right w:val="single" w:sz="4" w:space="0" w:color="A6A6A6"/>
            </w:tcBorders>
            <w:shd w:val="clear" w:color="auto" w:fill="011C50"/>
            <w:noWrap/>
            <w:vAlign w:val="center"/>
            <w:hideMark/>
          </w:tcPr>
          <w:p w14:paraId="52BEE27C" w14:textId="77777777" w:rsidR="00DF38A9" w:rsidRPr="005C133F" w:rsidRDefault="00DF38A9" w:rsidP="00DA702D">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 xml:space="preserve">Total </w:t>
            </w:r>
          </w:p>
        </w:tc>
        <w:tc>
          <w:tcPr>
            <w:tcW w:w="2485" w:type="dxa"/>
            <w:tcBorders>
              <w:top w:val="nil"/>
              <w:left w:val="nil"/>
              <w:bottom w:val="single" w:sz="4" w:space="0" w:color="A6A6A6"/>
              <w:right w:val="single" w:sz="4" w:space="0" w:color="A6A6A6"/>
            </w:tcBorders>
            <w:shd w:val="clear" w:color="auto" w:fill="011C50"/>
            <w:noWrap/>
            <w:vAlign w:val="center"/>
            <w:hideMark/>
          </w:tcPr>
          <w:p w14:paraId="000392C8" w14:textId="510A7A10" w:rsidR="00DF38A9" w:rsidRPr="005C133F" w:rsidRDefault="00DF38A9" w:rsidP="00DA702D">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1</w:t>
            </w:r>
            <w:r w:rsidR="00394F78">
              <w:rPr>
                <w:rFonts w:eastAsia="Times New Roman"/>
                <w:b/>
                <w:bCs/>
                <w:color w:val="FFFFFF" w:themeColor="background1"/>
                <w:lang w:val="es-DO" w:eastAsia="es-DO"/>
              </w:rPr>
              <w:t>47</w:t>
            </w:r>
          </w:p>
        </w:tc>
      </w:tr>
    </w:tbl>
    <w:p w14:paraId="7643813A" w14:textId="114AA288" w:rsidR="00BC2929" w:rsidRDefault="00DF38A9" w:rsidP="005C133F">
      <w:pPr>
        <w:spacing w:after="0" w:line="360" w:lineRule="auto"/>
        <w:jc w:val="center"/>
        <w:rPr>
          <w:sz w:val="18"/>
          <w:szCs w:val="18"/>
          <w:lang w:val="es-MX"/>
        </w:rPr>
      </w:pPr>
      <w:r w:rsidRPr="00DA702D">
        <w:rPr>
          <w:b/>
          <w:bCs/>
          <w:sz w:val="18"/>
          <w:szCs w:val="18"/>
          <w:lang w:val="es-MX"/>
        </w:rPr>
        <w:t>Fuente:</w:t>
      </w:r>
      <w:r w:rsidRPr="00DA702D">
        <w:rPr>
          <w:sz w:val="18"/>
          <w:szCs w:val="18"/>
          <w:lang w:val="es-MX"/>
        </w:rPr>
        <w:t xml:space="preserve"> Sistema de Información y Estadísticas (SIES)</w:t>
      </w:r>
    </w:p>
    <w:p w14:paraId="69048B7D" w14:textId="77777777" w:rsidR="00DA702D" w:rsidRDefault="00DA702D" w:rsidP="005C133F">
      <w:pPr>
        <w:spacing w:after="0" w:line="360" w:lineRule="auto"/>
        <w:jc w:val="center"/>
        <w:rPr>
          <w:sz w:val="18"/>
          <w:szCs w:val="18"/>
          <w:lang w:val="es-MX"/>
        </w:rPr>
      </w:pPr>
    </w:p>
    <w:p w14:paraId="0DFE77E7" w14:textId="77777777" w:rsidR="00DA702D" w:rsidRDefault="00DA702D" w:rsidP="005C133F">
      <w:pPr>
        <w:spacing w:after="0" w:line="360" w:lineRule="auto"/>
        <w:jc w:val="center"/>
        <w:rPr>
          <w:sz w:val="18"/>
          <w:szCs w:val="18"/>
          <w:lang w:val="es-MX"/>
        </w:rPr>
      </w:pPr>
    </w:p>
    <w:p w14:paraId="571FC2D9" w14:textId="77777777" w:rsidR="00DA702D" w:rsidRDefault="00DA702D" w:rsidP="005C133F">
      <w:pPr>
        <w:spacing w:after="0" w:line="360" w:lineRule="auto"/>
        <w:jc w:val="center"/>
        <w:rPr>
          <w:sz w:val="18"/>
          <w:szCs w:val="18"/>
          <w:lang w:val="es-MX"/>
        </w:rPr>
      </w:pPr>
    </w:p>
    <w:p w14:paraId="386EDEE6" w14:textId="77777777" w:rsidR="00DA702D" w:rsidRDefault="00DA702D" w:rsidP="005C133F">
      <w:pPr>
        <w:spacing w:after="0" w:line="360" w:lineRule="auto"/>
        <w:jc w:val="center"/>
        <w:rPr>
          <w:sz w:val="18"/>
          <w:szCs w:val="18"/>
          <w:lang w:val="es-MX"/>
        </w:rPr>
      </w:pPr>
    </w:p>
    <w:p w14:paraId="5EB3589E" w14:textId="77777777" w:rsidR="00DA702D" w:rsidRDefault="00DA702D" w:rsidP="005C133F">
      <w:pPr>
        <w:spacing w:after="0" w:line="360" w:lineRule="auto"/>
        <w:jc w:val="center"/>
        <w:rPr>
          <w:sz w:val="18"/>
          <w:szCs w:val="18"/>
          <w:lang w:val="es-MX"/>
        </w:rPr>
      </w:pPr>
    </w:p>
    <w:p w14:paraId="20161691" w14:textId="77777777" w:rsidR="00DA702D" w:rsidRDefault="00DA702D" w:rsidP="005C133F">
      <w:pPr>
        <w:spacing w:after="0" w:line="360" w:lineRule="auto"/>
        <w:jc w:val="center"/>
        <w:rPr>
          <w:sz w:val="18"/>
          <w:szCs w:val="18"/>
          <w:lang w:val="es-MX"/>
        </w:rPr>
      </w:pPr>
    </w:p>
    <w:p w14:paraId="2A1A2453" w14:textId="77777777" w:rsidR="00DA702D" w:rsidRDefault="00DA702D" w:rsidP="005C133F">
      <w:pPr>
        <w:spacing w:after="0" w:line="360" w:lineRule="auto"/>
        <w:jc w:val="center"/>
        <w:rPr>
          <w:sz w:val="18"/>
          <w:szCs w:val="18"/>
          <w:lang w:val="es-MX"/>
        </w:rPr>
      </w:pPr>
    </w:p>
    <w:p w14:paraId="66525682" w14:textId="77777777" w:rsidR="00DA702D" w:rsidRDefault="00DA702D" w:rsidP="005C133F">
      <w:pPr>
        <w:spacing w:after="0" w:line="360" w:lineRule="auto"/>
        <w:jc w:val="center"/>
        <w:rPr>
          <w:sz w:val="18"/>
          <w:szCs w:val="18"/>
          <w:lang w:val="es-MX"/>
        </w:rPr>
      </w:pPr>
    </w:p>
    <w:p w14:paraId="46F93686" w14:textId="77777777" w:rsidR="00DA702D" w:rsidRDefault="00DA702D" w:rsidP="005C133F">
      <w:pPr>
        <w:spacing w:after="0" w:line="360" w:lineRule="auto"/>
        <w:jc w:val="center"/>
        <w:rPr>
          <w:sz w:val="18"/>
          <w:szCs w:val="18"/>
          <w:lang w:val="es-MX"/>
        </w:rPr>
      </w:pPr>
    </w:p>
    <w:p w14:paraId="2291AD91" w14:textId="77777777" w:rsidR="00DA702D" w:rsidRDefault="00DA702D" w:rsidP="005C133F">
      <w:pPr>
        <w:spacing w:after="0" w:line="360" w:lineRule="auto"/>
        <w:jc w:val="center"/>
        <w:rPr>
          <w:sz w:val="18"/>
          <w:szCs w:val="18"/>
          <w:lang w:val="es-MX"/>
        </w:rPr>
      </w:pPr>
    </w:p>
    <w:p w14:paraId="3F0B7712" w14:textId="77777777" w:rsidR="00DA702D" w:rsidRDefault="00DA702D" w:rsidP="005C133F">
      <w:pPr>
        <w:spacing w:after="0" w:line="360" w:lineRule="auto"/>
        <w:jc w:val="center"/>
        <w:rPr>
          <w:sz w:val="18"/>
          <w:szCs w:val="18"/>
          <w:lang w:val="es-MX"/>
        </w:rPr>
      </w:pPr>
    </w:p>
    <w:p w14:paraId="2D497E0B" w14:textId="77777777" w:rsidR="00DA702D" w:rsidRDefault="00DA702D" w:rsidP="005C133F">
      <w:pPr>
        <w:spacing w:after="0" w:line="360" w:lineRule="auto"/>
        <w:jc w:val="center"/>
        <w:rPr>
          <w:sz w:val="18"/>
          <w:szCs w:val="18"/>
          <w:lang w:val="es-MX"/>
        </w:rPr>
      </w:pPr>
    </w:p>
    <w:p w14:paraId="24C24BCC" w14:textId="77777777" w:rsidR="00DA702D" w:rsidRDefault="00DA702D" w:rsidP="005C133F">
      <w:pPr>
        <w:spacing w:after="0" w:line="360" w:lineRule="auto"/>
        <w:jc w:val="center"/>
        <w:rPr>
          <w:sz w:val="18"/>
          <w:szCs w:val="18"/>
          <w:lang w:val="es-MX"/>
        </w:rPr>
      </w:pPr>
    </w:p>
    <w:p w14:paraId="0499DDF4" w14:textId="77777777" w:rsidR="00DA702D" w:rsidRDefault="00DA702D" w:rsidP="005C133F">
      <w:pPr>
        <w:spacing w:after="0" w:line="360" w:lineRule="auto"/>
        <w:jc w:val="center"/>
        <w:rPr>
          <w:sz w:val="18"/>
          <w:szCs w:val="18"/>
          <w:lang w:val="es-MX"/>
        </w:rPr>
      </w:pPr>
    </w:p>
    <w:p w14:paraId="543BE9A2" w14:textId="77777777" w:rsidR="00DA702D" w:rsidRDefault="00DA702D" w:rsidP="005C133F">
      <w:pPr>
        <w:spacing w:after="0" w:line="360" w:lineRule="auto"/>
        <w:jc w:val="center"/>
        <w:rPr>
          <w:sz w:val="18"/>
          <w:szCs w:val="18"/>
          <w:lang w:val="es-MX"/>
        </w:rPr>
      </w:pPr>
    </w:p>
    <w:p w14:paraId="790788DB" w14:textId="77777777" w:rsidR="00DA702D" w:rsidRDefault="00DA702D" w:rsidP="005C133F">
      <w:pPr>
        <w:spacing w:after="0" w:line="360" w:lineRule="auto"/>
        <w:jc w:val="center"/>
        <w:rPr>
          <w:sz w:val="18"/>
          <w:szCs w:val="18"/>
          <w:lang w:val="es-MX"/>
        </w:rPr>
      </w:pPr>
    </w:p>
    <w:p w14:paraId="2C1AE366" w14:textId="77777777" w:rsidR="00DA702D" w:rsidRDefault="00DA702D" w:rsidP="005C133F">
      <w:pPr>
        <w:spacing w:after="0" w:line="360" w:lineRule="auto"/>
        <w:jc w:val="center"/>
        <w:rPr>
          <w:sz w:val="18"/>
          <w:szCs w:val="18"/>
          <w:lang w:val="es-MX"/>
        </w:rPr>
      </w:pPr>
    </w:p>
    <w:p w14:paraId="467933EF" w14:textId="77777777" w:rsidR="00DA702D" w:rsidRDefault="00DA702D" w:rsidP="005C133F">
      <w:pPr>
        <w:spacing w:after="0" w:line="360" w:lineRule="auto"/>
        <w:jc w:val="center"/>
        <w:rPr>
          <w:sz w:val="18"/>
          <w:szCs w:val="18"/>
          <w:lang w:val="es-MX"/>
        </w:rPr>
      </w:pPr>
    </w:p>
    <w:p w14:paraId="6D0DBBE2" w14:textId="77777777" w:rsidR="00DA702D" w:rsidRDefault="00DA702D" w:rsidP="005C133F">
      <w:pPr>
        <w:spacing w:after="0" w:line="360" w:lineRule="auto"/>
        <w:jc w:val="center"/>
        <w:rPr>
          <w:sz w:val="18"/>
          <w:szCs w:val="18"/>
          <w:lang w:val="es-MX"/>
        </w:rPr>
      </w:pPr>
    </w:p>
    <w:p w14:paraId="515F5C58" w14:textId="77777777" w:rsidR="00DA702D" w:rsidRDefault="00DA702D" w:rsidP="005C133F">
      <w:pPr>
        <w:spacing w:after="0" w:line="360" w:lineRule="auto"/>
        <w:jc w:val="center"/>
        <w:rPr>
          <w:sz w:val="18"/>
          <w:szCs w:val="18"/>
          <w:lang w:val="es-MX"/>
        </w:rPr>
      </w:pPr>
    </w:p>
    <w:p w14:paraId="2A76519D" w14:textId="77777777" w:rsidR="00DA702D" w:rsidRDefault="00DA702D" w:rsidP="005C133F">
      <w:pPr>
        <w:spacing w:after="0" w:line="360" w:lineRule="auto"/>
        <w:jc w:val="center"/>
        <w:rPr>
          <w:sz w:val="18"/>
          <w:szCs w:val="18"/>
          <w:lang w:val="es-MX"/>
        </w:rPr>
      </w:pPr>
    </w:p>
    <w:p w14:paraId="3FC208F4" w14:textId="77777777" w:rsidR="00DA702D" w:rsidRDefault="00DA702D" w:rsidP="005C133F">
      <w:pPr>
        <w:spacing w:after="0" w:line="360" w:lineRule="auto"/>
        <w:jc w:val="center"/>
        <w:rPr>
          <w:sz w:val="18"/>
          <w:szCs w:val="18"/>
          <w:lang w:val="es-MX"/>
        </w:rPr>
      </w:pPr>
    </w:p>
    <w:p w14:paraId="3F3FA8F3" w14:textId="77777777" w:rsidR="00DA702D" w:rsidRDefault="00DA702D" w:rsidP="005C133F">
      <w:pPr>
        <w:spacing w:after="0" w:line="360" w:lineRule="auto"/>
        <w:jc w:val="center"/>
        <w:rPr>
          <w:sz w:val="18"/>
          <w:szCs w:val="18"/>
          <w:lang w:val="es-MX"/>
        </w:rPr>
      </w:pPr>
    </w:p>
    <w:p w14:paraId="1902BEEB" w14:textId="77777777" w:rsidR="00DA702D" w:rsidRPr="00DA702D" w:rsidRDefault="00DA702D" w:rsidP="005C133F">
      <w:pPr>
        <w:spacing w:after="0" w:line="360" w:lineRule="auto"/>
        <w:jc w:val="center"/>
        <w:rPr>
          <w:sz w:val="18"/>
          <w:szCs w:val="18"/>
          <w:lang w:val="es-MX"/>
        </w:rPr>
      </w:pPr>
    </w:p>
    <w:p w14:paraId="02D17391" w14:textId="7AE7ED06" w:rsidR="005F26EE" w:rsidRPr="00AC2DB2" w:rsidRDefault="005D2C44" w:rsidP="005C133F">
      <w:pPr>
        <w:pStyle w:val="Ttulo1"/>
        <w:rPr>
          <w:rFonts w:cs="Times New Roman"/>
          <w:color w:val="767171"/>
          <w:szCs w:val="28"/>
          <w:lang w:val="es-DO"/>
        </w:rPr>
      </w:pPr>
      <w:bookmarkStart w:id="108" w:name="_Toc219121849"/>
      <w:r w:rsidRPr="00AC2DB2">
        <w:rPr>
          <w:rFonts w:cs="Times New Roman"/>
          <w:color w:val="767171"/>
          <w:szCs w:val="28"/>
          <w:lang w:val="es-DO"/>
        </w:rPr>
        <w:lastRenderedPageBreak/>
        <w:t>IV.</w:t>
      </w:r>
      <w:r w:rsidRPr="00AC2DB2">
        <w:rPr>
          <w:rFonts w:cs="Times New Roman"/>
          <w:color w:val="767171"/>
          <w:szCs w:val="28"/>
          <w:lang w:val="es-DO"/>
        </w:rPr>
        <w:tab/>
        <w:t>RESULTADOS DE LAS ÁREAS TRANSVERSALES Y DE APOYO</w:t>
      </w:r>
      <w:bookmarkEnd w:id="108"/>
    </w:p>
    <w:p w14:paraId="5AE3D72D" w14:textId="1014AA32" w:rsidR="00A31520" w:rsidRPr="005C133F" w:rsidRDefault="00152B47" w:rsidP="005C133F">
      <w:pPr>
        <w:spacing w:after="0" w:line="360" w:lineRule="auto"/>
        <w:rPr>
          <w:rFonts w:eastAsia="Calibri"/>
          <w:b/>
          <w:bCs/>
          <w:noProof/>
          <w:lang w:val="es-DO"/>
        </w:rPr>
      </w:pPr>
      <w:r w:rsidRPr="005C133F">
        <w:rPr>
          <w:rFonts w:eastAsia="Calibri"/>
          <w:noProof/>
          <w:lang w:val="es-DO" w:eastAsia="es-DO"/>
        </w:rPr>
        <mc:AlternateContent>
          <mc:Choice Requires="wps">
            <w:drawing>
              <wp:anchor distT="0" distB="0" distL="114300" distR="114300" simplePos="0" relativeHeight="251658244" behindDoc="0" locked="0" layoutInCell="1" allowOverlap="1" wp14:anchorId="36A1A02B" wp14:editId="72317AC5">
                <wp:simplePos x="0" y="0"/>
                <wp:positionH relativeFrom="margin">
                  <wp:align>center</wp:align>
                </wp:positionH>
                <wp:positionV relativeFrom="paragraph">
                  <wp:posOffset>26449</wp:posOffset>
                </wp:positionV>
                <wp:extent cx="463550" cy="0"/>
                <wp:effectExtent l="0" t="19050" r="31750" b="19050"/>
                <wp:wrapNone/>
                <wp:docPr id="100034552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14F8B" id="Straight Connector 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72773618" w14:textId="77777777" w:rsidR="000D4D13" w:rsidRPr="005C133F" w:rsidRDefault="000D4D13" w:rsidP="000D4D13">
      <w:pPr>
        <w:spacing w:after="0" w:line="360" w:lineRule="auto"/>
        <w:jc w:val="center"/>
        <w:rPr>
          <w:lang w:val="es-DO"/>
        </w:rPr>
      </w:pPr>
      <w:r w:rsidRPr="005C133F">
        <w:rPr>
          <w:lang w:val="es-DO"/>
        </w:rPr>
        <w:t>Memoria Institucional 2025</w:t>
      </w:r>
    </w:p>
    <w:p w14:paraId="42BD77C7" w14:textId="280F712B" w:rsidR="00FC13BB" w:rsidRPr="005C133F" w:rsidRDefault="00A31520" w:rsidP="005C133F">
      <w:pPr>
        <w:pStyle w:val="SUBTITULITO"/>
        <w:spacing w:after="0"/>
        <w:rPr>
          <w:rFonts w:eastAsia="Calibri"/>
          <w:noProof/>
        </w:rPr>
      </w:pPr>
      <w:bookmarkStart w:id="109" w:name="_Toc219121850"/>
      <w:r w:rsidRPr="005C133F">
        <w:rPr>
          <w:rFonts w:eastAsia="Calibri"/>
          <w:noProof/>
        </w:rPr>
        <w:t>4.1 Desempeño Área Administrativa y Financiera</w:t>
      </w:r>
      <w:bookmarkEnd w:id="109"/>
    </w:p>
    <w:p w14:paraId="4E10B6F9" w14:textId="77777777" w:rsidR="00FC13BB" w:rsidRPr="000D4D13" w:rsidRDefault="00FC13BB" w:rsidP="00DA702D">
      <w:pPr>
        <w:rPr>
          <w:noProof/>
          <w:lang w:val="es-DO"/>
        </w:rPr>
      </w:pPr>
    </w:p>
    <w:p w14:paraId="2F8CE992" w14:textId="65C5127E" w:rsidR="00A31520" w:rsidRPr="005C133F" w:rsidRDefault="00A31520" w:rsidP="005C133F">
      <w:pPr>
        <w:pStyle w:val="SUBTITULITO"/>
        <w:spacing w:after="0"/>
        <w:rPr>
          <w:rFonts w:eastAsia="Calibri"/>
          <w:noProof/>
        </w:rPr>
      </w:pPr>
      <w:bookmarkStart w:id="110" w:name="_Toc219121851"/>
      <w:r w:rsidRPr="005C133F">
        <w:rPr>
          <w:rFonts w:eastAsia="Calibri"/>
          <w:noProof/>
        </w:rPr>
        <w:t>4.1.1 Gestión de compras</w:t>
      </w:r>
      <w:bookmarkEnd w:id="110"/>
    </w:p>
    <w:p w14:paraId="663235E1" w14:textId="77777777" w:rsidR="00A43D63" w:rsidRPr="005C133F" w:rsidRDefault="00A43D63" w:rsidP="005C133F">
      <w:pPr>
        <w:spacing w:after="0" w:line="360" w:lineRule="auto"/>
        <w:rPr>
          <w:rFonts w:eastAsia="Calibri"/>
          <w:b/>
          <w:bCs/>
          <w:noProof/>
          <w:lang w:val="es-DO"/>
        </w:rPr>
      </w:pPr>
    </w:p>
    <w:p w14:paraId="724F2C51" w14:textId="77777777" w:rsidR="00A43D63" w:rsidRDefault="00A43D63" w:rsidP="007631D5">
      <w:pPr>
        <w:spacing w:after="0" w:line="360" w:lineRule="auto"/>
        <w:rPr>
          <w:rFonts w:eastAsia="Calibri"/>
          <w:b/>
          <w:bCs/>
          <w:noProof/>
          <w:lang w:val="es-DO"/>
        </w:rPr>
      </w:pPr>
      <w:r w:rsidRPr="005C133F">
        <w:rPr>
          <w:rFonts w:eastAsia="Calibri"/>
          <w:b/>
          <w:bCs/>
          <w:noProof/>
          <w:lang w:val="es-DO"/>
        </w:rPr>
        <w:t>Sistema Nacional de Compras y Contrataciones</w:t>
      </w:r>
    </w:p>
    <w:p w14:paraId="175FFD47" w14:textId="77777777" w:rsidR="007631D5" w:rsidRPr="005C133F" w:rsidRDefault="007631D5" w:rsidP="007631D5">
      <w:pPr>
        <w:spacing w:after="0" w:line="360" w:lineRule="auto"/>
        <w:rPr>
          <w:rFonts w:eastAsia="Calibri"/>
          <w:b/>
          <w:bCs/>
          <w:noProof/>
          <w:lang w:val="es-DO"/>
        </w:rPr>
      </w:pPr>
    </w:p>
    <w:p w14:paraId="31FF44A0" w14:textId="55FD7CC4" w:rsidR="00A43D63" w:rsidRDefault="00A43D63" w:rsidP="007631D5">
      <w:pPr>
        <w:spacing w:after="0" w:line="360" w:lineRule="auto"/>
        <w:jc w:val="both"/>
        <w:rPr>
          <w:rFonts w:eastAsia="Calibri"/>
          <w:noProof/>
          <w:lang w:val="es-DO"/>
        </w:rPr>
      </w:pPr>
      <w:r w:rsidRPr="005C133F">
        <w:rPr>
          <w:rFonts w:eastAsia="Calibri"/>
          <w:noProof/>
          <w:lang w:val="es-DO"/>
        </w:rPr>
        <w:t xml:space="preserve">Se alcanzó una calificación promedio de </w:t>
      </w:r>
      <w:r w:rsidR="0026741B">
        <w:rPr>
          <w:rFonts w:eastAsia="Calibri"/>
          <w:noProof/>
          <w:lang w:val="es-DO"/>
        </w:rPr>
        <w:t>9</w:t>
      </w:r>
      <w:r w:rsidR="002730F4">
        <w:rPr>
          <w:rFonts w:eastAsia="Calibri"/>
          <w:noProof/>
          <w:lang w:val="es-DO"/>
        </w:rPr>
        <w:t>1</w:t>
      </w:r>
      <w:r w:rsidRPr="005C133F">
        <w:rPr>
          <w:rFonts w:eastAsia="Calibri"/>
          <w:noProof/>
          <w:lang w:val="es-DO"/>
        </w:rPr>
        <w:t>.</w:t>
      </w:r>
      <w:r w:rsidR="002730F4">
        <w:rPr>
          <w:rFonts w:eastAsia="Calibri"/>
          <w:noProof/>
          <w:lang w:val="es-DO"/>
        </w:rPr>
        <w:t>26</w:t>
      </w:r>
      <w:r w:rsidRPr="005C133F">
        <w:rPr>
          <w:rFonts w:eastAsia="Calibri"/>
          <w:noProof/>
          <w:lang w:val="es-DO"/>
        </w:rPr>
        <w:t xml:space="preserve"> en el indicador del Sistema Nacional de Compras y Contrataciones (SISCOMPRAS) correspondiente al período </w:t>
      </w:r>
      <w:r w:rsidR="002730F4">
        <w:rPr>
          <w:rFonts w:eastAsia="Calibri"/>
          <w:noProof/>
          <w:lang w:val="es-DO"/>
        </w:rPr>
        <w:t>enero</w:t>
      </w:r>
      <w:r w:rsidRPr="005C133F">
        <w:rPr>
          <w:rFonts w:eastAsia="Calibri"/>
          <w:noProof/>
          <w:lang w:val="es-DO"/>
        </w:rPr>
        <w:t>-diciembre 2025, lo que refleja un desempeño satisfactorio en el cumplimiento de los lineamientos establecidos por el órgano rector.</w:t>
      </w:r>
    </w:p>
    <w:p w14:paraId="68963B37" w14:textId="77777777" w:rsidR="007631D5" w:rsidRPr="005C133F" w:rsidRDefault="007631D5" w:rsidP="007631D5">
      <w:pPr>
        <w:spacing w:after="0" w:line="360" w:lineRule="auto"/>
        <w:jc w:val="both"/>
        <w:rPr>
          <w:rFonts w:eastAsia="Calibri"/>
          <w:noProof/>
          <w:lang w:val="es-DO"/>
        </w:rPr>
      </w:pPr>
    </w:p>
    <w:p w14:paraId="652FABA0" w14:textId="0F12098F" w:rsidR="00F53398" w:rsidRDefault="00A43D63" w:rsidP="007631D5">
      <w:pPr>
        <w:spacing w:after="0" w:line="360" w:lineRule="auto"/>
        <w:jc w:val="both"/>
        <w:rPr>
          <w:rFonts w:eastAsia="Calibri"/>
          <w:noProof/>
          <w:lang w:val="es-DO"/>
        </w:rPr>
      </w:pPr>
      <w:r w:rsidRPr="005C133F">
        <w:rPr>
          <w:rFonts w:eastAsia="Calibri"/>
          <w:noProof/>
          <w:lang w:val="es-DO"/>
        </w:rPr>
        <w:t>Durante el ciclo enero-</w:t>
      </w:r>
      <w:r w:rsidR="0026741B">
        <w:rPr>
          <w:rFonts w:eastAsia="Calibri"/>
          <w:noProof/>
          <w:lang w:val="es-DO"/>
        </w:rPr>
        <w:t>diciembre</w:t>
      </w:r>
      <w:r w:rsidRPr="005C133F">
        <w:rPr>
          <w:rFonts w:eastAsia="Calibri"/>
          <w:noProof/>
          <w:lang w:val="es-DO"/>
        </w:rPr>
        <w:t xml:space="preserve"> 2025 la SISALRIL adjudicó un total de 2</w:t>
      </w:r>
      <w:r w:rsidR="0026741B">
        <w:rPr>
          <w:rFonts w:eastAsia="Calibri"/>
          <w:noProof/>
          <w:lang w:val="es-DO"/>
        </w:rPr>
        <w:t>37</w:t>
      </w:r>
      <w:r w:rsidRPr="005C133F">
        <w:rPr>
          <w:rFonts w:eastAsia="Calibri"/>
          <w:noProof/>
          <w:lang w:val="es-DO"/>
        </w:rPr>
        <w:t xml:space="preserve"> procesos de compras, de los cuales 1</w:t>
      </w:r>
      <w:r w:rsidR="0026741B">
        <w:rPr>
          <w:rFonts w:eastAsia="Calibri"/>
          <w:noProof/>
          <w:lang w:val="es-DO"/>
        </w:rPr>
        <w:t>27</w:t>
      </w:r>
      <w:r w:rsidRPr="005C133F">
        <w:rPr>
          <w:rFonts w:eastAsia="Calibri"/>
          <w:noProof/>
          <w:lang w:val="es-DO"/>
        </w:rPr>
        <w:t xml:space="preserve"> correspondieron a compras por debajo del umbral, </w:t>
      </w:r>
      <w:r w:rsidR="0026741B">
        <w:rPr>
          <w:rFonts w:eastAsia="Calibri"/>
          <w:noProof/>
          <w:lang w:val="es-DO"/>
        </w:rPr>
        <w:t>62</w:t>
      </w:r>
      <w:r w:rsidRPr="005C133F">
        <w:rPr>
          <w:rFonts w:eastAsia="Calibri"/>
          <w:noProof/>
          <w:lang w:val="es-DO"/>
        </w:rPr>
        <w:t xml:space="preserve"> compras menores, 44 procesos de excepciones, 2 comparaciones de precio y 2 subastas inversas por un monto total adjudicado de RD$1</w:t>
      </w:r>
      <w:r w:rsidR="0026741B">
        <w:rPr>
          <w:rFonts w:eastAsia="Calibri"/>
          <w:noProof/>
          <w:lang w:val="es-DO"/>
        </w:rPr>
        <w:t>33</w:t>
      </w:r>
      <w:r w:rsidRPr="005C133F">
        <w:rPr>
          <w:rFonts w:eastAsia="Calibri"/>
          <w:noProof/>
          <w:lang w:val="es-DO"/>
        </w:rPr>
        <w:t>,</w:t>
      </w:r>
      <w:r w:rsidR="0026741B">
        <w:rPr>
          <w:rFonts w:eastAsia="Calibri"/>
          <w:noProof/>
          <w:lang w:val="es-DO"/>
        </w:rPr>
        <w:t>722</w:t>
      </w:r>
      <w:r w:rsidRPr="005C133F">
        <w:rPr>
          <w:rFonts w:eastAsia="Calibri"/>
          <w:noProof/>
          <w:lang w:val="es-DO"/>
        </w:rPr>
        <w:t>,</w:t>
      </w:r>
      <w:r w:rsidR="0026741B">
        <w:rPr>
          <w:rFonts w:eastAsia="Calibri"/>
          <w:noProof/>
          <w:lang w:val="es-DO"/>
        </w:rPr>
        <w:t>835</w:t>
      </w:r>
      <w:r w:rsidRPr="005C133F">
        <w:rPr>
          <w:rFonts w:eastAsia="Calibri"/>
          <w:noProof/>
          <w:lang w:val="es-DO"/>
        </w:rPr>
        <w:t>.</w:t>
      </w:r>
      <w:r w:rsidR="0026741B">
        <w:rPr>
          <w:rFonts w:eastAsia="Calibri"/>
          <w:noProof/>
          <w:lang w:val="es-DO"/>
        </w:rPr>
        <w:t>18</w:t>
      </w:r>
      <w:r w:rsidRPr="005C133F">
        <w:rPr>
          <w:rFonts w:eastAsia="Calibri"/>
          <w:noProof/>
          <w:lang w:val="es-DO"/>
        </w:rPr>
        <w:t>. A continuación, presentamos un cuadro resumen con los procesos ejecutados durante el año 2025, indicados precedentemente.</w:t>
      </w:r>
    </w:p>
    <w:p w14:paraId="0B790F7E" w14:textId="77777777" w:rsidR="00AC2DB2" w:rsidRPr="001051D6" w:rsidRDefault="00AC2DB2" w:rsidP="005C133F">
      <w:pPr>
        <w:spacing w:after="0" w:line="360" w:lineRule="auto"/>
        <w:jc w:val="both"/>
        <w:rPr>
          <w:rFonts w:eastAsia="Calibri"/>
          <w:lang w:val="es-DO"/>
        </w:rPr>
      </w:pPr>
    </w:p>
    <w:p w14:paraId="4346995C" w14:textId="0B39DF25" w:rsidR="0021765B" w:rsidRPr="005C133F" w:rsidRDefault="0021765B" w:rsidP="0067066E">
      <w:pPr>
        <w:pStyle w:val="Descripcin"/>
        <w:keepNext/>
        <w:spacing w:after="0" w:line="360" w:lineRule="auto"/>
        <w:jc w:val="center"/>
        <w:rPr>
          <w:rFonts w:eastAsia="Calibri"/>
          <w:b/>
          <w:bCs/>
          <w:i w:val="0"/>
          <w:iCs w:val="0"/>
          <w:noProof/>
          <w:color w:val="767171"/>
          <w:sz w:val="24"/>
          <w:szCs w:val="24"/>
          <w:lang w:val="es-DO"/>
        </w:rPr>
      </w:pPr>
      <w:bookmarkStart w:id="111" w:name="_Toc218784173"/>
      <w:r w:rsidRPr="005C133F">
        <w:rPr>
          <w:rFonts w:eastAsia="Calibri"/>
          <w:b/>
          <w:bCs/>
          <w:i w:val="0"/>
          <w:iCs w:val="0"/>
          <w:noProof/>
          <w:color w:val="767171"/>
          <w:sz w:val="24"/>
          <w:szCs w:val="24"/>
          <w:lang w:val="es-DO"/>
        </w:rPr>
        <w:t xml:space="preserve">Tabla </w:t>
      </w:r>
      <w:r w:rsidRPr="005C133F">
        <w:rPr>
          <w:rFonts w:eastAsia="Calibri"/>
          <w:b/>
          <w:bCs/>
          <w:i w:val="0"/>
          <w:iCs w:val="0"/>
          <w:noProof/>
          <w:color w:val="767171"/>
          <w:sz w:val="24"/>
          <w:szCs w:val="24"/>
          <w:lang w:val="es-DO"/>
        </w:rPr>
        <w:fldChar w:fldCharType="begin"/>
      </w:r>
      <w:r w:rsidRPr="005C133F">
        <w:rPr>
          <w:rFonts w:eastAsia="Calibri"/>
          <w:b/>
          <w:bCs/>
          <w:i w:val="0"/>
          <w:iCs w:val="0"/>
          <w:noProof/>
          <w:color w:val="767171"/>
          <w:sz w:val="24"/>
          <w:szCs w:val="24"/>
          <w:lang w:val="es-DO"/>
        </w:rPr>
        <w:instrText xml:space="preserve"> SEQ Tabla \* ARABIC </w:instrText>
      </w:r>
      <w:r w:rsidRPr="005C133F">
        <w:rPr>
          <w:rFonts w:eastAsia="Calibri"/>
          <w:b/>
          <w:bCs/>
          <w:i w:val="0"/>
          <w:iCs w:val="0"/>
          <w:noProof/>
          <w:color w:val="767171"/>
          <w:sz w:val="24"/>
          <w:szCs w:val="24"/>
          <w:lang w:val="es-DO"/>
        </w:rPr>
        <w:fldChar w:fldCharType="separate"/>
      </w:r>
      <w:r w:rsidR="00814341">
        <w:rPr>
          <w:rFonts w:eastAsia="Calibri"/>
          <w:b/>
          <w:bCs/>
          <w:i w:val="0"/>
          <w:iCs w:val="0"/>
          <w:noProof/>
          <w:color w:val="767171"/>
          <w:sz w:val="24"/>
          <w:szCs w:val="24"/>
          <w:lang w:val="es-DO"/>
        </w:rPr>
        <w:t>41</w:t>
      </w:r>
      <w:r w:rsidRPr="005C133F">
        <w:rPr>
          <w:rFonts w:eastAsia="Calibri"/>
          <w:b/>
          <w:bCs/>
          <w:i w:val="0"/>
          <w:iCs w:val="0"/>
          <w:noProof/>
          <w:color w:val="767171"/>
          <w:sz w:val="24"/>
          <w:szCs w:val="24"/>
          <w:lang w:val="es-DO"/>
        </w:rPr>
        <w:fldChar w:fldCharType="end"/>
      </w:r>
      <w:r w:rsidRPr="005C133F">
        <w:rPr>
          <w:rFonts w:eastAsia="Calibri"/>
          <w:b/>
          <w:bCs/>
          <w:i w:val="0"/>
          <w:iCs w:val="0"/>
          <w:noProof/>
          <w:color w:val="767171"/>
          <w:sz w:val="24"/>
          <w:szCs w:val="24"/>
          <w:lang w:val="es-DO"/>
        </w:rPr>
        <w:t>. Resumen de compras y contrataciones, 2025</w:t>
      </w:r>
      <w:bookmarkEnd w:id="111"/>
    </w:p>
    <w:tbl>
      <w:tblPr>
        <w:tblW w:w="0" w:type="auto"/>
        <w:jc w:val="center"/>
        <w:tblCellMar>
          <w:left w:w="70" w:type="dxa"/>
          <w:right w:w="70" w:type="dxa"/>
        </w:tblCellMar>
        <w:tblLook w:val="04A0" w:firstRow="1" w:lastRow="0" w:firstColumn="1" w:lastColumn="0" w:noHBand="0" w:noVBand="1"/>
      </w:tblPr>
      <w:tblGrid>
        <w:gridCol w:w="3286"/>
        <w:gridCol w:w="1260"/>
        <w:gridCol w:w="1101"/>
        <w:gridCol w:w="2002"/>
      </w:tblGrid>
      <w:tr w:rsidR="0043540B" w:rsidRPr="0043540B" w14:paraId="52244E50" w14:textId="77777777" w:rsidTr="0067066E">
        <w:trPr>
          <w:trHeight w:val="612"/>
          <w:tblHeader/>
          <w:jc w:val="cent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770CE6FB"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Modalidad de Compras</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45062864"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Estado</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18484BE3"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Cantidad</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289408DA"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Subtotal RD$</w:t>
            </w:r>
          </w:p>
        </w:tc>
      </w:tr>
      <w:tr w:rsidR="0043540B" w:rsidRPr="0043540B" w14:paraId="1A7E5AB3"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55DD38F7"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Compras por Debajo del Umbral</w:t>
            </w:r>
          </w:p>
        </w:tc>
        <w:tc>
          <w:tcPr>
            <w:tcW w:w="0" w:type="auto"/>
            <w:tcBorders>
              <w:top w:val="nil"/>
              <w:left w:val="nil"/>
              <w:bottom w:val="single" w:sz="4" w:space="0" w:color="767171"/>
              <w:right w:val="single" w:sz="4" w:space="0" w:color="767171"/>
            </w:tcBorders>
            <w:vAlign w:val="center"/>
            <w:hideMark/>
          </w:tcPr>
          <w:p w14:paraId="22DF36C5"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Adjudicado</w:t>
            </w:r>
          </w:p>
        </w:tc>
        <w:tc>
          <w:tcPr>
            <w:tcW w:w="0" w:type="auto"/>
            <w:tcBorders>
              <w:top w:val="nil"/>
              <w:left w:val="nil"/>
              <w:bottom w:val="single" w:sz="4" w:space="0" w:color="767171"/>
              <w:right w:val="single" w:sz="4" w:space="0" w:color="767171"/>
            </w:tcBorders>
            <w:vAlign w:val="center"/>
            <w:hideMark/>
          </w:tcPr>
          <w:p w14:paraId="6844F1A4"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127</w:t>
            </w:r>
          </w:p>
        </w:tc>
        <w:tc>
          <w:tcPr>
            <w:tcW w:w="0" w:type="auto"/>
            <w:tcBorders>
              <w:top w:val="nil"/>
              <w:left w:val="nil"/>
              <w:bottom w:val="single" w:sz="4" w:space="0" w:color="767171"/>
              <w:right w:val="single" w:sz="4" w:space="0" w:color="767171"/>
            </w:tcBorders>
            <w:vAlign w:val="center"/>
            <w:hideMark/>
          </w:tcPr>
          <w:p w14:paraId="37F704C2"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$18,162,898.77 </w:t>
            </w:r>
          </w:p>
        </w:tc>
      </w:tr>
      <w:tr w:rsidR="0043540B" w:rsidRPr="0043540B" w14:paraId="61BBD5CA"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7C6A3ECB"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Compras Menores</w:t>
            </w:r>
          </w:p>
        </w:tc>
        <w:tc>
          <w:tcPr>
            <w:tcW w:w="0" w:type="auto"/>
            <w:tcBorders>
              <w:top w:val="nil"/>
              <w:left w:val="nil"/>
              <w:bottom w:val="single" w:sz="4" w:space="0" w:color="767171"/>
              <w:right w:val="single" w:sz="4" w:space="0" w:color="767171"/>
            </w:tcBorders>
            <w:vAlign w:val="center"/>
            <w:hideMark/>
          </w:tcPr>
          <w:p w14:paraId="12F7F3AD"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Adjudicado</w:t>
            </w:r>
          </w:p>
        </w:tc>
        <w:tc>
          <w:tcPr>
            <w:tcW w:w="0" w:type="auto"/>
            <w:tcBorders>
              <w:top w:val="nil"/>
              <w:left w:val="nil"/>
              <w:bottom w:val="single" w:sz="4" w:space="0" w:color="767171"/>
              <w:right w:val="single" w:sz="4" w:space="0" w:color="767171"/>
            </w:tcBorders>
            <w:vAlign w:val="center"/>
            <w:hideMark/>
          </w:tcPr>
          <w:p w14:paraId="4D4BE620"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62</w:t>
            </w:r>
          </w:p>
        </w:tc>
        <w:tc>
          <w:tcPr>
            <w:tcW w:w="0" w:type="auto"/>
            <w:tcBorders>
              <w:top w:val="nil"/>
              <w:left w:val="nil"/>
              <w:bottom w:val="single" w:sz="4" w:space="0" w:color="767171"/>
              <w:right w:val="single" w:sz="4" w:space="0" w:color="767171"/>
            </w:tcBorders>
            <w:vAlign w:val="center"/>
            <w:hideMark/>
          </w:tcPr>
          <w:p w14:paraId="73C82EE4"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$52,061,572.16 </w:t>
            </w:r>
          </w:p>
        </w:tc>
      </w:tr>
      <w:tr w:rsidR="0043540B" w:rsidRPr="0043540B" w14:paraId="67B2CCD0"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7E05950C"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lastRenderedPageBreak/>
              <w:t>Procesos de Excepción</w:t>
            </w:r>
          </w:p>
        </w:tc>
        <w:tc>
          <w:tcPr>
            <w:tcW w:w="0" w:type="auto"/>
            <w:tcBorders>
              <w:top w:val="nil"/>
              <w:left w:val="nil"/>
              <w:bottom w:val="single" w:sz="4" w:space="0" w:color="767171"/>
              <w:right w:val="single" w:sz="4" w:space="0" w:color="767171"/>
            </w:tcBorders>
            <w:vAlign w:val="center"/>
            <w:hideMark/>
          </w:tcPr>
          <w:p w14:paraId="3733F86D"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Adjudicado</w:t>
            </w:r>
          </w:p>
        </w:tc>
        <w:tc>
          <w:tcPr>
            <w:tcW w:w="0" w:type="auto"/>
            <w:tcBorders>
              <w:top w:val="nil"/>
              <w:left w:val="nil"/>
              <w:bottom w:val="single" w:sz="4" w:space="0" w:color="767171"/>
              <w:right w:val="single" w:sz="4" w:space="0" w:color="767171"/>
            </w:tcBorders>
            <w:vAlign w:val="center"/>
            <w:hideMark/>
          </w:tcPr>
          <w:p w14:paraId="5FCE4C3B"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44</w:t>
            </w:r>
          </w:p>
        </w:tc>
        <w:tc>
          <w:tcPr>
            <w:tcW w:w="0" w:type="auto"/>
            <w:tcBorders>
              <w:top w:val="nil"/>
              <w:left w:val="nil"/>
              <w:bottom w:val="single" w:sz="4" w:space="0" w:color="767171"/>
              <w:right w:val="single" w:sz="4" w:space="0" w:color="767171"/>
            </w:tcBorders>
            <w:vAlign w:val="center"/>
            <w:hideMark/>
          </w:tcPr>
          <w:p w14:paraId="084F5D16"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$41,693,440.25 </w:t>
            </w:r>
          </w:p>
        </w:tc>
      </w:tr>
      <w:tr w:rsidR="0043540B" w:rsidRPr="0043540B" w14:paraId="49D2D4AC"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51682DC4"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Comparación de Precios</w:t>
            </w:r>
          </w:p>
        </w:tc>
        <w:tc>
          <w:tcPr>
            <w:tcW w:w="0" w:type="auto"/>
            <w:tcBorders>
              <w:top w:val="nil"/>
              <w:left w:val="nil"/>
              <w:bottom w:val="single" w:sz="4" w:space="0" w:color="767171"/>
              <w:right w:val="single" w:sz="4" w:space="0" w:color="767171"/>
            </w:tcBorders>
            <w:vAlign w:val="center"/>
            <w:hideMark/>
          </w:tcPr>
          <w:p w14:paraId="24B088C1"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Adjudicado</w:t>
            </w:r>
          </w:p>
        </w:tc>
        <w:tc>
          <w:tcPr>
            <w:tcW w:w="0" w:type="auto"/>
            <w:tcBorders>
              <w:top w:val="nil"/>
              <w:left w:val="nil"/>
              <w:bottom w:val="single" w:sz="4" w:space="0" w:color="767171"/>
              <w:right w:val="single" w:sz="4" w:space="0" w:color="767171"/>
            </w:tcBorders>
            <w:vAlign w:val="center"/>
            <w:hideMark/>
          </w:tcPr>
          <w:p w14:paraId="237B11B5"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2</w:t>
            </w:r>
          </w:p>
        </w:tc>
        <w:tc>
          <w:tcPr>
            <w:tcW w:w="0" w:type="auto"/>
            <w:tcBorders>
              <w:top w:val="nil"/>
              <w:left w:val="nil"/>
              <w:bottom w:val="single" w:sz="4" w:space="0" w:color="767171"/>
              <w:right w:val="single" w:sz="4" w:space="0" w:color="767171"/>
            </w:tcBorders>
            <w:vAlign w:val="center"/>
            <w:hideMark/>
          </w:tcPr>
          <w:p w14:paraId="43630C12"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$4,236,458.00 </w:t>
            </w:r>
          </w:p>
        </w:tc>
      </w:tr>
      <w:tr w:rsidR="0043540B" w:rsidRPr="0043540B" w14:paraId="4A267648"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3835A4EC"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Subasta Inversa</w:t>
            </w:r>
          </w:p>
        </w:tc>
        <w:tc>
          <w:tcPr>
            <w:tcW w:w="0" w:type="auto"/>
            <w:tcBorders>
              <w:top w:val="nil"/>
              <w:left w:val="nil"/>
              <w:bottom w:val="single" w:sz="4" w:space="0" w:color="767171"/>
              <w:right w:val="single" w:sz="4" w:space="0" w:color="767171"/>
            </w:tcBorders>
            <w:vAlign w:val="center"/>
            <w:hideMark/>
          </w:tcPr>
          <w:p w14:paraId="7D04D4C9"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Adjudicado</w:t>
            </w:r>
          </w:p>
        </w:tc>
        <w:tc>
          <w:tcPr>
            <w:tcW w:w="0" w:type="auto"/>
            <w:tcBorders>
              <w:top w:val="nil"/>
              <w:left w:val="nil"/>
              <w:bottom w:val="single" w:sz="4" w:space="0" w:color="767171"/>
              <w:right w:val="single" w:sz="4" w:space="0" w:color="767171"/>
            </w:tcBorders>
            <w:vAlign w:val="center"/>
            <w:hideMark/>
          </w:tcPr>
          <w:p w14:paraId="3D64282B"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2</w:t>
            </w:r>
          </w:p>
        </w:tc>
        <w:tc>
          <w:tcPr>
            <w:tcW w:w="0" w:type="auto"/>
            <w:tcBorders>
              <w:top w:val="nil"/>
              <w:left w:val="nil"/>
              <w:bottom w:val="single" w:sz="4" w:space="0" w:color="767171"/>
              <w:right w:val="single" w:sz="4" w:space="0" w:color="767171"/>
            </w:tcBorders>
            <w:vAlign w:val="center"/>
            <w:hideMark/>
          </w:tcPr>
          <w:p w14:paraId="4665CAEB"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$17,568,466.00 </w:t>
            </w:r>
          </w:p>
        </w:tc>
      </w:tr>
      <w:tr w:rsidR="0043540B" w:rsidRPr="0043540B" w14:paraId="439595EA" w14:textId="77777777" w:rsidTr="0067066E">
        <w:trPr>
          <w:trHeight w:val="312"/>
          <w:jc w:val="center"/>
        </w:trPr>
        <w:tc>
          <w:tcPr>
            <w:tcW w:w="0" w:type="auto"/>
            <w:gridSpan w:val="2"/>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40948AFD" w14:textId="77777777" w:rsidR="0043540B" w:rsidRPr="0043540B" w:rsidRDefault="0043540B" w:rsidP="0043540B">
            <w:pPr>
              <w:spacing w:after="0" w:line="240" w:lineRule="auto"/>
              <w:jc w:val="right"/>
              <w:rPr>
                <w:rFonts w:eastAsia="Times New Roman"/>
                <w:b/>
                <w:bCs/>
                <w:color w:val="FFFFFF"/>
                <w:spacing w:val="0"/>
                <w:lang w:val="es-DO" w:eastAsia="es-DO"/>
              </w:rPr>
            </w:pPr>
            <w:r w:rsidRPr="0043540B">
              <w:rPr>
                <w:rFonts w:eastAsia="Times New Roman"/>
                <w:b/>
                <w:bCs/>
                <w:color w:val="FFFFFF"/>
                <w:spacing w:val="0"/>
                <w:lang w:val="es-DO" w:eastAsia="es-DO"/>
              </w:rPr>
              <w:t>Totales</w:t>
            </w:r>
          </w:p>
        </w:tc>
        <w:tc>
          <w:tcPr>
            <w:tcW w:w="0" w:type="auto"/>
            <w:tcBorders>
              <w:top w:val="nil"/>
              <w:left w:val="nil"/>
              <w:bottom w:val="single" w:sz="4" w:space="0" w:color="767171"/>
              <w:right w:val="single" w:sz="4" w:space="0" w:color="767171"/>
            </w:tcBorders>
            <w:shd w:val="clear" w:color="000000" w:fill="011C50"/>
            <w:vAlign w:val="center"/>
            <w:hideMark/>
          </w:tcPr>
          <w:p w14:paraId="1DA4D5CB"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237</w:t>
            </w:r>
          </w:p>
        </w:tc>
        <w:tc>
          <w:tcPr>
            <w:tcW w:w="0" w:type="auto"/>
            <w:tcBorders>
              <w:top w:val="nil"/>
              <w:left w:val="nil"/>
              <w:bottom w:val="single" w:sz="4" w:space="0" w:color="767171"/>
              <w:right w:val="single" w:sz="4" w:space="0" w:color="767171"/>
            </w:tcBorders>
            <w:shd w:val="clear" w:color="000000" w:fill="011C50"/>
            <w:vAlign w:val="center"/>
            <w:hideMark/>
          </w:tcPr>
          <w:p w14:paraId="57AA83F8" w14:textId="77777777" w:rsidR="0043540B" w:rsidRPr="0043540B" w:rsidRDefault="0043540B" w:rsidP="0043540B">
            <w:pPr>
              <w:spacing w:after="0" w:line="240" w:lineRule="auto"/>
              <w:ind w:firstLineChars="100" w:firstLine="241"/>
              <w:rPr>
                <w:rFonts w:eastAsia="Times New Roman"/>
                <w:b/>
                <w:bCs/>
                <w:color w:val="FFFFFF"/>
                <w:spacing w:val="0"/>
                <w:lang w:val="es-DO" w:eastAsia="es-DO"/>
              </w:rPr>
            </w:pPr>
            <w:r w:rsidRPr="0043540B">
              <w:rPr>
                <w:rFonts w:eastAsia="Times New Roman"/>
                <w:b/>
                <w:bCs/>
                <w:color w:val="FFFFFF"/>
                <w:spacing w:val="0"/>
                <w:lang w:val="es-DO" w:eastAsia="es-DO"/>
              </w:rPr>
              <w:t xml:space="preserve">$133,722,835.18 </w:t>
            </w:r>
          </w:p>
        </w:tc>
      </w:tr>
    </w:tbl>
    <w:p w14:paraId="0ECAE4C4" w14:textId="77777777" w:rsidR="0070692E" w:rsidRPr="0043540B" w:rsidRDefault="0021677D" w:rsidP="005C133F">
      <w:pPr>
        <w:spacing w:after="0" w:line="360" w:lineRule="auto"/>
        <w:ind w:left="360"/>
        <w:jc w:val="both"/>
        <w:rPr>
          <w:bCs/>
          <w:spacing w:val="-2"/>
          <w:sz w:val="18"/>
          <w:szCs w:val="18"/>
          <w:lang w:val="es-DO"/>
        </w:rPr>
      </w:pPr>
      <w:r w:rsidRPr="0043540B">
        <w:rPr>
          <w:bCs/>
          <w:sz w:val="18"/>
          <w:szCs w:val="18"/>
          <w:lang w:val="es-DO"/>
        </w:rPr>
        <w:t>Fuente:</w:t>
      </w:r>
      <w:r w:rsidRPr="0043540B">
        <w:rPr>
          <w:bCs/>
          <w:spacing w:val="-2"/>
          <w:sz w:val="18"/>
          <w:szCs w:val="18"/>
          <w:lang w:val="es-DO"/>
        </w:rPr>
        <w:t xml:space="preserve"> </w:t>
      </w:r>
      <w:r w:rsidRPr="0043540B">
        <w:rPr>
          <w:bCs/>
          <w:sz w:val="18"/>
          <w:szCs w:val="18"/>
          <w:lang w:val="es-DO"/>
        </w:rPr>
        <w:t>Dirección</w:t>
      </w:r>
      <w:r w:rsidRPr="0043540B">
        <w:rPr>
          <w:bCs/>
          <w:spacing w:val="-2"/>
          <w:sz w:val="18"/>
          <w:szCs w:val="18"/>
          <w:lang w:val="es-DO"/>
        </w:rPr>
        <w:t xml:space="preserve"> </w:t>
      </w:r>
      <w:r w:rsidRPr="0043540B">
        <w:rPr>
          <w:bCs/>
          <w:sz w:val="18"/>
          <w:szCs w:val="18"/>
          <w:lang w:val="es-DO"/>
        </w:rPr>
        <w:t>Administrativa y</w:t>
      </w:r>
      <w:r w:rsidRPr="0043540B">
        <w:rPr>
          <w:bCs/>
          <w:spacing w:val="-5"/>
          <w:sz w:val="18"/>
          <w:szCs w:val="18"/>
          <w:lang w:val="es-DO"/>
        </w:rPr>
        <w:t xml:space="preserve"> </w:t>
      </w:r>
      <w:r w:rsidRPr="0043540B">
        <w:rPr>
          <w:bCs/>
          <w:sz w:val="18"/>
          <w:szCs w:val="18"/>
          <w:lang w:val="es-DO"/>
        </w:rPr>
        <w:t>Financiera,</w:t>
      </w:r>
      <w:r w:rsidRPr="0043540B">
        <w:rPr>
          <w:bCs/>
          <w:spacing w:val="-2"/>
          <w:sz w:val="18"/>
          <w:szCs w:val="18"/>
          <w:lang w:val="es-DO"/>
        </w:rPr>
        <w:t xml:space="preserve"> SISALRIL</w:t>
      </w:r>
    </w:p>
    <w:p w14:paraId="36A90B44" w14:textId="77777777" w:rsidR="00442656" w:rsidRPr="005C133F" w:rsidRDefault="00442656" w:rsidP="005C133F">
      <w:pPr>
        <w:spacing w:after="0" w:line="360" w:lineRule="auto"/>
        <w:ind w:left="360"/>
        <w:jc w:val="both"/>
        <w:rPr>
          <w:spacing w:val="-2"/>
          <w:lang w:val="es-DO"/>
        </w:rPr>
      </w:pPr>
    </w:p>
    <w:p w14:paraId="4E312B26" w14:textId="0BAA04B3" w:rsidR="0070692E" w:rsidRPr="0043540B" w:rsidRDefault="00900BC9" w:rsidP="007C0A0A">
      <w:pPr>
        <w:spacing w:after="0" w:line="360" w:lineRule="auto"/>
        <w:jc w:val="both"/>
        <w:rPr>
          <w:rFonts w:eastAsia="Calibri"/>
          <w:noProof/>
          <w:lang w:val="es-DO"/>
        </w:rPr>
      </w:pPr>
      <w:r w:rsidRPr="0043540B">
        <w:rPr>
          <w:rFonts w:eastAsia="Calibri"/>
          <w:noProof/>
          <w:lang w:val="es-DO"/>
        </w:rPr>
        <w:t>En relación con los procesos de compras adjudicados según el tipo de empresa, el 6</w:t>
      </w:r>
      <w:r w:rsidR="0043540B">
        <w:rPr>
          <w:rFonts w:eastAsia="Calibri"/>
          <w:noProof/>
          <w:lang w:val="es-DO"/>
        </w:rPr>
        <w:t>1.58</w:t>
      </w:r>
      <w:r w:rsidRPr="0043540B">
        <w:rPr>
          <w:rFonts w:eastAsia="Calibri"/>
          <w:noProof/>
          <w:lang w:val="es-DO"/>
        </w:rPr>
        <w:t>% correspondió a contratos con empresas grandes por un monto total de RD</w:t>
      </w:r>
      <w:r w:rsidR="0043540B" w:rsidRPr="0043540B">
        <w:rPr>
          <w:rFonts w:eastAsia="Times New Roman"/>
          <w:spacing w:val="0"/>
          <w:lang w:val="es-DO" w:eastAsia="es-DO"/>
        </w:rPr>
        <w:t>$82,342,506.86</w:t>
      </w:r>
      <w:r w:rsidR="0043540B">
        <w:rPr>
          <w:rFonts w:eastAsia="Times New Roman"/>
          <w:spacing w:val="0"/>
          <w:lang w:val="es-DO" w:eastAsia="es-DO"/>
        </w:rPr>
        <w:t xml:space="preserve">. </w:t>
      </w:r>
      <w:r w:rsidRPr="0043540B">
        <w:rPr>
          <w:rFonts w:eastAsia="Calibri"/>
          <w:noProof/>
          <w:lang w:val="es-DO"/>
        </w:rPr>
        <w:t xml:space="preserve">Asimismo, el </w:t>
      </w:r>
      <w:r w:rsidR="0043540B">
        <w:rPr>
          <w:rFonts w:eastAsia="Calibri"/>
          <w:noProof/>
          <w:lang w:val="es-DO"/>
        </w:rPr>
        <w:t>30.71</w:t>
      </w:r>
      <w:r w:rsidRPr="0043540B">
        <w:rPr>
          <w:rFonts w:eastAsia="Calibri"/>
          <w:noProof/>
          <w:lang w:val="es-DO"/>
        </w:rPr>
        <w:t>% de las adjudicaciones se realizó a MIPYMES para un subtotal de RD$</w:t>
      </w:r>
      <w:r w:rsidR="0043540B" w:rsidRPr="0043540B">
        <w:rPr>
          <w:rFonts w:eastAsia="Times New Roman"/>
          <w:spacing w:val="0"/>
          <w:lang w:val="es-DO" w:eastAsia="es-DO"/>
        </w:rPr>
        <w:t xml:space="preserve">41,063,424.79 </w:t>
      </w:r>
      <w:r w:rsidRPr="0043540B">
        <w:rPr>
          <w:rFonts w:eastAsia="Calibri"/>
          <w:noProof/>
          <w:lang w:val="es-DO"/>
        </w:rPr>
        <w:t xml:space="preserve">mientras que el </w:t>
      </w:r>
      <w:r w:rsidR="0043540B">
        <w:rPr>
          <w:rFonts w:eastAsia="Calibri"/>
          <w:noProof/>
          <w:lang w:val="es-DO"/>
        </w:rPr>
        <w:t>7.71</w:t>
      </w:r>
      <w:r w:rsidRPr="0043540B">
        <w:rPr>
          <w:rFonts w:eastAsia="Calibri"/>
          <w:noProof/>
          <w:lang w:val="es-DO"/>
        </w:rPr>
        <w:t>% se dirigió a contratos MIPYMES lideradas por mujeres para un monto de RD$</w:t>
      </w:r>
      <w:r w:rsidR="0043540B" w:rsidRPr="0043540B">
        <w:rPr>
          <w:rFonts w:eastAsia="Times New Roman"/>
          <w:spacing w:val="0"/>
          <w:lang w:val="es-DO" w:eastAsia="es-DO"/>
        </w:rPr>
        <w:t>10,316,903.53</w:t>
      </w:r>
      <w:r w:rsidRPr="0043540B">
        <w:rPr>
          <w:rFonts w:eastAsia="Calibri"/>
          <w:noProof/>
          <w:lang w:val="es-DO"/>
        </w:rPr>
        <w:t xml:space="preserve">. </w:t>
      </w:r>
    </w:p>
    <w:p w14:paraId="1680A704" w14:textId="59F30019" w:rsidR="000F3890" w:rsidRPr="005C133F" w:rsidRDefault="000F3890" w:rsidP="005C133F">
      <w:pPr>
        <w:spacing w:after="0" w:line="360" w:lineRule="auto"/>
        <w:jc w:val="center"/>
        <w:rPr>
          <w:rFonts w:eastAsia="Calibri"/>
          <w:b/>
          <w:lang w:val="es-DO"/>
        </w:rPr>
      </w:pPr>
    </w:p>
    <w:p w14:paraId="559BCE07" w14:textId="0F96F325" w:rsidR="0021765B" w:rsidRPr="005C133F" w:rsidRDefault="0021765B" w:rsidP="0067066E">
      <w:pPr>
        <w:pStyle w:val="Descripcin"/>
        <w:keepNext/>
        <w:spacing w:after="0" w:line="360" w:lineRule="auto"/>
        <w:jc w:val="center"/>
        <w:rPr>
          <w:rFonts w:eastAsia="Calibri"/>
          <w:b/>
          <w:bCs/>
          <w:i w:val="0"/>
          <w:iCs w:val="0"/>
          <w:noProof/>
          <w:color w:val="767171"/>
          <w:sz w:val="24"/>
          <w:szCs w:val="24"/>
          <w:lang w:val="es-DO"/>
        </w:rPr>
      </w:pPr>
      <w:bookmarkStart w:id="112" w:name="_Toc218784174"/>
      <w:r w:rsidRPr="005C133F">
        <w:rPr>
          <w:rFonts w:eastAsia="Calibri"/>
          <w:b/>
          <w:bCs/>
          <w:i w:val="0"/>
          <w:iCs w:val="0"/>
          <w:noProof/>
          <w:color w:val="767171"/>
          <w:sz w:val="24"/>
          <w:szCs w:val="24"/>
          <w:lang w:val="es-DO"/>
        </w:rPr>
        <w:t xml:space="preserve">Tabla </w:t>
      </w:r>
      <w:r w:rsidRPr="005C133F">
        <w:rPr>
          <w:rFonts w:eastAsia="Calibri"/>
          <w:b/>
          <w:bCs/>
          <w:i w:val="0"/>
          <w:iCs w:val="0"/>
          <w:noProof/>
          <w:color w:val="767171"/>
          <w:sz w:val="24"/>
          <w:szCs w:val="24"/>
          <w:lang w:val="es-DO"/>
        </w:rPr>
        <w:fldChar w:fldCharType="begin"/>
      </w:r>
      <w:r w:rsidRPr="005C133F">
        <w:rPr>
          <w:rFonts w:eastAsia="Calibri"/>
          <w:b/>
          <w:bCs/>
          <w:i w:val="0"/>
          <w:iCs w:val="0"/>
          <w:noProof/>
          <w:color w:val="767171"/>
          <w:sz w:val="24"/>
          <w:szCs w:val="24"/>
          <w:lang w:val="es-DO"/>
        </w:rPr>
        <w:instrText xml:space="preserve"> SEQ Tabla \* ARABIC </w:instrText>
      </w:r>
      <w:r w:rsidRPr="005C133F">
        <w:rPr>
          <w:rFonts w:eastAsia="Calibri"/>
          <w:b/>
          <w:bCs/>
          <w:i w:val="0"/>
          <w:iCs w:val="0"/>
          <w:noProof/>
          <w:color w:val="767171"/>
          <w:sz w:val="24"/>
          <w:szCs w:val="24"/>
          <w:lang w:val="es-DO"/>
        </w:rPr>
        <w:fldChar w:fldCharType="separate"/>
      </w:r>
      <w:r w:rsidR="00814341">
        <w:rPr>
          <w:rFonts w:eastAsia="Calibri"/>
          <w:b/>
          <w:bCs/>
          <w:i w:val="0"/>
          <w:iCs w:val="0"/>
          <w:noProof/>
          <w:color w:val="767171"/>
          <w:sz w:val="24"/>
          <w:szCs w:val="24"/>
          <w:lang w:val="es-DO"/>
        </w:rPr>
        <w:t>42</w:t>
      </w:r>
      <w:r w:rsidRPr="005C133F">
        <w:rPr>
          <w:rFonts w:eastAsia="Calibri"/>
          <w:b/>
          <w:bCs/>
          <w:i w:val="0"/>
          <w:iCs w:val="0"/>
          <w:noProof/>
          <w:color w:val="767171"/>
          <w:sz w:val="24"/>
          <w:szCs w:val="24"/>
          <w:lang w:val="es-DO"/>
        </w:rPr>
        <w:fldChar w:fldCharType="end"/>
      </w:r>
      <w:r w:rsidRPr="005C133F">
        <w:rPr>
          <w:rFonts w:eastAsia="Calibri"/>
          <w:b/>
          <w:bCs/>
          <w:i w:val="0"/>
          <w:iCs w:val="0"/>
          <w:noProof/>
          <w:color w:val="767171"/>
          <w:sz w:val="24"/>
          <w:szCs w:val="24"/>
          <w:lang w:val="es-DO"/>
        </w:rPr>
        <w:t>. Resumen de compras por tipo de empresa, 2025</w:t>
      </w:r>
      <w:bookmarkEnd w:id="112"/>
    </w:p>
    <w:tbl>
      <w:tblPr>
        <w:tblW w:w="0" w:type="auto"/>
        <w:jc w:val="center"/>
        <w:tblCellMar>
          <w:left w:w="70" w:type="dxa"/>
          <w:right w:w="70" w:type="dxa"/>
        </w:tblCellMar>
        <w:tblLook w:val="04A0" w:firstRow="1" w:lastRow="0" w:firstColumn="1" w:lastColumn="0" w:noHBand="0" w:noVBand="1"/>
      </w:tblPr>
      <w:tblGrid>
        <w:gridCol w:w="3161"/>
        <w:gridCol w:w="1101"/>
        <w:gridCol w:w="1760"/>
      </w:tblGrid>
      <w:tr w:rsidR="0043540B" w:rsidRPr="0043540B" w14:paraId="3B2B3C0A" w14:textId="77777777" w:rsidTr="0067066E">
        <w:trPr>
          <w:trHeight w:val="612"/>
          <w:tblHeader/>
          <w:jc w:val="cent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4BB26A66"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Tipo de Empresa Adjudicada</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16A8AF9C"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Cantidad</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065C45E"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Subtotal RD$</w:t>
            </w:r>
          </w:p>
        </w:tc>
      </w:tr>
      <w:tr w:rsidR="0043540B" w:rsidRPr="0043540B" w14:paraId="4FD588B2"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04AB2913" w14:textId="77777777" w:rsidR="0043540B" w:rsidRPr="0043540B" w:rsidRDefault="0043540B" w:rsidP="0043540B">
            <w:pPr>
              <w:spacing w:after="0" w:line="240" w:lineRule="auto"/>
              <w:jc w:val="both"/>
              <w:rPr>
                <w:rFonts w:eastAsia="Times New Roman"/>
                <w:spacing w:val="0"/>
                <w:lang w:val="es-DO" w:eastAsia="es-DO"/>
              </w:rPr>
            </w:pPr>
            <w:r w:rsidRPr="0043540B">
              <w:rPr>
                <w:rFonts w:eastAsia="Times New Roman"/>
                <w:spacing w:val="0"/>
                <w:lang w:val="es-DO" w:eastAsia="es-DO"/>
              </w:rPr>
              <w:t>Grande</w:t>
            </w:r>
          </w:p>
        </w:tc>
        <w:tc>
          <w:tcPr>
            <w:tcW w:w="0" w:type="auto"/>
            <w:tcBorders>
              <w:top w:val="nil"/>
              <w:left w:val="nil"/>
              <w:bottom w:val="single" w:sz="4" w:space="0" w:color="767171"/>
              <w:right w:val="single" w:sz="4" w:space="0" w:color="767171"/>
            </w:tcBorders>
            <w:vAlign w:val="center"/>
            <w:hideMark/>
          </w:tcPr>
          <w:p w14:paraId="35535E6C"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105</w:t>
            </w:r>
          </w:p>
        </w:tc>
        <w:tc>
          <w:tcPr>
            <w:tcW w:w="0" w:type="auto"/>
            <w:tcBorders>
              <w:top w:val="nil"/>
              <w:left w:val="nil"/>
              <w:bottom w:val="single" w:sz="4" w:space="0" w:color="767171"/>
              <w:right w:val="single" w:sz="4" w:space="0" w:color="767171"/>
            </w:tcBorders>
            <w:vAlign w:val="center"/>
            <w:hideMark/>
          </w:tcPr>
          <w:p w14:paraId="5A5A28A1"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$82,342,506.86 </w:t>
            </w:r>
          </w:p>
        </w:tc>
      </w:tr>
      <w:tr w:rsidR="0043540B" w:rsidRPr="0043540B" w14:paraId="3CFB03A4"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4DE9F732" w14:textId="77777777" w:rsidR="0043540B" w:rsidRPr="0043540B" w:rsidRDefault="0043540B" w:rsidP="0043540B">
            <w:pPr>
              <w:spacing w:after="0" w:line="240" w:lineRule="auto"/>
              <w:jc w:val="both"/>
              <w:rPr>
                <w:rFonts w:eastAsia="Times New Roman"/>
                <w:spacing w:val="0"/>
                <w:lang w:val="es-DO" w:eastAsia="es-DO"/>
              </w:rPr>
            </w:pPr>
            <w:proofErr w:type="spellStart"/>
            <w:r w:rsidRPr="0043540B">
              <w:rPr>
                <w:rFonts w:eastAsia="Times New Roman"/>
                <w:spacing w:val="0"/>
                <w:lang w:val="es-DO" w:eastAsia="es-DO"/>
              </w:rPr>
              <w:t>MiPyme</w:t>
            </w:r>
            <w:proofErr w:type="spellEnd"/>
          </w:p>
        </w:tc>
        <w:tc>
          <w:tcPr>
            <w:tcW w:w="0" w:type="auto"/>
            <w:tcBorders>
              <w:top w:val="nil"/>
              <w:left w:val="nil"/>
              <w:bottom w:val="single" w:sz="4" w:space="0" w:color="767171"/>
              <w:right w:val="single" w:sz="4" w:space="0" w:color="767171"/>
            </w:tcBorders>
            <w:vAlign w:val="center"/>
            <w:hideMark/>
          </w:tcPr>
          <w:p w14:paraId="23BD0D89"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26BD087A"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$41,063,424.79 </w:t>
            </w:r>
          </w:p>
        </w:tc>
      </w:tr>
      <w:tr w:rsidR="0043540B" w:rsidRPr="0043540B" w14:paraId="5B54E824" w14:textId="77777777" w:rsidTr="0067066E">
        <w:trPr>
          <w:trHeight w:val="312"/>
          <w:jc w:val="center"/>
        </w:trPr>
        <w:tc>
          <w:tcPr>
            <w:tcW w:w="0" w:type="auto"/>
            <w:tcBorders>
              <w:top w:val="nil"/>
              <w:left w:val="single" w:sz="4" w:space="0" w:color="767171"/>
              <w:bottom w:val="single" w:sz="4" w:space="0" w:color="767171"/>
              <w:right w:val="single" w:sz="4" w:space="0" w:color="767171"/>
            </w:tcBorders>
            <w:vAlign w:val="center"/>
            <w:hideMark/>
          </w:tcPr>
          <w:p w14:paraId="04C783D2" w14:textId="77777777" w:rsidR="0043540B" w:rsidRPr="0043540B" w:rsidRDefault="0043540B" w:rsidP="0043540B">
            <w:pPr>
              <w:spacing w:after="0" w:line="240" w:lineRule="auto"/>
              <w:jc w:val="both"/>
              <w:rPr>
                <w:rFonts w:eastAsia="Times New Roman"/>
                <w:spacing w:val="0"/>
                <w:lang w:val="es-DO" w:eastAsia="es-DO"/>
              </w:rPr>
            </w:pPr>
            <w:proofErr w:type="spellStart"/>
            <w:r w:rsidRPr="0043540B">
              <w:rPr>
                <w:rFonts w:eastAsia="Times New Roman"/>
                <w:spacing w:val="0"/>
                <w:lang w:val="es-DO" w:eastAsia="es-DO"/>
              </w:rPr>
              <w:t>Mipyme</w:t>
            </w:r>
            <w:proofErr w:type="spellEnd"/>
            <w:r w:rsidRPr="0043540B">
              <w:rPr>
                <w:rFonts w:eastAsia="Times New Roman"/>
                <w:spacing w:val="0"/>
                <w:lang w:val="es-DO" w:eastAsia="es-DO"/>
              </w:rPr>
              <w:t xml:space="preserve"> Mujer</w:t>
            </w:r>
          </w:p>
        </w:tc>
        <w:tc>
          <w:tcPr>
            <w:tcW w:w="0" w:type="auto"/>
            <w:tcBorders>
              <w:top w:val="nil"/>
              <w:left w:val="nil"/>
              <w:bottom w:val="single" w:sz="4" w:space="0" w:color="767171"/>
              <w:right w:val="single" w:sz="4" w:space="0" w:color="767171"/>
            </w:tcBorders>
            <w:vAlign w:val="center"/>
            <w:hideMark/>
          </w:tcPr>
          <w:p w14:paraId="7518CF93" w14:textId="77777777" w:rsidR="0043540B" w:rsidRPr="0043540B" w:rsidRDefault="0043540B" w:rsidP="0043540B">
            <w:pPr>
              <w:spacing w:after="0" w:line="240" w:lineRule="auto"/>
              <w:jc w:val="center"/>
              <w:rPr>
                <w:rFonts w:eastAsia="Times New Roman"/>
                <w:spacing w:val="0"/>
                <w:lang w:val="es-DO" w:eastAsia="es-DO"/>
              </w:rPr>
            </w:pPr>
            <w:r w:rsidRPr="0043540B">
              <w:rPr>
                <w:rFonts w:eastAsia="Times New Roman"/>
                <w:spacing w:val="0"/>
                <w:lang w:val="es-DO" w:eastAsia="es-DO"/>
              </w:rPr>
              <w:t>42</w:t>
            </w:r>
          </w:p>
        </w:tc>
        <w:tc>
          <w:tcPr>
            <w:tcW w:w="0" w:type="auto"/>
            <w:tcBorders>
              <w:top w:val="nil"/>
              <w:left w:val="nil"/>
              <w:bottom w:val="single" w:sz="4" w:space="0" w:color="767171"/>
              <w:right w:val="single" w:sz="4" w:space="0" w:color="767171"/>
            </w:tcBorders>
            <w:vAlign w:val="center"/>
            <w:hideMark/>
          </w:tcPr>
          <w:p w14:paraId="53E034C2" w14:textId="77777777" w:rsidR="0043540B" w:rsidRPr="0043540B" w:rsidRDefault="0043540B" w:rsidP="0043540B">
            <w:pPr>
              <w:spacing w:after="0" w:line="240" w:lineRule="auto"/>
              <w:jc w:val="right"/>
              <w:rPr>
                <w:rFonts w:eastAsia="Times New Roman"/>
                <w:spacing w:val="0"/>
                <w:lang w:val="es-DO" w:eastAsia="es-DO"/>
              </w:rPr>
            </w:pPr>
            <w:r w:rsidRPr="0043540B">
              <w:rPr>
                <w:rFonts w:eastAsia="Times New Roman"/>
                <w:spacing w:val="0"/>
                <w:lang w:val="es-DO" w:eastAsia="es-DO"/>
              </w:rPr>
              <w:t xml:space="preserve">$10,316,903.53 </w:t>
            </w:r>
          </w:p>
        </w:tc>
      </w:tr>
      <w:tr w:rsidR="0043540B" w:rsidRPr="0043540B" w14:paraId="56CE7F2B" w14:textId="77777777" w:rsidTr="0067066E">
        <w:trPr>
          <w:trHeight w:val="312"/>
          <w:jc w:val="center"/>
        </w:trPr>
        <w:tc>
          <w:tcPr>
            <w:tcW w:w="0" w:type="auto"/>
            <w:tcBorders>
              <w:top w:val="nil"/>
              <w:left w:val="single" w:sz="4" w:space="0" w:color="767171"/>
              <w:bottom w:val="single" w:sz="4" w:space="0" w:color="767171"/>
              <w:right w:val="single" w:sz="4" w:space="0" w:color="767171"/>
            </w:tcBorders>
            <w:shd w:val="clear" w:color="000000" w:fill="011C50"/>
            <w:vAlign w:val="center"/>
            <w:hideMark/>
          </w:tcPr>
          <w:p w14:paraId="635A9BF8"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Total general</w:t>
            </w:r>
          </w:p>
        </w:tc>
        <w:tc>
          <w:tcPr>
            <w:tcW w:w="0" w:type="auto"/>
            <w:tcBorders>
              <w:top w:val="nil"/>
              <w:left w:val="nil"/>
              <w:bottom w:val="single" w:sz="4" w:space="0" w:color="767171"/>
              <w:right w:val="single" w:sz="4" w:space="0" w:color="767171"/>
            </w:tcBorders>
            <w:shd w:val="clear" w:color="000000" w:fill="011C50"/>
            <w:vAlign w:val="center"/>
            <w:hideMark/>
          </w:tcPr>
          <w:p w14:paraId="261E72B4"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237</w:t>
            </w:r>
          </w:p>
        </w:tc>
        <w:tc>
          <w:tcPr>
            <w:tcW w:w="0" w:type="auto"/>
            <w:tcBorders>
              <w:top w:val="nil"/>
              <w:left w:val="nil"/>
              <w:bottom w:val="single" w:sz="4" w:space="0" w:color="767171"/>
              <w:right w:val="single" w:sz="4" w:space="0" w:color="767171"/>
            </w:tcBorders>
            <w:shd w:val="clear" w:color="000000" w:fill="011C50"/>
            <w:vAlign w:val="center"/>
            <w:hideMark/>
          </w:tcPr>
          <w:p w14:paraId="792335A9" w14:textId="77777777" w:rsidR="0043540B" w:rsidRPr="0043540B" w:rsidRDefault="0043540B" w:rsidP="0043540B">
            <w:pPr>
              <w:spacing w:after="0" w:line="240" w:lineRule="auto"/>
              <w:jc w:val="center"/>
              <w:rPr>
                <w:rFonts w:eastAsia="Times New Roman"/>
                <w:b/>
                <w:bCs/>
                <w:color w:val="FFFFFF"/>
                <w:spacing w:val="0"/>
                <w:lang w:val="es-DO" w:eastAsia="es-DO"/>
              </w:rPr>
            </w:pPr>
            <w:r w:rsidRPr="0043540B">
              <w:rPr>
                <w:rFonts w:eastAsia="Times New Roman"/>
                <w:b/>
                <w:bCs/>
                <w:color w:val="FFFFFF"/>
                <w:spacing w:val="0"/>
                <w:lang w:val="es-DO" w:eastAsia="es-DO"/>
              </w:rPr>
              <w:t xml:space="preserve">$133,722,835.18 </w:t>
            </w:r>
          </w:p>
        </w:tc>
      </w:tr>
    </w:tbl>
    <w:p w14:paraId="0F15EEFF" w14:textId="77777777" w:rsidR="00554928" w:rsidRPr="00AC2DB2" w:rsidRDefault="00554928" w:rsidP="0067066E">
      <w:pPr>
        <w:spacing w:after="0" w:line="360" w:lineRule="auto"/>
        <w:jc w:val="center"/>
        <w:rPr>
          <w:sz w:val="18"/>
          <w:szCs w:val="18"/>
          <w:lang w:val="es-DO"/>
        </w:rPr>
      </w:pPr>
      <w:r w:rsidRPr="00AC2DB2">
        <w:rPr>
          <w:sz w:val="18"/>
          <w:szCs w:val="18"/>
          <w:lang w:val="es-DO"/>
        </w:rPr>
        <w:t>Fuente:</w:t>
      </w:r>
      <w:r w:rsidRPr="00AC2DB2">
        <w:rPr>
          <w:spacing w:val="-3"/>
          <w:sz w:val="18"/>
          <w:szCs w:val="18"/>
          <w:lang w:val="es-DO"/>
        </w:rPr>
        <w:t xml:space="preserve"> </w:t>
      </w:r>
      <w:r w:rsidRPr="00AC2DB2">
        <w:rPr>
          <w:sz w:val="18"/>
          <w:szCs w:val="18"/>
          <w:lang w:val="es-DO"/>
        </w:rPr>
        <w:t>Dirección</w:t>
      </w:r>
      <w:r w:rsidRPr="00AC2DB2">
        <w:rPr>
          <w:spacing w:val="-1"/>
          <w:sz w:val="18"/>
          <w:szCs w:val="18"/>
          <w:lang w:val="es-DO"/>
        </w:rPr>
        <w:t xml:space="preserve"> </w:t>
      </w:r>
      <w:r w:rsidRPr="00AC2DB2">
        <w:rPr>
          <w:sz w:val="18"/>
          <w:szCs w:val="18"/>
          <w:lang w:val="es-DO"/>
        </w:rPr>
        <w:t>Administrativa y</w:t>
      </w:r>
      <w:r w:rsidRPr="00AC2DB2">
        <w:rPr>
          <w:spacing w:val="-6"/>
          <w:sz w:val="18"/>
          <w:szCs w:val="18"/>
          <w:lang w:val="es-DO"/>
        </w:rPr>
        <w:t xml:space="preserve"> </w:t>
      </w:r>
      <w:r w:rsidRPr="00AC2DB2">
        <w:rPr>
          <w:sz w:val="18"/>
          <w:szCs w:val="18"/>
          <w:lang w:val="es-DO"/>
        </w:rPr>
        <w:t>Financiera,</w:t>
      </w:r>
      <w:r w:rsidRPr="00AC2DB2">
        <w:rPr>
          <w:spacing w:val="-2"/>
          <w:sz w:val="18"/>
          <w:szCs w:val="18"/>
          <w:lang w:val="es-DO"/>
        </w:rPr>
        <w:t xml:space="preserve"> SISALRIL</w:t>
      </w:r>
    </w:p>
    <w:p w14:paraId="0BEE3182" w14:textId="77777777" w:rsidR="00341592" w:rsidRPr="005C133F" w:rsidRDefault="00341592" w:rsidP="005C133F">
      <w:pPr>
        <w:spacing w:after="0" w:line="360" w:lineRule="auto"/>
        <w:jc w:val="both"/>
        <w:rPr>
          <w:rFonts w:eastAsia="Calibri"/>
          <w:noProof/>
          <w:lang w:val="es-DO"/>
        </w:rPr>
      </w:pPr>
    </w:p>
    <w:p w14:paraId="4FA073FC" w14:textId="451329B0" w:rsidR="00D7740D" w:rsidRPr="005C133F" w:rsidRDefault="00A31520" w:rsidP="005C133F">
      <w:pPr>
        <w:pStyle w:val="SUBTITULITO"/>
        <w:spacing w:before="0" w:after="0"/>
        <w:rPr>
          <w:rFonts w:eastAsia="Calibri"/>
          <w:b w:val="0"/>
        </w:rPr>
      </w:pPr>
      <w:bookmarkStart w:id="113" w:name="_Toc219121852"/>
      <w:r w:rsidRPr="005C133F">
        <w:rPr>
          <w:rFonts w:eastAsia="Calibri"/>
          <w:noProof/>
        </w:rPr>
        <w:t>4.1.2 Gestión Presupuestaria</w:t>
      </w:r>
      <w:bookmarkEnd w:id="113"/>
    </w:p>
    <w:p w14:paraId="6EEC5820" w14:textId="77777777" w:rsidR="00D7740D" w:rsidRPr="005C133F" w:rsidRDefault="00D7740D" w:rsidP="005C133F">
      <w:pPr>
        <w:spacing w:after="0" w:line="360" w:lineRule="auto"/>
        <w:rPr>
          <w:rFonts w:eastAsia="Calibri"/>
        </w:rPr>
      </w:pPr>
    </w:p>
    <w:p w14:paraId="572F4F21" w14:textId="77777777" w:rsidR="00E87A0E" w:rsidRPr="005C133F" w:rsidRDefault="00E87A0E">
      <w:pPr>
        <w:pStyle w:val="Prrafodelista"/>
        <w:widowControl w:val="0"/>
        <w:numPr>
          <w:ilvl w:val="0"/>
          <w:numId w:val="170"/>
        </w:numPr>
        <w:tabs>
          <w:tab w:val="left" w:pos="1080"/>
        </w:tabs>
        <w:autoSpaceDE w:val="0"/>
        <w:autoSpaceDN w:val="0"/>
        <w:spacing w:after="0" w:line="360" w:lineRule="auto"/>
        <w:contextualSpacing w:val="0"/>
        <w:rPr>
          <w:b/>
          <w:lang w:val="es-DO"/>
        </w:rPr>
      </w:pPr>
      <w:r w:rsidRPr="005C133F">
        <w:rPr>
          <w:b/>
          <w:lang w:val="es-DO"/>
        </w:rPr>
        <w:t>Formulación</w:t>
      </w:r>
      <w:r w:rsidRPr="005C133F">
        <w:rPr>
          <w:b/>
          <w:spacing w:val="-4"/>
          <w:lang w:val="es-DO"/>
        </w:rPr>
        <w:t xml:space="preserve"> </w:t>
      </w:r>
      <w:r w:rsidRPr="005C133F">
        <w:rPr>
          <w:b/>
          <w:spacing w:val="-2"/>
          <w:lang w:val="es-DO"/>
        </w:rPr>
        <w:t>Presupuestaria</w:t>
      </w:r>
    </w:p>
    <w:p w14:paraId="76F1E1E1" w14:textId="77777777" w:rsidR="009C10C7" w:rsidRPr="005C133F" w:rsidRDefault="009C10C7" w:rsidP="005C133F">
      <w:pPr>
        <w:pStyle w:val="Prrafodelista"/>
        <w:widowControl w:val="0"/>
        <w:tabs>
          <w:tab w:val="left" w:pos="1080"/>
        </w:tabs>
        <w:autoSpaceDE w:val="0"/>
        <w:autoSpaceDN w:val="0"/>
        <w:spacing w:after="0" w:line="360" w:lineRule="auto"/>
        <w:ind w:left="1080"/>
        <w:contextualSpacing w:val="0"/>
        <w:rPr>
          <w:b/>
          <w:lang w:val="es-DO"/>
        </w:rPr>
      </w:pPr>
    </w:p>
    <w:p w14:paraId="2EABDCDF" w14:textId="1E9D537D" w:rsidR="00AA0E52" w:rsidRPr="005C133F" w:rsidRDefault="009C10C7" w:rsidP="005C133F">
      <w:pPr>
        <w:widowControl w:val="0"/>
        <w:tabs>
          <w:tab w:val="left" w:pos="1080"/>
        </w:tabs>
        <w:autoSpaceDE w:val="0"/>
        <w:autoSpaceDN w:val="0"/>
        <w:spacing w:after="0" w:line="360" w:lineRule="auto"/>
        <w:jc w:val="both"/>
        <w:rPr>
          <w:bCs/>
          <w:lang w:val="es-DO"/>
        </w:rPr>
      </w:pPr>
      <w:r w:rsidRPr="005C133F">
        <w:rPr>
          <w:bCs/>
          <w:lang w:val="es-DO"/>
        </w:rPr>
        <w:t xml:space="preserve">El Presupuesto de Ingresos para el año 2025 ascendió a </w:t>
      </w:r>
      <w:r w:rsidRPr="005C133F">
        <w:rPr>
          <w:b/>
          <w:lang w:val="es-DO"/>
        </w:rPr>
        <w:t>RD$1,554,562,280.00</w:t>
      </w:r>
      <w:r w:rsidRPr="005C133F">
        <w:rPr>
          <w:bCs/>
          <w:lang w:val="es-DO"/>
        </w:rPr>
        <w:t xml:space="preserve"> para cubrir las operaciones de la entidad, esta partida se compone como sigue:</w:t>
      </w:r>
    </w:p>
    <w:p w14:paraId="7639F570" w14:textId="77777777" w:rsidR="00E96FD3" w:rsidRPr="005C133F" w:rsidRDefault="00E96FD3">
      <w:pPr>
        <w:pStyle w:val="Prrafodelista"/>
        <w:widowControl w:val="0"/>
        <w:numPr>
          <w:ilvl w:val="1"/>
          <w:numId w:val="170"/>
        </w:numPr>
        <w:tabs>
          <w:tab w:val="left" w:pos="1340"/>
        </w:tabs>
        <w:autoSpaceDE w:val="0"/>
        <w:autoSpaceDN w:val="0"/>
        <w:spacing w:after="0" w:line="360" w:lineRule="auto"/>
        <w:ind w:left="1340" w:right="778" w:hanging="272"/>
        <w:contextualSpacing w:val="0"/>
        <w:jc w:val="both"/>
        <w:rPr>
          <w:lang w:val="es-DO"/>
        </w:rPr>
      </w:pPr>
      <w:r w:rsidRPr="005C133F">
        <w:rPr>
          <w:lang w:val="es-DO"/>
        </w:rPr>
        <w:t>Del</w:t>
      </w:r>
      <w:r w:rsidRPr="005C133F">
        <w:rPr>
          <w:spacing w:val="28"/>
          <w:lang w:val="es-DO"/>
        </w:rPr>
        <w:t xml:space="preserve"> </w:t>
      </w:r>
      <w:r w:rsidRPr="005C133F">
        <w:rPr>
          <w:lang w:val="es-DO"/>
        </w:rPr>
        <w:t>Seguro</w:t>
      </w:r>
      <w:r w:rsidRPr="005C133F">
        <w:rPr>
          <w:spacing w:val="26"/>
          <w:lang w:val="es-DO"/>
        </w:rPr>
        <w:t xml:space="preserve"> </w:t>
      </w:r>
      <w:r w:rsidRPr="005C133F">
        <w:rPr>
          <w:lang w:val="es-DO"/>
        </w:rPr>
        <w:t>Familiar</w:t>
      </w:r>
      <w:r w:rsidRPr="005C133F">
        <w:rPr>
          <w:spacing w:val="29"/>
          <w:lang w:val="es-DO"/>
        </w:rPr>
        <w:t xml:space="preserve"> </w:t>
      </w:r>
      <w:r w:rsidRPr="005C133F">
        <w:rPr>
          <w:lang w:val="es-DO"/>
        </w:rPr>
        <w:t>de</w:t>
      </w:r>
      <w:r w:rsidRPr="005C133F">
        <w:rPr>
          <w:spacing w:val="26"/>
          <w:lang w:val="es-DO"/>
        </w:rPr>
        <w:t xml:space="preserve"> </w:t>
      </w:r>
      <w:r w:rsidRPr="005C133F">
        <w:rPr>
          <w:lang w:val="es-DO"/>
        </w:rPr>
        <w:t>Salud</w:t>
      </w:r>
      <w:r w:rsidRPr="005C133F">
        <w:rPr>
          <w:spacing w:val="29"/>
          <w:lang w:val="es-DO"/>
        </w:rPr>
        <w:t xml:space="preserve"> </w:t>
      </w:r>
      <w:r w:rsidRPr="005C133F">
        <w:rPr>
          <w:lang w:val="es-DO"/>
        </w:rPr>
        <w:t>(SFS)</w:t>
      </w:r>
      <w:r w:rsidRPr="005C133F">
        <w:rPr>
          <w:spacing w:val="26"/>
          <w:lang w:val="es-DO"/>
        </w:rPr>
        <w:t xml:space="preserve"> </w:t>
      </w:r>
      <w:r w:rsidRPr="005C133F">
        <w:rPr>
          <w:lang w:val="es-DO"/>
        </w:rPr>
        <w:t>la</w:t>
      </w:r>
      <w:r w:rsidRPr="005C133F">
        <w:rPr>
          <w:spacing w:val="27"/>
          <w:lang w:val="es-DO"/>
        </w:rPr>
        <w:t xml:space="preserve"> </w:t>
      </w:r>
      <w:r w:rsidRPr="005C133F">
        <w:rPr>
          <w:lang w:val="es-DO"/>
        </w:rPr>
        <w:t>suma</w:t>
      </w:r>
      <w:r w:rsidRPr="005C133F">
        <w:rPr>
          <w:spacing w:val="29"/>
          <w:lang w:val="es-DO"/>
        </w:rPr>
        <w:t xml:space="preserve"> </w:t>
      </w:r>
      <w:r w:rsidRPr="005C133F">
        <w:rPr>
          <w:lang w:val="es-DO"/>
        </w:rPr>
        <w:t>de</w:t>
      </w:r>
      <w:r w:rsidRPr="005C133F">
        <w:rPr>
          <w:spacing w:val="32"/>
          <w:lang w:val="es-DO"/>
        </w:rPr>
        <w:t xml:space="preserve"> </w:t>
      </w:r>
      <w:r w:rsidRPr="005C133F">
        <w:rPr>
          <w:b/>
          <w:lang w:val="es-DO"/>
        </w:rPr>
        <w:t xml:space="preserve">RD$749,711,601.56, </w:t>
      </w:r>
      <w:r w:rsidRPr="005C133F">
        <w:rPr>
          <w:bCs/>
          <w:lang w:val="es-DO"/>
        </w:rPr>
        <w:t>un</w:t>
      </w:r>
      <w:r w:rsidRPr="005C133F">
        <w:rPr>
          <w:b/>
          <w:lang w:val="es-DO"/>
        </w:rPr>
        <w:t xml:space="preserve"> 48.23% </w:t>
      </w:r>
      <w:r w:rsidRPr="005C133F">
        <w:rPr>
          <w:lang w:val="es-DO"/>
        </w:rPr>
        <w:t>del presupuesto</w:t>
      </w:r>
      <w:r w:rsidRPr="005C133F">
        <w:rPr>
          <w:spacing w:val="-1"/>
          <w:lang w:val="es-DO"/>
        </w:rPr>
        <w:t xml:space="preserve"> </w:t>
      </w:r>
      <w:r w:rsidRPr="005C133F">
        <w:rPr>
          <w:lang w:val="es-DO"/>
        </w:rPr>
        <w:lastRenderedPageBreak/>
        <w:t>total</w:t>
      </w:r>
      <w:r w:rsidRPr="005C133F">
        <w:rPr>
          <w:spacing w:val="1"/>
          <w:lang w:val="es-DO"/>
        </w:rPr>
        <w:t xml:space="preserve"> </w:t>
      </w:r>
      <w:r w:rsidRPr="005C133F">
        <w:rPr>
          <w:spacing w:val="-2"/>
          <w:lang w:val="es-DO"/>
        </w:rPr>
        <w:t>Ingreso.</w:t>
      </w:r>
    </w:p>
    <w:p w14:paraId="2889B2D0" w14:textId="77777777" w:rsidR="00E96FD3" w:rsidRPr="005C133F" w:rsidRDefault="00E96FD3">
      <w:pPr>
        <w:pStyle w:val="Prrafodelista"/>
        <w:widowControl w:val="0"/>
        <w:numPr>
          <w:ilvl w:val="1"/>
          <w:numId w:val="170"/>
        </w:numPr>
        <w:tabs>
          <w:tab w:val="left" w:pos="1331"/>
        </w:tabs>
        <w:autoSpaceDE w:val="0"/>
        <w:autoSpaceDN w:val="0"/>
        <w:spacing w:after="0" w:line="360" w:lineRule="auto"/>
        <w:ind w:left="1331" w:right="778" w:hanging="251"/>
        <w:contextualSpacing w:val="0"/>
        <w:jc w:val="both"/>
        <w:rPr>
          <w:lang w:val="es-DO"/>
        </w:rPr>
      </w:pPr>
      <w:r w:rsidRPr="005C133F">
        <w:rPr>
          <w:lang w:val="es-DO"/>
        </w:rPr>
        <w:t>Del</w:t>
      </w:r>
      <w:r w:rsidRPr="005C133F">
        <w:rPr>
          <w:spacing w:val="-11"/>
          <w:lang w:val="es-DO"/>
        </w:rPr>
        <w:t xml:space="preserve"> </w:t>
      </w:r>
      <w:r w:rsidRPr="005C133F">
        <w:rPr>
          <w:lang w:val="es-DO"/>
        </w:rPr>
        <w:t>Seguro</w:t>
      </w:r>
      <w:r w:rsidRPr="005C133F">
        <w:rPr>
          <w:spacing w:val="-10"/>
          <w:lang w:val="es-DO"/>
        </w:rPr>
        <w:t xml:space="preserve"> </w:t>
      </w:r>
      <w:r w:rsidRPr="005C133F">
        <w:rPr>
          <w:lang w:val="es-DO"/>
        </w:rPr>
        <w:t>de</w:t>
      </w:r>
      <w:r w:rsidRPr="005C133F">
        <w:rPr>
          <w:spacing w:val="-11"/>
          <w:lang w:val="es-DO"/>
        </w:rPr>
        <w:t xml:space="preserve"> </w:t>
      </w:r>
      <w:r w:rsidRPr="005C133F">
        <w:rPr>
          <w:lang w:val="es-DO"/>
        </w:rPr>
        <w:t>Riesgos</w:t>
      </w:r>
      <w:r w:rsidRPr="005C133F">
        <w:rPr>
          <w:spacing w:val="-6"/>
          <w:lang w:val="es-DO"/>
        </w:rPr>
        <w:t xml:space="preserve"> </w:t>
      </w:r>
      <w:r w:rsidRPr="005C133F">
        <w:rPr>
          <w:lang w:val="es-DO"/>
        </w:rPr>
        <w:t>Laborales</w:t>
      </w:r>
      <w:r w:rsidRPr="005C133F">
        <w:rPr>
          <w:spacing w:val="-10"/>
          <w:lang w:val="es-DO"/>
        </w:rPr>
        <w:t xml:space="preserve"> </w:t>
      </w:r>
      <w:r w:rsidRPr="005C133F">
        <w:rPr>
          <w:lang w:val="es-DO"/>
        </w:rPr>
        <w:t>(SRL)</w:t>
      </w:r>
      <w:r w:rsidRPr="005C133F">
        <w:rPr>
          <w:spacing w:val="-9"/>
          <w:lang w:val="es-DO"/>
        </w:rPr>
        <w:t xml:space="preserve"> </w:t>
      </w:r>
      <w:r w:rsidRPr="005C133F">
        <w:rPr>
          <w:lang w:val="es-DO"/>
        </w:rPr>
        <w:t>la</w:t>
      </w:r>
      <w:r w:rsidRPr="005C133F">
        <w:rPr>
          <w:spacing w:val="-10"/>
          <w:lang w:val="es-DO"/>
        </w:rPr>
        <w:t xml:space="preserve"> </w:t>
      </w:r>
      <w:r w:rsidRPr="005C133F">
        <w:rPr>
          <w:lang w:val="es-DO"/>
        </w:rPr>
        <w:t>suma</w:t>
      </w:r>
      <w:r w:rsidRPr="005C133F">
        <w:rPr>
          <w:spacing w:val="-8"/>
          <w:lang w:val="es-DO"/>
        </w:rPr>
        <w:t xml:space="preserve"> </w:t>
      </w:r>
      <w:r w:rsidRPr="005C133F">
        <w:rPr>
          <w:lang w:val="es-DO"/>
        </w:rPr>
        <w:t>de</w:t>
      </w:r>
      <w:r w:rsidRPr="005C133F">
        <w:rPr>
          <w:spacing w:val="-9"/>
          <w:lang w:val="es-DO"/>
        </w:rPr>
        <w:t xml:space="preserve"> </w:t>
      </w:r>
      <w:r w:rsidRPr="005C133F">
        <w:rPr>
          <w:b/>
          <w:lang w:val="es-DO"/>
        </w:rPr>
        <w:t xml:space="preserve">RD$475,072,122.11, </w:t>
      </w:r>
      <w:r w:rsidRPr="005C133F">
        <w:rPr>
          <w:bCs/>
          <w:lang w:val="es-DO"/>
        </w:rPr>
        <w:t>un</w:t>
      </w:r>
      <w:r w:rsidRPr="005C133F">
        <w:rPr>
          <w:b/>
          <w:lang w:val="es-DO"/>
        </w:rPr>
        <w:t xml:space="preserve"> 30.55% </w:t>
      </w:r>
      <w:r w:rsidRPr="005C133F">
        <w:rPr>
          <w:lang w:val="es-DO"/>
        </w:rPr>
        <w:t>del presupuesto</w:t>
      </w:r>
      <w:r w:rsidRPr="005C133F">
        <w:rPr>
          <w:spacing w:val="-1"/>
          <w:lang w:val="es-DO"/>
        </w:rPr>
        <w:t xml:space="preserve"> </w:t>
      </w:r>
      <w:r w:rsidRPr="005C133F">
        <w:rPr>
          <w:lang w:val="es-DO"/>
        </w:rPr>
        <w:t>total</w:t>
      </w:r>
      <w:r w:rsidRPr="005C133F">
        <w:rPr>
          <w:spacing w:val="1"/>
          <w:lang w:val="es-DO"/>
        </w:rPr>
        <w:t xml:space="preserve"> </w:t>
      </w:r>
      <w:r w:rsidRPr="005C133F">
        <w:rPr>
          <w:spacing w:val="-2"/>
          <w:lang w:val="es-DO"/>
        </w:rPr>
        <w:t>Ingreso.</w:t>
      </w:r>
    </w:p>
    <w:p w14:paraId="0DBF129E" w14:textId="459DA968" w:rsidR="00E96FD3" w:rsidRPr="005C133F" w:rsidRDefault="00E96FD3">
      <w:pPr>
        <w:pStyle w:val="Prrafodelista"/>
        <w:widowControl w:val="0"/>
        <w:numPr>
          <w:ilvl w:val="1"/>
          <w:numId w:val="170"/>
        </w:numPr>
        <w:tabs>
          <w:tab w:val="left" w:pos="1331"/>
        </w:tabs>
        <w:autoSpaceDE w:val="0"/>
        <w:autoSpaceDN w:val="0"/>
        <w:spacing w:after="0" w:line="360" w:lineRule="auto"/>
        <w:ind w:left="1331" w:right="778" w:hanging="251"/>
        <w:contextualSpacing w:val="0"/>
        <w:jc w:val="both"/>
        <w:rPr>
          <w:bCs/>
          <w:lang w:val="es-DO"/>
        </w:rPr>
      </w:pPr>
      <w:r w:rsidRPr="005C133F">
        <w:rPr>
          <w:lang w:val="es-DO"/>
        </w:rPr>
        <w:t>Por</w:t>
      </w:r>
      <w:r w:rsidRPr="005C133F">
        <w:rPr>
          <w:spacing w:val="-4"/>
          <w:lang w:val="es-DO"/>
        </w:rPr>
        <w:t xml:space="preserve"> </w:t>
      </w:r>
      <w:r w:rsidRPr="005C133F">
        <w:rPr>
          <w:lang w:val="es-DO"/>
        </w:rPr>
        <w:t>operaciones</w:t>
      </w:r>
      <w:r w:rsidRPr="005C133F">
        <w:rPr>
          <w:spacing w:val="-3"/>
          <w:lang w:val="es-DO"/>
        </w:rPr>
        <w:t xml:space="preserve"> </w:t>
      </w:r>
      <w:r w:rsidRPr="005C133F">
        <w:rPr>
          <w:lang w:val="es-DO"/>
        </w:rPr>
        <w:t>varias</w:t>
      </w:r>
      <w:r w:rsidRPr="005C133F">
        <w:rPr>
          <w:spacing w:val="-1"/>
          <w:lang w:val="es-DO"/>
        </w:rPr>
        <w:t xml:space="preserve"> </w:t>
      </w:r>
      <w:r w:rsidRPr="005C133F">
        <w:rPr>
          <w:lang w:val="es-DO"/>
        </w:rPr>
        <w:t>que</w:t>
      </w:r>
      <w:r w:rsidRPr="005C133F">
        <w:rPr>
          <w:spacing w:val="-4"/>
          <w:lang w:val="es-DO"/>
        </w:rPr>
        <w:t xml:space="preserve"> </w:t>
      </w:r>
      <w:r w:rsidRPr="005C133F">
        <w:rPr>
          <w:lang w:val="es-DO"/>
        </w:rPr>
        <w:t>realiza</w:t>
      </w:r>
      <w:r w:rsidRPr="005C133F">
        <w:rPr>
          <w:spacing w:val="-4"/>
          <w:lang w:val="es-DO"/>
        </w:rPr>
        <w:t xml:space="preserve"> </w:t>
      </w:r>
      <w:r w:rsidRPr="005C133F">
        <w:rPr>
          <w:lang w:val="es-DO"/>
        </w:rPr>
        <w:t>la</w:t>
      </w:r>
      <w:r w:rsidRPr="005C133F">
        <w:rPr>
          <w:spacing w:val="-4"/>
          <w:lang w:val="es-DO"/>
        </w:rPr>
        <w:t xml:space="preserve"> </w:t>
      </w:r>
      <w:r w:rsidRPr="005C133F">
        <w:rPr>
          <w:lang w:val="es-DO"/>
        </w:rPr>
        <w:t>entidad</w:t>
      </w:r>
      <w:r w:rsidRPr="005C133F">
        <w:rPr>
          <w:spacing w:val="-3"/>
          <w:lang w:val="es-DO"/>
        </w:rPr>
        <w:t xml:space="preserve"> </w:t>
      </w:r>
      <w:r w:rsidRPr="005C133F">
        <w:rPr>
          <w:lang w:val="es-DO"/>
        </w:rPr>
        <w:t>recibimos</w:t>
      </w:r>
      <w:r w:rsidRPr="005C133F">
        <w:rPr>
          <w:spacing w:val="-1"/>
          <w:lang w:val="es-DO"/>
        </w:rPr>
        <w:t xml:space="preserve"> </w:t>
      </w:r>
      <w:r w:rsidRPr="005C133F">
        <w:rPr>
          <w:b/>
          <w:lang w:val="es-DO"/>
        </w:rPr>
        <w:t>RD$31,919,770.11</w:t>
      </w:r>
      <w:r w:rsidRPr="005C133F">
        <w:rPr>
          <w:lang w:val="es-DO"/>
        </w:rPr>
        <w:t xml:space="preserve">, un </w:t>
      </w:r>
      <w:r w:rsidRPr="005C133F">
        <w:rPr>
          <w:b/>
          <w:lang w:val="es-DO"/>
        </w:rPr>
        <w:t xml:space="preserve">2.05% </w:t>
      </w:r>
      <w:r w:rsidRPr="005C133F">
        <w:rPr>
          <w:lang w:val="es-DO"/>
        </w:rPr>
        <w:t>del presupuesto total</w:t>
      </w:r>
    </w:p>
    <w:p w14:paraId="2CDF7324" w14:textId="591F445E" w:rsidR="00702780" w:rsidRPr="005C133F" w:rsidRDefault="00702780" w:rsidP="005C133F">
      <w:pPr>
        <w:pStyle w:val="Prrafodelista"/>
        <w:widowControl w:val="0"/>
        <w:tabs>
          <w:tab w:val="left" w:pos="1314"/>
        </w:tabs>
        <w:autoSpaceDE w:val="0"/>
        <w:autoSpaceDN w:val="0"/>
        <w:spacing w:after="0" w:line="360" w:lineRule="auto"/>
        <w:ind w:left="1276" w:right="778"/>
        <w:contextualSpacing w:val="0"/>
        <w:jc w:val="both"/>
        <w:rPr>
          <w:lang w:val="es-DO"/>
        </w:rPr>
      </w:pPr>
      <w:r w:rsidRPr="005C133F">
        <w:rPr>
          <w:lang w:val="es-DO"/>
        </w:rPr>
        <w:t>Ingreso</w:t>
      </w:r>
      <w:r w:rsidR="00A52513" w:rsidRPr="005C133F">
        <w:rPr>
          <w:lang w:val="es-DO"/>
        </w:rPr>
        <w:t>s</w:t>
      </w:r>
    </w:p>
    <w:p w14:paraId="27ED0737" w14:textId="3B9C01BF" w:rsidR="00702780" w:rsidRPr="005C133F" w:rsidRDefault="00702780">
      <w:pPr>
        <w:pStyle w:val="Prrafodelista"/>
        <w:widowControl w:val="0"/>
        <w:numPr>
          <w:ilvl w:val="1"/>
          <w:numId w:val="170"/>
        </w:numPr>
        <w:tabs>
          <w:tab w:val="left" w:pos="1345"/>
        </w:tabs>
        <w:autoSpaceDE w:val="0"/>
        <w:autoSpaceDN w:val="0"/>
        <w:spacing w:after="0" w:line="360" w:lineRule="auto"/>
        <w:ind w:left="1276" w:right="778" w:hanging="208"/>
        <w:contextualSpacing w:val="0"/>
        <w:jc w:val="both"/>
        <w:rPr>
          <w:lang w:val="es-DO"/>
        </w:rPr>
      </w:pPr>
      <w:r w:rsidRPr="005C133F">
        <w:rPr>
          <w:lang w:val="es-DO"/>
        </w:rPr>
        <w:t xml:space="preserve">Efectivo disponible al inicio del año </w:t>
      </w:r>
      <w:r w:rsidRPr="005C133F">
        <w:rPr>
          <w:b/>
          <w:lang w:val="es-DO"/>
        </w:rPr>
        <w:t xml:space="preserve">RD$297,858,786.24, </w:t>
      </w:r>
      <w:r w:rsidRPr="005C133F">
        <w:rPr>
          <w:bCs/>
          <w:lang w:val="es-DO"/>
        </w:rPr>
        <w:t>un</w:t>
      </w:r>
      <w:r w:rsidRPr="005C133F">
        <w:rPr>
          <w:b/>
          <w:lang w:val="es-DO"/>
        </w:rPr>
        <w:t xml:space="preserve"> 19.16% </w:t>
      </w:r>
      <w:r w:rsidRPr="005C133F">
        <w:rPr>
          <w:lang w:val="es-DO"/>
        </w:rPr>
        <w:t>del presupuesto total Ingreso.</w:t>
      </w:r>
    </w:p>
    <w:p w14:paraId="18C4DCA2" w14:textId="77777777" w:rsidR="008A0364" w:rsidRPr="005C133F" w:rsidRDefault="008A0364" w:rsidP="005C133F">
      <w:pPr>
        <w:pStyle w:val="Prrafodelista"/>
        <w:widowControl w:val="0"/>
        <w:tabs>
          <w:tab w:val="left" w:pos="1345"/>
        </w:tabs>
        <w:autoSpaceDE w:val="0"/>
        <w:autoSpaceDN w:val="0"/>
        <w:spacing w:after="0" w:line="360" w:lineRule="auto"/>
        <w:ind w:left="1080" w:right="778"/>
        <w:contextualSpacing w:val="0"/>
        <w:jc w:val="both"/>
        <w:rPr>
          <w:lang w:val="es-DO"/>
        </w:rPr>
      </w:pPr>
    </w:p>
    <w:p w14:paraId="4C3150C0" w14:textId="77777777" w:rsidR="005917E8" w:rsidRPr="005C133F" w:rsidRDefault="005917E8">
      <w:pPr>
        <w:pStyle w:val="Prrafodelista"/>
        <w:widowControl w:val="0"/>
        <w:numPr>
          <w:ilvl w:val="0"/>
          <w:numId w:val="170"/>
        </w:numPr>
        <w:tabs>
          <w:tab w:val="left" w:pos="1080"/>
        </w:tabs>
        <w:autoSpaceDE w:val="0"/>
        <w:autoSpaceDN w:val="0"/>
        <w:spacing w:after="0" w:line="360" w:lineRule="auto"/>
        <w:contextualSpacing w:val="0"/>
        <w:rPr>
          <w:b/>
          <w:lang w:val="es-DO"/>
        </w:rPr>
      </w:pPr>
      <w:r w:rsidRPr="005C133F">
        <w:rPr>
          <w:b/>
          <w:lang w:val="es-DO"/>
        </w:rPr>
        <w:t>Ejecución Presupuestaria</w:t>
      </w:r>
    </w:p>
    <w:p w14:paraId="787BD876" w14:textId="77777777" w:rsidR="008A0364" w:rsidRPr="005C133F" w:rsidRDefault="008A0364" w:rsidP="005C133F">
      <w:pPr>
        <w:pStyle w:val="Prrafodelista"/>
        <w:widowControl w:val="0"/>
        <w:tabs>
          <w:tab w:val="left" w:pos="1345"/>
        </w:tabs>
        <w:autoSpaceDE w:val="0"/>
        <w:autoSpaceDN w:val="0"/>
        <w:spacing w:after="0" w:line="360" w:lineRule="auto"/>
        <w:ind w:left="1080" w:right="778"/>
        <w:contextualSpacing w:val="0"/>
        <w:jc w:val="both"/>
        <w:rPr>
          <w:lang w:val="es-DO"/>
        </w:rPr>
      </w:pPr>
    </w:p>
    <w:p w14:paraId="658D74F8" w14:textId="0C7B32D3" w:rsidR="00E87A0E" w:rsidRPr="005C133F" w:rsidRDefault="003D1E2B" w:rsidP="005C133F">
      <w:pPr>
        <w:spacing w:after="0" w:line="360" w:lineRule="auto"/>
        <w:jc w:val="both"/>
        <w:rPr>
          <w:lang w:val="es-DO"/>
        </w:rPr>
      </w:pPr>
      <w:r w:rsidRPr="005C133F">
        <w:rPr>
          <w:lang w:val="es-DO"/>
        </w:rPr>
        <w:t>La ejecución presupuestaria correspondiente al período enero-</w:t>
      </w:r>
      <w:r w:rsidR="00C25D43">
        <w:rPr>
          <w:lang w:val="es-DO"/>
        </w:rPr>
        <w:t>diciembre</w:t>
      </w:r>
      <w:r w:rsidRPr="005C133F">
        <w:rPr>
          <w:lang w:val="es-DO"/>
        </w:rPr>
        <w:t xml:space="preserve"> de 2025 </w:t>
      </w:r>
      <w:r w:rsidR="00C25D43">
        <w:rPr>
          <w:lang w:val="es-DO"/>
        </w:rPr>
        <w:t>fue de</w:t>
      </w:r>
      <w:r w:rsidRPr="005C133F">
        <w:rPr>
          <w:lang w:val="es-DO"/>
        </w:rPr>
        <w:t xml:space="preserve"> </w:t>
      </w:r>
      <w:r w:rsidR="00C25D43">
        <w:rPr>
          <w:lang w:val="es-DO"/>
        </w:rPr>
        <w:t>88</w:t>
      </w:r>
      <w:r w:rsidRPr="005C133F">
        <w:rPr>
          <w:lang w:val="es-DO"/>
        </w:rPr>
        <w:t>%, equivalente a un monto</w:t>
      </w:r>
      <w:r w:rsidR="00C25D43">
        <w:rPr>
          <w:lang w:val="es-DO"/>
        </w:rPr>
        <w:t xml:space="preserve"> de</w:t>
      </w:r>
      <w:r w:rsidRPr="005C133F">
        <w:rPr>
          <w:lang w:val="es-DO"/>
        </w:rPr>
        <w:t xml:space="preserve"> RD$</w:t>
      </w:r>
      <w:r w:rsidR="00C25D43" w:rsidRPr="00C25D43">
        <w:rPr>
          <w:lang w:val="es-DO"/>
        </w:rPr>
        <w:t xml:space="preserve">1,365,026,156 </w:t>
      </w:r>
      <w:r w:rsidRPr="005C133F">
        <w:rPr>
          <w:lang w:val="es-DO"/>
        </w:rPr>
        <w:t xml:space="preserve">(mil trescientos </w:t>
      </w:r>
      <w:r w:rsidR="00C25D43">
        <w:rPr>
          <w:lang w:val="es-DO"/>
        </w:rPr>
        <w:t>sesenta y cinc</w:t>
      </w:r>
      <w:r w:rsidR="007E633B">
        <w:rPr>
          <w:lang w:val="es-DO"/>
        </w:rPr>
        <w:t>o</w:t>
      </w:r>
      <w:r w:rsidRPr="005C133F">
        <w:rPr>
          <w:lang w:val="es-DO"/>
        </w:rPr>
        <w:t xml:space="preserve"> millones </w:t>
      </w:r>
      <w:r w:rsidR="00A970F3">
        <w:rPr>
          <w:lang w:val="es-DO"/>
        </w:rPr>
        <w:t>veintiséis</w:t>
      </w:r>
      <w:r w:rsidR="007E633B">
        <w:rPr>
          <w:lang w:val="es-DO"/>
        </w:rPr>
        <w:t xml:space="preserve"> </w:t>
      </w:r>
      <w:r w:rsidR="00A970F3">
        <w:rPr>
          <w:lang w:val="es-DO"/>
        </w:rPr>
        <w:t>mil ciento cincuenta y seis</w:t>
      </w:r>
      <w:r w:rsidRPr="005C133F">
        <w:rPr>
          <w:lang w:val="es-DO"/>
        </w:rPr>
        <w:t xml:space="preserve"> pesos dominicanos) del presupuesto otorgado y publicado en nuestro portal web institucional.</w:t>
      </w:r>
    </w:p>
    <w:p w14:paraId="5FBE9293" w14:textId="77777777" w:rsidR="007C49E3" w:rsidRPr="005C133F" w:rsidRDefault="007C49E3" w:rsidP="005C133F">
      <w:pPr>
        <w:spacing w:after="0" w:line="360" w:lineRule="auto"/>
        <w:jc w:val="both"/>
        <w:rPr>
          <w:lang w:val="es-DO"/>
        </w:rPr>
      </w:pPr>
    </w:p>
    <w:p w14:paraId="6827DABE" w14:textId="28F75E41" w:rsidR="008803E8" w:rsidRPr="005C133F" w:rsidRDefault="00934AB4" w:rsidP="005C133F">
      <w:pPr>
        <w:pStyle w:val="Descripcin"/>
        <w:spacing w:after="0" w:line="360" w:lineRule="auto"/>
        <w:jc w:val="center"/>
        <w:rPr>
          <w:b/>
          <w:i w:val="0"/>
          <w:color w:val="767171"/>
          <w:sz w:val="24"/>
          <w:szCs w:val="24"/>
          <w:lang w:val="es-DO"/>
        </w:rPr>
      </w:pPr>
      <w:bookmarkStart w:id="114" w:name="_Toc218784175"/>
      <w:r w:rsidRPr="005C133F">
        <w:rPr>
          <w:b/>
          <w:i w:val="0"/>
          <w:iCs w:val="0"/>
          <w:color w:val="767171"/>
          <w:sz w:val="24"/>
          <w:szCs w:val="24"/>
          <w:lang w:val="es-DO"/>
        </w:rPr>
        <w:t xml:space="preserve">Tabla </w:t>
      </w:r>
      <w:r w:rsidRPr="005C133F">
        <w:rPr>
          <w:b/>
          <w:i w:val="0"/>
          <w:iCs w:val="0"/>
          <w:color w:val="767171"/>
          <w:sz w:val="24"/>
          <w:szCs w:val="24"/>
          <w:lang w:val="es-DO"/>
        </w:rPr>
        <w:fldChar w:fldCharType="begin"/>
      </w:r>
      <w:r w:rsidRPr="005C133F">
        <w:rPr>
          <w:b/>
          <w:i w:val="0"/>
          <w:iCs w:val="0"/>
          <w:color w:val="767171"/>
          <w:sz w:val="24"/>
          <w:szCs w:val="24"/>
          <w:lang w:val="es-DO"/>
        </w:rPr>
        <w:instrText xml:space="preserve"> SEQ Tabla \* ARABIC </w:instrText>
      </w:r>
      <w:r w:rsidRPr="005C133F">
        <w:rPr>
          <w:b/>
          <w:i w:val="0"/>
          <w:iCs w:val="0"/>
          <w:color w:val="767171"/>
          <w:sz w:val="24"/>
          <w:szCs w:val="24"/>
          <w:lang w:val="es-DO"/>
        </w:rPr>
        <w:fldChar w:fldCharType="separate"/>
      </w:r>
      <w:r w:rsidR="00814341">
        <w:rPr>
          <w:b/>
          <w:i w:val="0"/>
          <w:iCs w:val="0"/>
          <w:noProof/>
          <w:color w:val="767171"/>
          <w:sz w:val="24"/>
          <w:szCs w:val="24"/>
          <w:lang w:val="es-DO"/>
        </w:rPr>
        <w:t>43</w:t>
      </w:r>
      <w:r w:rsidRPr="005C133F">
        <w:rPr>
          <w:b/>
          <w:i w:val="0"/>
          <w:iCs w:val="0"/>
          <w:color w:val="767171"/>
          <w:sz w:val="24"/>
          <w:szCs w:val="24"/>
          <w:lang w:val="es-DO"/>
        </w:rPr>
        <w:fldChar w:fldCharType="end"/>
      </w:r>
      <w:r w:rsidRPr="005C133F">
        <w:rPr>
          <w:b/>
          <w:i w:val="0"/>
          <w:iCs w:val="0"/>
          <w:color w:val="767171"/>
          <w:sz w:val="24"/>
          <w:szCs w:val="24"/>
          <w:lang w:val="es-DO"/>
        </w:rPr>
        <w:t xml:space="preserve">. </w:t>
      </w:r>
      <w:r w:rsidR="002B0CA7" w:rsidRPr="005C133F">
        <w:rPr>
          <w:b/>
          <w:i w:val="0"/>
          <w:color w:val="767171"/>
          <w:sz w:val="24"/>
          <w:szCs w:val="24"/>
          <w:lang w:val="es-DO"/>
        </w:rPr>
        <w:t>Ejecución presupuestaria, enero-octubre más noviembre y diciembre de 2025</w:t>
      </w:r>
      <w:bookmarkEnd w:id="114"/>
    </w:p>
    <w:tbl>
      <w:tblPr>
        <w:tblW w:w="0" w:type="auto"/>
        <w:tblCellMar>
          <w:left w:w="70" w:type="dxa"/>
          <w:right w:w="70" w:type="dxa"/>
        </w:tblCellMar>
        <w:tblLook w:val="04A0" w:firstRow="1" w:lastRow="0" w:firstColumn="1" w:lastColumn="0" w:noHBand="0" w:noVBand="1"/>
      </w:tblPr>
      <w:tblGrid>
        <w:gridCol w:w="3059"/>
        <w:gridCol w:w="2214"/>
        <w:gridCol w:w="1937"/>
        <w:gridCol w:w="700"/>
      </w:tblGrid>
      <w:tr w:rsidR="00C87173" w:rsidRPr="00C87173" w14:paraId="6D09D090" w14:textId="77777777" w:rsidTr="00C87173">
        <w:trPr>
          <w:trHeight w:val="780"/>
          <w:tblHead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58A2D9C5" w14:textId="77777777" w:rsidR="00C87173" w:rsidRPr="00C87173" w:rsidRDefault="00C87173" w:rsidP="00C87173">
            <w:pPr>
              <w:spacing w:after="0" w:line="240" w:lineRule="auto"/>
              <w:jc w:val="center"/>
              <w:rPr>
                <w:rFonts w:eastAsia="Times New Roman"/>
                <w:b/>
                <w:bCs/>
                <w:color w:val="FFFFFF"/>
                <w:spacing w:val="0"/>
                <w:lang w:val="es-DO" w:eastAsia="es-DO"/>
              </w:rPr>
            </w:pPr>
            <w:r w:rsidRPr="00C87173">
              <w:rPr>
                <w:rFonts w:eastAsia="Times New Roman"/>
                <w:b/>
                <w:bCs/>
                <w:color w:val="FFFFFF"/>
                <w:spacing w:val="0"/>
                <w:lang w:val="es-DO" w:eastAsia="es-DO"/>
              </w:rPr>
              <w:t>Detalle</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A893407" w14:textId="77777777" w:rsidR="00C87173" w:rsidRPr="00C87173" w:rsidRDefault="00C87173" w:rsidP="00C87173">
            <w:pPr>
              <w:spacing w:after="0" w:line="240" w:lineRule="auto"/>
              <w:jc w:val="center"/>
              <w:rPr>
                <w:rFonts w:eastAsia="Times New Roman"/>
                <w:b/>
                <w:bCs/>
                <w:color w:val="FFFFFF"/>
                <w:spacing w:val="0"/>
                <w:lang w:val="es-DO" w:eastAsia="es-DO"/>
              </w:rPr>
            </w:pPr>
            <w:r w:rsidRPr="00C87173">
              <w:rPr>
                <w:rFonts w:eastAsia="Times New Roman"/>
                <w:b/>
                <w:bCs/>
                <w:color w:val="FFFFFF"/>
                <w:spacing w:val="0"/>
                <w:lang w:val="es-DO" w:eastAsia="es-DO"/>
              </w:rPr>
              <w:t>Presupuesto Aprobado RD$</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C9DEC19" w14:textId="77777777" w:rsidR="00C87173" w:rsidRPr="00C87173" w:rsidRDefault="00C87173" w:rsidP="00C87173">
            <w:pPr>
              <w:spacing w:after="0" w:line="240" w:lineRule="auto"/>
              <w:jc w:val="center"/>
              <w:rPr>
                <w:rFonts w:eastAsia="Times New Roman"/>
                <w:b/>
                <w:bCs/>
                <w:color w:val="FFFFFF"/>
                <w:spacing w:val="0"/>
                <w:lang w:val="es-DO" w:eastAsia="es-DO"/>
              </w:rPr>
            </w:pPr>
            <w:r w:rsidRPr="00C87173">
              <w:rPr>
                <w:rFonts w:eastAsia="Times New Roman"/>
                <w:b/>
                <w:bCs/>
                <w:color w:val="FFFFFF"/>
                <w:spacing w:val="0"/>
                <w:lang w:val="es-DO" w:eastAsia="es-DO"/>
              </w:rPr>
              <w:t>Gasto devengado RD$</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51776927" w14:textId="77777777" w:rsidR="00C87173" w:rsidRPr="00C87173" w:rsidRDefault="00C87173" w:rsidP="00C87173">
            <w:pPr>
              <w:spacing w:after="0" w:line="240" w:lineRule="auto"/>
              <w:jc w:val="center"/>
              <w:rPr>
                <w:rFonts w:eastAsia="Times New Roman"/>
                <w:b/>
                <w:bCs/>
                <w:color w:val="FFFFFF"/>
                <w:spacing w:val="0"/>
                <w:lang w:val="es-DO" w:eastAsia="es-DO"/>
              </w:rPr>
            </w:pPr>
            <w:r w:rsidRPr="00C87173">
              <w:rPr>
                <w:rFonts w:eastAsia="Times New Roman"/>
                <w:b/>
                <w:bCs/>
                <w:color w:val="FFFFFF"/>
                <w:spacing w:val="0"/>
                <w:lang w:val="es-DO" w:eastAsia="es-DO"/>
              </w:rPr>
              <w:t>(%)</w:t>
            </w:r>
          </w:p>
        </w:tc>
      </w:tr>
      <w:tr w:rsidR="00C87173" w:rsidRPr="00C87173" w14:paraId="5C5EFFE7" w14:textId="77777777" w:rsidTr="00C87173">
        <w:trPr>
          <w:trHeight w:val="312"/>
        </w:trPr>
        <w:tc>
          <w:tcPr>
            <w:tcW w:w="0" w:type="auto"/>
            <w:tcBorders>
              <w:top w:val="nil"/>
              <w:left w:val="single" w:sz="4" w:space="0" w:color="767171"/>
              <w:bottom w:val="single" w:sz="4" w:space="0" w:color="767171"/>
              <w:right w:val="single" w:sz="4" w:space="0" w:color="767171"/>
            </w:tcBorders>
            <w:shd w:val="clear" w:color="000000" w:fill="D1D1D1"/>
            <w:vAlign w:val="center"/>
            <w:hideMark/>
          </w:tcPr>
          <w:p w14:paraId="2C930486" w14:textId="77777777" w:rsidR="00C87173" w:rsidRPr="00C87173" w:rsidRDefault="00C87173" w:rsidP="00C87173">
            <w:pPr>
              <w:spacing w:after="0" w:line="240" w:lineRule="auto"/>
              <w:rPr>
                <w:rFonts w:eastAsia="Times New Roman"/>
                <w:b/>
                <w:bCs/>
                <w:spacing w:val="0"/>
                <w:lang w:val="es-DO" w:eastAsia="es-DO"/>
              </w:rPr>
            </w:pPr>
            <w:r w:rsidRPr="00C87173">
              <w:rPr>
                <w:rFonts w:eastAsia="Times New Roman"/>
                <w:b/>
                <w:bCs/>
                <w:spacing w:val="0"/>
                <w:lang w:val="es-DO" w:eastAsia="es-DO"/>
              </w:rPr>
              <w:t>2 - Gastos</w:t>
            </w:r>
          </w:p>
        </w:tc>
        <w:tc>
          <w:tcPr>
            <w:tcW w:w="0" w:type="auto"/>
            <w:tcBorders>
              <w:top w:val="nil"/>
              <w:left w:val="nil"/>
              <w:bottom w:val="single" w:sz="4" w:space="0" w:color="767171"/>
              <w:right w:val="single" w:sz="4" w:space="0" w:color="767171"/>
            </w:tcBorders>
            <w:shd w:val="clear" w:color="000000" w:fill="D1D1D1"/>
            <w:vAlign w:val="center"/>
            <w:hideMark/>
          </w:tcPr>
          <w:p w14:paraId="1F2144D9" w14:textId="77777777" w:rsidR="00C87173" w:rsidRPr="00C87173" w:rsidRDefault="00C87173" w:rsidP="00C87173">
            <w:pPr>
              <w:spacing w:after="0" w:line="240" w:lineRule="auto"/>
              <w:jc w:val="right"/>
              <w:rPr>
                <w:rFonts w:eastAsia="Times New Roman"/>
                <w:b/>
                <w:bCs/>
                <w:spacing w:val="0"/>
                <w:lang w:val="es-DO" w:eastAsia="es-DO"/>
              </w:rPr>
            </w:pPr>
            <w:r w:rsidRPr="00C87173">
              <w:rPr>
                <w:rFonts w:eastAsia="Times New Roman"/>
                <w:b/>
                <w:bCs/>
                <w:spacing w:val="0"/>
                <w:lang w:val="es-DO" w:eastAsia="es-DO"/>
              </w:rPr>
              <w:t>1,457,754,355</w:t>
            </w:r>
          </w:p>
        </w:tc>
        <w:tc>
          <w:tcPr>
            <w:tcW w:w="0" w:type="auto"/>
            <w:tcBorders>
              <w:top w:val="nil"/>
              <w:left w:val="nil"/>
              <w:bottom w:val="single" w:sz="4" w:space="0" w:color="767171"/>
              <w:right w:val="single" w:sz="4" w:space="0" w:color="767171"/>
            </w:tcBorders>
            <w:shd w:val="clear" w:color="000000" w:fill="D1D1D1"/>
            <w:vAlign w:val="center"/>
            <w:hideMark/>
          </w:tcPr>
          <w:p w14:paraId="5A5B0D33" w14:textId="77777777" w:rsidR="00C87173" w:rsidRPr="00C87173" w:rsidRDefault="00C87173" w:rsidP="00C87173">
            <w:pPr>
              <w:spacing w:after="0" w:line="240" w:lineRule="auto"/>
              <w:jc w:val="right"/>
              <w:rPr>
                <w:rFonts w:eastAsia="Times New Roman"/>
                <w:b/>
                <w:bCs/>
                <w:spacing w:val="0"/>
                <w:lang w:val="es-DO" w:eastAsia="es-DO"/>
              </w:rPr>
            </w:pPr>
            <w:r w:rsidRPr="00C87173">
              <w:rPr>
                <w:rFonts w:eastAsia="Times New Roman"/>
                <w:b/>
                <w:bCs/>
                <w:spacing w:val="0"/>
                <w:lang w:val="es-DO" w:eastAsia="es-DO"/>
              </w:rPr>
              <w:t>1,313,801,061</w:t>
            </w:r>
          </w:p>
        </w:tc>
        <w:tc>
          <w:tcPr>
            <w:tcW w:w="0" w:type="auto"/>
            <w:tcBorders>
              <w:top w:val="nil"/>
              <w:left w:val="nil"/>
              <w:bottom w:val="single" w:sz="4" w:space="0" w:color="767171"/>
              <w:right w:val="single" w:sz="4" w:space="0" w:color="767171"/>
            </w:tcBorders>
            <w:shd w:val="clear" w:color="000000" w:fill="D1D1D1"/>
            <w:vAlign w:val="center"/>
            <w:hideMark/>
          </w:tcPr>
          <w:p w14:paraId="72164B98" w14:textId="77777777" w:rsidR="00C87173" w:rsidRPr="00C87173" w:rsidRDefault="00C87173" w:rsidP="00C87173">
            <w:pPr>
              <w:spacing w:after="0" w:line="240" w:lineRule="auto"/>
              <w:jc w:val="center"/>
              <w:rPr>
                <w:rFonts w:eastAsia="Times New Roman"/>
                <w:b/>
                <w:bCs/>
                <w:spacing w:val="0"/>
                <w:lang w:val="es-DO" w:eastAsia="es-DO"/>
              </w:rPr>
            </w:pPr>
            <w:r w:rsidRPr="00C87173">
              <w:rPr>
                <w:rFonts w:eastAsia="Times New Roman"/>
                <w:b/>
                <w:bCs/>
                <w:spacing w:val="0"/>
                <w:lang w:val="es-DO" w:eastAsia="es-DO"/>
              </w:rPr>
              <w:t>90%</w:t>
            </w:r>
          </w:p>
        </w:tc>
      </w:tr>
      <w:tr w:rsidR="00C87173" w:rsidRPr="00C87173" w14:paraId="58B65A00" w14:textId="77777777" w:rsidTr="00C87173">
        <w:trPr>
          <w:trHeight w:val="312"/>
        </w:trPr>
        <w:tc>
          <w:tcPr>
            <w:tcW w:w="0" w:type="auto"/>
            <w:tcBorders>
              <w:top w:val="nil"/>
              <w:left w:val="single" w:sz="4" w:space="0" w:color="767171"/>
              <w:bottom w:val="single" w:sz="4" w:space="0" w:color="767171"/>
              <w:right w:val="single" w:sz="4" w:space="0" w:color="767171"/>
            </w:tcBorders>
            <w:vAlign w:val="center"/>
            <w:hideMark/>
          </w:tcPr>
          <w:p w14:paraId="438C1A28"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2.1 -Remuneraciones y Contribuciones</w:t>
            </w:r>
          </w:p>
        </w:tc>
        <w:tc>
          <w:tcPr>
            <w:tcW w:w="0" w:type="auto"/>
            <w:tcBorders>
              <w:top w:val="nil"/>
              <w:left w:val="nil"/>
              <w:bottom w:val="single" w:sz="4" w:space="0" w:color="767171"/>
              <w:right w:val="single" w:sz="4" w:space="0" w:color="767171"/>
            </w:tcBorders>
            <w:vAlign w:val="center"/>
            <w:hideMark/>
          </w:tcPr>
          <w:p w14:paraId="70D4572E"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968,249,687</w:t>
            </w:r>
          </w:p>
        </w:tc>
        <w:tc>
          <w:tcPr>
            <w:tcW w:w="0" w:type="auto"/>
            <w:tcBorders>
              <w:top w:val="nil"/>
              <w:left w:val="nil"/>
              <w:bottom w:val="single" w:sz="4" w:space="0" w:color="767171"/>
              <w:right w:val="single" w:sz="4" w:space="0" w:color="767171"/>
            </w:tcBorders>
            <w:vAlign w:val="center"/>
            <w:hideMark/>
          </w:tcPr>
          <w:p w14:paraId="1D217A12"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964,716,941</w:t>
            </w:r>
          </w:p>
        </w:tc>
        <w:tc>
          <w:tcPr>
            <w:tcW w:w="0" w:type="auto"/>
            <w:tcBorders>
              <w:top w:val="nil"/>
              <w:left w:val="nil"/>
              <w:bottom w:val="single" w:sz="4" w:space="0" w:color="767171"/>
              <w:right w:val="single" w:sz="4" w:space="0" w:color="767171"/>
            </w:tcBorders>
            <w:shd w:val="clear" w:color="000000" w:fill="FFFFFF"/>
            <w:vAlign w:val="center"/>
            <w:hideMark/>
          </w:tcPr>
          <w:p w14:paraId="2854CFD8"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100%</w:t>
            </w:r>
          </w:p>
        </w:tc>
      </w:tr>
      <w:tr w:rsidR="00C87173" w:rsidRPr="00C87173" w14:paraId="1F76F1C2" w14:textId="77777777" w:rsidTr="00C87173">
        <w:trPr>
          <w:trHeight w:val="312"/>
        </w:trPr>
        <w:tc>
          <w:tcPr>
            <w:tcW w:w="0" w:type="auto"/>
            <w:tcBorders>
              <w:top w:val="nil"/>
              <w:left w:val="single" w:sz="4" w:space="0" w:color="767171"/>
              <w:bottom w:val="single" w:sz="4" w:space="0" w:color="767171"/>
              <w:right w:val="single" w:sz="4" w:space="0" w:color="767171"/>
            </w:tcBorders>
            <w:vAlign w:val="center"/>
            <w:hideMark/>
          </w:tcPr>
          <w:p w14:paraId="66A7853E"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2.2 - Contratación de Servicios</w:t>
            </w:r>
          </w:p>
        </w:tc>
        <w:tc>
          <w:tcPr>
            <w:tcW w:w="0" w:type="auto"/>
            <w:tcBorders>
              <w:top w:val="nil"/>
              <w:left w:val="nil"/>
              <w:bottom w:val="single" w:sz="4" w:space="0" w:color="767171"/>
              <w:right w:val="single" w:sz="4" w:space="0" w:color="767171"/>
            </w:tcBorders>
            <w:vAlign w:val="center"/>
            <w:hideMark/>
          </w:tcPr>
          <w:p w14:paraId="43AF9428"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259,760,782</w:t>
            </w:r>
          </w:p>
        </w:tc>
        <w:tc>
          <w:tcPr>
            <w:tcW w:w="0" w:type="auto"/>
            <w:tcBorders>
              <w:top w:val="nil"/>
              <w:left w:val="nil"/>
              <w:bottom w:val="single" w:sz="4" w:space="0" w:color="767171"/>
              <w:right w:val="single" w:sz="4" w:space="0" w:color="767171"/>
            </w:tcBorders>
            <w:vAlign w:val="center"/>
            <w:hideMark/>
          </w:tcPr>
          <w:p w14:paraId="41D3AD4E"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197,540,884</w:t>
            </w:r>
          </w:p>
        </w:tc>
        <w:tc>
          <w:tcPr>
            <w:tcW w:w="0" w:type="auto"/>
            <w:tcBorders>
              <w:top w:val="nil"/>
              <w:left w:val="nil"/>
              <w:bottom w:val="single" w:sz="4" w:space="0" w:color="767171"/>
              <w:right w:val="single" w:sz="4" w:space="0" w:color="767171"/>
            </w:tcBorders>
            <w:shd w:val="clear" w:color="000000" w:fill="FFFFFF"/>
            <w:vAlign w:val="center"/>
            <w:hideMark/>
          </w:tcPr>
          <w:p w14:paraId="70AC5CF4"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76%</w:t>
            </w:r>
          </w:p>
        </w:tc>
      </w:tr>
      <w:tr w:rsidR="00C87173" w:rsidRPr="00C87173" w14:paraId="3E87B223" w14:textId="77777777" w:rsidTr="00C87173">
        <w:trPr>
          <w:trHeight w:val="312"/>
        </w:trPr>
        <w:tc>
          <w:tcPr>
            <w:tcW w:w="0" w:type="auto"/>
            <w:tcBorders>
              <w:top w:val="nil"/>
              <w:left w:val="single" w:sz="4" w:space="0" w:color="767171"/>
              <w:bottom w:val="single" w:sz="4" w:space="0" w:color="767171"/>
              <w:right w:val="single" w:sz="4" w:space="0" w:color="767171"/>
            </w:tcBorders>
            <w:vAlign w:val="center"/>
            <w:hideMark/>
          </w:tcPr>
          <w:p w14:paraId="31254F5B"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2.3 - Materiales y Suministros</w:t>
            </w:r>
          </w:p>
        </w:tc>
        <w:tc>
          <w:tcPr>
            <w:tcW w:w="0" w:type="auto"/>
            <w:tcBorders>
              <w:top w:val="nil"/>
              <w:left w:val="nil"/>
              <w:bottom w:val="single" w:sz="4" w:space="0" w:color="767171"/>
              <w:right w:val="single" w:sz="4" w:space="0" w:color="767171"/>
            </w:tcBorders>
            <w:vAlign w:val="center"/>
            <w:hideMark/>
          </w:tcPr>
          <w:p w14:paraId="7F623284"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33,791,609</w:t>
            </w:r>
          </w:p>
        </w:tc>
        <w:tc>
          <w:tcPr>
            <w:tcW w:w="0" w:type="auto"/>
            <w:tcBorders>
              <w:top w:val="nil"/>
              <w:left w:val="nil"/>
              <w:bottom w:val="single" w:sz="4" w:space="0" w:color="767171"/>
              <w:right w:val="single" w:sz="4" w:space="0" w:color="767171"/>
            </w:tcBorders>
            <w:vAlign w:val="center"/>
            <w:hideMark/>
          </w:tcPr>
          <w:p w14:paraId="7538F7B2"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41,820,150</w:t>
            </w:r>
          </w:p>
        </w:tc>
        <w:tc>
          <w:tcPr>
            <w:tcW w:w="0" w:type="auto"/>
            <w:tcBorders>
              <w:top w:val="nil"/>
              <w:left w:val="nil"/>
              <w:bottom w:val="single" w:sz="4" w:space="0" w:color="767171"/>
              <w:right w:val="single" w:sz="4" w:space="0" w:color="767171"/>
            </w:tcBorders>
            <w:shd w:val="clear" w:color="000000" w:fill="FFFFFF"/>
            <w:vAlign w:val="center"/>
            <w:hideMark/>
          </w:tcPr>
          <w:p w14:paraId="258370B6"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124%</w:t>
            </w:r>
          </w:p>
        </w:tc>
      </w:tr>
      <w:tr w:rsidR="00C87173" w:rsidRPr="00C87173" w14:paraId="6A9FCC19" w14:textId="77777777" w:rsidTr="00C87173">
        <w:trPr>
          <w:trHeight w:val="312"/>
        </w:trPr>
        <w:tc>
          <w:tcPr>
            <w:tcW w:w="0" w:type="auto"/>
            <w:tcBorders>
              <w:top w:val="nil"/>
              <w:left w:val="single" w:sz="4" w:space="0" w:color="767171"/>
              <w:bottom w:val="single" w:sz="4" w:space="0" w:color="767171"/>
              <w:right w:val="single" w:sz="4" w:space="0" w:color="767171"/>
            </w:tcBorders>
            <w:vAlign w:val="center"/>
            <w:hideMark/>
          </w:tcPr>
          <w:p w14:paraId="76C9AF25"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2.4 - Transferencias Corrientes</w:t>
            </w:r>
          </w:p>
        </w:tc>
        <w:tc>
          <w:tcPr>
            <w:tcW w:w="0" w:type="auto"/>
            <w:tcBorders>
              <w:top w:val="nil"/>
              <w:left w:val="nil"/>
              <w:bottom w:val="single" w:sz="4" w:space="0" w:color="767171"/>
              <w:right w:val="single" w:sz="4" w:space="0" w:color="767171"/>
            </w:tcBorders>
            <w:vAlign w:val="center"/>
            <w:hideMark/>
          </w:tcPr>
          <w:p w14:paraId="325114C1"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13,894,843</w:t>
            </w:r>
          </w:p>
        </w:tc>
        <w:tc>
          <w:tcPr>
            <w:tcW w:w="0" w:type="auto"/>
            <w:tcBorders>
              <w:top w:val="nil"/>
              <w:left w:val="nil"/>
              <w:bottom w:val="single" w:sz="4" w:space="0" w:color="767171"/>
              <w:right w:val="single" w:sz="4" w:space="0" w:color="767171"/>
            </w:tcBorders>
            <w:vAlign w:val="center"/>
            <w:hideMark/>
          </w:tcPr>
          <w:p w14:paraId="6B9602C2"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11,857,768</w:t>
            </w:r>
          </w:p>
        </w:tc>
        <w:tc>
          <w:tcPr>
            <w:tcW w:w="0" w:type="auto"/>
            <w:tcBorders>
              <w:top w:val="nil"/>
              <w:left w:val="nil"/>
              <w:bottom w:val="single" w:sz="4" w:space="0" w:color="767171"/>
              <w:right w:val="single" w:sz="4" w:space="0" w:color="767171"/>
            </w:tcBorders>
            <w:shd w:val="clear" w:color="000000" w:fill="FFFFFF"/>
            <w:vAlign w:val="center"/>
            <w:hideMark/>
          </w:tcPr>
          <w:p w14:paraId="74F4B3BA"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85%</w:t>
            </w:r>
          </w:p>
        </w:tc>
      </w:tr>
      <w:tr w:rsidR="00C87173" w:rsidRPr="00C87173" w14:paraId="79DDCEFB"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0F65B9B8"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lastRenderedPageBreak/>
              <w:t>2.5 - Transferencias de Capital</w:t>
            </w:r>
          </w:p>
        </w:tc>
        <w:tc>
          <w:tcPr>
            <w:tcW w:w="0" w:type="auto"/>
            <w:tcBorders>
              <w:top w:val="nil"/>
              <w:left w:val="nil"/>
              <w:bottom w:val="single" w:sz="4" w:space="0" w:color="767171"/>
              <w:right w:val="single" w:sz="4" w:space="0" w:color="767171"/>
            </w:tcBorders>
            <w:vAlign w:val="center"/>
            <w:hideMark/>
          </w:tcPr>
          <w:p w14:paraId="4C928B21"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w:t>
            </w:r>
          </w:p>
        </w:tc>
        <w:tc>
          <w:tcPr>
            <w:tcW w:w="0" w:type="auto"/>
            <w:tcBorders>
              <w:top w:val="nil"/>
              <w:left w:val="nil"/>
              <w:bottom w:val="single" w:sz="4" w:space="0" w:color="767171"/>
              <w:right w:val="single" w:sz="4" w:space="0" w:color="767171"/>
            </w:tcBorders>
            <w:vAlign w:val="center"/>
            <w:hideMark/>
          </w:tcPr>
          <w:p w14:paraId="2CF04F2D"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shd w:val="clear" w:color="000000" w:fill="FFFFFF"/>
            <w:vAlign w:val="center"/>
            <w:hideMark/>
          </w:tcPr>
          <w:p w14:paraId="1A1A3130"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0%</w:t>
            </w:r>
          </w:p>
        </w:tc>
      </w:tr>
      <w:tr w:rsidR="00C87173" w:rsidRPr="00C87173" w14:paraId="16E38ABF"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4D5A7D80"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2.6 - Bienes Muebles, Inmuebles e Intangibles</w:t>
            </w:r>
          </w:p>
        </w:tc>
        <w:tc>
          <w:tcPr>
            <w:tcW w:w="0" w:type="auto"/>
            <w:tcBorders>
              <w:top w:val="nil"/>
              <w:left w:val="nil"/>
              <w:bottom w:val="single" w:sz="4" w:space="0" w:color="767171"/>
              <w:right w:val="single" w:sz="4" w:space="0" w:color="767171"/>
            </w:tcBorders>
            <w:vAlign w:val="center"/>
            <w:hideMark/>
          </w:tcPr>
          <w:p w14:paraId="238D7D54"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136,182,169</w:t>
            </w:r>
          </w:p>
        </w:tc>
        <w:tc>
          <w:tcPr>
            <w:tcW w:w="0" w:type="auto"/>
            <w:tcBorders>
              <w:top w:val="nil"/>
              <w:left w:val="nil"/>
              <w:bottom w:val="single" w:sz="4" w:space="0" w:color="767171"/>
              <w:right w:val="single" w:sz="4" w:space="0" w:color="767171"/>
            </w:tcBorders>
            <w:vAlign w:val="center"/>
            <w:hideMark/>
          </w:tcPr>
          <w:p w14:paraId="060DD397"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91,990,053</w:t>
            </w:r>
          </w:p>
        </w:tc>
        <w:tc>
          <w:tcPr>
            <w:tcW w:w="0" w:type="auto"/>
            <w:tcBorders>
              <w:top w:val="nil"/>
              <w:left w:val="nil"/>
              <w:bottom w:val="single" w:sz="4" w:space="0" w:color="767171"/>
              <w:right w:val="single" w:sz="4" w:space="0" w:color="767171"/>
            </w:tcBorders>
            <w:shd w:val="clear" w:color="000000" w:fill="FFFFFF"/>
            <w:vAlign w:val="center"/>
            <w:hideMark/>
          </w:tcPr>
          <w:p w14:paraId="5B7AF3B0"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68%</w:t>
            </w:r>
          </w:p>
        </w:tc>
      </w:tr>
      <w:tr w:rsidR="00C87173" w:rsidRPr="00C87173" w14:paraId="4BEF13CB"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324E72C4"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2.7 - Obras</w:t>
            </w:r>
          </w:p>
        </w:tc>
        <w:tc>
          <w:tcPr>
            <w:tcW w:w="0" w:type="auto"/>
            <w:tcBorders>
              <w:top w:val="nil"/>
              <w:left w:val="nil"/>
              <w:bottom w:val="single" w:sz="4" w:space="0" w:color="767171"/>
              <w:right w:val="single" w:sz="4" w:space="0" w:color="767171"/>
            </w:tcBorders>
            <w:vAlign w:val="center"/>
            <w:hideMark/>
          </w:tcPr>
          <w:p w14:paraId="06959795"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45,875,265</w:t>
            </w:r>
          </w:p>
        </w:tc>
        <w:tc>
          <w:tcPr>
            <w:tcW w:w="0" w:type="auto"/>
            <w:tcBorders>
              <w:top w:val="nil"/>
              <w:left w:val="nil"/>
              <w:bottom w:val="single" w:sz="4" w:space="0" w:color="767171"/>
              <w:right w:val="single" w:sz="4" w:space="0" w:color="767171"/>
            </w:tcBorders>
            <w:vAlign w:val="center"/>
            <w:hideMark/>
          </w:tcPr>
          <w:p w14:paraId="33E4E275"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5,875,265</w:t>
            </w:r>
          </w:p>
        </w:tc>
        <w:tc>
          <w:tcPr>
            <w:tcW w:w="0" w:type="auto"/>
            <w:tcBorders>
              <w:top w:val="nil"/>
              <w:left w:val="nil"/>
              <w:bottom w:val="single" w:sz="4" w:space="0" w:color="767171"/>
              <w:right w:val="single" w:sz="4" w:space="0" w:color="767171"/>
            </w:tcBorders>
            <w:shd w:val="clear" w:color="000000" w:fill="FFFFFF"/>
            <w:vAlign w:val="center"/>
            <w:hideMark/>
          </w:tcPr>
          <w:p w14:paraId="6ED0663D"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13%</w:t>
            </w:r>
          </w:p>
        </w:tc>
      </w:tr>
      <w:tr w:rsidR="00C87173" w:rsidRPr="00C87173" w14:paraId="4EA616A5"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2DD7204C"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2.9 - Gastos Financieros</w:t>
            </w:r>
          </w:p>
        </w:tc>
        <w:tc>
          <w:tcPr>
            <w:tcW w:w="0" w:type="auto"/>
            <w:tcBorders>
              <w:top w:val="nil"/>
              <w:left w:val="nil"/>
              <w:bottom w:val="single" w:sz="4" w:space="0" w:color="767171"/>
              <w:right w:val="single" w:sz="4" w:space="0" w:color="767171"/>
            </w:tcBorders>
            <w:vAlign w:val="center"/>
            <w:hideMark/>
          </w:tcPr>
          <w:p w14:paraId="30FEDD60"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vAlign w:val="center"/>
            <w:hideMark/>
          </w:tcPr>
          <w:p w14:paraId="3C7F7694"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shd w:val="clear" w:color="000000" w:fill="FFFFFF"/>
            <w:vAlign w:val="center"/>
            <w:hideMark/>
          </w:tcPr>
          <w:p w14:paraId="00F4E948"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0%</w:t>
            </w:r>
          </w:p>
        </w:tc>
      </w:tr>
      <w:tr w:rsidR="00C87173" w:rsidRPr="00C87173" w14:paraId="13671AFA" w14:textId="77777777" w:rsidTr="00C87173">
        <w:trPr>
          <w:trHeight w:val="288"/>
        </w:trPr>
        <w:tc>
          <w:tcPr>
            <w:tcW w:w="0" w:type="auto"/>
            <w:tcBorders>
              <w:top w:val="nil"/>
              <w:left w:val="single" w:sz="4" w:space="0" w:color="767171"/>
              <w:bottom w:val="single" w:sz="4" w:space="0" w:color="767171"/>
              <w:right w:val="single" w:sz="4" w:space="0" w:color="767171"/>
            </w:tcBorders>
            <w:shd w:val="clear" w:color="000000" w:fill="D1D1D1"/>
            <w:vAlign w:val="center"/>
            <w:hideMark/>
          </w:tcPr>
          <w:p w14:paraId="54BF8737" w14:textId="77777777" w:rsidR="00C87173" w:rsidRPr="00C87173" w:rsidRDefault="00C87173" w:rsidP="00C87173">
            <w:pPr>
              <w:spacing w:after="0" w:line="240" w:lineRule="auto"/>
              <w:rPr>
                <w:rFonts w:eastAsia="Times New Roman"/>
                <w:b/>
                <w:bCs/>
                <w:spacing w:val="0"/>
                <w:lang w:val="es-DO" w:eastAsia="es-DO"/>
              </w:rPr>
            </w:pPr>
            <w:r w:rsidRPr="00C87173">
              <w:rPr>
                <w:rFonts w:eastAsia="Times New Roman"/>
                <w:b/>
                <w:bCs/>
                <w:spacing w:val="0"/>
                <w:lang w:val="es-DO" w:eastAsia="es-DO"/>
              </w:rPr>
              <w:t>4 - Aplicaciones Financieras</w:t>
            </w:r>
          </w:p>
        </w:tc>
        <w:tc>
          <w:tcPr>
            <w:tcW w:w="0" w:type="auto"/>
            <w:tcBorders>
              <w:top w:val="nil"/>
              <w:left w:val="nil"/>
              <w:bottom w:val="single" w:sz="4" w:space="0" w:color="767171"/>
              <w:right w:val="single" w:sz="4" w:space="0" w:color="767171"/>
            </w:tcBorders>
            <w:shd w:val="clear" w:color="000000" w:fill="D1D1D1"/>
            <w:vAlign w:val="center"/>
            <w:hideMark/>
          </w:tcPr>
          <w:p w14:paraId="52B33507" w14:textId="77777777" w:rsidR="00C87173" w:rsidRPr="00C87173" w:rsidRDefault="00C87173" w:rsidP="00C87173">
            <w:pPr>
              <w:spacing w:after="0" w:line="240" w:lineRule="auto"/>
              <w:jc w:val="right"/>
              <w:rPr>
                <w:rFonts w:eastAsia="Times New Roman"/>
                <w:b/>
                <w:bCs/>
                <w:spacing w:val="0"/>
                <w:lang w:val="es-DO" w:eastAsia="es-DO"/>
              </w:rPr>
            </w:pPr>
            <w:r w:rsidRPr="00C87173">
              <w:rPr>
                <w:rFonts w:eastAsia="Times New Roman"/>
                <w:b/>
                <w:bCs/>
                <w:spacing w:val="0"/>
                <w:lang w:val="es-DO" w:eastAsia="es-DO"/>
              </w:rPr>
              <w:t>96,807,925</w:t>
            </w:r>
          </w:p>
        </w:tc>
        <w:tc>
          <w:tcPr>
            <w:tcW w:w="0" w:type="auto"/>
            <w:tcBorders>
              <w:top w:val="nil"/>
              <w:left w:val="nil"/>
              <w:bottom w:val="single" w:sz="4" w:space="0" w:color="767171"/>
              <w:right w:val="single" w:sz="4" w:space="0" w:color="767171"/>
            </w:tcBorders>
            <w:shd w:val="clear" w:color="000000" w:fill="D1D1D1"/>
            <w:vAlign w:val="center"/>
            <w:hideMark/>
          </w:tcPr>
          <w:p w14:paraId="40062489" w14:textId="77777777" w:rsidR="00C87173" w:rsidRPr="00C87173" w:rsidRDefault="00C87173" w:rsidP="00C87173">
            <w:pPr>
              <w:spacing w:after="0" w:line="240" w:lineRule="auto"/>
              <w:jc w:val="right"/>
              <w:rPr>
                <w:rFonts w:eastAsia="Times New Roman"/>
                <w:b/>
                <w:bCs/>
                <w:spacing w:val="0"/>
                <w:lang w:val="es-DO" w:eastAsia="es-DO"/>
              </w:rPr>
            </w:pPr>
            <w:r w:rsidRPr="00C87173">
              <w:rPr>
                <w:rFonts w:eastAsia="Times New Roman"/>
                <w:b/>
                <w:bCs/>
                <w:spacing w:val="0"/>
                <w:lang w:val="es-DO" w:eastAsia="es-DO"/>
              </w:rPr>
              <w:t>51,225,095</w:t>
            </w:r>
          </w:p>
        </w:tc>
        <w:tc>
          <w:tcPr>
            <w:tcW w:w="0" w:type="auto"/>
            <w:tcBorders>
              <w:top w:val="nil"/>
              <w:left w:val="nil"/>
              <w:bottom w:val="single" w:sz="4" w:space="0" w:color="767171"/>
              <w:right w:val="single" w:sz="4" w:space="0" w:color="767171"/>
            </w:tcBorders>
            <w:shd w:val="clear" w:color="000000" w:fill="D1D1D1"/>
            <w:vAlign w:val="center"/>
            <w:hideMark/>
          </w:tcPr>
          <w:p w14:paraId="46B47130" w14:textId="77777777" w:rsidR="00C87173" w:rsidRPr="00C87173" w:rsidRDefault="00C87173" w:rsidP="00C87173">
            <w:pPr>
              <w:spacing w:after="0" w:line="240" w:lineRule="auto"/>
              <w:jc w:val="center"/>
              <w:rPr>
                <w:rFonts w:eastAsia="Times New Roman"/>
                <w:b/>
                <w:bCs/>
                <w:spacing w:val="0"/>
                <w:lang w:val="es-DO" w:eastAsia="es-DO"/>
              </w:rPr>
            </w:pPr>
            <w:r w:rsidRPr="00C87173">
              <w:rPr>
                <w:rFonts w:eastAsia="Times New Roman"/>
                <w:b/>
                <w:bCs/>
                <w:spacing w:val="0"/>
                <w:lang w:val="es-DO" w:eastAsia="es-DO"/>
              </w:rPr>
              <w:t>53%</w:t>
            </w:r>
          </w:p>
        </w:tc>
      </w:tr>
      <w:tr w:rsidR="00C87173" w:rsidRPr="00C87173" w14:paraId="2D8B6542"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7582A8CE"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4.1 - Incremento de Activos Financieros</w:t>
            </w:r>
          </w:p>
        </w:tc>
        <w:tc>
          <w:tcPr>
            <w:tcW w:w="0" w:type="auto"/>
            <w:tcBorders>
              <w:top w:val="nil"/>
              <w:left w:val="nil"/>
              <w:bottom w:val="single" w:sz="4" w:space="0" w:color="767171"/>
              <w:right w:val="single" w:sz="4" w:space="0" w:color="767171"/>
            </w:tcBorders>
            <w:vAlign w:val="center"/>
            <w:hideMark/>
          </w:tcPr>
          <w:p w14:paraId="3092EBAF"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45,576,927</w:t>
            </w:r>
          </w:p>
        </w:tc>
        <w:tc>
          <w:tcPr>
            <w:tcW w:w="0" w:type="auto"/>
            <w:tcBorders>
              <w:top w:val="nil"/>
              <w:left w:val="nil"/>
              <w:bottom w:val="single" w:sz="4" w:space="0" w:color="767171"/>
              <w:right w:val="single" w:sz="4" w:space="0" w:color="767171"/>
            </w:tcBorders>
            <w:vAlign w:val="center"/>
            <w:hideMark/>
          </w:tcPr>
          <w:p w14:paraId="0F68745D"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shd w:val="clear" w:color="000000" w:fill="FFFFFF"/>
            <w:vAlign w:val="center"/>
            <w:hideMark/>
          </w:tcPr>
          <w:p w14:paraId="3544DAD1"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0%</w:t>
            </w:r>
          </w:p>
        </w:tc>
      </w:tr>
      <w:tr w:rsidR="00C87173" w:rsidRPr="00C87173" w14:paraId="2767D61B" w14:textId="77777777" w:rsidTr="00C87173">
        <w:trPr>
          <w:trHeight w:val="288"/>
        </w:trPr>
        <w:tc>
          <w:tcPr>
            <w:tcW w:w="0" w:type="auto"/>
            <w:tcBorders>
              <w:top w:val="nil"/>
              <w:left w:val="single" w:sz="4" w:space="0" w:color="767171"/>
              <w:bottom w:val="single" w:sz="4" w:space="0" w:color="767171"/>
              <w:right w:val="single" w:sz="4" w:space="0" w:color="767171"/>
            </w:tcBorders>
            <w:vAlign w:val="center"/>
            <w:hideMark/>
          </w:tcPr>
          <w:p w14:paraId="57B86CF1"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4.2 - Disminución de Pasivos</w:t>
            </w:r>
          </w:p>
        </w:tc>
        <w:tc>
          <w:tcPr>
            <w:tcW w:w="0" w:type="auto"/>
            <w:tcBorders>
              <w:top w:val="nil"/>
              <w:left w:val="nil"/>
              <w:bottom w:val="single" w:sz="4" w:space="0" w:color="767171"/>
              <w:right w:val="single" w:sz="4" w:space="0" w:color="767171"/>
            </w:tcBorders>
            <w:vAlign w:val="center"/>
            <w:hideMark/>
          </w:tcPr>
          <w:p w14:paraId="59383CD4"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51,230,998</w:t>
            </w:r>
          </w:p>
        </w:tc>
        <w:tc>
          <w:tcPr>
            <w:tcW w:w="0" w:type="auto"/>
            <w:tcBorders>
              <w:top w:val="nil"/>
              <w:left w:val="nil"/>
              <w:bottom w:val="single" w:sz="4" w:space="0" w:color="767171"/>
              <w:right w:val="single" w:sz="4" w:space="0" w:color="767171"/>
            </w:tcBorders>
            <w:vAlign w:val="center"/>
            <w:hideMark/>
          </w:tcPr>
          <w:p w14:paraId="5D8284B4"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51,225,095</w:t>
            </w:r>
          </w:p>
        </w:tc>
        <w:tc>
          <w:tcPr>
            <w:tcW w:w="0" w:type="auto"/>
            <w:tcBorders>
              <w:top w:val="nil"/>
              <w:left w:val="nil"/>
              <w:bottom w:val="single" w:sz="4" w:space="0" w:color="767171"/>
              <w:right w:val="single" w:sz="4" w:space="0" w:color="767171"/>
            </w:tcBorders>
            <w:shd w:val="clear" w:color="000000" w:fill="FFFFFF"/>
            <w:vAlign w:val="center"/>
            <w:hideMark/>
          </w:tcPr>
          <w:p w14:paraId="7329D89C"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100%</w:t>
            </w:r>
          </w:p>
        </w:tc>
      </w:tr>
      <w:tr w:rsidR="00C87173" w:rsidRPr="00C87173" w14:paraId="7A7E3F93" w14:textId="77777777" w:rsidTr="00C87173">
        <w:trPr>
          <w:trHeight w:val="312"/>
        </w:trPr>
        <w:tc>
          <w:tcPr>
            <w:tcW w:w="0" w:type="auto"/>
            <w:tcBorders>
              <w:top w:val="nil"/>
              <w:left w:val="single" w:sz="4" w:space="0" w:color="767171"/>
              <w:bottom w:val="single" w:sz="4" w:space="0" w:color="767171"/>
              <w:right w:val="single" w:sz="4" w:space="0" w:color="767171"/>
            </w:tcBorders>
            <w:vAlign w:val="center"/>
            <w:hideMark/>
          </w:tcPr>
          <w:p w14:paraId="558D7FFB" w14:textId="77777777" w:rsidR="00C87173" w:rsidRPr="00C87173" w:rsidRDefault="00C87173" w:rsidP="00C87173">
            <w:pPr>
              <w:spacing w:after="0" w:line="240" w:lineRule="auto"/>
              <w:rPr>
                <w:rFonts w:eastAsia="Times New Roman"/>
                <w:spacing w:val="0"/>
                <w:lang w:val="es-DO" w:eastAsia="es-DO"/>
              </w:rPr>
            </w:pPr>
            <w:r w:rsidRPr="00C87173">
              <w:rPr>
                <w:rFonts w:eastAsia="Times New Roman"/>
                <w:spacing w:val="0"/>
                <w:lang w:val="es-DO" w:eastAsia="es-DO"/>
              </w:rPr>
              <w:t>4.3 - Disminución de Fondos de Terceros</w:t>
            </w:r>
          </w:p>
        </w:tc>
        <w:tc>
          <w:tcPr>
            <w:tcW w:w="0" w:type="auto"/>
            <w:tcBorders>
              <w:top w:val="nil"/>
              <w:left w:val="nil"/>
              <w:bottom w:val="single" w:sz="4" w:space="0" w:color="767171"/>
              <w:right w:val="single" w:sz="4" w:space="0" w:color="767171"/>
            </w:tcBorders>
            <w:vAlign w:val="center"/>
            <w:hideMark/>
          </w:tcPr>
          <w:p w14:paraId="3073A689"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vAlign w:val="center"/>
            <w:hideMark/>
          </w:tcPr>
          <w:p w14:paraId="5FC8B441" w14:textId="77777777" w:rsidR="00C87173" w:rsidRPr="00C87173" w:rsidRDefault="00C87173" w:rsidP="00C87173">
            <w:pPr>
              <w:spacing w:after="0" w:line="240" w:lineRule="auto"/>
              <w:jc w:val="right"/>
              <w:rPr>
                <w:rFonts w:eastAsia="Times New Roman"/>
                <w:spacing w:val="0"/>
                <w:lang w:val="es-DO" w:eastAsia="es-DO"/>
              </w:rPr>
            </w:pPr>
            <w:r w:rsidRPr="00C87173">
              <w:rPr>
                <w:rFonts w:eastAsia="Times New Roman"/>
                <w:spacing w:val="0"/>
                <w:lang w:val="es-DO" w:eastAsia="es-DO"/>
              </w:rPr>
              <w:t>0</w:t>
            </w:r>
          </w:p>
        </w:tc>
        <w:tc>
          <w:tcPr>
            <w:tcW w:w="0" w:type="auto"/>
            <w:tcBorders>
              <w:top w:val="nil"/>
              <w:left w:val="nil"/>
              <w:bottom w:val="single" w:sz="4" w:space="0" w:color="767171"/>
              <w:right w:val="single" w:sz="4" w:space="0" w:color="767171"/>
            </w:tcBorders>
            <w:shd w:val="clear" w:color="000000" w:fill="FFFFFF"/>
            <w:vAlign w:val="center"/>
            <w:hideMark/>
          </w:tcPr>
          <w:p w14:paraId="31B7FD54" w14:textId="77777777" w:rsidR="00C87173" w:rsidRPr="00C87173" w:rsidRDefault="00C87173" w:rsidP="00C87173">
            <w:pPr>
              <w:spacing w:after="0" w:line="240" w:lineRule="auto"/>
              <w:jc w:val="center"/>
              <w:rPr>
                <w:rFonts w:eastAsia="Times New Roman"/>
                <w:spacing w:val="0"/>
                <w:lang w:val="es-DO" w:eastAsia="es-DO"/>
              </w:rPr>
            </w:pPr>
            <w:r w:rsidRPr="00C87173">
              <w:rPr>
                <w:rFonts w:eastAsia="Times New Roman"/>
                <w:spacing w:val="0"/>
                <w:lang w:val="es-DO" w:eastAsia="es-DO"/>
              </w:rPr>
              <w:t>0%</w:t>
            </w:r>
          </w:p>
        </w:tc>
      </w:tr>
      <w:tr w:rsidR="00C87173" w:rsidRPr="00C87173" w14:paraId="21FC3AEB" w14:textId="77777777" w:rsidTr="00C87173">
        <w:trPr>
          <w:trHeight w:val="312"/>
        </w:trPr>
        <w:tc>
          <w:tcPr>
            <w:tcW w:w="0" w:type="auto"/>
            <w:tcBorders>
              <w:top w:val="nil"/>
              <w:left w:val="single" w:sz="4" w:space="0" w:color="767171"/>
              <w:bottom w:val="single" w:sz="4" w:space="0" w:color="767171"/>
              <w:right w:val="single" w:sz="4" w:space="0" w:color="767171"/>
            </w:tcBorders>
            <w:shd w:val="clear" w:color="000000" w:fill="011C50"/>
            <w:vAlign w:val="center"/>
            <w:hideMark/>
          </w:tcPr>
          <w:p w14:paraId="5859F638" w14:textId="77777777" w:rsidR="00C87173" w:rsidRPr="00C87173" w:rsidRDefault="00C87173" w:rsidP="00C87173">
            <w:pPr>
              <w:spacing w:after="0" w:line="240" w:lineRule="auto"/>
              <w:jc w:val="right"/>
              <w:rPr>
                <w:rFonts w:eastAsia="Times New Roman"/>
                <w:b/>
                <w:bCs/>
                <w:color w:val="FFFFFF"/>
                <w:spacing w:val="0"/>
                <w:lang w:val="es-DO" w:eastAsia="es-DO"/>
              </w:rPr>
            </w:pPr>
            <w:r w:rsidRPr="00C87173">
              <w:rPr>
                <w:rFonts w:eastAsia="Times New Roman"/>
                <w:b/>
                <w:bCs/>
                <w:color w:val="FFFFFF"/>
                <w:spacing w:val="0"/>
                <w:lang w:val="es-DO" w:eastAsia="es-DO"/>
              </w:rPr>
              <w:t>Total</w:t>
            </w:r>
          </w:p>
        </w:tc>
        <w:tc>
          <w:tcPr>
            <w:tcW w:w="0" w:type="auto"/>
            <w:tcBorders>
              <w:top w:val="nil"/>
              <w:left w:val="nil"/>
              <w:bottom w:val="single" w:sz="4" w:space="0" w:color="767171"/>
              <w:right w:val="single" w:sz="4" w:space="0" w:color="767171"/>
            </w:tcBorders>
            <w:shd w:val="clear" w:color="000000" w:fill="011C50"/>
            <w:vAlign w:val="center"/>
            <w:hideMark/>
          </w:tcPr>
          <w:p w14:paraId="0E479A17" w14:textId="77777777" w:rsidR="00C87173" w:rsidRPr="00C87173" w:rsidRDefault="00C87173" w:rsidP="00C87173">
            <w:pPr>
              <w:spacing w:after="0" w:line="240" w:lineRule="auto"/>
              <w:jc w:val="right"/>
              <w:rPr>
                <w:rFonts w:eastAsia="Times New Roman"/>
                <w:b/>
                <w:bCs/>
                <w:color w:val="FFFFFF"/>
                <w:spacing w:val="0"/>
                <w:lang w:val="es-DO" w:eastAsia="es-DO"/>
              </w:rPr>
            </w:pPr>
            <w:r w:rsidRPr="00C87173">
              <w:rPr>
                <w:rFonts w:eastAsia="Times New Roman"/>
                <w:b/>
                <w:bCs/>
                <w:color w:val="FFFFFF"/>
                <w:spacing w:val="0"/>
                <w:lang w:val="es-DO" w:eastAsia="es-DO"/>
              </w:rPr>
              <w:t>1,554,562,280</w:t>
            </w:r>
          </w:p>
        </w:tc>
        <w:tc>
          <w:tcPr>
            <w:tcW w:w="0" w:type="auto"/>
            <w:tcBorders>
              <w:top w:val="nil"/>
              <w:left w:val="nil"/>
              <w:bottom w:val="single" w:sz="4" w:space="0" w:color="767171"/>
              <w:right w:val="single" w:sz="4" w:space="0" w:color="767171"/>
            </w:tcBorders>
            <w:shd w:val="clear" w:color="000000" w:fill="011C50"/>
            <w:vAlign w:val="center"/>
            <w:hideMark/>
          </w:tcPr>
          <w:p w14:paraId="6BEF0C5D" w14:textId="77777777" w:rsidR="00C87173" w:rsidRPr="00C87173" w:rsidRDefault="00C87173" w:rsidP="00C87173">
            <w:pPr>
              <w:spacing w:after="0" w:line="240" w:lineRule="auto"/>
              <w:jc w:val="right"/>
              <w:rPr>
                <w:rFonts w:eastAsia="Times New Roman"/>
                <w:b/>
                <w:bCs/>
                <w:color w:val="FFFFFF"/>
                <w:spacing w:val="0"/>
                <w:lang w:val="es-DO" w:eastAsia="es-DO"/>
              </w:rPr>
            </w:pPr>
            <w:r w:rsidRPr="00C87173">
              <w:rPr>
                <w:rFonts w:eastAsia="Times New Roman"/>
                <w:b/>
                <w:bCs/>
                <w:color w:val="FFFFFF"/>
                <w:spacing w:val="0"/>
                <w:lang w:val="es-DO" w:eastAsia="es-DO"/>
              </w:rPr>
              <w:t>1,365,026,156</w:t>
            </w:r>
          </w:p>
        </w:tc>
        <w:tc>
          <w:tcPr>
            <w:tcW w:w="0" w:type="auto"/>
            <w:tcBorders>
              <w:top w:val="nil"/>
              <w:left w:val="nil"/>
              <w:bottom w:val="single" w:sz="4" w:space="0" w:color="767171"/>
              <w:right w:val="single" w:sz="4" w:space="0" w:color="767171"/>
            </w:tcBorders>
            <w:shd w:val="clear" w:color="000000" w:fill="011C50"/>
            <w:vAlign w:val="center"/>
            <w:hideMark/>
          </w:tcPr>
          <w:p w14:paraId="4CBA4BD6" w14:textId="77777777" w:rsidR="00C87173" w:rsidRPr="00C87173" w:rsidRDefault="00C87173" w:rsidP="00C87173">
            <w:pPr>
              <w:spacing w:after="0" w:line="240" w:lineRule="auto"/>
              <w:jc w:val="center"/>
              <w:rPr>
                <w:rFonts w:eastAsia="Times New Roman"/>
                <w:b/>
                <w:bCs/>
                <w:color w:val="FFFFFF"/>
                <w:spacing w:val="0"/>
                <w:lang w:val="es-DO" w:eastAsia="es-DO"/>
              </w:rPr>
            </w:pPr>
            <w:r w:rsidRPr="00C87173">
              <w:rPr>
                <w:rFonts w:eastAsia="Times New Roman"/>
                <w:b/>
                <w:bCs/>
                <w:color w:val="FFFFFF"/>
                <w:spacing w:val="0"/>
                <w:lang w:val="es-DO" w:eastAsia="es-DO"/>
              </w:rPr>
              <w:t>88%</w:t>
            </w:r>
          </w:p>
        </w:tc>
      </w:tr>
    </w:tbl>
    <w:p w14:paraId="35B012F1" w14:textId="77777777" w:rsidR="00631052" w:rsidRPr="00AC2DB2" w:rsidRDefault="00631052" w:rsidP="005C133F">
      <w:pPr>
        <w:spacing w:before="3" w:after="0" w:line="360" w:lineRule="auto"/>
        <w:ind w:left="360"/>
        <w:rPr>
          <w:bCs/>
          <w:spacing w:val="-2"/>
          <w:sz w:val="18"/>
          <w:szCs w:val="18"/>
          <w:lang w:val="es-DO"/>
        </w:rPr>
      </w:pPr>
      <w:r w:rsidRPr="00AC2DB2">
        <w:rPr>
          <w:bCs/>
          <w:sz w:val="18"/>
          <w:szCs w:val="18"/>
          <w:lang w:val="es-DO"/>
        </w:rPr>
        <w:t>Fuente:</w:t>
      </w:r>
      <w:r w:rsidRPr="00AC2DB2">
        <w:rPr>
          <w:bCs/>
          <w:spacing w:val="-2"/>
          <w:sz w:val="18"/>
          <w:szCs w:val="18"/>
          <w:lang w:val="es-DO"/>
        </w:rPr>
        <w:t xml:space="preserve"> </w:t>
      </w:r>
      <w:r w:rsidRPr="00AC2DB2">
        <w:rPr>
          <w:bCs/>
          <w:sz w:val="18"/>
          <w:szCs w:val="18"/>
          <w:lang w:val="es-DO"/>
        </w:rPr>
        <w:t>Dirección</w:t>
      </w:r>
      <w:r w:rsidRPr="00AC2DB2">
        <w:rPr>
          <w:bCs/>
          <w:spacing w:val="-2"/>
          <w:sz w:val="18"/>
          <w:szCs w:val="18"/>
          <w:lang w:val="es-DO"/>
        </w:rPr>
        <w:t xml:space="preserve"> </w:t>
      </w:r>
      <w:r w:rsidRPr="00AC2DB2">
        <w:rPr>
          <w:bCs/>
          <w:sz w:val="18"/>
          <w:szCs w:val="18"/>
          <w:lang w:val="es-DO"/>
        </w:rPr>
        <w:t>Administrativa y</w:t>
      </w:r>
      <w:r w:rsidRPr="00AC2DB2">
        <w:rPr>
          <w:bCs/>
          <w:spacing w:val="-5"/>
          <w:sz w:val="18"/>
          <w:szCs w:val="18"/>
          <w:lang w:val="es-DO"/>
        </w:rPr>
        <w:t xml:space="preserve"> </w:t>
      </w:r>
      <w:r w:rsidRPr="00AC2DB2">
        <w:rPr>
          <w:bCs/>
          <w:sz w:val="18"/>
          <w:szCs w:val="18"/>
          <w:lang w:val="es-DO"/>
        </w:rPr>
        <w:t>Financiera,</w:t>
      </w:r>
      <w:r w:rsidRPr="00AC2DB2">
        <w:rPr>
          <w:bCs/>
          <w:spacing w:val="-2"/>
          <w:sz w:val="18"/>
          <w:szCs w:val="18"/>
          <w:lang w:val="es-DO"/>
        </w:rPr>
        <w:t xml:space="preserve"> SISALRIL.</w:t>
      </w:r>
    </w:p>
    <w:p w14:paraId="7DC52FC1" w14:textId="77777777" w:rsidR="000F7730" w:rsidRPr="005C133F" w:rsidRDefault="000F7730" w:rsidP="005C133F">
      <w:pPr>
        <w:spacing w:after="0" w:line="360" w:lineRule="auto"/>
        <w:rPr>
          <w:lang w:val="es-DO"/>
        </w:rPr>
      </w:pPr>
    </w:p>
    <w:p w14:paraId="015D1B81" w14:textId="77777777" w:rsidR="000F7730" w:rsidRPr="005C133F" w:rsidRDefault="000F7730">
      <w:pPr>
        <w:pStyle w:val="Prrafodelista"/>
        <w:widowControl w:val="0"/>
        <w:numPr>
          <w:ilvl w:val="0"/>
          <w:numId w:val="170"/>
        </w:numPr>
        <w:tabs>
          <w:tab w:val="left" w:pos="1080"/>
        </w:tabs>
        <w:autoSpaceDE w:val="0"/>
        <w:autoSpaceDN w:val="0"/>
        <w:spacing w:after="0" w:line="360" w:lineRule="auto"/>
        <w:ind w:left="720"/>
        <w:contextualSpacing w:val="0"/>
        <w:rPr>
          <w:b/>
          <w:lang w:val="es-DO"/>
        </w:rPr>
      </w:pPr>
      <w:r w:rsidRPr="005C133F">
        <w:rPr>
          <w:b/>
          <w:lang w:val="es-DO"/>
        </w:rPr>
        <w:t>Declaraciones Juradas</w:t>
      </w:r>
    </w:p>
    <w:p w14:paraId="0CE65CA1" w14:textId="77777777" w:rsidR="0004580F" w:rsidRPr="005C133F" w:rsidRDefault="0004580F" w:rsidP="005C133F">
      <w:pPr>
        <w:pStyle w:val="Prrafodelista"/>
        <w:widowControl w:val="0"/>
        <w:tabs>
          <w:tab w:val="left" w:pos="1080"/>
        </w:tabs>
        <w:autoSpaceDE w:val="0"/>
        <w:autoSpaceDN w:val="0"/>
        <w:spacing w:after="0" w:line="360" w:lineRule="auto"/>
        <w:contextualSpacing w:val="0"/>
        <w:rPr>
          <w:b/>
          <w:lang w:val="es-DO"/>
        </w:rPr>
      </w:pPr>
    </w:p>
    <w:p w14:paraId="3A302973" w14:textId="3352CADB" w:rsidR="00833C26" w:rsidRPr="005C133F" w:rsidRDefault="00D317AC" w:rsidP="005C133F">
      <w:pPr>
        <w:widowControl w:val="0"/>
        <w:tabs>
          <w:tab w:val="left" w:pos="1080"/>
        </w:tabs>
        <w:autoSpaceDE w:val="0"/>
        <w:autoSpaceDN w:val="0"/>
        <w:spacing w:after="0" w:line="360" w:lineRule="auto"/>
        <w:jc w:val="both"/>
        <w:rPr>
          <w:lang w:val="es-DO"/>
        </w:rPr>
      </w:pPr>
      <w:r w:rsidRPr="005C133F">
        <w:rPr>
          <w:bCs/>
          <w:lang w:val="es-DO"/>
        </w:rPr>
        <w:t>En cumplimiento de lo dispuesto en el Decreto 92-16, que aprueba el Reglamento de Aplicación de la Ley 311-14 sobre Declaración Jurada de Patrimonio, se encuentran publicadas en el Portal de Transparencia las declaraciones juradas correspondientes a los funcionarios de las áreas establecidas en dicho marco normativo: Superintendente, Directora Administrativa y Financiera y Encargado de Compras y Contrataciones.</w:t>
      </w:r>
    </w:p>
    <w:p w14:paraId="75CE8C06" w14:textId="7E8E3DDC" w:rsidR="00DC79D7" w:rsidRPr="005C133F" w:rsidRDefault="00DC79D7" w:rsidP="005C133F">
      <w:pPr>
        <w:pStyle w:val="Textoindependiente"/>
        <w:spacing w:before="256" w:line="360" w:lineRule="auto"/>
        <w:ind w:right="719"/>
        <w:jc w:val="both"/>
        <w:rPr>
          <w:rFonts w:eastAsiaTheme="minorHAnsi"/>
          <w:color w:val="767171"/>
          <w:spacing w:val="20"/>
          <w:sz w:val="24"/>
          <w:szCs w:val="24"/>
          <w:lang w:val="es-DO"/>
        </w:rPr>
      </w:pPr>
      <w:hyperlink r:id="rId72" w:history="1">
        <w:r w:rsidRPr="005C133F">
          <w:rPr>
            <w:rStyle w:val="Hipervnculo"/>
            <w:rFonts w:eastAsiaTheme="minorHAnsi"/>
            <w:color w:val="767171"/>
            <w:spacing w:val="20"/>
            <w:sz w:val="24"/>
            <w:szCs w:val="24"/>
            <w:lang w:val="es-DO"/>
          </w:rPr>
          <w:t>Declaración Jurada de Patrimonio - Portal de Transparencia - SISALRIL</w:t>
        </w:r>
      </w:hyperlink>
    </w:p>
    <w:p w14:paraId="3B64CEA9" w14:textId="77777777" w:rsidR="008803E8" w:rsidRPr="005C133F" w:rsidRDefault="008803E8" w:rsidP="005C133F">
      <w:pPr>
        <w:spacing w:after="0" w:line="360" w:lineRule="auto"/>
        <w:jc w:val="both"/>
        <w:rPr>
          <w:lang w:val="es-DO"/>
        </w:rPr>
      </w:pPr>
    </w:p>
    <w:p w14:paraId="0D9F9995" w14:textId="77777777" w:rsidR="0004580F" w:rsidRPr="005C133F" w:rsidRDefault="0004580F">
      <w:pPr>
        <w:pStyle w:val="Prrafodelista"/>
        <w:widowControl w:val="0"/>
        <w:numPr>
          <w:ilvl w:val="0"/>
          <w:numId w:val="170"/>
        </w:numPr>
        <w:tabs>
          <w:tab w:val="left" w:pos="1080"/>
        </w:tabs>
        <w:autoSpaceDE w:val="0"/>
        <w:autoSpaceDN w:val="0"/>
        <w:spacing w:after="0" w:line="360" w:lineRule="auto"/>
        <w:contextualSpacing w:val="0"/>
        <w:rPr>
          <w:b/>
          <w:lang w:val="es-DO"/>
        </w:rPr>
      </w:pPr>
      <w:r w:rsidRPr="005C133F">
        <w:rPr>
          <w:b/>
          <w:lang w:val="es-DO"/>
        </w:rPr>
        <w:t>Cuentas por pagar y cuentas por cobrar</w:t>
      </w:r>
    </w:p>
    <w:p w14:paraId="5C08366B" w14:textId="77777777" w:rsidR="00924F73" w:rsidRPr="005C133F" w:rsidRDefault="00924F73" w:rsidP="005C133F">
      <w:pPr>
        <w:spacing w:after="0" w:line="360" w:lineRule="auto"/>
        <w:jc w:val="both"/>
        <w:rPr>
          <w:lang w:val="es-DO"/>
        </w:rPr>
      </w:pPr>
    </w:p>
    <w:p w14:paraId="150F78F2" w14:textId="002D7FAD" w:rsidR="0004580F" w:rsidRDefault="00924F73" w:rsidP="005C133F">
      <w:pPr>
        <w:spacing w:after="0" w:line="360" w:lineRule="auto"/>
        <w:jc w:val="both"/>
        <w:rPr>
          <w:lang w:val="es-DO"/>
        </w:rPr>
      </w:pPr>
      <w:r w:rsidRPr="005C133F">
        <w:rPr>
          <w:lang w:val="es-DO"/>
        </w:rPr>
        <w:t xml:space="preserve">Las cuentas por pagar representan las obligaciones financieras pendientes de la entidad con sus proveedores y otros acreedores, </w:t>
      </w:r>
      <w:r w:rsidRPr="005C133F">
        <w:rPr>
          <w:lang w:val="es-DO"/>
        </w:rPr>
        <w:lastRenderedPageBreak/>
        <w:t>derivadas de los compromisos institucionales asumidos.</w:t>
      </w:r>
      <w:r w:rsidR="00042028">
        <w:rPr>
          <w:lang w:val="es-DO"/>
        </w:rPr>
        <w:t xml:space="preserve"> </w:t>
      </w:r>
      <w:r w:rsidRPr="005C133F">
        <w:rPr>
          <w:lang w:val="es-DO"/>
        </w:rPr>
        <w:t xml:space="preserve">Al corte de </w:t>
      </w:r>
      <w:r w:rsidR="00042028">
        <w:rPr>
          <w:lang w:val="es-DO"/>
        </w:rPr>
        <w:t>diciembre</w:t>
      </w:r>
      <w:r w:rsidRPr="005C133F">
        <w:rPr>
          <w:lang w:val="es-DO"/>
        </w:rPr>
        <w:t xml:space="preserve"> 2025 el balance de los compromisos adquiridos por la SISALRIL registra un total de setenta y seis (7</w:t>
      </w:r>
      <w:r w:rsidR="00BC4B67">
        <w:rPr>
          <w:lang w:val="es-DO"/>
        </w:rPr>
        <w:t>0</w:t>
      </w:r>
      <w:r w:rsidRPr="005C133F">
        <w:rPr>
          <w:lang w:val="es-DO"/>
        </w:rPr>
        <w:t>) cuentas por pagar, por un monto acumulado de RD$</w:t>
      </w:r>
      <w:r w:rsidR="00BC4B67" w:rsidRPr="00B72C3C">
        <w:rPr>
          <w:rFonts w:eastAsia="Times New Roman"/>
          <w:spacing w:val="0"/>
          <w:lang w:val="es-DO" w:eastAsia="es-DO"/>
        </w:rPr>
        <w:t>55,217,657.85</w:t>
      </w:r>
      <w:r w:rsidR="00BC4B67" w:rsidRPr="005C133F">
        <w:rPr>
          <w:lang w:val="es-DO"/>
        </w:rPr>
        <w:t xml:space="preserve"> </w:t>
      </w:r>
      <w:r w:rsidRPr="005C133F">
        <w:rPr>
          <w:lang w:val="es-DO"/>
        </w:rPr>
        <w:t>(</w:t>
      </w:r>
      <w:r w:rsidR="00A31A63">
        <w:rPr>
          <w:lang w:val="es-DO"/>
        </w:rPr>
        <w:t>cincuenta y cinco</w:t>
      </w:r>
      <w:r w:rsidRPr="005C133F">
        <w:rPr>
          <w:lang w:val="es-DO"/>
        </w:rPr>
        <w:t xml:space="preserve"> millones </w:t>
      </w:r>
      <w:r w:rsidR="00E31F9C">
        <w:rPr>
          <w:lang w:val="es-DO"/>
        </w:rPr>
        <w:t>doscientos diecisiete</w:t>
      </w:r>
      <w:r w:rsidRPr="005C133F">
        <w:rPr>
          <w:lang w:val="es-DO"/>
        </w:rPr>
        <w:t xml:space="preserve"> mil </w:t>
      </w:r>
      <w:r w:rsidR="00E31F9C">
        <w:rPr>
          <w:lang w:val="es-DO"/>
        </w:rPr>
        <w:t>seiscientos</w:t>
      </w:r>
      <w:r w:rsidRPr="005C133F">
        <w:rPr>
          <w:lang w:val="es-DO"/>
        </w:rPr>
        <w:t xml:space="preserve"> cincuenta y</w:t>
      </w:r>
      <w:r w:rsidR="00E31F9C">
        <w:rPr>
          <w:lang w:val="es-DO"/>
        </w:rPr>
        <w:t xml:space="preserve"> siete</w:t>
      </w:r>
      <w:r w:rsidRPr="005C133F">
        <w:rPr>
          <w:lang w:val="es-DO"/>
        </w:rPr>
        <w:t xml:space="preserve"> pesos</w:t>
      </w:r>
      <w:r w:rsidR="00AD6882">
        <w:rPr>
          <w:lang w:val="es-DO"/>
        </w:rPr>
        <w:t xml:space="preserve"> con 85 centavos</w:t>
      </w:r>
      <w:r w:rsidRPr="005C133F">
        <w:rPr>
          <w:lang w:val="es-DO"/>
        </w:rPr>
        <w:t xml:space="preserve"> dominicanos).</w:t>
      </w:r>
    </w:p>
    <w:p w14:paraId="15A658BC" w14:textId="77777777" w:rsidR="007C0A0A" w:rsidRPr="005C133F" w:rsidRDefault="007C0A0A" w:rsidP="005C133F">
      <w:pPr>
        <w:spacing w:after="0" w:line="360" w:lineRule="auto"/>
        <w:jc w:val="both"/>
        <w:rPr>
          <w:lang w:val="es-DO"/>
        </w:rPr>
      </w:pPr>
    </w:p>
    <w:p w14:paraId="4EEF7593" w14:textId="400BE257" w:rsidR="00924F73" w:rsidRPr="005C133F" w:rsidRDefault="00934AB4" w:rsidP="005C133F">
      <w:pPr>
        <w:pStyle w:val="Descripcin"/>
        <w:spacing w:after="0" w:line="360" w:lineRule="auto"/>
        <w:jc w:val="center"/>
        <w:rPr>
          <w:b/>
          <w:i w:val="0"/>
          <w:color w:val="767171"/>
          <w:sz w:val="24"/>
          <w:szCs w:val="24"/>
          <w:lang w:val="es-DO"/>
        </w:rPr>
      </w:pPr>
      <w:bookmarkStart w:id="115" w:name="_Toc218784176"/>
      <w:r w:rsidRPr="005C133F">
        <w:rPr>
          <w:b/>
          <w:i w:val="0"/>
          <w:iCs w:val="0"/>
          <w:color w:val="767171"/>
          <w:sz w:val="24"/>
          <w:szCs w:val="24"/>
          <w:lang w:val="es-DO"/>
        </w:rPr>
        <w:t xml:space="preserve">Tabla </w:t>
      </w:r>
      <w:r w:rsidRPr="005C133F">
        <w:rPr>
          <w:b/>
          <w:i w:val="0"/>
          <w:iCs w:val="0"/>
          <w:color w:val="767171"/>
          <w:sz w:val="24"/>
          <w:szCs w:val="24"/>
          <w:lang w:val="es-DO"/>
        </w:rPr>
        <w:fldChar w:fldCharType="begin"/>
      </w:r>
      <w:r w:rsidRPr="005C133F">
        <w:rPr>
          <w:b/>
          <w:i w:val="0"/>
          <w:iCs w:val="0"/>
          <w:color w:val="767171"/>
          <w:sz w:val="24"/>
          <w:szCs w:val="24"/>
          <w:lang w:val="es-DO"/>
        </w:rPr>
        <w:instrText xml:space="preserve"> SEQ Tabla \* ARABIC </w:instrText>
      </w:r>
      <w:r w:rsidRPr="005C133F">
        <w:rPr>
          <w:b/>
          <w:i w:val="0"/>
          <w:iCs w:val="0"/>
          <w:color w:val="767171"/>
          <w:sz w:val="24"/>
          <w:szCs w:val="24"/>
          <w:lang w:val="es-DO"/>
        </w:rPr>
        <w:fldChar w:fldCharType="separate"/>
      </w:r>
      <w:r w:rsidR="00814341">
        <w:rPr>
          <w:b/>
          <w:i w:val="0"/>
          <w:iCs w:val="0"/>
          <w:noProof/>
          <w:color w:val="767171"/>
          <w:sz w:val="24"/>
          <w:szCs w:val="24"/>
          <w:lang w:val="es-DO"/>
        </w:rPr>
        <w:t>44</w:t>
      </w:r>
      <w:r w:rsidRPr="005C133F">
        <w:rPr>
          <w:b/>
          <w:i w:val="0"/>
          <w:iCs w:val="0"/>
          <w:color w:val="767171"/>
          <w:sz w:val="24"/>
          <w:szCs w:val="24"/>
          <w:lang w:val="es-DO"/>
        </w:rPr>
        <w:fldChar w:fldCharType="end"/>
      </w:r>
      <w:r w:rsidRPr="005C133F">
        <w:rPr>
          <w:b/>
          <w:i w:val="0"/>
          <w:iCs w:val="0"/>
          <w:color w:val="767171"/>
          <w:sz w:val="24"/>
          <w:szCs w:val="24"/>
          <w:lang w:val="es-DO"/>
        </w:rPr>
        <w:t xml:space="preserve">. </w:t>
      </w:r>
      <w:r w:rsidR="003E04A2" w:rsidRPr="005C133F">
        <w:rPr>
          <w:b/>
          <w:i w:val="0"/>
          <w:color w:val="767171"/>
          <w:sz w:val="24"/>
          <w:szCs w:val="24"/>
          <w:lang w:val="es-DO"/>
        </w:rPr>
        <w:t>Cuentas por pagar por mes, 2025</w:t>
      </w:r>
      <w:bookmarkEnd w:id="115"/>
    </w:p>
    <w:tbl>
      <w:tblPr>
        <w:tblW w:w="0" w:type="auto"/>
        <w:tblCellMar>
          <w:left w:w="70" w:type="dxa"/>
          <w:right w:w="70" w:type="dxa"/>
        </w:tblCellMar>
        <w:tblLook w:val="04A0" w:firstRow="1" w:lastRow="0" w:firstColumn="1" w:lastColumn="0" w:noHBand="0" w:noVBand="1"/>
      </w:tblPr>
      <w:tblGrid>
        <w:gridCol w:w="4182"/>
        <w:gridCol w:w="1096"/>
        <w:gridCol w:w="1101"/>
        <w:gridCol w:w="1531"/>
      </w:tblGrid>
      <w:tr w:rsidR="00B72C3C" w:rsidRPr="00B72C3C" w14:paraId="6247D717" w14:textId="77777777" w:rsidTr="00B72C3C">
        <w:trPr>
          <w:trHeight w:val="780"/>
          <w:tblHead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04736B0E" w14:textId="77777777" w:rsidR="00B72C3C" w:rsidRPr="00B72C3C" w:rsidRDefault="00B72C3C" w:rsidP="00B72C3C">
            <w:pPr>
              <w:spacing w:after="0" w:line="240" w:lineRule="auto"/>
              <w:jc w:val="center"/>
              <w:rPr>
                <w:rFonts w:eastAsia="Times New Roman"/>
                <w:b/>
                <w:bCs/>
                <w:color w:val="FFFFFF"/>
                <w:spacing w:val="0"/>
                <w:lang w:val="es-DO" w:eastAsia="es-DO"/>
              </w:rPr>
            </w:pPr>
            <w:r w:rsidRPr="00B72C3C">
              <w:rPr>
                <w:rFonts w:eastAsia="Times New Roman"/>
                <w:b/>
                <w:bCs/>
                <w:color w:val="FFFFFF"/>
                <w:spacing w:val="0"/>
                <w:lang w:val="es-DO" w:eastAsia="es-DO"/>
              </w:rPr>
              <w:t>Descripción</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5ADEBDEB" w14:textId="77777777" w:rsidR="00B72C3C" w:rsidRPr="00B72C3C" w:rsidRDefault="00B72C3C" w:rsidP="00B72C3C">
            <w:pPr>
              <w:spacing w:after="0" w:line="240" w:lineRule="auto"/>
              <w:jc w:val="center"/>
              <w:rPr>
                <w:rFonts w:eastAsia="Times New Roman"/>
                <w:b/>
                <w:bCs/>
                <w:color w:val="FFFFFF"/>
                <w:spacing w:val="0"/>
                <w:lang w:val="es-DO" w:eastAsia="es-DO"/>
              </w:rPr>
            </w:pPr>
            <w:r w:rsidRPr="00B72C3C">
              <w:rPr>
                <w:rFonts w:eastAsia="Times New Roman"/>
                <w:b/>
                <w:bCs/>
                <w:color w:val="FFFFFF"/>
                <w:spacing w:val="0"/>
                <w:lang w:val="es-DO" w:eastAsia="es-DO"/>
              </w:rPr>
              <w:t>Mes / años</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2E28C54D" w14:textId="77777777" w:rsidR="00B72C3C" w:rsidRPr="00B72C3C" w:rsidRDefault="00B72C3C" w:rsidP="00B72C3C">
            <w:pPr>
              <w:spacing w:after="0" w:line="240" w:lineRule="auto"/>
              <w:jc w:val="center"/>
              <w:rPr>
                <w:rFonts w:eastAsia="Times New Roman"/>
                <w:b/>
                <w:bCs/>
                <w:color w:val="FFFFFF"/>
                <w:spacing w:val="0"/>
                <w:lang w:val="es-DO" w:eastAsia="es-DO"/>
              </w:rPr>
            </w:pPr>
            <w:r w:rsidRPr="00B72C3C">
              <w:rPr>
                <w:rFonts w:eastAsia="Times New Roman"/>
                <w:b/>
                <w:bCs/>
                <w:color w:val="FFFFFF"/>
                <w:spacing w:val="0"/>
                <w:lang w:val="es-DO" w:eastAsia="es-DO"/>
              </w:rPr>
              <w:t>Cantidad</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D25E825" w14:textId="77777777" w:rsidR="00B72C3C" w:rsidRPr="00B72C3C" w:rsidRDefault="00B72C3C" w:rsidP="00B72C3C">
            <w:pPr>
              <w:spacing w:after="0" w:line="240" w:lineRule="auto"/>
              <w:jc w:val="center"/>
              <w:rPr>
                <w:rFonts w:eastAsia="Times New Roman"/>
                <w:b/>
                <w:bCs/>
                <w:color w:val="FFFFFF"/>
                <w:spacing w:val="0"/>
                <w:lang w:val="es-DO" w:eastAsia="es-DO"/>
              </w:rPr>
            </w:pPr>
            <w:r w:rsidRPr="00B72C3C">
              <w:rPr>
                <w:rFonts w:eastAsia="Times New Roman"/>
                <w:b/>
                <w:bCs/>
                <w:color w:val="FFFFFF"/>
                <w:spacing w:val="0"/>
                <w:lang w:val="es-DO" w:eastAsia="es-DO"/>
              </w:rPr>
              <w:t>Subtotal RD$</w:t>
            </w:r>
          </w:p>
        </w:tc>
      </w:tr>
      <w:tr w:rsidR="00B72C3C" w:rsidRPr="00B72C3C" w14:paraId="6171CDB1" w14:textId="77777777" w:rsidTr="00B72C3C">
        <w:trPr>
          <w:trHeight w:val="312"/>
        </w:trPr>
        <w:tc>
          <w:tcPr>
            <w:tcW w:w="0" w:type="auto"/>
            <w:vMerge w:val="restart"/>
            <w:tcBorders>
              <w:top w:val="nil"/>
              <w:left w:val="single" w:sz="4" w:space="0" w:color="767171"/>
              <w:bottom w:val="single" w:sz="4" w:space="0" w:color="767171"/>
              <w:right w:val="single" w:sz="4" w:space="0" w:color="767171"/>
            </w:tcBorders>
            <w:vAlign w:val="center"/>
            <w:hideMark/>
          </w:tcPr>
          <w:p w14:paraId="79136CBC"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Estado de Cuenta Proveedores y otros Acreedores</w:t>
            </w:r>
          </w:p>
        </w:tc>
        <w:tc>
          <w:tcPr>
            <w:tcW w:w="0" w:type="auto"/>
            <w:tcBorders>
              <w:top w:val="nil"/>
              <w:left w:val="nil"/>
              <w:bottom w:val="single" w:sz="4" w:space="0" w:color="767171"/>
              <w:right w:val="single" w:sz="4" w:space="0" w:color="767171"/>
            </w:tcBorders>
            <w:vAlign w:val="center"/>
            <w:hideMark/>
          </w:tcPr>
          <w:p w14:paraId="793F7143"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ene-25</w:t>
            </w:r>
          </w:p>
        </w:tc>
        <w:tc>
          <w:tcPr>
            <w:tcW w:w="0" w:type="auto"/>
            <w:tcBorders>
              <w:top w:val="nil"/>
              <w:left w:val="nil"/>
              <w:bottom w:val="single" w:sz="4" w:space="0" w:color="767171"/>
              <w:right w:val="single" w:sz="4" w:space="0" w:color="767171"/>
            </w:tcBorders>
            <w:vAlign w:val="center"/>
            <w:hideMark/>
          </w:tcPr>
          <w:p w14:paraId="11E9190B"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46</w:t>
            </w:r>
          </w:p>
        </w:tc>
        <w:tc>
          <w:tcPr>
            <w:tcW w:w="0" w:type="auto"/>
            <w:tcBorders>
              <w:top w:val="nil"/>
              <w:left w:val="nil"/>
              <w:bottom w:val="single" w:sz="4" w:space="0" w:color="767171"/>
              <w:right w:val="single" w:sz="4" w:space="0" w:color="767171"/>
            </w:tcBorders>
            <w:vAlign w:val="center"/>
            <w:hideMark/>
          </w:tcPr>
          <w:p w14:paraId="36727EA8"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44,417,253.00</w:t>
            </w:r>
          </w:p>
        </w:tc>
      </w:tr>
      <w:tr w:rsidR="00B72C3C" w:rsidRPr="00B72C3C" w14:paraId="2121436D" w14:textId="77777777" w:rsidTr="00B72C3C">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65ECF742"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4ED697C3"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feb-25</w:t>
            </w:r>
          </w:p>
        </w:tc>
        <w:tc>
          <w:tcPr>
            <w:tcW w:w="0" w:type="auto"/>
            <w:tcBorders>
              <w:top w:val="nil"/>
              <w:left w:val="nil"/>
              <w:bottom w:val="single" w:sz="4" w:space="0" w:color="767171"/>
              <w:right w:val="single" w:sz="4" w:space="0" w:color="767171"/>
            </w:tcBorders>
            <w:vAlign w:val="center"/>
            <w:hideMark/>
          </w:tcPr>
          <w:p w14:paraId="1988E630"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35</w:t>
            </w:r>
          </w:p>
        </w:tc>
        <w:tc>
          <w:tcPr>
            <w:tcW w:w="0" w:type="auto"/>
            <w:tcBorders>
              <w:top w:val="nil"/>
              <w:left w:val="nil"/>
              <w:bottom w:val="single" w:sz="4" w:space="0" w:color="767171"/>
              <w:right w:val="single" w:sz="4" w:space="0" w:color="767171"/>
            </w:tcBorders>
            <w:vAlign w:val="center"/>
            <w:hideMark/>
          </w:tcPr>
          <w:p w14:paraId="33F38AD1"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13,100,781.00</w:t>
            </w:r>
          </w:p>
        </w:tc>
      </w:tr>
      <w:tr w:rsidR="00B72C3C" w:rsidRPr="00B72C3C" w14:paraId="1664D260" w14:textId="77777777" w:rsidTr="00B72C3C">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14247BBA"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56AB3ADA"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mar-25</w:t>
            </w:r>
          </w:p>
        </w:tc>
        <w:tc>
          <w:tcPr>
            <w:tcW w:w="0" w:type="auto"/>
            <w:tcBorders>
              <w:top w:val="nil"/>
              <w:left w:val="nil"/>
              <w:bottom w:val="single" w:sz="4" w:space="0" w:color="767171"/>
              <w:right w:val="single" w:sz="4" w:space="0" w:color="767171"/>
            </w:tcBorders>
            <w:vAlign w:val="center"/>
            <w:hideMark/>
          </w:tcPr>
          <w:p w14:paraId="01FDA473"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57</w:t>
            </w:r>
          </w:p>
        </w:tc>
        <w:tc>
          <w:tcPr>
            <w:tcW w:w="0" w:type="auto"/>
            <w:tcBorders>
              <w:top w:val="nil"/>
              <w:left w:val="nil"/>
              <w:bottom w:val="single" w:sz="4" w:space="0" w:color="767171"/>
              <w:right w:val="single" w:sz="4" w:space="0" w:color="767171"/>
            </w:tcBorders>
            <w:vAlign w:val="center"/>
            <w:hideMark/>
          </w:tcPr>
          <w:p w14:paraId="7A9A8ECA"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2,349,221.00</w:t>
            </w:r>
          </w:p>
        </w:tc>
      </w:tr>
      <w:tr w:rsidR="00B72C3C" w:rsidRPr="00B72C3C" w14:paraId="30525F08" w14:textId="77777777" w:rsidTr="00B72C3C">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34E76226"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2BAD2B44"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abr-25</w:t>
            </w:r>
          </w:p>
        </w:tc>
        <w:tc>
          <w:tcPr>
            <w:tcW w:w="0" w:type="auto"/>
            <w:tcBorders>
              <w:top w:val="nil"/>
              <w:left w:val="nil"/>
              <w:bottom w:val="single" w:sz="4" w:space="0" w:color="767171"/>
              <w:right w:val="single" w:sz="4" w:space="0" w:color="767171"/>
            </w:tcBorders>
            <w:vAlign w:val="center"/>
            <w:hideMark/>
          </w:tcPr>
          <w:p w14:paraId="2D6192EA"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58</w:t>
            </w:r>
          </w:p>
        </w:tc>
        <w:tc>
          <w:tcPr>
            <w:tcW w:w="0" w:type="auto"/>
            <w:tcBorders>
              <w:top w:val="nil"/>
              <w:left w:val="nil"/>
              <w:bottom w:val="single" w:sz="4" w:space="0" w:color="767171"/>
              <w:right w:val="single" w:sz="4" w:space="0" w:color="767171"/>
            </w:tcBorders>
            <w:vAlign w:val="center"/>
            <w:hideMark/>
          </w:tcPr>
          <w:p w14:paraId="134DF23A"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19,978,239.00</w:t>
            </w:r>
          </w:p>
        </w:tc>
      </w:tr>
      <w:tr w:rsidR="00B72C3C" w:rsidRPr="00B72C3C" w14:paraId="3246FC08" w14:textId="77777777" w:rsidTr="00B72C3C">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63148614"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256894BE"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may-25</w:t>
            </w:r>
          </w:p>
        </w:tc>
        <w:tc>
          <w:tcPr>
            <w:tcW w:w="0" w:type="auto"/>
            <w:tcBorders>
              <w:top w:val="nil"/>
              <w:left w:val="nil"/>
              <w:bottom w:val="single" w:sz="4" w:space="0" w:color="767171"/>
              <w:right w:val="single" w:sz="4" w:space="0" w:color="767171"/>
            </w:tcBorders>
            <w:vAlign w:val="center"/>
            <w:hideMark/>
          </w:tcPr>
          <w:p w14:paraId="381F10F2"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60</w:t>
            </w:r>
          </w:p>
        </w:tc>
        <w:tc>
          <w:tcPr>
            <w:tcW w:w="0" w:type="auto"/>
            <w:tcBorders>
              <w:top w:val="nil"/>
              <w:left w:val="nil"/>
              <w:bottom w:val="single" w:sz="4" w:space="0" w:color="767171"/>
              <w:right w:val="single" w:sz="4" w:space="0" w:color="767171"/>
            </w:tcBorders>
            <w:vAlign w:val="center"/>
            <w:hideMark/>
          </w:tcPr>
          <w:p w14:paraId="1AD9D82D"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18,555,039.00</w:t>
            </w:r>
          </w:p>
        </w:tc>
      </w:tr>
      <w:tr w:rsidR="00B72C3C" w:rsidRPr="00B72C3C" w14:paraId="3634E3C3"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683F95E5"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6A666DF8"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jun-25</w:t>
            </w:r>
          </w:p>
        </w:tc>
        <w:tc>
          <w:tcPr>
            <w:tcW w:w="0" w:type="auto"/>
            <w:tcBorders>
              <w:top w:val="nil"/>
              <w:left w:val="nil"/>
              <w:bottom w:val="single" w:sz="4" w:space="0" w:color="767171"/>
              <w:right w:val="single" w:sz="4" w:space="0" w:color="767171"/>
            </w:tcBorders>
            <w:vAlign w:val="center"/>
            <w:hideMark/>
          </w:tcPr>
          <w:p w14:paraId="7695C5FE"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60</w:t>
            </w:r>
          </w:p>
        </w:tc>
        <w:tc>
          <w:tcPr>
            <w:tcW w:w="0" w:type="auto"/>
            <w:tcBorders>
              <w:top w:val="nil"/>
              <w:left w:val="nil"/>
              <w:bottom w:val="single" w:sz="4" w:space="0" w:color="767171"/>
              <w:right w:val="single" w:sz="4" w:space="0" w:color="767171"/>
            </w:tcBorders>
            <w:vAlign w:val="center"/>
            <w:hideMark/>
          </w:tcPr>
          <w:p w14:paraId="6AD987A0"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24,410,762.00</w:t>
            </w:r>
          </w:p>
        </w:tc>
      </w:tr>
      <w:tr w:rsidR="00B72C3C" w:rsidRPr="00B72C3C" w14:paraId="431F550E"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26127334"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2CDA50AF"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jul-25</w:t>
            </w:r>
          </w:p>
        </w:tc>
        <w:tc>
          <w:tcPr>
            <w:tcW w:w="0" w:type="auto"/>
            <w:tcBorders>
              <w:top w:val="nil"/>
              <w:left w:val="nil"/>
              <w:bottom w:val="single" w:sz="4" w:space="0" w:color="767171"/>
              <w:right w:val="single" w:sz="4" w:space="0" w:color="767171"/>
            </w:tcBorders>
            <w:vAlign w:val="center"/>
            <w:hideMark/>
          </w:tcPr>
          <w:p w14:paraId="4E56054B"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52</w:t>
            </w:r>
          </w:p>
        </w:tc>
        <w:tc>
          <w:tcPr>
            <w:tcW w:w="0" w:type="auto"/>
            <w:tcBorders>
              <w:top w:val="nil"/>
              <w:left w:val="nil"/>
              <w:bottom w:val="single" w:sz="4" w:space="0" w:color="767171"/>
              <w:right w:val="single" w:sz="4" w:space="0" w:color="767171"/>
            </w:tcBorders>
            <w:vAlign w:val="center"/>
            <w:hideMark/>
          </w:tcPr>
          <w:p w14:paraId="5515DF2B"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26,451,066.00</w:t>
            </w:r>
          </w:p>
        </w:tc>
      </w:tr>
      <w:tr w:rsidR="00B72C3C" w:rsidRPr="00B72C3C" w14:paraId="2C514017"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240ECB29"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6694ABE6"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ago-25</w:t>
            </w:r>
          </w:p>
        </w:tc>
        <w:tc>
          <w:tcPr>
            <w:tcW w:w="0" w:type="auto"/>
            <w:tcBorders>
              <w:top w:val="nil"/>
              <w:left w:val="nil"/>
              <w:bottom w:val="single" w:sz="4" w:space="0" w:color="767171"/>
              <w:right w:val="single" w:sz="4" w:space="0" w:color="767171"/>
            </w:tcBorders>
            <w:vAlign w:val="center"/>
            <w:hideMark/>
          </w:tcPr>
          <w:p w14:paraId="709385BF"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74</w:t>
            </w:r>
          </w:p>
        </w:tc>
        <w:tc>
          <w:tcPr>
            <w:tcW w:w="0" w:type="auto"/>
            <w:tcBorders>
              <w:top w:val="nil"/>
              <w:left w:val="nil"/>
              <w:bottom w:val="single" w:sz="4" w:space="0" w:color="767171"/>
              <w:right w:val="single" w:sz="4" w:space="0" w:color="767171"/>
            </w:tcBorders>
            <w:vAlign w:val="center"/>
            <w:hideMark/>
          </w:tcPr>
          <w:p w14:paraId="667EDF81"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41,707,081.00</w:t>
            </w:r>
          </w:p>
        </w:tc>
      </w:tr>
      <w:tr w:rsidR="00B72C3C" w:rsidRPr="00B72C3C" w14:paraId="4E1156AF"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44147F3B"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6161E235"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sep-25</w:t>
            </w:r>
          </w:p>
        </w:tc>
        <w:tc>
          <w:tcPr>
            <w:tcW w:w="0" w:type="auto"/>
            <w:tcBorders>
              <w:top w:val="nil"/>
              <w:left w:val="nil"/>
              <w:bottom w:val="single" w:sz="4" w:space="0" w:color="767171"/>
              <w:right w:val="single" w:sz="4" w:space="0" w:color="767171"/>
            </w:tcBorders>
            <w:vAlign w:val="center"/>
            <w:hideMark/>
          </w:tcPr>
          <w:p w14:paraId="032FFB0D"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80</w:t>
            </w:r>
          </w:p>
        </w:tc>
        <w:tc>
          <w:tcPr>
            <w:tcW w:w="0" w:type="auto"/>
            <w:tcBorders>
              <w:top w:val="nil"/>
              <w:left w:val="nil"/>
              <w:bottom w:val="single" w:sz="4" w:space="0" w:color="767171"/>
              <w:right w:val="single" w:sz="4" w:space="0" w:color="767171"/>
            </w:tcBorders>
            <w:vAlign w:val="center"/>
            <w:hideMark/>
          </w:tcPr>
          <w:p w14:paraId="62BED57F"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25,683,404.00</w:t>
            </w:r>
          </w:p>
        </w:tc>
      </w:tr>
      <w:tr w:rsidR="00B72C3C" w:rsidRPr="00B72C3C" w14:paraId="24639121"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0A37577C"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0823F6B5"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oct-25</w:t>
            </w:r>
          </w:p>
        </w:tc>
        <w:tc>
          <w:tcPr>
            <w:tcW w:w="0" w:type="auto"/>
            <w:tcBorders>
              <w:top w:val="nil"/>
              <w:left w:val="nil"/>
              <w:bottom w:val="single" w:sz="4" w:space="0" w:color="767171"/>
              <w:right w:val="single" w:sz="4" w:space="0" w:color="767171"/>
            </w:tcBorders>
            <w:vAlign w:val="center"/>
            <w:hideMark/>
          </w:tcPr>
          <w:p w14:paraId="66BC3C3E"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76</w:t>
            </w:r>
          </w:p>
        </w:tc>
        <w:tc>
          <w:tcPr>
            <w:tcW w:w="0" w:type="auto"/>
            <w:tcBorders>
              <w:top w:val="nil"/>
              <w:left w:val="nil"/>
              <w:bottom w:val="single" w:sz="4" w:space="0" w:color="767171"/>
              <w:right w:val="single" w:sz="4" w:space="0" w:color="767171"/>
            </w:tcBorders>
            <w:vAlign w:val="center"/>
            <w:hideMark/>
          </w:tcPr>
          <w:p w14:paraId="5E600318"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23,805,955.00</w:t>
            </w:r>
          </w:p>
        </w:tc>
      </w:tr>
      <w:tr w:rsidR="00B72C3C" w:rsidRPr="00B72C3C" w14:paraId="0511B7F2"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1AC35790"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5302E81B"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nov-25</w:t>
            </w:r>
          </w:p>
        </w:tc>
        <w:tc>
          <w:tcPr>
            <w:tcW w:w="0" w:type="auto"/>
            <w:tcBorders>
              <w:top w:val="nil"/>
              <w:left w:val="nil"/>
              <w:bottom w:val="single" w:sz="4" w:space="0" w:color="767171"/>
              <w:right w:val="single" w:sz="4" w:space="0" w:color="767171"/>
            </w:tcBorders>
            <w:vAlign w:val="center"/>
            <w:hideMark/>
          </w:tcPr>
          <w:p w14:paraId="318F47E0"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78</w:t>
            </w:r>
          </w:p>
        </w:tc>
        <w:tc>
          <w:tcPr>
            <w:tcW w:w="0" w:type="auto"/>
            <w:tcBorders>
              <w:top w:val="nil"/>
              <w:left w:val="nil"/>
              <w:bottom w:val="single" w:sz="4" w:space="0" w:color="767171"/>
              <w:right w:val="single" w:sz="4" w:space="0" w:color="767171"/>
            </w:tcBorders>
            <w:vAlign w:val="center"/>
            <w:hideMark/>
          </w:tcPr>
          <w:p w14:paraId="60C51DB6"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25,396,306.14</w:t>
            </w:r>
          </w:p>
        </w:tc>
      </w:tr>
      <w:tr w:rsidR="00B72C3C" w:rsidRPr="00B72C3C" w14:paraId="2233911D" w14:textId="77777777" w:rsidTr="00B72C3C">
        <w:trPr>
          <w:trHeight w:val="288"/>
        </w:trPr>
        <w:tc>
          <w:tcPr>
            <w:tcW w:w="0" w:type="auto"/>
            <w:vMerge/>
            <w:tcBorders>
              <w:top w:val="nil"/>
              <w:left w:val="single" w:sz="4" w:space="0" w:color="767171"/>
              <w:bottom w:val="single" w:sz="4" w:space="0" w:color="767171"/>
              <w:right w:val="single" w:sz="4" w:space="0" w:color="767171"/>
            </w:tcBorders>
            <w:vAlign w:val="center"/>
            <w:hideMark/>
          </w:tcPr>
          <w:p w14:paraId="13CA76D0" w14:textId="77777777" w:rsidR="00B72C3C" w:rsidRPr="00B72C3C" w:rsidRDefault="00B72C3C" w:rsidP="00B72C3C">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593CD05E"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dic-25</w:t>
            </w:r>
          </w:p>
        </w:tc>
        <w:tc>
          <w:tcPr>
            <w:tcW w:w="0" w:type="auto"/>
            <w:tcBorders>
              <w:top w:val="nil"/>
              <w:left w:val="nil"/>
              <w:bottom w:val="single" w:sz="4" w:space="0" w:color="767171"/>
              <w:right w:val="single" w:sz="4" w:space="0" w:color="767171"/>
            </w:tcBorders>
            <w:vAlign w:val="center"/>
            <w:hideMark/>
          </w:tcPr>
          <w:p w14:paraId="0D1298F1"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1D821385" w14:textId="77777777" w:rsidR="00B72C3C" w:rsidRPr="00B72C3C" w:rsidRDefault="00B72C3C" w:rsidP="00B72C3C">
            <w:pPr>
              <w:spacing w:after="0" w:line="240" w:lineRule="auto"/>
              <w:jc w:val="center"/>
              <w:rPr>
                <w:rFonts w:eastAsia="Times New Roman"/>
                <w:spacing w:val="0"/>
                <w:lang w:val="es-DO" w:eastAsia="es-DO"/>
              </w:rPr>
            </w:pPr>
            <w:r w:rsidRPr="00B72C3C">
              <w:rPr>
                <w:rFonts w:eastAsia="Times New Roman"/>
                <w:spacing w:val="0"/>
                <w:lang w:val="es-DO" w:eastAsia="es-DO"/>
              </w:rPr>
              <w:t>55,217,657.85</w:t>
            </w:r>
          </w:p>
        </w:tc>
      </w:tr>
    </w:tbl>
    <w:p w14:paraId="7FAE18D0" w14:textId="3E354C49" w:rsidR="006D0C68" w:rsidRPr="00AC2DB2" w:rsidRDefault="006D0C68" w:rsidP="004B7530">
      <w:pPr>
        <w:spacing w:before="5" w:after="0" w:line="240" w:lineRule="auto"/>
        <w:ind w:left="360"/>
        <w:jc w:val="both"/>
        <w:rPr>
          <w:bCs/>
          <w:spacing w:val="-2"/>
          <w:sz w:val="18"/>
          <w:szCs w:val="18"/>
          <w:lang w:val="es-DO"/>
        </w:rPr>
      </w:pPr>
      <w:r w:rsidRPr="00AC2DB2">
        <w:rPr>
          <w:bCs/>
          <w:sz w:val="18"/>
          <w:szCs w:val="18"/>
          <w:lang w:val="es-DO"/>
        </w:rPr>
        <w:t>Fuente:</w:t>
      </w:r>
      <w:r w:rsidRPr="00AC2DB2">
        <w:rPr>
          <w:bCs/>
          <w:spacing w:val="-2"/>
          <w:sz w:val="18"/>
          <w:szCs w:val="18"/>
          <w:lang w:val="es-DO"/>
        </w:rPr>
        <w:t xml:space="preserve"> </w:t>
      </w:r>
      <w:r w:rsidRPr="00AC2DB2">
        <w:rPr>
          <w:bCs/>
          <w:sz w:val="18"/>
          <w:szCs w:val="18"/>
          <w:lang w:val="es-DO"/>
        </w:rPr>
        <w:t>Dirección</w:t>
      </w:r>
      <w:r w:rsidRPr="00AC2DB2">
        <w:rPr>
          <w:bCs/>
          <w:spacing w:val="-2"/>
          <w:sz w:val="18"/>
          <w:szCs w:val="18"/>
          <w:lang w:val="es-DO"/>
        </w:rPr>
        <w:t xml:space="preserve"> </w:t>
      </w:r>
      <w:r w:rsidRPr="00AC2DB2">
        <w:rPr>
          <w:bCs/>
          <w:sz w:val="18"/>
          <w:szCs w:val="18"/>
          <w:lang w:val="es-DO"/>
        </w:rPr>
        <w:t>Administrativa y</w:t>
      </w:r>
      <w:r w:rsidRPr="00AC2DB2">
        <w:rPr>
          <w:bCs/>
          <w:spacing w:val="-5"/>
          <w:sz w:val="18"/>
          <w:szCs w:val="18"/>
          <w:lang w:val="es-DO"/>
        </w:rPr>
        <w:t xml:space="preserve"> </w:t>
      </w:r>
      <w:r w:rsidRPr="00AC2DB2">
        <w:rPr>
          <w:bCs/>
          <w:sz w:val="18"/>
          <w:szCs w:val="18"/>
          <w:lang w:val="es-DO"/>
        </w:rPr>
        <w:t>Financiera,</w:t>
      </w:r>
      <w:r w:rsidRPr="00AC2DB2">
        <w:rPr>
          <w:bCs/>
          <w:spacing w:val="-2"/>
          <w:sz w:val="18"/>
          <w:szCs w:val="18"/>
          <w:lang w:val="es-DO"/>
        </w:rPr>
        <w:t xml:space="preserve"> SISALRIL.</w:t>
      </w:r>
    </w:p>
    <w:p w14:paraId="21ABAB1C" w14:textId="77777777" w:rsidR="00D62706" w:rsidRPr="005C133F" w:rsidRDefault="00D62706" w:rsidP="005C133F">
      <w:pPr>
        <w:spacing w:before="5" w:after="0" w:line="360" w:lineRule="auto"/>
        <w:ind w:left="360"/>
        <w:jc w:val="both"/>
        <w:rPr>
          <w:lang w:val="es-DO"/>
        </w:rPr>
      </w:pPr>
    </w:p>
    <w:p w14:paraId="4BEA253D" w14:textId="217B6702" w:rsidR="00D62706" w:rsidRPr="005C133F" w:rsidRDefault="00D62706">
      <w:pPr>
        <w:pStyle w:val="Prrafodelista"/>
        <w:widowControl w:val="0"/>
        <w:numPr>
          <w:ilvl w:val="0"/>
          <w:numId w:val="170"/>
        </w:numPr>
        <w:tabs>
          <w:tab w:val="left" w:pos="1080"/>
        </w:tabs>
        <w:autoSpaceDE w:val="0"/>
        <w:autoSpaceDN w:val="0"/>
        <w:spacing w:after="0" w:line="360" w:lineRule="auto"/>
        <w:contextualSpacing w:val="0"/>
        <w:rPr>
          <w:b/>
          <w:lang w:val="es-DO"/>
        </w:rPr>
      </w:pPr>
      <w:r w:rsidRPr="005C133F">
        <w:rPr>
          <w:b/>
          <w:lang w:val="es-DO"/>
        </w:rPr>
        <w:t>Control Interno</w:t>
      </w:r>
    </w:p>
    <w:p w14:paraId="4B243BC9" w14:textId="77777777" w:rsidR="00D62706" w:rsidRPr="005C133F" w:rsidRDefault="00D62706" w:rsidP="005C133F">
      <w:pPr>
        <w:pStyle w:val="Prrafodelista"/>
        <w:widowControl w:val="0"/>
        <w:tabs>
          <w:tab w:val="left" w:pos="1080"/>
        </w:tabs>
        <w:autoSpaceDE w:val="0"/>
        <w:autoSpaceDN w:val="0"/>
        <w:spacing w:after="0" w:line="360" w:lineRule="auto"/>
        <w:ind w:left="1080"/>
        <w:contextualSpacing w:val="0"/>
        <w:rPr>
          <w:b/>
          <w:lang w:val="es-DO"/>
        </w:rPr>
      </w:pPr>
    </w:p>
    <w:p w14:paraId="4E813FFF" w14:textId="77777777" w:rsidR="00D62706" w:rsidRPr="005C133F" w:rsidRDefault="00D62706" w:rsidP="005C133F">
      <w:pPr>
        <w:spacing w:after="0" w:line="360" w:lineRule="auto"/>
        <w:rPr>
          <w:b/>
          <w:bCs/>
          <w:i/>
          <w:iCs/>
          <w:lang w:val="es-DO"/>
        </w:rPr>
      </w:pPr>
      <w:r w:rsidRPr="005C133F">
        <w:rPr>
          <w:b/>
          <w:bCs/>
          <w:lang w:val="es-DO"/>
        </w:rPr>
        <w:t xml:space="preserve">Inspección Física de las Ordenes de Pagos </w:t>
      </w:r>
    </w:p>
    <w:p w14:paraId="368BA352" w14:textId="77777777" w:rsidR="00D62706" w:rsidRPr="005C133F" w:rsidRDefault="00D62706" w:rsidP="005C133F">
      <w:pPr>
        <w:spacing w:after="0" w:line="360" w:lineRule="auto"/>
        <w:jc w:val="both"/>
        <w:rPr>
          <w:b/>
          <w:lang w:val="es-DO"/>
        </w:rPr>
      </w:pPr>
    </w:p>
    <w:p w14:paraId="1204DB4D" w14:textId="5F5DE027" w:rsidR="00D62706" w:rsidRPr="005C133F" w:rsidRDefault="00D62706" w:rsidP="005C133F">
      <w:pPr>
        <w:spacing w:after="0" w:line="360" w:lineRule="auto"/>
        <w:jc w:val="both"/>
        <w:rPr>
          <w:rFonts w:eastAsia="Times New Roman"/>
          <w:lang w:val="es-DO"/>
        </w:rPr>
      </w:pPr>
      <w:r w:rsidRPr="005C133F">
        <w:rPr>
          <w:rFonts w:eastAsia="Times New Roman"/>
          <w:lang w:val="es-DO"/>
        </w:rPr>
        <w:t>Durante el año 2025, la Dirección de Revisión y Análisis de Operaciones (DRAO) inspeccionó un total de 1,571 expedientes que incluyen órdenes de pagos internas y externas, por un monto ascendente a RD$8,878,381,023.01</w:t>
      </w:r>
    </w:p>
    <w:p w14:paraId="3C1E5FBD" w14:textId="7989BF73" w:rsidR="00D62706" w:rsidRPr="005C133F" w:rsidRDefault="00D62706" w:rsidP="005C133F">
      <w:pPr>
        <w:spacing w:after="0" w:line="360" w:lineRule="auto"/>
        <w:rPr>
          <w:rFonts w:eastAsia="Times New Roman"/>
          <w:b/>
          <w:bCs/>
          <w:lang w:val="es-DO"/>
        </w:rPr>
      </w:pPr>
    </w:p>
    <w:p w14:paraId="6CC3A28E" w14:textId="45BA212E" w:rsidR="007C49E3" w:rsidRPr="005C133F" w:rsidRDefault="0001158D" w:rsidP="0067066E">
      <w:pPr>
        <w:pStyle w:val="Descripcin"/>
        <w:keepNext/>
        <w:spacing w:after="0" w:line="360" w:lineRule="auto"/>
        <w:jc w:val="center"/>
        <w:rPr>
          <w:b/>
          <w:bCs/>
          <w:i w:val="0"/>
          <w:iCs w:val="0"/>
          <w:color w:val="767171"/>
          <w:sz w:val="24"/>
          <w:szCs w:val="24"/>
          <w:lang w:val="es-DO"/>
        </w:rPr>
      </w:pPr>
      <w:bookmarkStart w:id="116" w:name="_Toc218784177"/>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45</w:t>
      </w:r>
      <w:r w:rsidRPr="005C133F">
        <w:rPr>
          <w:b/>
          <w:bCs/>
          <w:i w:val="0"/>
          <w:iCs w:val="0"/>
          <w:color w:val="767171"/>
          <w:sz w:val="24"/>
          <w:szCs w:val="24"/>
          <w:lang w:val="es-DO"/>
        </w:rPr>
        <w:fldChar w:fldCharType="end"/>
      </w:r>
      <w:r w:rsidRPr="005C133F">
        <w:rPr>
          <w:b/>
          <w:bCs/>
          <w:i w:val="0"/>
          <w:iCs w:val="0"/>
          <w:color w:val="767171"/>
          <w:sz w:val="24"/>
          <w:szCs w:val="24"/>
          <w:lang w:val="es-DO"/>
        </w:rPr>
        <w:t>. Universo Recepción de Expedientes (DRAO)</w:t>
      </w:r>
      <w:bookmarkEnd w:id="116"/>
    </w:p>
    <w:tbl>
      <w:tblPr>
        <w:tblW w:w="0" w:type="auto"/>
        <w:jc w:val="center"/>
        <w:tblCellMar>
          <w:left w:w="70" w:type="dxa"/>
          <w:right w:w="70" w:type="dxa"/>
        </w:tblCellMar>
        <w:tblLook w:val="04A0" w:firstRow="1" w:lastRow="0" w:firstColumn="1" w:lastColumn="0" w:noHBand="0" w:noVBand="1"/>
      </w:tblPr>
      <w:tblGrid>
        <w:gridCol w:w="1195"/>
        <w:gridCol w:w="1780"/>
        <w:gridCol w:w="1389"/>
        <w:gridCol w:w="1384"/>
        <w:gridCol w:w="2016"/>
        <w:gridCol w:w="146"/>
      </w:tblGrid>
      <w:tr w:rsidR="000859CD" w:rsidRPr="000859CD" w14:paraId="36DB95DB" w14:textId="77777777" w:rsidTr="0067066E">
        <w:trPr>
          <w:gridAfter w:val="1"/>
          <w:trHeight w:val="612"/>
          <w:tblHeader/>
          <w:jc w:val="center"/>
        </w:trPr>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1DAA04B3" w14:textId="77777777" w:rsidR="000859CD" w:rsidRPr="000859CD" w:rsidRDefault="000859CD" w:rsidP="000859CD">
            <w:pPr>
              <w:spacing w:after="0" w:line="240" w:lineRule="auto"/>
              <w:jc w:val="center"/>
              <w:rPr>
                <w:rFonts w:eastAsia="Times New Roman"/>
                <w:b/>
                <w:bCs/>
                <w:color w:val="FFFFFF"/>
                <w:spacing w:val="0"/>
                <w:lang w:val="es-DO" w:eastAsia="es-DO"/>
              </w:rPr>
            </w:pPr>
            <w:proofErr w:type="spellStart"/>
            <w:r w:rsidRPr="000859CD">
              <w:rPr>
                <w:rFonts w:eastAsia="Times New Roman"/>
                <w:b/>
                <w:bCs/>
                <w:color w:val="FFFFFF" w:themeColor="background1"/>
                <w:spacing w:val="0"/>
                <w:lang w:eastAsia="es-DO"/>
              </w:rPr>
              <w:t>Períodos</w:t>
            </w:r>
            <w:proofErr w:type="spellEnd"/>
            <w:r w:rsidRPr="000859CD">
              <w:rPr>
                <w:rFonts w:eastAsia="Times New Roman"/>
                <w:b/>
                <w:bCs/>
                <w:color w:val="FFFFFF" w:themeColor="background1"/>
                <w:spacing w:val="0"/>
                <w:lang w:eastAsia="es-DO"/>
              </w:rPr>
              <w:t xml:space="preserve"> 2025</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1E83157B" w14:textId="77777777" w:rsidR="000859CD" w:rsidRPr="000859CD" w:rsidRDefault="000859CD" w:rsidP="000859CD">
            <w:pPr>
              <w:spacing w:after="0" w:line="240" w:lineRule="auto"/>
              <w:jc w:val="center"/>
              <w:rPr>
                <w:rFonts w:eastAsia="Times New Roman"/>
                <w:b/>
                <w:bCs/>
                <w:color w:val="FFFFFF"/>
                <w:spacing w:val="0"/>
                <w:lang w:val="es-DO" w:eastAsia="es-DO"/>
              </w:rPr>
            </w:pPr>
            <w:proofErr w:type="spellStart"/>
            <w:r w:rsidRPr="000859CD">
              <w:rPr>
                <w:rFonts w:eastAsia="Times New Roman"/>
                <w:b/>
                <w:bCs/>
                <w:color w:val="FFFFFF" w:themeColor="background1"/>
                <w:spacing w:val="0"/>
                <w:lang w:eastAsia="es-DO"/>
              </w:rPr>
              <w:t>Tipos</w:t>
            </w:r>
            <w:proofErr w:type="spellEnd"/>
            <w:r w:rsidRPr="000859CD">
              <w:rPr>
                <w:rFonts w:eastAsia="Times New Roman"/>
                <w:b/>
                <w:bCs/>
                <w:color w:val="FFFFFF" w:themeColor="background1"/>
                <w:spacing w:val="0"/>
                <w:lang w:eastAsia="es-DO"/>
              </w:rPr>
              <w:t xml:space="preserve"> de </w:t>
            </w:r>
            <w:proofErr w:type="spellStart"/>
            <w:r w:rsidRPr="000859CD">
              <w:rPr>
                <w:rFonts w:eastAsia="Times New Roman"/>
                <w:b/>
                <w:bCs/>
                <w:color w:val="FFFFFF" w:themeColor="background1"/>
                <w:spacing w:val="0"/>
                <w:lang w:eastAsia="es-DO"/>
              </w:rPr>
              <w:t>Expedientes</w:t>
            </w:r>
            <w:proofErr w:type="spellEnd"/>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25DBC9FB" w14:textId="77777777" w:rsidR="000859CD" w:rsidRPr="000859CD" w:rsidRDefault="000859CD" w:rsidP="000859CD">
            <w:pPr>
              <w:spacing w:after="0" w:line="240" w:lineRule="auto"/>
              <w:jc w:val="center"/>
              <w:rPr>
                <w:rFonts w:eastAsia="Times New Roman"/>
                <w:b/>
                <w:bCs/>
                <w:color w:val="FFFFFF"/>
                <w:spacing w:val="0"/>
                <w:lang w:val="es-DO" w:eastAsia="es-DO"/>
              </w:rPr>
            </w:pPr>
            <w:proofErr w:type="spellStart"/>
            <w:r w:rsidRPr="000859CD">
              <w:rPr>
                <w:rFonts w:eastAsia="Times New Roman"/>
                <w:b/>
                <w:bCs/>
                <w:color w:val="FFFFFF" w:themeColor="background1"/>
                <w:spacing w:val="0"/>
                <w:lang w:eastAsia="es-DO"/>
              </w:rPr>
              <w:t>Cantidad</w:t>
            </w:r>
            <w:proofErr w:type="spellEnd"/>
            <w:r w:rsidRPr="000859CD">
              <w:rPr>
                <w:rFonts w:eastAsia="Times New Roman"/>
                <w:b/>
                <w:bCs/>
                <w:color w:val="FFFFFF" w:themeColor="background1"/>
                <w:spacing w:val="0"/>
                <w:lang w:eastAsia="es-DO"/>
              </w:rPr>
              <w:t xml:space="preserve"> </w:t>
            </w:r>
            <w:proofErr w:type="spellStart"/>
            <w:r w:rsidRPr="000859CD">
              <w:rPr>
                <w:rFonts w:eastAsia="Times New Roman"/>
                <w:b/>
                <w:bCs/>
                <w:color w:val="FFFFFF" w:themeColor="background1"/>
                <w:spacing w:val="0"/>
                <w:lang w:eastAsia="es-DO"/>
              </w:rPr>
              <w:t>Recibida</w:t>
            </w:r>
            <w:proofErr w:type="spellEnd"/>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7BE061CB" w14:textId="77777777" w:rsidR="000859CD" w:rsidRPr="000859CD" w:rsidRDefault="000859CD" w:rsidP="000859CD">
            <w:pPr>
              <w:spacing w:after="0" w:line="240" w:lineRule="auto"/>
              <w:jc w:val="center"/>
              <w:rPr>
                <w:rFonts w:eastAsia="Times New Roman"/>
                <w:b/>
                <w:bCs/>
                <w:color w:val="FFFFFF"/>
                <w:spacing w:val="0"/>
                <w:lang w:val="es-DO" w:eastAsia="es-DO"/>
              </w:rPr>
            </w:pPr>
            <w:proofErr w:type="spellStart"/>
            <w:r w:rsidRPr="000859CD">
              <w:rPr>
                <w:rFonts w:eastAsia="Times New Roman"/>
                <w:b/>
                <w:bCs/>
                <w:color w:val="FFFFFF" w:themeColor="background1"/>
                <w:spacing w:val="0"/>
                <w:lang w:eastAsia="es-DO"/>
              </w:rPr>
              <w:t>Porcentaje</w:t>
            </w:r>
            <w:proofErr w:type="spellEnd"/>
            <w:r w:rsidRPr="000859CD">
              <w:rPr>
                <w:rFonts w:eastAsia="Times New Roman"/>
                <w:b/>
                <w:bCs/>
                <w:color w:val="FFFFFF" w:themeColor="background1"/>
                <w:spacing w:val="0"/>
                <w:lang w:eastAsia="es-DO"/>
              </w:rPr>
              <w:t xml:space="preserve">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6A14B11D" w14:textId="77777777" w:rsidR="000859CD" w:rsidRPr="000859CD" w:rsidRDefault="000859CD" w:rsidP="000859CD">
            <w:pPr>
              <w:spacing w:after="0" w:line="240" w:lineRule="auto"/>
              <w:jc w:val="center"/>
              <w:rPr>
                <w:rFonts w:eastAsia="Times New Roman"/>
                <w:b/>
                <w:bCs/>
                <w:color w:val="FFFFFF"/>
                <w:spacing w:val="0"/>
                <w:lang w:val="es-DO" w:eastAsia="es-DO"/>
              </w:rPr>
            </w:pPr>
            <w:r w:rsidRPr="000859CD">
              <w:rPr>
                <w:rFonts w:eastAsia="Times New Roman"/>
                <w:b/>
                <w:bCs/>
                <w:color w:val="FFFFFF" w:themeColor="background1"/>
                <w:spacing w:val="0"/>
                <w:lang w:eastAsia="es-DO"/>
              </w:rPr>
              <w:t>Sub-</w:t>
            </w:r>
            <w:proofErr w:type="spellStart"/>
            <w:r w:rsidRPr="000859CD">
              <w:rPr>
                <w:rFonts w:eastAsia="Times New Roman"/>
                <w:b/>
                <w:bCs/>
                <w:color w:val="FFFFFF" w:themeColor="background1"/>
                <w:spacing w:val="0"/>
                <w:lang w:eastAsia="es-DO"/>
              </w:rPr>
              <w:t>Totales</w:t>
            </w:r>
            <w:proofErr w:type="spellEnd"/>
            <w:r w:rsidRPr="000859CD">
              <w:rPr>
                <w:rFonts w:eastAsia="Times New Roman"/>
                <w:b/>
                <w:bCs/>
                <w:color w:val="FFFFFF" w:themeColor="background1"/>
                <w:spacing w:val="0"/>
                <w:lang w:eastAsia="es-DO"/>
              </w:rPr>
              <w:t xml:space="preserve"> </w:t>
            </w:r>
            <w:proofErr w:type="spellStart"/>
            <w:r w:rsidRPr="000859CD">
              <w:rPr>
                <w:rFonts w:eastAsia="Times New Roman"/>
                <w:b/>
                <w:bCs/>
                <w:color w:val="FFFFFF" w:themeColor="background1"/>
                <w:spacing w:val="0"/>
                <w:lang w:eastAsia="es-DO"/>
              </w:rPr>
              <w:t>en</w:t>
            </w:r>
            <w:proofErr w:type="spellEnd"/>
            <w:r w:rsidRPr="000859CD">
              <w:rPr>
                <w:rFonts w:eastAsia="Times New Roman"/>
                <w:b/>
                <w:bCs/>
                <w:color w:val="FFFFFF" w:themeColor="background1"/>
                <w:spacing w:val="0"/>
                <w:lang w:eastAsia="es-DO"/>
              </w:rPr>
              <w:t xml:space="preserve"> RD$</w:t>
            </w:r>
          </w:p>
        </w:tc>
      </w:tr>
      <w:tr w:rsidR="000859CD" w:rsidRPr="000859CD" w14:paraId="1C9EE537" w14:textId="77777777" w:rsidTr="0067066E">
        <w:trPr>
          <w:trHeight w:val="288"/>
          <w:tblHeader/>
          <w:jc w:val="center"/>
        </w:trPr>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2110B0C0" w14:textId="77777777" w:rsidR="000859CD" w:rsidRPr="000859CD" w:rsidRDefault="000859CD" w:rsidP="000859CD">
            <w:pPr>
              <w:spacing w:after="0" w:line="240" w:lineRule="auto"/>
              <w:rPr>
                <w:rFonts w:eastAsia="Times New Roman"/>
                <w:b/>
                <w:bCs/>
                <w:color w:val="FFFFFF"/>
                <w:spacing w:val="0"/>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18598673" w14:textId="77777777" w:rsidR="000859CD" w:rsidRPr="000859CD" w:rsidRDefault="000859CD" w:rsidP="000859CD">
            <w:pPr>
              <w:spacing w:after="0" w:line="240" w:lineRule="auto"/>
              <w:rPr>
                <w:rFonts w:eastAsia="Times New Roman"/>
                <w:b/>
                <w:bCs/>
                <w:color w:val="FFFFFF"/>
                <w:spacing w:val="0"/>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3D87B54E" w14:textId="77777777" w:rsidR="000859CD" w:rsidRPr="000859CD" w:rsidRDefault="000859CD" w:rsidP="000859CD">
            <w:pPr>
              <w:spacing w:after="0" w:line="240" w:lineRule="auto"/>
              <w:rPr>
                <w:rFonts w:eastAsia="Times New Roman"/>
                <w:b/>
                <w:bCs/>
                <w:color w:val="FFFFFF"/>
                <w:spacing w:val="0"/>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1A434EC6" w14:textId="77777777" w:rsidR="000859CD" w:rsidRPr="000859CD" w:rsidRDefault="000859CD" w:rsidP="000859CD">
            <w:pPr>
              <w:spacing w:after="0" w:line="240" w:lineRule="auto"/>
              <w:rPr>
                <w:rFonts w:eastAsia="Times New Roman"/>
                <w:b/>
                <w:bCs/>
                <w:color w:val="FFFFFF"/>
                <w:spacing w:val="0"/>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2331C8D0" w14:textId="77777777" w:rsidR="000859CD" w:rsidRPr="000859CD" w:rsidRDefault="000859CD" w:rsidP="000859CD">
            <w:pPr>
              <w:spacing w:after="0" w:line="240" w:lineRule="auto"/>
              <w:rPr>
                <w:rFonts w:eastAsia="Times New Roman"/>
                <w:b/>
                <w:bCs/>
                <w:color w:val="FFFFFF"/>
                <w:spacing w:val="0"/>
                <w:lang w:val="es-DO" w:eastAsia="es-DO"/>
              </w:rPr>
            </w:pPr>
          </w:p>
        </w:tc>
        <w:tc>
          <w:tcPr>
            <w:tcW w:w="0" w:type="auto"/>
            <w:tcBorders>
              <w:top w:val="nil"/>
              <w:left w:val="nil"/>
              <w:bottom w:val="nil"/>
              <w:right w:val="nil"/>
            </w:tcBorders>
            <w:noWrap/>
            <w:vAlign w:val="bottom"/>
            <w:hideMark/>
          </w:tcPr>
          <w:p w14:paraId="47F1A6F5" w14:textId="77777777" w:rsidR="000859CD" w:rsidRPr="000859CD" w:rsidRDefault="000859CD" w:rsidP="000859CD">
            <w:pPr>
              <w:spacing w:after="0" w:line="240" w:lineRule="auto"/>
              <w:jc w:val="center"/>
              <w:rPr>
                <w:rFonts w:eastAsia="Times New Roman"/>
                <w:b/>
                <w:bCs/>
                <w:color w:val="FFFFFF"/>
                <w:spacing w:val="0"/>
                <w:lang w:val="es-DO" w:eastAsia="es-DO"/>
              </w:rPr>
            </w:pPr>
          </w:p>
        </w:tc>
      </w:tr>
      <w:tr w:rsidR="000859CD" w:rsidRPr="000859CD" w14:paraId="29F18797" w14:textId="77777777" w:rsidTr="0067066E">
        <w:trPr>
          <w:trHeight w:val="312"/>
          <w:jc w:val="center"/>
        </w:trPr>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16CC2B27"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(T1-2025)</w:t>
            </w:r>
          </w:p>
        </w:tc>
        <w:tc>
          <w:tcPr>
            <w:tcW w:w="0" w:type="auto"/>
            <w:tcBorders>
              <w:top w:val="nil"/>
              <w:left w:val="nil"/>
              <w:bottom w:val="single" w:sz="4" w:space="0" w:color="767171"/>
              <w:right w:val="single" w:sz="4" w:space="0" w:color="767171"/>
            </w:tcBorders>
            <w:shd w:val="clear" w:color="000000" w:fill="FFFFFF"/>
            <w:noWrap/>
            <w:vAlign w:val="center"/>
            <w:hideMark/>
          </w:tcPr>
          <w:p w14:paraId="31A0252D" w14:textId="77777777" w:rsidR="000859CD" w:rsidRPr="000859CD" w:rsidRDefault="000859CD" w:rsidP="000859CD">
            <w:pPr>
              <w:spacing w:after="0" w:line="240" w:lineRule="auto"/>
              <w:rPr>
                <w:rFonts w:eastAsia="Times New Roman"/>
                <w:spacing w:val="0"/>
                <w:lang w:val="es-DO" w:eastAsia="es-DO"/>
              </w:rPr>
            </w:pPr>
            <w:proofErr w:type="spellStart"/>
            <w:r w:rsidRPr="000859CD">
              <w:rPr>
                <w:rFonts w:eastAsia="Times New Roman"/>
                <w:spacing w:val="0"/>
                <w:lang w:eastAsia="es-DO"/>
              </w:rPr>
              <w:t>Transferencias</w:t>
            </w:r>
            <w:proofErr w:type="spellEnd"/>
          </w:p>
        </w:tc>
        <w:tc>
          <w:tcPr>
            <w:tcW w:w="0" w:type="auto"/>
            <w:tcBorders>
              <w:top w:val="nil"/>
              <w:left w:val="nil"/>
              <w:bottom w:val="single" w:sz="4" w:space="0" w:color="767171"/>
              <w:right w:val="single" w:sz="4" w:space="0" w:color="767171"/>
            </w:tcBorders>
            <w:shd w:val="clear" w:color="000000" w:fill="FFFFFF"/>
            <w:noWrap/>
            <w:vAlign w:val="center"/>
            <w:hideMark/>
          </w:tcPr>
          <w:p w14:paraId="67BEF70D"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422</w:t>
            </w:r>
          </w:p>
        </w:tc>
        <w:tc>
          <w:tcPr>
            <w:tcW w:w="0" w:type="auto"/>
            <w:tcBorders>
              <w:top w:val="nil"/>
              <w:left w:val="nil"/>
              <w:bottom w:val="single" w:sz="4" w:space="0" w:color="767171"/>
              <w:right w:val="single" w:sz="4" w:space="0" w:color="767171"/>
            </w:tcBorders>
            <w:shd w:val="clear" w:color="000000" w:fill="FFFFFF"/>
            <w:noWrap/>
            <w:vAlign w:val="center"/>
            <w:hideMark/>
          </w:tcPr>
          <w:p w14:paraId="2418A769"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27%</w:t>
            </w:r>
          </w:p>
        </w:tc>
        <w:tc>
          <w:tcPr>
            <w:tcW w:w="0" w:type="auto"/>
            <w:tcBorders>
              <w:top w:val="nil"/>
              <w:left w:val="nil"/>
              <w:bottom w:val="single" w:sz="4" w:space="0" w:color="767171"/>
              <w:right w:val="single" w:sz="4" w:space="0" w:color="767171"/>
            </w:tcBorders>
            <w:shd w:val="clear" w:color="000000" w:fill="FFFFFF"/>
            <w:noWrap/>
            <w:vAlign w:val="center"/>
            <w:hideMark/>
          </w:tcPr>
          <w:p w14:paraId="60DB1A05"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$2,654,061,335.33</w:t>
            </w:r>
          </w:p>
        </w:tc>
        <w:tc>
          <w:tcPr>
            <w:tcW w:w="0" w:type="auto"/>
            <w:vAlign w:val="center"/>
            <w:hideMark/>
          </w:tcPr>
          <w:p w14:paraId="50821878"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751F5882" w14:textId="77777777" w:rsidTr="0067066E">
        <w:trPr>
          <w:trHeight w:val="312"/>
          <w:jc w:val="center"/>
        </w:trPr>
        <w:tc>
          <w:tcPr>
            <w:tcW w:w="0" w:type="auto"/>
            <w:vMerge/>
            <w:tcBorders>
              <w:top w:val="nil"/>
              <w:left w:val="single" w:sz="4" w:space="0" w:color="767171"/>
              <w:bottom w:val="single" w:sz="4" w:space="0" w:color="767171"/>
              <w:right w:val="single" w:sz="4" w:space="0" w:color="767171"/>
            </w:tcBorders>
            <w:vAlign w:val="center"/>
            <w:hideMark/>
          </w:tcPr>
          <w:p w14:paraId="31EB7716" w14:textId="77777777" w:rsidR="000859CD" w:rsidRPr="000859CD" w:rsidRDefault="000859CD" w:rsidP="000859CD">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noWrap/>
            <w:vAlign w:val="center"/>
            <w:hideMark/>
          </w:tcPr>
          <w:p w14:paraId="3144488E" w14:textId="77777777" w:rsidR="000859CD" w:rsidRPr="000859CD" w:rsidRDefault="000859CD" w:rsidP="000859CD">
            <w:pPr>
              <w:spacing w:after="0" w:line="240" w:lineRule="auto"/>
              <w:rPr>
                <w:rFonts w:eastAsia="Times New Roman"/>
                <w:spacing w:val="0"/>
                <w:lang w:val="es-DO" w:eastAsia="es-DO"/>
              </w:rPr>
            </w:pPr>
            <w:r w:rsidRPr="000859CD">
              <w:rPr>
                <w:rFonts w:eastAsia="Times New Roman"/>
                <w:spacing w:val="0"/>
                <w:lang w:eastAsia="es-DO"/>
              </w:rPr>
              <w:t>Cheques</w:t>
            </w:r>
          </w:p>
        </w:tc>
        <w:tc>
          <w:tcPr>
            <w:tcW w:w="0" w:type="auto"/>
            <w:tcBorders>
              <w:top w:val="nil"/>
              <w:left w:val="nil"/>
              <w:bottom w:val="single" w:sz="4" w:space="0" w:color="767171"/>
              <w:right w:val="single" w:sz="4" w:space="0" w:color="767171"/>
            </w:tcBorders>
            <w:shd w:val="clear" w:color="000000" w:fill="FFFFFF"/>
            <w:noWrap/>
            <w:vAlign w:val="center"/>
            <w:hideMark/>
          </w:tcPr>
          <w:p w14:paraId="23A046F4"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16</w:t>
            </w:r>
          </w:p>
        </w:tc>
        <w:tc>
          <w:tcPr>
            <w:tcW w:w="0" w:type="auto"/>
            <w:tcBorders>
              <w:top w:val="nil"/>
              <w:left w:val="nil"/>
              <w:bottom w:val="single" w:sz="4" w:space="0" w:color="767171"/>
              <w:right w:val="single" w:sz="4" w:space="0" w:color="767171"/>
            </w:tcBorders>
            <w:shd w:val="clear" w:color="000000" w:fill="FFFFFF"/>
            <w:noWrap/>
            <w:vAlign w:val="center"/>
            <w:hideMark/>
          </w:tcPr>
          <w:p w14:paraId="56CED089"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w:t>
            </w:r>
          </w:p>
        </w:tc>
        <w:tc>
          <w:tcPr>
            <w:tcW w:w="0" w:type="auto"/>
            <w:tcBorders>
              <w:top w:val="nil"/>
              <w:left w:val="nil"/>
              <w:bottom w:val="single" w:sz="4" w:space="0" w:color="767171"/>
              <w:right w:val="single" w:sz="4" w:space="0" w:color="767171"/>
            </w:tcBorders>
            <w:shd w:val="clear" w:color="000000" w:fill="FFFFFF"/>
            <w:noWrap/>
            <w:vAlign w:val="center"/>
            <w:hideMark/>
          </w:tcPr>
          <w:p w14:paraId="57230610"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 7596386.48</w:t>
            </w:r>
          </w:p>
        </w:tc>
        <w:tc>
          <w:tcPr>
            <w:tcW w:w="0" w:type="auto"/>
            <w:vAlign w:val="center"/>
            <w:hideMark/>
          </w:tcPr>
          <w:p w14:paraId="75AC7C09"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484BBEDA" w14:textId="77777777" w:rsidTr="0067066E">
        <w:trPr>
          <w:trHeight w:val="312"/>
          <w:jc w:val="center"/>
        </w:trPr>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4E935B27"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(T2-2025)</w:t>
            </w:r>
          </w:p>
        </w:tc>
        <w:tc>
          <w:tcPr>
            <w:tcW w:w="0" w:type="auto"/>
            <w:tcBorders>
              <w:top w:val="nil"/>
              <w:left w:val="nil"/>
              <w:bottom w:val="single" w:sz="4" w:space="0" w:color="767171"/>
              <w:right w:val="single" w:sz="4" w:space="0" w:color="767171"/>
            </w:tcBorders>
            <w:shd w:val="clear" w:color="000000" w:fill="FFFFFF"/>
            <w:noWrap/>
            <w:vAlign w:val="center"/>
            <w:hideMark/>
          </w:tcPr>
          <w:p w14:paraId="061CBE9D" w14:textId="77777777" w:rsidR="000859CD" w:rsidRPr="000859CD" w:rsidRDefault="000859CD" w:rsidP="000859CD">
            <w:pPr>
              <w:spacing w:after="0" w:line="240" w:lineRule="auto"/>
              <w:rPr>
                <w:rFonts w:eastAsia="Times New Roman"/>
                <w:spacing w:val="0"/>
                <w:lang w:val="es-DO" w:eastAsia="es-DO"/>
              </w:rPr>
            </w:pPr>
            <w:proofErr w:type="spellStart"/>
            <w:r w:rsidRPr="000859CD">
              <w:rPr>
                <w:rFonts w:eastAsia="Times New Roman"/>
                <w:spacing w:val="0"/>
                <w:lang w:eastAsia="es-DO"/>
              </w:rPr>
              <w:t>Transferencias</w:t>
            </w:r>
            <w:proofErr w:type="spellEnd"/>
          </w:p>
        </w:tc>
        <w:tc>
          <w:tcPr>
            <w:tcW w:w="0" w:type="auto"/>
            <w:tcBorders>
              <w:top w:val="nil"/>
              <w:left w:val="nil"/>
              <w:bottom w:val="single" w:sz="4" w:space="0" w:color="767171"/>
              <w:right w:val="single" w:sz="4" w:space="0" w:color="767171"/>
            </w:tcBorders>
            <w:shd w:val="clear" w:color="000000" w:fill="FFFFFF"/>
            <w:noWrap/>
            <w:vAlign w:val="center"/>
            <w:hideMark/>
          </w:tcPr>
          <w:p w14:paraId="17C93F8A"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330</w:t>
            </w:r>
          </w:p>
        </w:tc>
        <w:tc>
          <w:tcPr>
            <w:tcW w:w="0" w:type="auto"/>
            <w:tcBorders>
              <w:top w:val="nil"/>
              <w:left w:val="nil"/>
              <w:bottom w:val="single" w:sz="4" w:space="0" w:color="767171"/>
              <w:right w:val="single" w:sz="4" w:space="0" w:color="767171"/>
            </w:tcBorders>
            <w:shd w:val="clear" w:color="000000" w:fill="FFFFFF"/>
            <w:noWrap/>
            <w:vAlign w:val="center"/>
            <w:hideMark/>
          </w:tcPr>
          <w:p w14:paraId="1E9754F2"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21%</w:t>
            </w:r>
          </w:p>
        </w:tc>
        <w:tc>
          <w:tcPr>
            <w:tcW w:w="0" w:type="auto"/>
            <w:tcBorders>
              <w:top w:val="nil"/>
              <w:left w:val="nil"/>
              <w:bottom w:val="single" w:sz="4" w:space="0" w:color="767171"/>
              <w:right w:val="single" w:sz="4" w:space="0" w:color="767171"/>
            </w:tcBorders>
            <w:shd w:val="clear" w:color="000000" w:fill="FFFFFF"/>
            <w:noWrap/>
            <w:vAlign w:val="center"/>
            <w:hideMark/>
          </w:tcPr>
          <w:p w14:paraId="2EA28A27"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$2,797,691,491.17</w:t>
            </w:r>
          </w:p>
        </w:tc>
        <w:tc>
          <w:tcPr>
            <w:tcW w:w="0" w:type="auto"/>
            <w:vAlign w:val="center"/>
            <w:hideMark/>
          </w:tcPr>
          <w:p w14:paraId="2C9AC386"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21284E29" w14:textId="77777777" w:rsidTr="0067066E">
        <w:trPr>
          <w:trHeight w:val="312"/>
          <w:jc w:val="center"/>
        </w:trPr>
        <w:tc>
          <w:tcPr>
            <w:tcW w:w="0" w:type="auto"/>
            <w:vMerge/>
            <w:tcBorders>
              <w:top w:val="nil"/>
              <w:left w:val="single" w:sz="4" w:space="0" w:color="767171"/>
              <w:bottom w:val="single" w:sz="4" w:space="0" w:color="767171"/>
              <w:right w:val="single" w:sz="4" w:space="0" w:color="767171"/>
            </w:tcBorders>
            <w:vAlign w:val="center"/>
            <w:hideMark/>
          </w:tcPr>
          <w:p w14:paraId="1CE57C80" w14:textId="77777777" w:rsidR="000859CD" w:rsidRPr="000859CD" w:rsidRDefault="000859CD" w:rsidP="000859CD">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noWrap/>
            <w:vAlign w:val="center"/>
            <w:hideMark/>
          </w:tcPr>
          <w:p w14:paraId="2AE60308" w14:textId="77777777" w:rsidR="000859CD" w:rsidRPr="000859CD" w:rsidRDefault="000859CD" w:rsidP="000859CD">
            <w:pPr>
              <w:spacing w:after="0" w:line="240" w:lineRule="auto"/>
              <w:rPr>
                <w:rFonts w:eastAsia="Times New Roman"/>
                <w:spacing w:val="0"/>
                <w:lang w:val="es-DO" w:eastAsia="es-DO"/>
              </w:rPr>
            </w:pPr>
            <w:r w:rsidRPr="000859CD">
              <w:rPr>
                <w:rFonts w:eastAsia="Times New Roman"/>
                <w:spacing w:val="0"/>
                <w:lang w:eastAsia="es-DO"/>
              </w:rPr>
              <w:t>Cheques</w:t>
            </w:r>
          </w:p>
        </w:tc>
        <w:tc>
          <w:tcPr>
            <w:tcW w:w="0" w:type="auto"/>
            <w:tcBorders>
              <w:top w:val="nil"/>
              <w:left w:val="nil"/>
              <w:bottom w:val="single" w:sz="4" w:space="0" w:color="767171"/>
              <w:right w:val="single" w:sz="4" w:space="0" w:color="767171"/>
            </w:tcBorders>
            <w:shd w:val="clear" w:color="000000" w:fill="FFFFFF"/>
            <w:noWrap/>
            <w:vAlign w:val="center"/>
            <w:hideMark/>
          </w:tcPr>
          <w:p w14:paraId="550F1D27"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12</w:t>
            </w:r>
          </w:p>
        </w:tc>
        <w:tc>
          <w:tcPr>
            <w:tcW w:w="0" w:type="auto"/>
            <w:tcBorders>
              <w:top w:val="nil"/>
              <w:left w:val="nil"/>
              <w:bottom w:val="single" w:sz="4" w:space="0" w:color="767171"/>
              <w:right w:val="single" w:sz="4" w:space="0" w:color="767171"/>
            </w:tcBorders>
            <w:shd w:val="clear" w:color="000000" w:fill="FFFFFF"/>
            <w:noWrap/>
            <w:vAlign w:val="center"/>
            <w:hideMark/>
          </w:tcPr>
          <w:p w14:paraId="3FDE3371"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w:t>
            </w:r>
          </w:p>
        </w:tc>
        <w:tc>
          <w:tcPr>
            <w:tcW w:w="0" w:type="auto"/>
            <w:tcBorders>
              <w:top w:val="nil"/>
              <w:left w:val="nil"/>
              <w:bottom w:val="single" w:sz="4" w:space="0" w:color="767171"/>
              <w:right w:val="single" w:sz="4" w:space="0" w:color="767171"/>
            </w:tcBorders>
            <w:shd w:val="clear" w:color="000000" w:fill="FFFFFF"/>
            <w:noWrap/>
            <w:vAlign w:val="center"/>
            <w:hideMark/>
          </w:tcPr>
          <w:p w14:paraId="4A683A76"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$7,260,900.48</w:t>
            </w:r>
          </w:p>
        </w:tc>
        <w:tc>
          <w:tcPr>
            <w:tcW w:w="0" w:type="auto"/>
            <w:vAlign w:val="center"/>
            <w:hideMark/>
          </w:tcPr>
          <w:p w14:paraId="1B97947D"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00BA470A" w14:textId="77777777" w:rsidTr="0067066E">
        <w:trPr>
          <w:trHeight w:val="312"/>
          <w:jc w:val="center"/>
        </w:trPr>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224B5110"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(T3-2025)</w:t>
            </w:r>
          </w:p>
        </w:tc>
        <w:tc>
          <w:tcPr>
            <w:tcW w:w="0" w:type="auto"/>
            <w:tcBorders>
              <w:top w:val="nil"/>
              <w:left w:val="nil"/>
              <w:bottom w:val="single" w:sz="4" w:space="0" w:color="767171"/>
              <w:right w:val="single" w:sz="4" w:space="0" w:color="767171"/>
            </w:tcBorders>
            <w:shd w:val="clear" w:color="000000" w:fill="FFFFFF"/>
            <w:noWrap/>
            <w:vAlign w:val="center"/>
            <w:hideMark/>
          </w:tcPr>
          <w:p w14:paraId="3E71A84E" w14:textId="77777777" w:rsidR="000859CD" w:rsidRPr="000859CD" w:rsidRDefault="000859CD" w:rsidP="000859CD">
            <w:pPr>
              <w:spacing w:after="0" w:line="240" w:lineRule="auto"/>
              <w:rPr>
                <w:rFonts w:eastAsia="Times New Roman"/>
                <w:spacing w:val="0"/>
                <w:lang w:val="es-DO" w:eastAsia="es-DO"/>
              </w:rPr>
            </w:pPr>
            <w:proofErr w:type="spellStart"/>
            <w:r w:rsidRPr="000859CD">
              <w:rPr>
                <w:rFonts w:eastAsia="Times New Roman"/>
                <w:spacing w:val="0"/>
                <w:lang w:eastAsia="es-DO"/>
              </w:rPr>
              <w:t>Transferencias</w:t>
            </w:r>
            <w:proofErr w:type="spellEnd"/>
          </w:p>
        </w:tc>
        <w:tc>
          <w:tcPr>
            <w:tcW w:w="0" w:type="auto"/>
            <w:tcBorders>
              <w:top w:val="nil"/>
              <w:left w:val="nil"/>
              <w:bottom w:val="single" w:sz="4" w:space="0" w:color="767171"/>
              <w:right w:val="single" w:sz="4" w:space="0" w:color="767171"/>
            </w:tcBorders>
            <w:shd w:val="clear" w:color="000000" w:fill="FFFFFF"/>
            <w:noWrap/>
            <w:vAlign w:val="center"/>
            <w:hideMark/>
          </w:tcPr>
          <w:p w14:paraId="29529BD8"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523</w:t>
            </w:r>
          </w:p>
        </w:tc>
        <w:tc>
          <w:tcPr>
            <w:tcW w:w="0" w:type="auto"/>
            <w:tcBorders>
              <w:top w:val="nil"/>
              <w:left w:val="nil"/>
              <w:bottom w:val="single" w:sz="4" w:space="0" w:color="767171"/>
              <w:right w:val="single" w:sz="4" w:space="0" w:color="767171"/>
            </w:tcBorders>
            <w:shd w:val="clear" w:color="000000" w:fill="FFFFFF"/>
            <w:noWrap/>
            <w:vAlign w:val="center"/>
            <w:hideMark/>
          </w:tcPr>
          <w:p w14:paraId="61316956"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33%</w:t>
            </w:r>
          </w:p>
        </w:tc>
        <w:tc>
          <w:tcPr>
            <w:tcW w:w="0" w:type="auto"/>
            <w:tcBorders>
              <w:top w:val="nil"/>
              <w:left w:val="nil"/>
              <w:bottom w:val="single" w:sz="4" w:space="0" w:color="767171"/>
              <w:right w:val="single" w:sz="4" w:space="0" w:color="767171"/>
            </w:tcBorders>
            <w:shd w:val="clear" w:color="000000" w:fill="FFFFFF"/>
            <w:noWrap/>
            <w:vAlign w:val="center"/>
            <w:hideMark/>
          </w:tcPr>
          <w:p w14:paraId="3FA2E71A"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$2,143,703,389.59</w:t>
            </w:r>
          </w:p>
        </w:tc>
        <w:tc>
          <w:tcPr>
            <w:tcW w:w="0" w:type="auto"/>
            <w:vAlign w:val="center"/>
            <w:hideMark/>
          </w:tcPr>
          <w:p w14:paraId="6788A8A2"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2656468E" w14:textId="77777777" w:rsidTr="0067066E">
        <w:trPr>
          <w:trHeight w:val="312"/>
          <w:jc w:val="center"/>
        </w:trPr>
        <w:tc>
          <w:tcPr>
            <w:tcW w:w="0" w:type="auto"/>
            <w:vMerge/>
            <w:tcBorders>
              <w:top w:val="nil"/>
              <w:left w:val="single" w:sz="4" w:space="0" w:color="767171"/>
              <w:bottom w:val="single" w:sz="4" w:space="0" w:color="767171"/>
              <w:right w:val="single" w:sz="4" w:space="0" w:color="767171"/>
            </w:tcBorders>
            <w:vAlign w:val="center"/>
            <w:hideMark/>
          </w:tcPr>
          <w:p w14:paraId="05440B99" w14:textId="77777777" w:rsidR="000859CD" w:rsidRPr="000859CD" w:rsidRDefault="000859CD" w:rsidP="000859CD">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noWrap/>
            <w:vAlign w:val="center"/>
            <w:hideMark/>
          </w:tcPr>
          <w:p w14:paraId="1E7DB292" w14:textId="77777777" w:rsidR="000859CD" w:rsidRPr="000859CD" w:rsidRDefault="000859CD" w:rsidP="000859CD">
            <w:pPr>
              <w:spacing w:after="0" w:line="240" w:lineRule="auto"/>
              <w:rPr>
                <w:rFonts w:eastAsia="Times New Roman"/>
                <w:spacing w:val="0"/>
                <w:lang w:val="es-DO" w:eastAsia="es-DO"/>
              </w:rPr>
            </w:pPr>
            <w:r w:rsidRPr="000859CD">
              <w:rPr>
                <w:rFonts w:eastAsia="Times New Roman"/>
                <w:spacing w:val="0"/>
                <w:lang w:eastAsia="es-DO"/>
              </w:rPr>
              <w:t>Cheques</w:t>
            </w:r>
          </w:p>
        </w:tc>
        <w:tc>
          <w:tcPr>
            <w:tcW w:w="0" w:type="auto"/>
            <w:tcBorders>
              <w:top w:val="nil"/>
              <w:left w:val="nil"/>
              <w:bottom w:val="single" w:sz="4" w:space="0" w:color="767171"/>
              <w:right w:val="single" w:sz="4" w:space="0" w:color="767171"/>
            </w:tcBorders>
            <w:shd w:val="clear" w:color="000000" w:fill="FFFFFF"/>
            <w:noWrap/>
            <w:vAlign w:val="center"/>
            <w:hideMark/>
          </w:tcPr>
          <w:p w14:paraId="57383CAC"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27</w:t>
            </w:r>
          </w:p>
        </w:tc>
        <w:tc>
          <w:tcPr>
            <w:tcW w:w="0" w:type="auto"/>
            <w:tcBorders>
              <w:top w:val="nil"/>
              <w:left w:val="nil"/>
              <w:bottom w:val="single" w:sz="4" w:space="0" w:color="767171"/>
              <w:right w:val="single" w:sz="4" w:space="0" w:color="767171"/>
            </w:tcBorders>
            <w:shd w:val="clear" w:color="000000" w:fill="FFFFFF"/>
            <w:noWrap/>
            <w:vAlign w:val="center"/>
            <w:hideMark/>
          </w:tcPr>
          <w:p w14:paraId="237C84CA"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2%</w:t>
            </w:r>
          </w:p>
        </w:tc>
        <w:tc>
          <w:tcPr>
            <w:tcW w:w="0" w:type="auto"/>
            <w:tcBorders>
              <w:top w:val="nil"/>
              <w:left w:val="nil"/>
              <w:bottom w:val="single" w:sz="4" w:space="0" w:color="767171"/>
              <w:right w:val="single" w:sz="4" w:space="0" w:color="767171"/>
            </w:tcBorders>
            <w:shd w:val="clear" w:color="000000" w:fill="FFFFFF"/>
            <w:noWrap/>
            <w:vAlign w:val="center"/>
            <w:hideMark/>
          </w:tcPr>
          <w:p w14:paraId="7AFF038F"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$17,534,989.40</w:t>
            </w:r>
          </w:p>
        </w:tc>
        <w:tc>
          <w:tcPr>
            <w:tcW w:w="0" w:type="auto"/>
            <w:vAlign w:val="center"/>
            <w:hideMark/>
          </w:tcPr>
          <w:p w14:paraId="24387E69"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122BB6F7" w14:textId="77777777" w:rsidTr="0067066E">
        <w:trPr>
          <w:trHeight w:val="312"/>
          <w:jc w:val="center"/>
        </w:trPr>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6DD8934"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(T4-2025)</w:t>
            </w:r>
          </w:p>
        </w:tc>
        <w:tc>
          <w:tcPr>
            <w:tcW w:w="0" w:type="auto"/>
            <w:tcBorders>
              <w:top w:val="nil"/>
              <w:left w:val="nil"/>
              <w:bottom w:val="single" w:sz="4" w:space="0" w:color="767171"/>
              <w:right w:val="single" w:sz="4" w:space="0" w:color="767171"/>
            </w:tcBorders>
            <w:shd w:val="clear" w:color="000000" w:fill="FFFFFF"/>
            <w:noWrap/>
            <w:vAlign w:val="center"/>
            <w:hideMark/>
          </w:tcPr>
          <w:p w14:paraId="0BE58502" w14:textId="77777777" w:rsidR="000859CD" w:rsidRPr="000859CD" w:rsidRDefault="000859CD" w:rsidP="000859CD">
            <w:pPr>
              <w:spacing w:after="0" w:line="240" w:lineRule="auto"/>
              <w:rPr>
                <w:rFonts w:eastAsia="Times New Roman"/>
                <w:spacing w:val="0"/>
                <w:lang w:val="es-DO" w:eastAsia="es-DO"/>
              </w:rPr>
            </w:pPr>
            <w:proofErr w:type="spellStart"/>
            <w:r w:rsidRPr="000859CD">
              <w:rPr>
                <w:rFonts w:eastAsia="Times New Roman"/>
                <w:spacing w:val="0"/>
                <w:lang w:eastAsia="es-DO"/>
              </w:rPr>
              <w:t>Transferencias</w:t>
            </w:r>
            <w:proofErr w:type="spellEnd"/>
          </w:p>
        </w:tc>
        <w:tc>
          <w:tcPr>
            <w:tcW w:w="0" w:type="auto"/>
            <w:tcBorders>
              <w:top w:val="nil"/>
              <w:left w:val="nil"/>
              <w:bottom w:val="single" w:sz="4" w:space="0" w:color="767171"/>
              <w:right w:val="single" w:sz="4" w:space="0" w:color="767171"/>
            </w:tcBorders>
            <w:shd w:val="clear" w:color="000000" w:fill="FFFFFF"/>
            <w:noWrap/>
            <w:vAlign w:val="center"/>
            <w:hideMark/>
          </w:tcPr>
          <w:p w14:paraId="7F2C4D87"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231</w:t>
            </w:r>
          </w:p>
        </w:tc>
        <w:tc>
          <w:tcPr>
            <w:tcW w:w="0" w:type="auto"/>
            <w:tcBorders>
              <w:top w:val="nil"/>
              <w:left w:val="nil"/>
              <w:bottom w:val="single" w:sz="4" w:space="0" w:color="767171"/>
              <w:right w:val="single" w:sz="4" w:space="0" w:color="767171"/>
            </w:tcBorders>
            <w:shd w:val="clear" w:color="000000" w:fill="FFFFFF"/>
            <w:noWrap/>
            <w:vAlign w:val="center"/>
            <w:hideMark/>
          </w:tcPr>
          <w:p w14:paraId="61A72FE6"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15%</w:t>
            </w:r>
          </w:p>
        </w:tc>
        <w:tc>
          <w:tcPr>
            <w:tcW w:w="0" w:type="auto"/>
            <w:tcBorders>
              <w:top w:val="nil"/>
              <w:left w:val="nil"/>
              <w:bottom w:val="single" w:sz="4" w:space="0" w:color="767171"/>
              <w:right w:val="single" w:sz="4" w:space="0" w:color="767171"/>
            </w:tcBorders>
            <w:shd w:val="clear" w:color="000000" w:fill="FFFFFF"/>
            <w:noWrap/>
            <w:vAlign w:val="center"/>
            <w:hideMark/>
          </w:tcPr>
          <w:p w14:paraId="65E56E22"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$1,230,569,294.35</w:t>
            </w:r>
          </w:p>
        </w:tc>
        <w:tc>
          <w:tcPr>
            <w:tcW w:w="0" w:type="auto"/>
            <w:vAlign w:val="center"/>
            <w:hideMark/>
          </w:tcPr>
          <w:p w14:paraId="2DBEF78D"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717127DE" w14:textId="77777777" w:rsidTr="0067066E">
        <w:trPr>
          <w:trHeight w:val="312"/>
          <w:jc w:val="center"/>
        </w:trPr>
        <w:tc>
          <w:tcPr>
            <w:tcW w:w="0" w:type="auto"/>
            <w:vMerge/>
            <w:tcBorders>
              <w:top w:val="nil"/>
              <w:left w:val="single" w:sz="4" w:space="0" w:color="767171"/>
              <w:bottom w:val="single" w:sz="4" w:space="0" w:color="767171"/>
              <w:right w:val="single" w:sz="4" w:space="0" w:color="767171"/>
            </w:tcBorders>
            <w:vAlign w:val="center"/>
            <w:hideMark/>
          </w:tcPr>
          <w:p w14:paraId="3216D3EF" w14:textId="77777777" w:rsidR="000859CD" w:rsidRPr="000859CD" w:rsidRDefault="000859CD" w:rsidP="000859CD">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noWrap/>
            <w:vAlign w:val="center"/>
            <w:hideMark/>
          </w:tcPr>
          <w:p w14:paraId="30CD4620" w14:textId="77777777" w:rsidR="000859CD" w:rsidRPr="000859CD" w:rsidRDefault="000859CD" w:rsidP="000859CD">
            <w:pPr>
              <w:spacing w:after="0" w:line="240" w:lineRule="auto"/>
              <w:rPr>
                <w:rFonts w:eastAsia="Times New Roman"/>
                <w:spacing w:val="0"/>
                <w:lang w:val="es-DO" w:eastAsia="es-DO"/>
              </w:rPr>
            </w:pPr>
            <w:r w:rsidRPr="000859CD">
              <w:rPr>
                <w:rFonts w:eastAsia="Times New Roman"/>
                <w:spacing w:val="0"/>
                <w:lang w:eastAsia="es-DO"/>
              </w:rPr>
              <w:t>Cheques</w:t>
            </w:r>
          </w:p>
        </w:tc>
        <w:tc>
          <w:tcPr>
            <w:tcW w:w="0" w:type="auto"/>
            <w:tcBorders>
              <w:top w:val="nil"/>
              <w:left w:val="nil"/>
              <w:bottom w:val="single" w:sz="4" w:space="0" w:color="767171"/>
              <w:right w:val="single" w:sz="4" w:space="0" w:color="767171"/>
            </w:tcBorders>
            <w:shd w:val="clear" w:color="000000" w:fill="FFFFFF"/>
            <w:noWrap/>
            <w:vAlign w:val="center"/>
            <w:hideMark/>
          </w:tcPr>
          <w:p w14:paraId="4E080C58"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10</w:t>
            </w:r>
          </w:p>
        </w:tc>
        <w:tc>
          <w:tcPr>
            <w:tcW w:w="0" w:type="auto"/>
            <w:tcBorders>
              <w:top w:val="nil"/>
              <w:left w:val="nil"/>
              <w:bottom w:val="single" w:sz="4" w:space="0" w:color="767171"/>
              <w:right w:val="single" w:sz="4" w:space="0" w:color="767171"/>
            </w:tcBorders>
            <w:shd w:val="clear" w:color="000000" w:fill="FFFFFF"/>
            <w:noWrap/>
            <w:vAlign w:val="center"/>
            <w:hideMark/>
          </w:tcPr>
          <w:p w14:paraId="25CE7A31" w14:textId="77777777" w:rsidR="000859CD" w:rsidRPr="000859CD" w:rsidRDefault="000859CD" w:rsidP="000859CD">
            <w:pPr>
              <w:spacing w:after="0" w:line="240" w:lineRule="auto"/>
              <w:jc w:val="center"/>
              <w:rPr>
                <w:rFonts w:eastAsia="Times New Roman"/>
                <w:spacing w:val="0"/>
                <w:lang w:val="es-DO" w:eastAsia="es-DO"/>
              </w:rPr>
            </w:pPr>
            <w:r w:rsidRPr="000859CD">
              <w:rPr>
                <w:rFonts w:eastAsia="Times New Roman"/>
                <w:spacing w:val="0"/>
                <w:lang w:eastAsia="es-DO"/>
              </w:rPr>
              <w:t>1%</w:t>
            </w:r>
          </w:p>
        </w:tc>
        <w:tc>
          <w:tcPr>
            <w:tcW w:w="0" w:type="auto"/>
            <w:tcBorders>
              <w:top w:val="nil"/>
              <w:left w:val="nil"/>
              <w:bottom w:val="single" w:sz="4" w:space="0" w:color="767171"/>
              <w:right w:val="single" w:sz="4" w:space="0" w:color="767171"/>
            </w:tcBorders>
            <w:shd w:val="clear" w:color="000000" w:fill="FFFFFF"/>
            <w:noWrap/>
            <w:vAlign w:val="center"/>
            <w:hideMark/>
          </w:tcPr>
          <w:p w14:paraId="7D3264B1" w14:textId="77777777" w:rsidR="000859CD" w:rsidRPr="000859CD" w:rsidRDefault="000859CD" w:rsidP="000859CD">
            <w:pPr>
              <w:spacing w:after="0" w:line="240" w:lineRule="auto"/>
              <w:jc w:val="right"/>
              <w:rPr>
                <w:rFonts w:eastAsia="Times New Roman"/>
                <w:spacing w:val="0"/>
                <w:lang w:val="es-DO" w:eastAsia="es-DO"/>
              </w:rPr>
            </w:pPr>
            <w:r w:rsidRPr="000859CD">
              <w:rPr>
                <w:rFonts w:eastAsia="Times New Roman"/>
                <w:spacing w:val="0"/>
                <w:lang w:eastAsia="es-DO"/>
              </w:rPr>
              <w:t>$19,963,236.21</w:t>
            </w:r>
          </w:p>
        </w:tc>
        <w:tc>
          <w:tcPr>
            <w:tcW w:w="0" w:type="auto"/>
            <w:vAlign w:val="center"/>
            <w:hideMark/>
          </w:tcPr>
          <w:p w14:paraId="114DD1AA" w14:textId="77777777" w:rsidR="000859CD" w:rsidRPr="000859CD" w:rsidRDefault="000859CD" w:rsidP="000859CD">
            <w:pPr>
              <w:spacing w:after="0" w:line="240" w:lineRule="auto"/>
              <w:rPr>
                <w:rFonts w:eastAsia="Times New Roman"/>
                <w:color w:val="auto"/>
                <w:spacing w:val="0"/>
                <w:sz w:val="20"/>
                <w:szCs w:val="20"/>
                <w:lang w:val="es-DO" w:eastAsia="es-DO"/>
              </w:rPr>
            </w:pPr>
          </w:p>
        </w:tc>
      </w:tr>
      <w:tr w:rsidR="000859CD" w:rsidRPr="000859CD" w14:paraId="171BF438" w14:textId="77777777" w:rsidTr="0067066E">
        <w:trPr>
          <w:trHeight w:val="312"/>
          <w:jc w:val="center"/>
        </w:trPr>
        <w:tc>
          <w:tcPr>
            <w:tcW w:w="0" w:type="auto"/>
            <w:gridSpan w:val="2"/>
            <w:tcBorders>
              <w:top w:val="single" w:sz="4" w:space="0" w:color="767171"/>
              <w:left w:val="single" w:sz="4" w:space="0" w:color="767171"/>
              <w:bottom w:val="single" w:sz="4" w:space="0" w:color="767171"/>
              <w:right w:val="single" w:sz="4" w:space="0" w:color="767171"/>
            </w:tcBorders>
            <w:shd w:val="clear" w:color="000000" w:fill="011C50"/>
            <w:noWrap/>
            <w:vAlign w:val="center"/>
            <w:hideMark/>
          </w:tcPr>
          <w:p w14:paraId="1D1369EF" w14:textId="77777777" w:rsidR="000859CD" w:rsidRPr="000859CD" w:rsidRDefault="000859CD" w:rsidP="000859CD">
            <w:pPr>
              <w:spacing w:after="0" w:line="240" w:lineRule="auto"/>
              <w:jc w:val="right"/>
              <w:rPr>
                <w:rFonts w:eastAsia="Times New Roman"/>
                <w:b/>
                <w:bCs/>
                <w:color w:val="FFFFFF"/>
                <w:spacing w:val="0"/>
                <w:lang w:val="es-DO" w:eastAsia="es-DO"/>
              </w:rPr>
            </w:pPr>
            <w:proofErr w:type="spellStart"/>
            <w:r w:rsidRPr="000859CD">
              <w:rPr>
                <w:rFonts w:eastAsia="Times New Roman"/>
                <w:b/>
                <w:bCs/>
                <w:color w:val="FFFFFF" w:themeColor="background1"/>
                <w:spacing w:val="0"/>
                <w:lang w:eastAsia="es-DO"/>
              </w:rPr>
              <w:t>Totales</w:t>
            </w:r>
            <w:proofErr w:type="spellEnd"/>
            <w:r w:rsidRPr="000859CD">
              <w:rPr>
                <w:rFonts w:eastAsia="Times New Roman"/>
                <w:b/>
                <w:bCs/>
                <w:color w:val="FFFFFF" w:themeColor="background1"/>
                <w:spacing w:val="0"/>
                <w:lang w:eastAsia="es-DO"/>
              </w:rPr>
              <w:t xml:space="preserve"> RD$</w:t>
            </w:r>
          </w:p>
        </w:tc>
        <w:tc>
          <w:tcPr>
            <w:tcW w:w="0" w:type="auto"/>
            <w:tcBorders>
              <w:top w:val="nil"/>
              <w:left w:val="nil"/>
              <w:bottom w:val="single" w:sz="4" w:space="0" w:color="767171"/>
              <w:right w:val="single" w:sz="4" w:space="0" w:color="767171"/>
            </w:tcBorders>
            <w:shd w:val="clear" w:color="000000" w:fill="011C50"/>
            <w:noWrap/>
            <w:vAlign w:val="center"/>
            <w:hideMark/>
          </w:tcPr>
          <w:p w14:paraId="0CD3BA16" w14:textId="77777777" w:rsidR="000859CD" w:rsidRPr="000859CD" w:rsidRDefault="000859CD" w:rsidP="000859CD">
            <w:pPr>
              <w:spacing w:after="0" w:line="240" w:lineRule="auto"/>
              <w:jc w:val="center"/>
              <w:rPr>
                <w:rFonts w:eastAsia="Times New Roman"/>
                <w:b/>
                <w:bCs/>
                <w:color w:val="FFFFFF"/>
                <w:spacing w:val="0"/>
                <w:lang w:val="es-DO" w:eastAsia="es-DO"/>
              </w:rPr>
            </w:pPr>
            <w:r w:rsidRPr="000859CD">
              <w:rPr>
                <w:rFonts w:eastAsia="Times New Roman"/>
                <w:b/>
                <w:bCs/>
                <w:color w:val="FFFFFF" w:themeColor="background1"/>
                <w:spacing w:val="0"/>
                <w:lang w:eastAsia="es-DO"/>
              </w:rPr>
              <w:t>1,571</w:t>
            </w:r>
          </w:p>
        </w:tc>
        <w:tc>
          <w:tcPr>
            <w:tcW w:w="0" w:type="auto"/>
            <w:tcBorders>
              <w:top w:val="nil"/>
              <w:left w:val="nil"/>
              <w:bottom w:val="single" w:sz="4" w:space="0" w:color="767171"/>
              <w:right w:val="single" w:sz="4" w:space="0" w:color="767171"/>
            </w:tcBorders>
            <w:shd w:val="clear" w:color="000000" w:fill="011C50"/>
            <w:noWrap/>
            <w:vAlign w:val="center"/>
            <w:hideMark/>
          </w:tcPr>
          <w:p w14:paraId="3196A3AD" w14:textId="77777777" w:rsidR="000859CD" w:rsidRPr="000859CD" w:rsidRDefault="000859CD" w:rsidP="000859CD">
            <w:pPr>
              <w:spacing w:after="0" w:line="240" w:lineRule="auto"/>
              <w:jc w:val="center"/>
              <w:rPr>
                <w:rFonts w:eastAsia="Times New Roman"/>
                <w:b/>
                <w:bCs/>
                <w:color w:val="FFFFFF"/>
                <w:spacing w:val="0"/>
                <w:lang w:val="es-DO" w:eastAsia="es-DO"/>
              </w:rPr>
            </w:pPr>
            <w:r w:rsidRPr="000859CD">
              <w:rPr>
                <w:rFonts w:eastAsia="Times New Roman"/>
                <w:b/>
                <w:bCs/>
                <w:color w:val="FFFFFF" w:themeColor="background1"/>
                <w:spacing w:val="0"/>
                <w:lang w:eastAsia="es-DO"/>
              </w:rPr>
              <w:t>100%</w:t>
            </w:r>
          </w:p>
        </w:tc>
        <w:tc>
          <w:tcPr>
            <w:tcW w:w="0" w:type="auto"/>
            <w:tcBorders>
              <w:top w:val="nil"/>
              <w:left w:val="nil"/>
              <w:bottom w:val="single" w:sz="4" w:space="0" w:color="767171"/>
              <w:right w:val="single" w:sz="4" w:space="0" w:color="767171"/>
            </w:tcBorders>
            <w:shd w:val="clear" w:color="000000" w:fill="011C50"/>
            <w:noWrap/>
            <w:vAlign w:val="center"/>
            <w:hideMark/>
          </w:tcPr>
          <w:p w14:paraId="7B11FAD6" w14:textId="77777777" w:rsidR="000859CD" w:rsidRPr="000859CD" w:rsidRDefault="000859CD" w:rsidP="000859CD">
            <w:pPr>
              <w:spacing w:after="0" w:line="240" w:lineRule="auto"/>
              <w:jc w:val="right"/>
              <w:rPr>
                <w:rFonts w:eastAsia="Times New Roman"/>
                <w:b/>
                <w:bCs/>
                <w:color w:val="FFFFFF"/>
                <w:spacing w:val="0"/>
                <w:lang w:val="es-DO" w:eastAsia="es-DO"/>
              </w:rPr>
            </w:pPr>
            <w:r w:rsidRPr="000859CD">
              <w:rPr>
                <w:rFonts w:eastAsia="Times New Roman"/>
                <w:b/>
                <w:bCs/>
                <w:color w:val="FFFFFF" w:themeColor="background1"/>
                <w:spacing w:val="0"/>
                <w:lang w:eastAsia="es-DO"/>
              </w:rPr>
              <w:t>$8,870,784,636.53</w:t>
            </w:r>
          </w:p>
        </w:tc>
        <w:tc>
          <w:tcPr>
            <w:tcW w:w="0" w:type="auto"/>
            <w:vAlign w:val="center"/>
            <w:hideMark/>
          </w:tcPr>
          <w:p w14:paraId="7BD0DF85" w14:textId="77777777" w:rsidR="000859CD" w:rsidRPr="000859CD" w:rsidRDefault="000859CD" w:rsidP="000859CD">
            <w:pPr>
              <w:spacing w:after="0" w:line="240" w:lineRule="auto"/>
              <w:rPr>
                <w:rFonts w:eastAsia="Times New Roman"/>
                <w:color w:val="auto"/>
                <w:spacing w:val="0"/>
                <w:sz w:val="20"/>
                <w:szCs w:val="20"/>
                <w:lang w:val="es-DO" w:eastAsia="es-DO"/>
              </w:rPr>
            </w:pPr>
          </w:p>
        </w:tc>
      </w:tr>
    </w:tbl>
    <w:p w14:paraId="44638A03" w14:textId="77777777" w:rsidR="00D62706" w:rsidRPr="00AC2DB2" w:rsidRDefault="00D62706" w:rsidP="005C133F">
      <w:pPr>
        <w:spacing w:after="0" w:line="360" w:lineRule="auto"/>
        <w:rPr>
          <w:sz w:val="18"/>
          <w:szCs w:val="18"/>
          <w:lang w:val="es-DO"/>
        </w:rPr>
      </w:pPr>
      <w:r w:rsidRPr="00AC2DB2">
        <w:rPr>
          <w:sz w:val="18"/>
          <w:szCs w:val="18"/>
          <w:lang w:val="es-DO"/>
        </w:rPr>
        <w:t>Fuente: Dirección de Revisión y Análisis de Operaciones de la SISALRIL</w:t>
      </w:r>
    </w:p>
    <w:p w14:paraId="39B26198" w14:textId="77777777" w:rsidR="00D62706" w:rsidRPr="005C133F" w:rsidRDefault="00D62706" w:rsidP="005C133F">
      <w:pPr>
        <w:spacing w:after="0" w:line="360" w:lineRule="auto"/>
        <w:jc w:val="both"/>
        <w:rPr>
          <w:rFonts w:eastAsia="Times New Roman"/>
          <w:lang w:val="es-DO"/>
        </w:rPr>
      </w:pPr>
    </w:p>
    <w:p w14:paraId="0B56C928" w14:textId="77777777" w:rsidR="00D62706" w:rsidRPr="005C133F" w:rsidRDefault="00D62706" w:rsidP="005C133F">
      <w:pPr>
        <w:spacing w:after="0" w:line="360" w:lineRule="auto"/>
        <w:jc w:val="both"/>
        <w:rPr>
          <w:rFonts w:eastAsia="Times New Roman"/>
          <w:lang w:val="es-DO"/>
        </w:rPr>
      </w:pPr>
      <w:r w:rsidRPr="005C133F">
        <w:rPr>
          <w:rFonts w:eastAsia="Times New Roman"/>
          <w:lang w:val="es-DO"/>
        </w:rPr>
        <w:t>Durante el período reportado, se llevaron a cabo inspecciones sobre 96 conciliaciones bancarias correspondientes a la Dirección de Subsidios y SISALRIL, así como la revisión de 9 estados financieros.</w:t>
      </w:r>
    </w:p>
    <w:p w14:paraId="1B6FBB35" w14:textId="77777777" w:rsidR="00D62706" w:rsidRPr="005C133F" w:rsidRDefault="00D62706" w:rsidP="005C133F">
      <w:pPr>
        <w:spacing w:after="0" w:line="360" w:lineRule="auto"/>
        <w:jc w:val="both"/>
        <w:rPr>
          <w:rFonts w:eastAsia="Times New Roman"/>
          <w:lang w:val="es-DO"/>
        </w:rPr>
      </w:pPr>
      <w:r w:rsidRPr="005C133F">
        <w:rPr>
          <w:rFonts w:eastAsia="Times New Roman"/>
          <w:lang w:val="es-DO"/>
        </w:rPr>
        <w:t xml:space="preserve">Fueron devueltos 322 expedientes, debido a inconsistencias e incumplimientos detectados en las fiscalizaciones, por un monto total de RD$2,500,393,187.97. </w:t>
      </w:r>
    </w:p>
    <w:p w14:paraId="0B322473" w14:textId="77777777" w:rsidR="00D62706" w:rsidRPr="005C133F" w:rsidRDefault="00D62706" w:rsidP="005C133F">
      <w:pPr>
        <w:spacing w:after="0" w:line="360" w:lineRule="auto"/>
        <w:rPr>
          <w:rFonts w:eastAsia="Times New Roman"/>
          <w:b/>
          <w:bCs/>
          <w:lang w:val="es-DO"/>
        </w:rPr>
      </w:pPr>
    </w:p>
    <w:p w14:paraId="11F81F90" w14:textId="29C187D0" w:rsidR="00D62706" w:rsidRPr="005C133F" w:rsidRDefault="000E16B8" w:rsidP="005C133F">
      <w:pPr>
        <w:spacing w:after="0" w:line="360" w:lineRule="auto"/>
        <w:rPr>
          <w:rFonts w:eastAsia="Times New Roman"/>
          <w:b/>
          <w:bCs/>
          <w:lang w:val="es-DO"/>
        </w:rPr>
      </w:pPr>
      <w:r w:rsidRPr="005C133F">
        <w:rPr>
          <w:rFonts w:eastAsia="Times New Roman"/>
          <w:b/>
          <w:bCs/>
          <w:lang w:val="es-DO"/>
        </w:rPr>
        <w:t>Fiscalizaciones de las Operaciones Administrativas y Financieras</w:t>
      </w:r>
    </w:p>
    <w:p w14:paraId="7B2C5E69" w14:textId="77777777" w:rsidR="00D62706" w:rsidRPr="005C133F" w:rsidRDefault="00D62706" w:rsidP="005C133F">
      <w:pPr>
        <w:spacing w:after="0" w:line="360" w:lineRule="auto"/>
        <w:jc w:val="both"/>
        <w:rPr>
          <w:rFonts w:eastAsia="Times New Roman"/>
          <w:lang w:val="es-DO"/>
        </w:rPr>
      </w:pPr>
    </w:p>
    <w:p w14:paraId="474C379C" w14:textId="77777777" w:rsidR="000E16B8" w:rsidRPr="005C133F" w:rsidRDefault="000E16B8" w:rsidP="005C133F">
      <w:pPr>
        <w:spacing w:after="0" w:line="360" w:lineRule="auto"/>
        <w:jc w:val="both"/>
        <w:rPr>
          <w:rFonts w:eastAsia="Times New Roman"/>
          <w:lang w:val="es-DO"/>
        </w:rPr>
      </w:pPr>
      <w:r w:rsidRPr="005C133F">
        <w:rPr>
          <w:rFonts w:eastAsia="Times New Roman"/>
          <w:lang w:val="es-DO"/>
        </w:rPr>
        <w:t>Durante el año 2025 se ejecutó una (1) auditoría interna y 4 revisiones con sus informes técnicos o Auditorías Especiales.</w:t>
      </w:r>
    </w:p>
    <w:p w14:paraId="641AEA80" w14:textId="77777777" w:rsidR="00D62706" w:rsidRPr="005C133F" w:rsidRDefault="00D62706" w:rsidP="005C133F">
      <w:pPr>
        <w:spacing w:after="0" w:line="360" w:lineRule="auto"/>
        <w:rPr>
          <w:lang w:val="es-DO"/>
        </w:rPr>
      </w:pPr>
    </w:p>
    <w:p w14:paraId="685FD124" w14:textId="0628CA71" w:rsidR="0001158D" w:rsidRPr="005C133F" w:rsidRDefault="0001158D" w:rsidP="00EF0AB3">
      <w:pPr>
        <w:pStyle w:val="Descripcin"/>
        <w:keepNext/>
        <w:spacing w:after="0"/>
        <w:jc w:val="center"/>
        <w:rPr>
          <w:rFonts w:eastAsia="Times New Roman"/>
          <w:b/>
          <w:bCs/>
          <w:i w:val="0"/>
          <w:iCs w:val="0"/>
          <w:color w:val="767171"/>
          <w:sz w:val="24"/>
          <w:szCs w:val="24"/>
          <w:lang w:val="es-DO"/>
        </w:rPr>
      </w:pPr>
      <w:bookmarkStart w:id="117" w:name="_Toc218784178"/>
      <w:r w:rsidRPr="005C133F">
        <w:rPr>
          <w:rFonts w:eastAsia="Times New Roman"/>
          <w:b/>
          <w:bCs/>
          <w:i w:val="0"/>
          <w:iCs w:val="0"/>
          <w:color w:val="767171"/>
          <w:sz w:val="24"/>
          <w:szCs w:val="24"/>
          <w:lang w:val="es-DO"/>
        </w:rPr>
        <w:t xml:space="preserve">Tabla </w:t>
      </w:r>
      <w:r w:rsidRPr="005C133F">
        <w:rPr>
          <w:rFonts w:eastAsia="Times New Roman"/>
          <w:b/>
          <w:bCs/>
          <w:i w:val="0"/>
          <w:iCs w:val="0"/>
          <w:color w:val="767171"/>
          <w:sz w:val="24"/>
          <w:szCs w:val="24"/>
          <w:lang w:val="es-DO"/>
        </w:rPr>
        <w:fldChar w:fldCharType="begin"/>
      </w:r>
      <w:r w:rsidRPr="005C133F">
        <w:rPr>
          <w:rFonts w:eastAsia="Times New Roman"/>
          <w:b/>
          <w:bCs/>
          <w:i w:val="0"/>
          <w:iCs w:val="0"/>
          <w:color w:val="767171"/>
          <w:sz w:val="24"/>
          <w:szCs w:val="24"/>
          <w:lang w:val="es-DO"/>
        </w:rPr>
        <w:instrText xml:space="preserve"> SEQ Tabla \* ARABIC </w:instrText>
      </w:r>
      <w:r w:rsidRPr="005C133F">
        <w:rPr>
          <w:rFonts w:eastAsia="Times New Roman"/>
          <w:b/>
          <w:bCs/>
          <w:i w:val="0"/>
          <w:iCs w:val="0"/>
          <w:color w:val="767171"/>
          <w:sz w:val="24"/>
          <w:szCs w:val="24"/>
          <w:lang w:val="es-DO"/>
        </w:rPr>
        <w:fldChar w:fldCharType="separate"/>
      </w:r>
      <w:r w:rsidR="00814341">
        <w:rPr>
          <w:rFonts w:eastAsia="Times New Roman"/>
          <w:b/>
          <w:bCs/>
          <w:i w:val="0"/>
          <w:iCs w:val="0"/>
          <w:noProof/>
          <w:color w:val="767171"/>
          <w:sz w:val="24"/>
          <w:szCs w:val="24"/>
          <w:lang w:val="es-DO"/>
        </w:rPr>
        <w:t>46</w:t>
      </w:r>
      <w:r w:rsidRPr="005C133F">
        <w:rPr>
          <w:rFonts w:eastAsia="Times New Roman"/>
          <w:b/>
          <w:bCs/>
          <w:i w:val="0"/>
          <w:iCs w:val="0"/>
          <w:color w:val="767171"/>
          <w:sz w:val="24"/>
          <w:szCs w:val="24"/>
          <w:lang w:val="es-DO"/>
        </w:rPr>
        <w:fldChar w:fldCharType="end"/>
      </w:r>
      <w:r w:rsidRPr="005C133F">
        <w:rPr>
          <w:rFonts w:eastAsia="Times New Roman"/>
          <w:b/>
          <w:bCs/>
          <w:i w:val="0"/>
          <w:iCs w:val="0"/>
          <w:color w:val="767171"/>
          <w:sz w:val="24"/>
          <w:szCs w:val="24"/>
          <w:lang w:val="es-DO"/>
        </w:rPr>
        <w:t>. Universo de Fiscalización, enero-</w:t>
      </w:r>
      <w:r w:rsidR="000859CD">
        <w:rPr>
          <w:rFonts w:eastAsia="Times New Roman"/>
          <w:b/>
          <w:bCs/>
          <w:i w:val="0"/>
          <w:iCs w:val="0"/>
          <w:color w:val="767171"/>
          <w:sz w:val="24"/>
          <w:szCs w:val="24"/>
          <w:lang w:val="es-DO"/>
        </w:rPr>
        <w:t>diciembre</w:t>
      </w:r>
      <w:r w:rsidRPr="005C133F">
        <w:rPr>
          <w:rFonts w:eastAsia="Times New Roman"/>
          <w:b/>
          <w:bCs/>
          <w:i w:val="0"/>
          <w:iCs w:val="0"/>
          <w:color w:val="767171"/>
          <w:sz w:val="24"/>
          <w:szCs w:val="24"/>
          <w:lang w:val="es-DO"/>
        </w:rPr>
        <w:t xml:space="preserve"> 2025</w:t>
      </w:r>
      <w:bookmarkEnd w:id="117"/>
    </w:p>
    <w:tbl>
      <w:tblPr>
        <w:tblW w:w="5611"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CellMar>
          <w:left w:w="70" w:type="dxa"/>
          <w:right w:w="70" w:type="dxa"/>
        </w:tblCellMar>
        <w:tblLook w:val="04A0" w:firstRow="1" w:lastRow="0" w:firstColumn="1" w:lastColumn="0" w:noHBand="0" w:noVBand="1"/>
      </w:tblPr>
      <w:tblGrid>
        <w:gridCol w:w="1413"/>
        <w:gridCol w:w="3863"/>
        <w:gridCol w:w="1941"/>
        <w:gridCol w:w="1660"/>
      </w:tblGrid>
      <w:tr w:rsidR="00AC2DB2" w:rsidRPr="00AC2DB2" w14:paraId="04223558" w14:textId="77777777" w:rsidTr="00EF0AB3">
        <w:trPr>
          <w:trHeight w:val="497"/>
          <w:tblHeader/>
          <w:jc w:val="center"/>
        </w:trPr>
        <w:tc>
          <w:tcPr>
            <w:tcW w:w="796" w:type="pct"/>
            <w:vMerge w:val="restart"/>
            <w:shd w:val="clear" w:color="auto" w:fill="011C50"/>
            <w:vAlign w:val="center"/>
            <w:hideMark/>
          </w:tcPr>
          <w:p w14:paraId="61E032AD" w14:textId="77777777" w:rsidR="000E16B8" w:rsidRPr="00AC2DB2"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Períodos 2025</w:t>
            </w:r>
          </w:p>
        </w:tc>
        <w:tc>
          <w:tcPr>
            <w:tcW w:w="2176" w:type="pct"/>
            <w:vMerge w:val="restart"/>
            <w:shd w:val="clear" w:color="auto" w:fill="011C50"/>
            <w:vAlign w:val="center"/>
            <w:hideMark/>
          </w:tcPr>
          <w:p w14:paraId="71050AC2" w14:textId="77777777" w:rsidR="000E16B8" w:rsidRPr="00AC2DB2"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Descripción Inspecciones</w:t>
            </w:r>
          </w:p>
        </w:tc>
        <w:tc>
          <w:tcPr>
            <w:tcW w:w="1093" w:type="pct"/>
            <w:vMerge w:val="restart"/>
            <w:shd w:val="clear" w:color="auto" w:fill="011C50"/>
            <w:vAlign w:val="center"/>
            <w:hideMark/>
          </w:tcPr>
          <w:p w14:paraId="697AB49A" w14:textId="419A45CB" w:rsidR="00EF0AB3" w:rsidRPr="00EF0AB3"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Área Auditada</w:t>
            </w:r>
          </w:p>
        </w:tc>
        <w:tc>
          <w:tcPr>
            <w:tcW w:w="935" w:type="pct"/>
            <w:vMerge w:val="restart"/>
            <w:shd w:val="clear" w:color="auto" w:fill="011C50"/>
            <w:vAlign w:val="center"/>
            <w:hideMark/>
          </w:tcPr>
          <w:p w14:paraId="236F692A" w14:textId="77777777" w:rsidR="000E16B8" w:rsidRPr="00AC2DB2"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Cantidad Completada</w:t>
            </w:r>
          </w:p>
        </w:tc>
      </w:tr>
      <w:tr w:rsidR="004921FF" w:rsidRPr="005C133F" w14:paraId="3EDC8511" w14:textId="77777777" w:rsidTr="00EF0AB3">
        <w:trPr>
          <w:trHeight w:val="497"/>
          <w:tblHeader/>
          <w:jc w:val="center"/>
        </w:trPr>
        <w:tc>
          <w:tcPr>
            <w:tcW w:w="796" w:type="pct"/>
            <w:vMerge/>
            <w:shd w:val="clear" w:color="auto" w:fill="011C50"/>
            <w:vAlign w:val="center"/>
            <w:hideMark/>
          </w:tcPr>
          <w:p w14:paraId="2F653694" w14:textId="77777777" w:rsidR="000E16B8" w:rsidRPr="005C133F" w:rsidRDefault="000E16B8" w:rsidP="00EF0AB3">
            <w:pPr>
              <w:spacing w:after="0" w:line="240" w:lineRule="auto"/>
              <w:rPr>
                <w:rFonts w:eastAsia="Times New Roman"/>
                <w:b/>
                <w:bCs/>
                <w:lang w:val="es-419" w:eastAsia="es-419"/>
              </w:rPr>
            </w:pPr>
          </w:p>
        </w:tc>
        <w:tc>
          <w:tcPr>
            <w:tcW w:w="2176" w:type="pct"/>
            <w:vMerge/>
            <w:shd w:val="clear" w:color="auto" w:fill="011C50"/>
            <w:vAlign w:val="center"/>
            <w:hideMark/>
          </w:tcPr>
          <w:p w14:paraId="58EB9BCA" w14:textId="77777777" w:rsidR="000E16B8" w:rsidRPr="005C133F" w:rsidRDefault="000E16B8" w:rsidP="00EF0AB3">
            <w:pPr>
              <w:spacing w:after="0" w:line="240" w:lineRule="auto"/>
              <w:rPr>
                <w:rFonts w:eastAsia="Times New Roman"/>
                <w:b/>
                <w:bCs/>
                <w:lang w:val="es-419" w:eastAsia="es-419"/>
              </w:rPr>
            </w:pPr>
          </w:p>
        </w:tc>
        <w:tc>
          <w:tcPr>
            <w:tcW w:w="1093" w:type="pct"/>
            <w:vMerge/>
            <w:shd w:val="clear" w:color="auto" w:fill="011C50"/>
            <w:vAlign w:val="center"/>
            <w:hideMark/>
          </w:tcPr>
          <w:p w14:paraId="61C46DEC" w14:textId="77777777" w:rsidR="000E16B8" w:rsidRPr="005C133F" w:rsidRDefault="000E16B8" w:rsidP="00EF0AB3">
            <w:pPr>
              <w:spacing w:after="0" w:line="240" w:lineRule="auto"/>
              <w:rPr>
                <w:rFonts w:eastAsia="Times New Roman"/>
                <w:b/>
                <w:bCs/>
                <w:lang w:val="es-419" w:eastAsia="es-419"/>
              </w:rPr>
            </w:pPr>
          </w:p>
        </w:tc>
        <w:tc>
          <w:tcPr>
            <w:tcW w:w="935" w:type="pct"/>
            <w:vMerge/>
            <w:shd w:val="clear" w:color="auto" w:fill="011C50"/>
            <w:vAlign w:val="center"/>
            <w:hideMark/>
          </w:tcPr>
          <w:p w14:paraId="47B9D2E5" w14:textId="77777777" w:rsidR="000E16B8" w:rsidRPr="005C133F" w:rsidRDefault="000E16B8" w:rsidP="00EF0AB3">
            <w:pPr>
              <w:spacing w:after="0" w:line="240" w:lineRule="auto"/>
              <w:rPr>
                <w:rFonts w:eastAsia="Times New Roman"/>
                <w:b/>
                <w:bCs/>
                <w:lang w:val="es-419" w:eastAsia="es-419"/>
              </w:rPr>
            </w:pPr>
          </w:p>
        </w:tc>
      </w:tr>
      <w:tr w:rsidR="004921FF" w:rsidRPr="005C133F" w14:paraId="0E521B64" w14:textId="77777777" w:rsidTr="00EF0AB3">
        <w:trPr>
          <w:trHeight w:val="458"/>
          <w:tblHeader/>
          <w:jc w:val="center"/>
        </w:trPr>
        <w:tc>
          <w:tcPr>
            <w:tcW w:w="796" w:type="pct"/>
            <w:vMerge/>
            <w:shd w:val="clear" w:color="auto" w:fill="011C50"/>
            <w:vAlign w:val="center"/>
            <w:hideMark/>
          </w:tcPr>
          <w:p w14:paraId="2CE9A9E7" w14:textId="77777777" w:rsidR="000E16B8" w:rsidRPr="005C133F" w:rsidRDefault="000E16B8" w:rsidP="00EF0AB3">
            <w:pPr>
              <w:spacing w:after="0" w:line="240" w:lineRule="auto"/>
              <w:rPr>
                <w:rFonts w:eastAsia="Times New Roman"/>
                <w:b/>
                <w:bCs/>
                <w:lang w:val="es-419" w:eastAsia="es-419"/>
              </w:rPr>
            </w:pPr>
          </w:p>
        </w:tc>
        <w:tc>
          <w:tcPr>
            <w:tcW w:w="2176" w:type="pct"/>
            <w:vMerge/>
            <w:shd w:val="clear" w:color="auto" w:fill="011C50"/>
            <w:vAlign w:val="center"/>
            <w:hideMark/>
          </w:tcPr>
          <w:p w14:paraId="1B27DCC2" w14:textId="77777777" w:rsidR="000E16B8" w:rsidRPr="005C133F" w:rsidRDefault="000E16B8" w:rsidP="00EF0AB3">
            <w:pPr>
              <w:spacing w:after="0" w:line="240" w:lineRule="auto"/>
              <w:rPr>
                <w:rFonts w:eastAsia="Times New Roman"/>
                <w:lang w:val="es-419" w:eastAsia="es-419"/>
              </w:rPr>
            </w:pPr>
          </w:p>
        </w:tc>
        <w:tc>
          <w:tcPr>
            <w:tcW w:w="1093" w:type="pct"/>
            <w:vMerge/>
            <w:shd w:val="clear" w:color="auto" w:fill="011C50"/>
            <w:vAlign w:val="center"/>
            <w:hideMark/>
          </w:tcPr>
          <w:p w14:paraId="634CD026" w14:textId="77777777" w:rsidR="000E16B8" w:rsidRPr="005C133F" w:rsidRDefault="000E16B8" w:rsidP="00EF0AB3">
            <w:pPr>
              <w:spacing w:after="0" w:line="240" w:lineRule="auto"/>
              <w:rPr>
                <w:rFonts w:eastAsia="Times New Roman"/>
                <w:lang w:val="es-419" w:eastAsia="es-419"/>
              </w:rPr>
            </w:pPr>
          </w:p>
        </w:tc>
        <w:tc>
          <w:tcPr>
            <w:tcW w:w="935" w:type="pct"/>
            <w:vMerge/>
            <w:shd w:val="clear" w:color="auto" w:fill="011C50"/>
            <w:vAlign w:val="center"/>
            <w:hideMark/>
          </w:tcPr>
          <w:p w14:paraId="14DA1B32" w14:textId="77777777" w:rsidR="000E16B8" w:rsidRPr="005C133F" w:rsidRDefault="000E16B8" w:rsidP="00EF0AB3">
            <w:pPr>
              <w:spacing w:after="0" w:line="240" w:lineRule="auto"/>
              <w:rPr>
                <w:rFonts w:eastAsia="Times New Roman"/>
                <w:lang w:val="es-419" w:eastAsia="es-419"/>
              </w:rPr>
            </w:pPr>
          </w:p>
        </w:tc>
      </w:tr>
      <w:tr w:rsidR="004921FF" w:rsidRPr="005C133F" w14:paraId="3E5F1E5D" w14:textId="77777777" w:rsidTr="00EF0AB3">
        <w:trPr>
          <w:trHeight w:val="113"/>
          <w:jc w:val="center"/>
        </w:trPr>
        <w:tc>
          <w:tcPr>
            <w:tcW w:w="796" w:type="pct"/>
            <w:vMerge w:val="restart"/>
            <w:vAlign w:val="center"/>
            <w:hideMark/>
          </w:tcPr>
          <w:p w14:paraId="7EF19714" w14:textId="77777777" w:rsidR="000E16B8" w:rsidRPr="005C133F" w:rsidRDefault="000E16B8" w:rsidP="00EF0AB3">
            <w:pPr>
              <w:spacing w:after="0" w:line="240" w:lineRule="auto"/>
              <w:jc w:val="center"/>
              <w:rPr>
                <w:rFonts w:eastAsia="Times New Roman"/>
                <w:b/>
                <w:bCs/>
                <w:lang w:val="es-419" w:eastAsia="es-419"/>
              </w:rPr>
            </w:pPr>
            <w:r w:rsidRPr="005C133F">
              <w:rPr>
                <w:rFonts w:eastAsia="Times New Roman"/>
                <w:b/>
                <w:bCs/>
                <w:lang w:val="es-419" w:eastAsia="es-419"/>
              </w:rPr>
              <w:t xml:space="preserve">(T3-2025) </w:t>
            </w:r>
            <w:r w:rsidRPr="005C133F">
              <w:br/>
            </w:r>
          </w:p>
        </w:tc>
        <w:tc>
          <w:tcPr>
            <w:tcW w:w="2176" w:type="pct"/>
            <w:vAlign w:val="center"/>
            <w:hideMark/>
          </w:tcPr>
          <w:p w14:paraId="153DCC9C" w14:textId="77777777" w:rsidR="000E16B8" w:rsidRPr="005C133F" w:rsidRDefault="000E16B8" w:rsidP="00EF0AB3">
            <w:pPr>
              <w:spacing w:after="0" w:line="240" w:lineRule="auto"/>
              <w:rPr>
                <w:rFonts w:eastAsia="Times New Roman"/>
                <w:lang w:val="es-419" w:eastAsia="es-419"/>
              </w:rPr>
            </w:pPr>
            <w:r w:rsidRPr="005C133F">
              <w:rPr>
                <w:rFonts w:eastAsia="Times New Roman"/>
                <w:lang w:val="es-419" w:eastAsia="es-419"/>
              </w:rPr>
              <w:t>Proceso Operativo de Subsidios</w:t>
            </w:r>
          </w:p>
        </w:tc>
        <w:tc>
          <w:tcPr>
            <w:tcW w:w="1093" w:type="pct"/>
            <w:vMerge w:val="restart"/>
            <w:noWrap/>
            <w:vAlign w:val="center"/>
            <w:hideMark/>
          </w:tcPr>
          <w:p w14:paraId="7EDF3756"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Dirección de Subsidios (DS)</w:t>
            </w:r>
          </w:p>
        </w:tc>
        <w:tc>
          <w:tcPr>
            <w:tcW w:w="935" w:type="pct"/>
            <w:noWrap/>
            <w:vAlign w:val="center"/>
            <w:hideMark/>
          </w:tcPr>
          <w:p w14:paraId="545AE70F"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1</w:t>
            </w:r>
          </w:p>
        </w:tc>
      </w:tr>
      <w:tr w:rsidR="004921FF" w:rsidRPr="005C133F" w14:paraId="01C8446C" w14:textId="77777777" w:rsidTr="00EF0AB3">
        <w:trPr>
          <w:trHeight w:val="228"/>
          <w:jc w:val="center"/>
        </w:trPr>
        <w:tc>
          <w:tcPr>
            <w:tcW w:w="796" w:type="pct"/>
            <w:vMerge/>
            <w:vAlign w:val="center"/>
            <w:hideMark/>
          </w:tcPr>
          <w:p w14:paraId="621CAF8C" w14:textId="77777777" w:rsidR="000E16B8" w:rsidRPr="005C133F" w:rsidRDefault="000E16B8" w:rsidP="00EF0AB3">
            <w:pPr>
              <w:spacing w:after="0" w:line="240" w:lineRule="auto"/>
              <w:rPr>
                <w:rFonts w:eastAsia="Times New Roman"/>
                <w:b/>
                <w:bCs/>
                <w:lang w:val="es-419" w:eastAsia="es-419"/>
              </w:rPr>
            </w:pPr>
          </w:p>
        </w:tc>
        <w:tc>
          <w:tcPr>
            <w:tcW w:w="2176" w:type="pct"/>
            <w:vAlign w:val="center"/>
            <w:hideMark/>
          </w:tcPr>
          <w:p w14:paraId="01877EEE" w14:textId="77777777" w:rsidR="000E16B8" w:rsidRPr="005C133F" w:rsidRDefault="000E16B8" w:rsidP="00EF0AB3">
            <w:pPr>
              <w:spacing w:after="0" w:line="240" w:lineRule="auto"/>
              <w:rPr>
                <w:rFonts w:eastAsia="Times New Roman"/>
                <w:lang w:val="es-419" w:eastAsia="es-419"/>
              </w:rPr>
            </w:pPr>
            <w:r w:rsidRPr="005C133F">
              <w:rPr>
                <w:rFonts w:eastAsia="Times New Roman"/>
                <w:lang w:val="es-419" w:eastAsia="es-419"/>
              </w:rPr>
              <w:t>Solicitud de Autorización de Reversos de pagos por Maternidad y Enfermedad Común</w:t>
            </w:r>
          </w:p>
        </w:tc>
        <w:tc>
          <w:tcPr>
            <w:tcW w:w="1093" w:type="pct"/>
            <w:vMerge/>
            <w:vAlign w:val="center"/>
            <w:hideMark/>
          </w:tcPr>
          <w:p w14:paraId="461D279C" w14:textId="77777777" w:rsidR="000E16B8" w:rsidRPr="005C133F" w:rsidRDefault="000E16B8" w:rsidP="00EF0AB3">
            <w:pPr>
              <w:spacing w:after="0" w:line="240" w:lineRule="auto"/>
              <w:rPr>
                <w:rFonts w:eastAsia="Times New Roman"/>
                <w:lang w:val="es-419" w:eastAsia="es-419"/>
              </w:rPr>
            </w:pPr>
          </w:p>
        </w:tc>
        <w:tc>
          <w:tcPr>
            <w:tcW w:w="935" w:type="pct"/>
            <w:noWrap/>
            <w:vAlign w:val="center"/>
            <w:hideMark/>
          </w:tcPr>
          <w:p w14:paraId="67855985"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1</w:t>
            </w:r>
          </w:p>
        </w:tc>
      </w:tr>
      <w:tr w:rsidR="004921FF" w:rsidRPr="005C133F" w14:paraId="61FA4271" w14:textId="77777777" w:rsidTr="00EF0AB3">
        <w:trPr>
          <w:trHeight w:val="113"/>
          <w:jc w:val="center"/>
        </w:trPr>
        <w:tc>
          <w:tcPr>
            <w:tcW w:w="796" w:type="pct"/>
            <w:vMerge/>
            <w:vAlign w:val="center"/>
            <w:hideMark/>
          </w:tcPr>
          <w:p w14:paraId="7AF5956F" w14:textId="77777777" w:rsidR="000E16B8" w:rsidRPr="005C133F" w:rsidRDefault="000E16B8" w:rsidP="00EF0AB3">
            <w:pPr>
              <w:spacing w:after="0" w:line="240" w:lineRule="auto"/>
              <w:rPr>
                <w:rFonts w:eastAsia="Times New Roman"/>
                <w:b/>
                <w:bCs/>
                <w:lang w:val="es-419" w:eastAsia="es-419"/>
              </w:rPr>
            </w:pPr>
          </w:p>
        </w:tc>
        <w:tc>
          <w:tcPr>
            <w:tcW w:w="2176" w:type="pct"/>
            <w:vAlign w:val="center"/>
            <w:hideMark/>
          </w:tcPr>
          <w:p w14:paraId="3A72B7FE" w14:textId="77777777" w:rsidR="000E16B8" w:rsidRPr="005C133F" w:rsidRDefault="000E16B8" w:rsidP="00EF0AB3">
            <w:pPr>
              <w:spacing w:after="0" w:line="240" w:lineRule="auto"/>
              <w:rPr>
                <w:rFonts w:eastAsia="Times New Roman"/>
                <w:lang w:val="es-419" w:eastAsia="es-419"/>
              </w:rPr>
            </w:pPr>
            <w:r w:rsidRPr="005C133F">
              <w:rPr>
                <w:rFonts w:eastAsia="Times New Roman"/>
                <w:lang w:val="es-419" w:eastAsia="es-419"/>
              </w:rPr>
              <w:t>Revisión a los Estados Financieros SISALRIL</w:t>
            </w:r>
          </w:p>
        </w:tc>
        <w:tc>
          <w:tcPr>
            <w:tcW w:w="1093" w:type="pct"/>
            <w:vMerge w:val="restart"/>
            <w:noWrap/>
            <w:vAlign w:val="center"/>
            <w:hideMark/>
          </w:tcPr>
          <w:p w14:paraId="5E094EA2"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Dirección Administrativo y Financiero (DAF)</w:t>
            </w:r>
          </w:p>
        </w:tc>
        <w:tc>
          <w:tcPr>
            <w:tcW w:w="935" w:type="pct"/>
            <w:noWrap/>
            <w:vAlign w:val="center"/>
            <w:hideMark/>
          </w:tcPr>
          <w:p w14:paraId="261A8202"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2</w:t>
            </w:r>
          </w:p>
        </w:tc>
      </w:tr>
      <w:tr w:rsidR="004921FF" w:rsidRPr="005C133F" w14:paraId="340AC6DB" w14:textId="77777777" w:rsidTr="00EF0AB3">
        <w:trPr>
          <w:trHeight w:val="113"/>
          <w:jc w:val="center"/>
        </w:trPr>
        <w:tc>
          <w:tcPr>
            <w:tcW w:w="796" w:type="pct"/>
            <w:vMerge/>
            <w:vAlign w:val="center"/>
            <w:hideMark/>
          </w:tcPr>
          <w:p w14:paraId="58D3E056" w14:textId="77777777" w:rsidR="000E16B8" w:rsidRPr="005C133F" w:rsidRDefault="000E16B8" w:rsidP="00EF0AB3">
            <w:pPr>
              <w:spacing w:after="0" w:line="240" w:lineRule="auto"/>
              <w:rPr>
                <w:rFonts w:eastAsia="Times New Roman"/>
                <w:b/>
                <w:bCs/>
                <w:lang w:val="es-419" w:eastAsia="es-419"/>
              </w:rPr>
            </w:pPr>
          </w:p>
        </w:tc>
        <w:tc>
          <w:tcPr>
            <w:tcW w:w="2176" w:type="pct"/>
            <w:vAlign w:val="center"/>
            <w:hideMark/>
          </w:tcPr>
          <w:p w14:paraId="535223AD" w14:textId="77777777" w:rsidR="000E16B8" w:rsidRPr="005C133F" w:rsidRDefault="000E16B8" w:rsidP="00EF0AB3">
            <w:pPr>
              <w:spacing w:after="0" w:line="240" w:lineRule="auto"/>
              <w:rPr>
                <w:rFonts w:eastAsia="Times New Roman"/>
                <w:lang w:val="es-419" w:eastAsia="es-419"/>
              </w:rPr>
            </w:pPr>
            <w:r w:rsidRPr="005C133F">
              <w:rPr>
                <w:rFonts w:eastAsia="Times New Roman"/>
                <w:lang w:val="es-419" w:eastAsia="es-419"/>
              </w:rPr>
              <w:t>Revisión de Pagos a TSS</w:t>
            </w:r>
          </w:p>
        </w:tc>
        <w:tc>
          <w:tcPr>
            <w:tcW w:w="1093" w:type="pct"/>
            <w:vMerge/>
            <w:vAlign w:val="center"/>
            <w:hideMark/>
          </w:tcPr>
          <w:p w14:paraId="112F74EC" w14:textId="77777777" w:rsidR="000E16B8" w:rsidRPr="005C133F" w:rsidRDefault="000E16B8" w:rsidP="00EF0AB3">
            <w:pPr>
              <w:spacing w:after="0" w:line="240" w:lineRule="auto"/>
              <w:rPr>
                <w:rFonts w:eastAsia="Times New Roman"/>
                <w:lang w:val="es-419" w:eastAsia="es-419"/>
              </w:rPr>
            </w:pPr>
          </w:p>
        </w:tc>
        <w:tc>
          <w:tcPr>
            <w:tcW w:w="935" w:type="pct"/>
            <w:noWrap/>
            <w:vAlign w:val="center"/>
            <w:hideMark/>
          </w:tcPr>
          <w:p w14:paraId="64A549BD" w14:textId="77777777" w:rsidR="000E16B8" w:rsidRPr="005C133F" w:rsidRDefault="000E16B8" w:rsidP="00EF0AB3">
            <w:pPr>
              <w:spacing w:after="0" w:line="240" w:lineRule="auto"/>
              <w:jc w:val="center"/>
              <w:rPr>
                <w:rFonts w:eastAsia="Times New Roman"/>
                <w:lang w:val="es-419" w:eastAsia="es-419"/>
              </w:rPr>
            </w:pPr>
            <w:r w:rsidRPr="005C133F">
              <w:rPr>
                <w:rFonts w:eastAsia="Times New Roman"/>
                <w:lang w:val="es-419" w:eastAsia="es-419"/>
              </w:rPr>
              <w:t>1</w:t>
            </w:r>
          </w:p>
        </w:tc>
      </w:tr>
      <w:tr w:rsidR="00AC2DB2" w:rsidRPr="00AC2DB2" w14:paraId="3B897C5D" w14:textId="77777777" w:rsidTr="00AC2DB2">
        <w:trPr>
          <w:trHeight w:val="113"/>
          <w:jc w:val="center"/>
        </w:trPr>
        <w:tc>
          <w:tcPr>
            <w:tcW w:w="4065" w:type="pct"/>
            <w:gridSpan w:val="3"/>
            <w:shd w:val="clear" w:color="auto" w:fill="767171"/>
            <w:noWrap/>
            <w:vAlign w:val="center"/>
            <w:hideMark/>
          </w:tcPr>
          <w:p w14:paraId="1C7B8851" w14:textId="77777777" w:rsidR="000E16B8" w:rsidRPr="00AC2DB2"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TOTALES RD$</w:t>
            </w:r>
          </w:p>
        </w:tc>
        <w:tc>
          <w:tcPr>
            <w:tcW w:w="935" w:type="pct"/>
            <w:shd w:val="clear" w:color="auto" w:fill="767171"/>
            <w:noWrap/>
            <w:vAlign w:val="center"/>
            <w:hideMark/>
          </w:tcPr>
          <w:p w14:paraId="4A294D36" w14:textId="77777777" w:rsidR="000E16B8" w:rsidRPr="00AC2DB2" w:rsidRDefault="000E16B8" w:rsidP="00EF0AB3">
            <w:pPr>
              <w:spacing w:after="0" w:line="240" w:lineRule="auto"/>
              <w:jc w:val="center"/>
              <w:rPr>
                <w:rFonts w:eastAsia="Times New Roman"/>
                <w:b/>
                <w:bCs/>
                <w:color w:val="FFFFFF" w:themeColor="background1"/>
                <w:lang w:val="es-419" w:eastAsia="es-419"/>
              </w:rPr>
            </w:pPr>
            <w:r w:rsidRPr="00AC2DB2">
              <w:rPr>
                <w:rFonts w:eastAsia="Times New Roman"/>
                <w:b/>
                <w:bCs/>
                <w:color w:val="FFFFFF" w:themeColor="background1"/>
                <w:lang w:val="es-419" w:eastAsia="es-419"/>
              </w:rPr>
              <w:t>5</w:t>
            </w:r>
          </w:p>
        </w:tc>
      </w:tr>
    </w:tbl>
    <w:p w14:paraId="669B825D" w14:textId="534A7A98" w:rsidR="00D62706" w:rsidRPr="00885E9D" w:rsidRDefault="000E16B8" w:rsidP="005C133F">
      <w:pPr>
        <w:spacing w:after="0" w:line="360" w:lineRule="auto"/>
        <w:rPr>
          <w:sz w:val="18"/>
          <w:szCs w:val="18"/>
          <w:lang w:val="es-DO"/>
        </w:rPr>
      </w:pPr>
      <w:r w:rsidRPr="00885E9D">
        <w:rPr>
          <w:sz w:val="18"/>
          <w:szCs w:val="18"/>
          <w:lang w:val="es-DO"/>
        </w:rPr>
        <w:t>Fuente: Dirección de Revisión y Análisis de Operaciones de la SISALRIL</w:t>
      </w:r>
    </w:p>
    <w:p w14:paraId="2E7870A7" w14:textId="77777777" w:rsidR="000E16B8" w:rsidRPr="00885E9D" w:rsidRDefault="000E16B8" w:rsidP="005C133F">
      <w:pPr>
        <w:spacing w:before="120" w:after="0" w:line="360" w:lineRule="auto"/>
        <w:jc w:val="both"/>
        <w:rPr>
          <w:rFonts w:eastAsia="Times New Roman"/>
          <w:i/>
          <w:iCs/>
          <w:sz w:val="18"/>
          <w:szCs w:val="18"/>
          <w:lang w:val="es-DO"/>
        </w:rPr>
      </w:pPr>
      <w:r w:rsidRPr="00885E9D">
        <w:rPr>
          <w:rFonts w:eastAsia="Times New Roman"/>
          <w:i/>
          <w:iCs/>
          <w:sz w:val="18"/>
          <w:szCs w:val="18"/>
          <w:lang w:val="es-DO"/>
        </w:rPr>
        <w:t>Nota: La actividad de inspección de pagos y revisión de expedientes estuvo inicialmente adscrita a la Dirección Administrativa y Financiera (DAF); sin embargo, mediante la Resolución Administrativa No. 005-2025, emitida en junio de 2025, dicha responsabilidad fue transferida formalmente a la Dirección de Revisión y Análisis de las Operaciones (DRAO). Es importante destacar que esta misma resolución dispuso una modificación en la estructura orgánica de la SISALRIL, creando de manera formal la Dirección de Revisión y Análisis de las Operaciones., ver la imagen No. 01.</w:t>
      </w:r>
    </w:p>
    <w:p w14:paraId="0E042FC9" w14:textId="7A45300C" w:rsidR="00DF4CF7" w:rsidRPr="005C133F" w:rsidRDefault="00A31520" w:rsidP="005C133F">
      <w:pPr>
        <w:pStyle w:val="SUBTITULITO"/>
        <w:spacing w:before="0" w:after="0"/>
        <w:rPr>
          <w:rFonts w:eastAsia="Calibri"/>
          <w:noProof/>
        </w:rPr>
      </w:pPr>
      <w:bookmarkStart w:id="118" w:name="_Toc219121853"/>
      <w:r w:rsidRPr="005C133F">
        <w:rPr>
          <w:rFonts w:eastAsia="Calibri"/>
          <w:noProof/>
        </w:rPr>
        <w:t>4.2 Desempeño de los Recursos Humanos</w:t>
      </w:r>
      <w:bookmarkEnd w:id="118"/>
    </w:p>
    <w:p w14:paraId="036B3612" w14:textId="77777777" w:rsidR="000E16B8" w:rsidRPr="005C133F" w:rsidRDefault="000E16B8" w:rsidP="005C133F">
      <w:pPr>
        <w:spacing w:after="0" w:line="360" w:lineRule="auto"/>
        <w:rPr>
          <w:noProof/>
          <w:lang w:val="es-DO"/>
        </w:rPr>
      </w:pPr>
    </w:p>
    <w:p w14:paraId="3F802502" w14:textId="4F58381A" w:rsidR="001D0F23" w:rsidRDefault="00DF4CF7" w:rsidP="005C133F">
      <w:pPr>
        <w:spacing w:after="0" w:line="360" w:lineRule="auto"/>
        <w:jc w:val="both"/>
        <w:rPr>
          <w:noProof/>
          <w:lang w:val="es-DO"/>
        </w:rPr>
      </w:pPr>
      <w:r w:rsidRPr="005C133F">
        <w:rPr>
          <w:noProof/>
          <w:lang w:val="es-DO"/>
        </w:rPr>
        <w:t xml:space="preserve">Los resultados obtenidos en el Sistema de Monitoreo de la Administración Pública (SISMAP) al cierre de diciembre 2025, evidencian los avances alcanzados en materia de planificación del talento humano, cumplimiento normativo, fortalecimiento institucional y mejora de los procesos internos, reafirmando el esfuerzo sostenido de la institución por consolidar una administración pública eficiente, transparente y orientada a resultados. </w:t>
      </w:r>
    </w:p>
    <w:p w14:paraId="6F953ADC" w14:textId="77777777" w:rsidR="00773C75" w:rsidRPr="005C133F" w:rsidRDefault="00773C75" w:rsidP="005C133F">
      <w:pPr>
        <w:spacing w:after="0" w:line="360" w:lineRule="auto"/>
        <w:jc w:val="both"/>
        <w:rPr>
          <w:lang w:val="es-DO"/>
        </w:rPr>
      </w:pPr>
    </w:p>
    <w:p w14:paraId="6F957DE8" w14:textId="078F3EBA" w:rsidR="00283371" w:rsidRPr="005C133F" w:rsidRDefault="00283371" w:rsidP="00773C75">
      <w:pPr>
        <w:pStyle w:val="Descripcin"/>
        <w:keepNext/>
        <w:spacing w:after="0"/>
        <w:jc w:val="center"/>
        <w:rPr>
          <w:b/>
          <w:bCs/>
          <w:i w:val="0"/>
          <w:iCs w:val="0"/>
          <w:noProof/>
          <w:color w:val="767171"/>
          <w:sz w:val="24"/>
          <w:szCs w:val="24"/>
          <w:lang w:val="es-DO"/>
        </w:rPr>
      </w:pPr>
      <w:bookmarkStart w:id="119" w:name="_Toc218784179"/>
      <w:r w:rsidRPr="005C133F">
        <w:rPr>
          <w:b/>
          <w:bCs/>
          <w:i w:val="0"/>
          <w:iCs w:val="0"/>
          <w:noProof/>
          <w:color w:val="767171"/>
          <w:sz w:val="24"/>
          <w:szCs w:val="24"/>
          <w:lang w:val="es-DO"/>
        </w:rPr>
        <w:lastRenderedPageBreak/>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47</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Resultados del Sistema de Monitoreo de la Administración Pública, diciembre 2025</w:t>
      </w:r>
      <w:bookmarkEnd w:id="119"/>
    </w:p>
    <w:tbl>
      <w:tblPr>
        <w:tblStyle w:val="Tablanormal3"/>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052"/>
        <w:gridCol w:w="4932"/>
        <w:gridCol w:w="1926"/>
      </w:tblGrid>
      <w:tr w:rsidR="007C49E3" w:rsidRPr="005C133F" w14:paraId="65001158" w14:textId="77777777" w:rsidTr="000E16B8">
        <w:trPr>
          <w:cnfStyle w:val="100000000000" w:firstRow="1" w:lastRow="0" w:firstColumn="0" w:lastColumn="0" w:oddVBand="0" w:evenVBand="0" w:oddHBand="0" w:evenHBand="0" w:firstRowFirstColumn="0" w:firstRowLastColumn="0" w:lastRowFirstColumn="0" w:lastRowLastColumn="0"/>
          <w:trHeight w:val="558"/>
          <w:tblHeader/>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011C50"/>
            <w:hideMark/>
          </w:tcPr>
          <w:p w14:paraId="4C276C3A" w14:textId="77777777" w:rsidR="008E50BE" w:rsidRPr="005C133F" w:rsidRDefault="008E50BE" w:rsidP="00773C75">
            <w:pPr>
              <w:jc w:val="center"/>
              <w:rPr>
                <w:rFonts w:ascii="Times New Roman" w:hAnsi="Times New Roman" w:cs="Times New Roman"/>
                <w:bCs w:val="0"/>
                <w:caps w:val="0"/>
                <w:color w:val="FFFFFF" w:themeColor="background1"/>
                <w:spacing w:val="17"/>
                <w:sz w:val="24"/>
                <w:szCs w:val="24"/>
                <w:lang w:val="es-DO"/>
              </w:rPr>
            </w:pPr>
          </w:p>
          <w:p w14:paraId="1F6FBB60" w14:textId="77777777" w:rsidR="008E50BE" w:rsidRPr="005C133F" w:rsidRDefault="008E50BE" w:rsidP="00773C75">
            <w:pPr>
              <w:jc w:val="center"/>
              <w:rPr>
                <w:rFonts w:ascii="Times New Roman" w:hAnsi="Times New Roman" w:cs="Times New Roman"/>
                <w:bCs w:val="0"/>
                <w:color w:val="FFFFFF" w:themeColor="background1"/>
                <w:spacing w:val="17"/>
                <w:sz w:val="24"/>
                <w:szCs w:val="24"/>
                <w:lang w:val="es-DO"/>
              </w:rPr>
            </w:pPr>
            <w:r w:rsidRPr="005C133F">
              <w:rPr>
                <w:rFonts w:ascii="Times New Roman" w:hAnsi="Times New Roman" w:cs="Times New Roman"/>
                <w:bCs w:val="0"/>
                <w:caps w:val="0"/>
                <w:color w:val="FFFFFF" w:themeColor="background1"/>
                <w:spacing w:val="17"/>
                <w:sz w:val="24"/>
                <w:szCs w:val="24"/>
                <w:lang w:val="es-DO"/>
              </w:rPr>
              <w:t>Código</w:t>
            </w:r>
          </w:p>
        </w:tc>
        <w:tc>
          <w:tcPr>
            <w:tcW w:w="0" w:type="auto"/>
            <w:shd w:val="clear" w:color="auto" w:fill="011C50"/>
            <w:hideMark/>
          </w:tcPr>
          <w:p w14:paraId="1C74153D" w14:textId="77777777" w:rsidR="008E50BE" w:rsidRPr="005C133F" w:rsidRDefault="008E50BE" w:rsidP="00773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aps w:val="0"/>
                <w:color w:val="FFFFFF" w:themeColor="background1"/>
                <w:spacing w:val="17"/>
                <w:sz w:val="24"/>
                <w:szCs w:val="24"/>
                <w:lang w:val="es-DO"/>
              </w:rPr>
            </w:pPr>
          </w:p>
          <w:p w14:paraId="2C5F83F4" w14:textId="77777777" w:rsidR="008E50BE" w:rsidRPr="005C133F" w:rsidRDefault="008E50BE" w:rsidP="00773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aps w:val="0"/>
                <w:color w:val="FFFFFF" w:themeColor="background1"/>
                <w:spacing w:val="17"/>
                <w:sz w:val="24"/>
                <w:szCs w:val="24"/>
                <w:lang w:val="es-DO"/>
              </w:rPr>
            </w:pPr>
            <w:r w:rsidRPr="005C133F">
              <w:rPr>
                <w:rFonts w:ascii="Times New Roman" w:hAnsi="Times New Roman" w:cs="Times New Roman"/>
                <w:bCs w:val="0"/>
                <w:caps w:val="0"/>
                <w:color w:val="FFFFFF" w:themeColor="background1"/>
                <w:spacing w:val="17"/>
                <w:sz w:val="24"/>
                <w:szCs w:val="24"/>
                <w:lang w:val="es-DO"/>
              </w:rPr>
              <w:t>Indicador</w:t>
            </w:r>
          </w:p>
        </w:tc>
        <w:tc>
          <w:tcPr>
            <w:tcW w:w="0" w:type="auto"/>
            <w:shd w:val="clear" w:color="auto" w:fill="011C50"/>
            <w:hideMark/>
          </w:tcPr>
          <w:p w14:paraId="6755E35B" w14:textId="77777777" w:rsidR="008E50BE" w:rsidRPr="005C133F" w:rsidRDefault="008E50BE" w:rsidP="00773C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aps w:val="0"/>
                <w:color w:val="FFFFFF" w:themeColor="background1"/>
                <w:spacing w:val="17"/>
                <w:sz w:val="24"/>
                <w:szCs w:val="24"/>
                <w:lang w:val="es-DO"/>
              </w:rPr>
            </w:pPr>
            <w:r w:rsidRPr="005C133F">
              <w:rPr>
                <w:rFonts w:ascii="Times New Roman" w:hAnsi="Times New Roman" w:cs="Times New Roman"/>
                <w:bCs w:val="0"/>
                <w:caps w:val="0"/>
                <w:color w:val="FFFFFF" w:themeColor="background1"/>
                <w:spacing w:val="17"/>
                <w:sz w:val="24"/>
                <w:szCs w:val="24"/>
                <w:lang w:val="es-DO"/>
              </w:rPr>
              <w:t>Resultado a diciembre 2025</w:t>
            </w:r>
          </w:p>
        </w:tc>
      </w:tr>
      <w:tr w:rsidR="007C49E3" w:rsidRPr="00CD02F5" w14:paraId="5A8E697D"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4EA63D67" w14:textId="77777777" w:rsidR="008E50BE" w:rsidRPr="005C133F" w:rsidRDefault="008E50BE" w:rsidP="00773C75">
            <w:pPr>
              <w:rPr>
                <w:rFonts w:ascii="Times New Roman" w:hAnsi="Times New Roman" w:cs="Times New Roman"/>
                <w:bCs w:val="0"/>
                <w:color w:val="FFFFFF" w:themeColor="background1"/>
                <w:spacing w:val="17"/>
                <w:sz w:val="24"/>
                <w:szCs w:val="24"/>
                <w:lang w:val="es-DO"/>
              </w:rPr>
            </w:pPr>
            <w:r w:rsidRPr="005C133F">
              <w:rPr>
                <w:rFonts w:ascii="Times New Roman" w:hAnsi="Times New Roman" w:cs="Times New Roman"/>
                <w:bCs w:val="0"/>
                <w:caps w:val="0"/>
                <w:color w:val="FFFFFF" w:themeColor="background1"/>
                <w:spacing w:val="17"/>
                <w:sz w:val="24"/>
                <w:szCs w:val="24"/>
                <w:lang w:val="es-DO"/>
              </w:rPr>
              <w:t xml:space="preserve">01. Gestión de la calidad y servicios                    </w:t>
            </w:r>
          </w:p>
        </w:tc>
      </w:tr>
      <w:tr w:rsidR="004921FF" w:rsidRPr="005C133F" w14:paraId="7055B668"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71CEC8"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1.1</w:t>
            </w:r>
          </w:p>
        </w:tc>
        <w:tc>
          <w:tcPr>
            <w:tcW w:w="0" w:type="auto"/>
            <w:hideMark/>
          </w:tcPr>
          <w:p w14:paraId="3D16977D"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Autoevaluación CAF</w:t>
            </w:r>
          </w:p>
        </w:tc>
        <w:tc>
          <w:tcPr>
            <w:tcW w:w="0" w:type="auto"/>
            <w:hideMark/>
          </w:tcPr>
          <w:p w14:paraId="26BE5F2B"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14CBB37B"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43A00E"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1.2</w:t>
            </w:r>
          </w:p>
        </w:tc>
        <w:tc>
          <w:tcPr>
            <w:tcW w:w="0" w:type="auto"/>
            <w:hideMark/>
          </w:tcPr>
          <w:p w14:paraId="745FFEB1"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Plan de Mejora Modelo CAF</w:t>
            </w:r>
          </w:p>
        </w:tc>
        <w:tc>
          <w:tcPr>
            <w:tcW w:w="0" w:type="auto"/>
            <w:hideMark/>
          </w:tcPr>
          <w:p w14:paraId="21BAC2B1"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79D3C7AF"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B12B7B"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1.3</w:t>
            </w:r>
          </w:p>
        </w:tc>
        <w:tc>
          <w:tcPr>
            <w:tcW w:w="0" w:type="auto"/>
            <w:hideMark/>
          </w:tcPr>
          <w:p w14:paraId="58DDF78E"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Estandarización de Procesos</w:t>
            </w:r>
          </w:p>
        </w:tc>
        <w:tc>
          <w:tcPr>
            <w:tcW w:w="0" w:type="auto"/>
            <w:hideMark/>
          </w:tcPr>
          <w:p w14:paraId="566EF5AD"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761EF92A"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A07C9C"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1.4</w:t>
            </w:r>
          </w:p>
        </w:tc>
        <w:tc>
          <w:tcPr>
            <w:tcW w:w="0" w:type="auto"/>
            <w:hideMark/>
          </w:tcPr>
          <w:p w14:paraId="43D94636"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Carta Compromiso</w:t>
            </w:r>
          </w:p>
        </w:tc>
        <w:tc>
          <w:tcPr>
            <w:tcW w:w="0" w:type="auto"/>
            <w:hideMark/>
          </w:tcPr>
          <w:p w14:paraId="016761C8"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98%</w:t>
            </w:r>
          </w:p>
        </w:tc>
      </w:tr>
      <w:tr w:rsidR="004921FF" w:rsidRPr="005C133F" w14:paraId="456D0D95" w14:textId="77777777" w:rsidTr="0018630D">
        <w:trPr>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49B35A"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1.5</w:t>
            </w:r>
          </w:p>
        </w:tc>
        <w:tc>
          <w:tcPr>
            <w:tcW w:w="0" w:type="auto"/>
            <w:hideMark/>
          </w:tcPr>
          <w:p w14:paraId="2F7242B6" w14:textId="75C61CC8"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 xml:space="preserve">Transparencia en las Informaciones de Servicios y </w:t>
            </w:r>
            <w:r w:rsidR="003E69CB" w:rsidRPr="005C133F">
              <w:rPr>
                <w:rFonts w:ascii="Times New Roman" w:hAnsi="Times New Roman" w:cs="Times New Roman"/>
                <w:color w:val="767171"/>
                <w:spacing w:val="17"/>
                <w:sz w:val="24"/>
                <w:szCs w:val="24"/>
                <w:lang w:val="es-DO"/>
              </w:rPr>
              <w:t>funcionarios</w:t>
            </w:r>
          </w:p>
        </w:tc>
        <w:tc>
          <w:tcPr>
            <w:tcW w:w="0" w:type="auto"/>
            <w:hideMark/>
          </w:tcPr>
          <w:p w14:paraId="4D7610BD"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5F25C354"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AEEEB1"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1.6</w:t>
            </w:r>
          </w:p>
        </w:tc>
        <w:tc>
          <w:tcPr>
            <w:tcW w:w="0" w:type="auto"/>
            <w:hideMark/>
          </w:tcPr>
          <w:p w14:paraId="69079C71"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Monitoreo de la Calidad de los Servicios</w:t>
            </w:r>
          </w:p>
        </w:tc>
        <w:tc>
          <w:tcPr>
            <w:tcW w:w="0" w:type="auto"/>
            <w:hideMark/>
          </w:tcPr>
          <w:p w14:paraId="64099854"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07DE3AD5"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C34E2C"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1.7</w:t>
            </w:r>
          </w:p>
        </w:tc>
        <w:tc>
          <w:tcPr>
            <w:tcW w:w="0" w:type="auto"/>
            <w:hideMark/>
          </w:tcPr>
          <w:p w14:paraId="4D9AD3F6"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Índice de Satisfacción Ciudadana</w:t>
            </w:r>
          </w:p>
        </w:tc>
        <w:tc>
          <w:tcPr>
            <w:tcW w:w="0" w:type="auto"/>
            <w:hideMark/>
          </w:tcPr>
          <w:p w14:paraId="47C26660"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87%</w:t>
            </w:r>
          </w:p>
        </w:tc>
      </w:tr>
      <w:tr w:rsidR="007C49E3" w:rsidRPr="00CD02F5" w14:paraId="1FBFA0BD" w14:textId="77777777" w:rsidTr="0018630D">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7383BB91" w14:textId="77777777" w:rsidR="008E50BE" w:rsidRPr="005C133F" w:rsidRDefault="008E50BE" w:rsidP="00773C75">
            <w:pPr>
              <w:pStyle w:val="Ttulo4"/>
              <w:rPr>
                <w:rFonts w:ascii="Times New Roman" w:eastAsia="Times New Roman" w:hAnsi="Times New Roman" w:cs="Times New Roman"/>
                <w:bCs w:val="0"/>
                <w:i w:val="0"/>
                <w:color w:val="FFFFFF" w:themeColor="background1"/>
                <w:spacing w:val="17"/>
                <w:sz w:val="24"/>
                <w:szCs w:val="24"/>
                <w:lang w:val="es-DO"/>
              </w:rPr>
            </w:pPr>
            <w:r w:rsidRPr="005C133F">
              <w:rPr>
                <w:rFonts w:ascii="Times New Roman" w:eastAsia="Times New Roman" w:hAnsi="Times New Roman" w:cs="Times New Roman"/>
                <w:bCs w:val="0"/>
                <w:i w:val="0"/>
                <w:caps w:val="0"/>
                <w:color w:val="FFFFFF" w:themeColor="background1"/>
                <w:spacing w:val="17"/>
                <w:sz w:val="24"/>
                <w:szCs w:val="24"/>
                <w:lang w:val="es-DO"/>
              </w:rPr>
              <w:t> 02.Organización de la función de Recursos Humanos</w:t>
            </w:r>
          </w:p>
        </w:tc>
      </w:tr>
      <w:tr w:rsidR="004921FF" w:rsidRPr="005C133F" w14:paraId="486D3393" w14:textId="77777777" w:rsidTr="0018630D">
        <w:trPr>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863E44"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2.1</w:t>
            </w:r>
          </w:p>
        </w:tc>
        <w:tc>
          <w:tcPr>
            <w:tcW w:w="0" w:type="auto"/>
            <w:hideMark/>
          </w:tcPr>
          <w:p w14:paraId="5A0F74BE"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Nivel de Administración del Sistema de Carrera Administrativa.</w:t>
            </w:r>
          </w:p>
        </w:tc>
        <w:tc>
          <w:tcPr>
            <w:tcW w:w="0" w:type="auto"/>
            <w:hideMark/>
          </w:tcPr>
          <w:p w14:paraId="1DFE8626"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7C49E3" w:rsidRPr="005C133F" w14:paraId="2DF91F48"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20606B17" w14:textId="77777777" w:rsidR="008E50BE" w:rsidRPr="005C133F" w:rsidRDefault="008E50BE" w:rsidP="00773C75">
            <w:pPr>
              <w:pStyle w:val="Ttulo4"/>
              <w:rPr>
                <w:rFonts w:ascii="Times New Roman" w:eastAsia="Times New Roman" w:hAnsi="Times New Roman" w:cs="Times New Roman"/>
                <w:bCs w:val="0"/>
                <w:i w:val="0"/>
                <w:color w:val="FFFFFF" w:themeColor="background1"/>
                <w:spacing w:val="17"/>
                <w:sz w:val="24"/>
                <w:szCs w:val="24"/>
                <w:lang w:val="es-DO"/>
              </w:rPr>
            </w:pPr>
            <w:r w:rsidRPr="005C133F">
              <w:rPr>
                <w:rFonts w:ascii="Times New Roman" w:eastAsia="Times New Roman" w:hAnsi="Times New Roman" w:cs="Times New Roman"/>
                <w:bCs w:val="0"/>
                <w:i w:val="0"/>
                <w:caps w:val="0"/>
                <w:color w:val="FFFFFF" w:themeColor="background1"/>
                <w:spacing w:val="17"/>
                <w:sz w:val="24"/>
                <w:szCs w:val="24"/>
                <w:lang w:val="es-DO"/>
              </w:rPr>
              <w:t xml:space="preserve"> </w:t>
            </w:r>
            <w:r w:rsidRPr="005C133F">
              <w:rPr>
                <w:rFonts w:ascii="Times New Roman" w:eastAsia="Times New Roman" w:hAnsi="Times New Roman" w:cs="Times New Roman"/>
                <w:i w:val="0"/>
                <w:caps w:val="0"/>
                <w:color w:val="FFFFFF" w:themeColor="background1"/>
                <w:spacing w:val="17"/>
                <w:sz w:val="24"/>
                <w:szCs w:val="24"/>
                <w:lang w:val="es-DO"/>
              </w:rPr>
              <w:t>03. Planificación de Recursos Humanos</w:t>
            </w:r>
          </w:p>
        </w:tc>
      </w:tr>
      <w:tr w:rsidR="004921FF" w:rsidRPr="005C133F" w14:paraId="7A7BECD8"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31E366"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3.1</w:t>
            </w:r>
          </w:p>
        </w:tc>
        <w:tc>
          <w:tcPr>
            <w:tcW w:w="0" w:type="auto"/>
            <w:hideMark/>
          </w:tcPr>
          <w:p w14:paraId="19ED9C85"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Planificación de Recursos Humanos</w:t>
            </w:r>
          </w:p>
        </w:tc>
        <w:tc>
          <w:tcPr>
            <w:tcW w:w="0" w:type="auto"/>
            <w:hideMark/>
          </w:tcPr>
          <w:p w14:paraId="4B9A5356"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7C49E3" w:rsidRPr="005C133F" w14:paraId="735787A4" w14:textId="77777777" w:rsidTr="002B26F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7F3A1C2B" w14:textId="77777777" w:rsidR="008E50BE" w:rsidRPr="005C133F" w:rsidRDefault="008E50BE" w:rsidP="00773C75">
            <w:pPr>
              <w:pStyle w:val="Ttulo4"/>
              <w:rPr>
                <w:rFonts w:ascii="Times New Roman" w:eastAsia="Times New Roman" w:hAnsi="Times New Roman" w:cs="Times New Roman"/>
                <w:b w:val="0"/>
                <w:i w:val="0"/>
                <w:color w:val="FFFFFF" w:themeColor="background1"/>
                <w:spacing w:val="17"/>
                <w:sz w:val="24"/>
                <w:szCs w:val="24"/>
                <w:lang w:val="es-DO"/>
              </w:rPr>
            </w:pPr>
            <w:r w:rsidRPr="005C133F">
              <w:rPr>
                <w:rFonts w:ascii="Times New Roman" w:eastAsia="Times New Roman" w:hAnsi="Times New Roman" w:cs="Times New Roman"/>
                <w:b w:val="0"/>
                <w:i w:val="0"/>
                <w:caps w:val="0"/>
                <w:color w:val="FFFFFF" w:themeColor="background1"/>
                <w:spacing w:val="17"/>
                <w:sz w:val="24"/>
                <w:szCs w:val="24"/>
                <w:lang w:val="es-DO"/>
              </w:rPr>
              <w:t xml:space="preserve"> </w:t>
            </w:r>
            <w:r w:rsidRPr="005C133F">
              <w:rPr>
                <w:rFonts w:ascii="Times New Roman" w:eastAsia="Times New Roman" w:hAnsi="Times New Roman" w:cs="Times New Roman"/>
                <w:i w:val="0"/>
                <w:caps w:val="0"/>
                <w:color w:val="FFFFFF" w:themeColor="background1"/>
                <w:spacing w:val="17"/>
                <w:sz w:val="24"/>
                <w:szCs w:val="24"/>
                <w:lang w:val="es-DO"/>
              </w:rPr>
              <w:t>04.Organización del trabajo</w:t>
            </w:r>
          </w:p>
        </w:tc>
      </w:tr>
      <w:tr w:rsidR="004921FF" w:rsidRPr="005C133F" w14:paraId="3ED8A1C7"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FB9FAD"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4.1</w:t>
            </w:r>
          </w:p>
        </w:tc>
        <w:tc>
          <w:tcPr>
            <w:tcW w:w="0" w:type="auto"/>
            <w:hideMark/>
          </w:tcPr>
          <w:p w14:paraId="7329AED9"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Estructura Organizativa</w:t>
            </w:r>
          </w:p>
        </w:tc>
        <w:tc>
          <w:tcPr>
            <w:tcW w:w="0" w:type="auto"/>
            <w:hideMark/>
          </w:tcPr>
          <w:p w14:paraId="2125B68A"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70%</w:t>
            </w:r>
          </w:p>
        </w:tc>
      </w:tr>
      <w:tr w:rsidR="004921FF" w:rsidRPr="005C133F" w14:paraId="3A6BE152"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C31A60"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4.2</w:t>
            </w:r>
          </w:p>
        </w:tc>
        <w:tc>
          <w:tcPr>
            <w:tcW w:w="0" w:type="auto"/>
            <w:hideMark/>
          </w:tcPr>
          <w:p w14:paraId="32D78880"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Manual de Organización y Funciones</w:t>
            </w:r>
          </w:p>
        </w:tc>
        <w:tc>
          <w:tcPr>
            <w:tcW w:w="0" w:type="auto"/>
            <w:hideMark/>
          </w:tcPr>
          <w:p w14:paraId="119C761D"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4693F958"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AFD5C3"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4.3</w:t>
            </w:r>
          </w:p>
        </w:tc>
        <w:tc>
          <w:tcPr>
            <w:tcW w:w="0" w:type="auto"/>
            <w:hideMark/>
          </w:tcPr>
          <w:p w14:paraId="0FA884EA"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Manual de Cargos Implementado</w:t>
            </w:r>
          </w:p>
        </w:tc>
        <w:tc>
          <w:tcPr>
            <w:tcW w:w="0" w:type="auto"/>
            <w:hideMark/>
          </w:tcPr>
          <w:p w14:paraId="4EFFCE23"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30%</w:t>
            </w:r>
          </w:p>
        </w:tc>
      </w:tr>
      <w:tr w:rsidR="004921FF" w:rsidRPr="005C133F" w14:paraId="40A7409F" w14:textId="77777777" w:rsidTr="002B26F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35D17CA3" w14:textId="77777777" w:rsidR="008E50BE" w:rsidRPr="005C133F" w:rsidRDefault="008E50BE" w:rsidP="00773C75">
            <w:pP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05.G</w:t>
            </w:r>
            <w:r w:rsidRPr="005C133F">
              <w:rPr>
                <w:rFonts w:ascii="Times New Roman" w:hAnsi="Times New Roman" w:cs="Times New Roman"/>
                <w:caps w:val="0"/>
                <w:color w:val="FFFFFF" w:themeColor="background1"/>
                <w:spacing w:val="17"/>
                <w:sz w:val="24"/>
                <w:szCs w:val="24"/>
                <w:lang w:val="es-DO"/>
              </w:rPr>
              <w:t>estión del empleo</w:t>
            </w:r>
          </w:p>
        </w:tc>
      </w:tr>
      <w:tr w:rsidR="004921FF" w:rsidRPr="005C133F" w14:paraId="158DAA3A"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66F192"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5.1</w:t>
            </w:r>
          </w:p>
        </w:tc>
        <w:tc>
          <w:tcPr>
            <w:tcW w:w="0" w:type="auto"/>
            <w:hideMark/>
          </w:tcPr>
          <w:p w14:paraId="674E57C3"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Concursos Públicos</w:t>
            </w:r>
          </w:p>
        </w:tc>
        <w:tc>
          <w:tcPr>
            <w:tcW w:w="0" w:type="auto"/>
            <w:hideMark/>
          </w:tcPr>
          <w:p w14:paraId="4389B911"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0%</w:t>
            </w:r>
          </w:p>
        </w:tc>
      </w:tr>
      <w:tr w:rsidR="004921FF" w:rsidRPr="005C133F" w14:paraId="365940F2" w14:textId="77777777" w:rsidTr="0018630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C83FDE"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5.2</w:t>
            </w:r>
          </w:p>
        </w:tc>
        <w:tc>
          <w:tcPr>
            <w:tcW w:w="0" w:type="auto"/>
            <w:hideMark/>
          </w:tcPr>
          <w:p w14:paraId="7B472ED1"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Implementación del Sistema Transversal de Gestión Humana y Nómina</w:t>
            </w:r>
          </w:p>
        </w:tc>
        <w:tc>
          <w:tcPr>
            <w:tcW w:w="0" w:type="auto"/>
            <w:hideMark/>
          </w:tcPr>
          <w:p w14:paraId="74DBFBD6"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0%</w:t>
            </w:r>
          </w:p>
        </w:tc>
      </w:tr>
      <w:tr w:rsidR="007C49E3" w:rsidRPr="005C133F" w14:paraId="156C14C1" w14:textId="77777777" w:rsidTr="002B26F3">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191D55AA" w14:textId="77777777" w:rsidR="008E50BE" w:rsidRPr="005C133F" w:rsidRDefault="008E50BE" w:rsidP="00773C75">
            <w:pP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 xml:space="preserve"> 07. </w:t>
            </w:r>
            <w:r w:rsidRPr="005C133F">
              <w:rPr>
                <w:rFonts w:ascii="Times New Roman" w:hAnsi="Times New Roman" w:cs="Times New Roman"/>
                <w:caps w:val="0"/>
                <w:color w:val="FFFFFF" w:themeColor="background1"/>
                <w:spacing w:val="17"/>
                <w:sz w:val="24"/>
                <w:szCs w:val="24"/>
                <w:lang w:val="es-DO"/>
              </w:rPr>
              <w:t>Gestión del rendimiento</w:t>
            </w:r>
          </w:p>
        </w:tc>
      </w:tr>
      <w:tr w:rsidR="004921FF" w:rsidRPr="005C133F" w14:paraId="5D6F42C9"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64FA37"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7.1</w:t>
            </w:r>
          </w:p>
        </w:tc>
        <w:tc>
          <w:tcPr>
            <w:tcW w:w="0" w:type="auto"/>
            <w:hideMark/>
          </w:tcPr>
          <w:p w14:paraId="32E00279"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Gestión de Acuerdos de Desempeño</w:t>
            </w:r>
          </w:p>
        </w:tc>
        <w:tc>
          <w:tcPr>
            <w:tcW w:w="0" w:type="auto"/>
            <w:hideMark/>
          </w:tcPr>
          <w:p w14:paraId="56CBA469"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93%</w:t>
            </w:r>
          </w:p>
        </w:tc>
      </w:tr>
      <w:tr w:rsidR="004921FF" w:rsidRPr="005C133F" w14:paraId="11707093" w14:textId="77777777" w:rsidTr="0018630D">
        <w:trPr>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61EF6A"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7.2</w:t>
            </w:r>
          </w:p>
        </w:tc>
        <w:tc>
          <w:tcPr>
            <w:tcW w:w="0" w:type="auto"/>
            <w:hideMark/>
          </w:tcPr>
          <w:p w14:paraId="182A798C"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Evaluación del Desempeño por Resultados y Competencias</w:t>
            </w:r>
          </w:p>
        </w:tc>
        <w:tc>
          <w:tcPr>
            <w:tcW w:w="0" w:type="auto"/>
            <w:hideMark/>
          </w:tcPr>
          <w:p w14:paraId="3085A0A4"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7C49E3" w:rsidRPr="005C133F" w14:paraId="618B54FA" w14:textId="77777777" w:rsidTr="002B26F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219B6556" w14:textId="77777777" w:rsidR="008E50BE" w:rsidRPr="005C133F" w:rsidRDefault="008E50BE" w:rsidP="00773C75">
            <w:pP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08.G</w:t>
            </w:r>
            <w:r w:rsidRPr="005C133F">
              <w:rPr>
                <w:rFonts w:ascii="Times New Roman" w:hAnsi="Times New Roman" w:cs="Times New Roman"/>
                <w:caps w:val="0"/>
                <w:color w:val="FFFFFF" w:themeColor="background1"/>
                <w:spacing w:val="17"/>
                <w:sz w:val="24"/>
                <w:szCs w:val="24"/>
                <w:lang w:val="es-DO"/>
              </w:rPr>
              <w:t>estión del desarrollo</w:t>
            </w:r>
          </w:p>
        </w:tc>
      </w:tr>
      <w:tr w:rsidR="004921FF" w:rsidRPr="005C133F" w14:paraId="7519CC3A"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47F8A0"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8.1</w:t>
            </w:r>
          </w:p>
        </w:tc>
        <w:tc>
          <w:tcPr>
            <w:tcW w:w="0" w:type="auto"/>
            <w:hideMark/>
          </w:tcPr>
          <w:p w14:paraId="1919EAFE"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Plan de Capacitación</w:t>
            </w:r>
          </w:p>
        </w:tc>
        <w:tc>
          <w:tcPr>
            <w:tcW w:w="0" w:type="auto"/>
            <w:hideMark/>
          </w:tcPr>
          <w:p w14:paraId="1258D616"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7C49E3" w:rsidRPr="00CD02F5" w14:paraId="58A364A1" w14:textId="77777777" w:rsidTr="002B26F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767171"/>
          </w:tcPr>
          <w:p w14:paraId="79BCBCC9" w14:textId="77777777" w:rsidR="008E50BE" w:rsidRPr="005C133F" w:rsidRDefault="008E50BE" w:rsidP="00773C75">
            <w:pP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09.g</w:t>
            </w:r>
            <w:r w:rsidRPr="005C133F">
              <w:rPr>
                <w:rFonts w:ascii="Times New Roman" w:hAnsi="Times New Roman" w:cs="Times New Roman"/>
                <w:caps w:val="0"/>
                <w:color w:val="FFFFFF" w:themeColor="background1"/>
                <w:spacing w:val="17"/>
                <w:sz w:val="24"/>
                <w:szCs w:val="24"/>
                <w:lang w:val="es-DO"/>
              </w:rPr>
              <w:t>estión de las relaciones laborales y sociales</w:t>
            </w:r>
          </w:p>
        </w:tc>
      </w:tr>
      <w:tr w:rsidR="004921FF" w:rsidRPr="005C133F" w14:paraId="55850EF7"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5846D6"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9.1</w:t>
            </w:r>
          </w:p>
        </w:tc>
        <w:tc>
          <w:tcPr>
            <w:tcW w:w="0" w:type="auto"/>
            <w:hideMark/>
          </w:tcPr>
          <w:p w14:paraId="48A24B1F"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Asociación de Servidores Públicos</w:t>
            </w:r>
          </w:p>
        </w:tc>
        <w:tc>
          <w:tcPr>
            <w:tcW w:w="0" w:type="auto"/>
            <w:hideMark/>
          </w:tcPr>
          <w:p w14:paraId="1528B3C3"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0%</w:t>
            </w:r>
          </w:p>
        </w:tc>
      </w:tr>
      <w:tr w:rsidR="004921FF" w:rsidRPr="005C133F" w14:paraId="2840B9BB" w14:textId="77777777" w:rsidTr="001863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9BEC60"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9.2</w:t>
            </w:r>
          </w:p>
        </w:tc>
        <w:tc>
          <w:tcPr>
            <w:tcW w:w="0" w:type="auto"/>
            <w:hideMark/>
          </w:tcPr>
          <w:p w14:paraId="34C80621"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Fortalecimiento de las Relaciones Laborales</w:t>
            </w:r>
          </w:p>
        </w:tc>
        <w:tc>
          <w:tcPr>
            <w:tcW w:w="0" w:type="auto"/>
            <w:hideMark/>
          </w:tcPr>
          <w:p w14:paraId="789FDF26"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7F69840E" w14:textId="77777777" w:rsidTr="0018630D">
        <w:trPr>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21F766"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9.3</w:t>
            </w:r>
          </w:p>
        </w:tc>
        <w:tc>
          <w:tcPr>
            <w:tcW w:w="0" w:type="auto"/>
            <w:hideMark/>
          </w:tcPr>
          <w:p w14:paraId="701CF44B"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Institucionalización del Régimen Ético y Disciplinario de los Servidores Públicos en el 100% del personal.</w:t>
            </w:r>
          </w:p>
        </w:tc>
        <w:tc>
          <w:tcPr>
            <w:tcW w:w="0" w:type="auto"/>
            <w:hideMark/>
          </w:tcPr>
          <w:p w14:paraId="21D4E532"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1EC5092A" w14:textId="77777777" w:rsidTr="0018630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FC0593"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9.4</w:t>
            </w:r>
          </w:p>
        </w:tc>
        <w:tc>
          <w:tcPr>
            <w:tcW w:w="0" w:type="auto"/>
            <w:hideMark/>
          </w:tcPr>
          <w:p w14:paraId="186E8EE1"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 xml:space="preserve">Implementación del Sistema de Seguridad y Salud en el Trabajo en la </w:t>
            </w:r>
            <w:r w:rsidRPr="005C133F">
              <w:rPr>
                <w:rFonts w:ascii="Times New Roman" w:hAnsi="Times New Roman" w:cs="Times New Roman"/>
                <w:color w:val="767171"/>
                <w:spacing w:val="17"/>
                <w:sz w:val="24"/>
                <w:szCs w:val="24"/>
                <w:lang w:val="es-DO"/>
              </w:rPr>
              <w:lastRenderedPageBreak/>
              <w:t>Administración Pública</w:t>
            </w:r>
          </w:p>
        </w:tc>
        <w:tc>
          <w:tcPr>
            <w:tcW w:w="0" w:type="auto"/>
            <w:hideMark/>
          </w:tcPr>
          <w:p w14:paraId="646C033C"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lastRenderedPageBreak/>
              <w:t>90%</w:t>
            </w:r>
          </w:p>
        </w:tc>
      </w:tr>
      <w:tr w:rsidR="004921FF" w:rsidRPr="005C133F" w14:paraId="13688766" w14:textId="77777777" w:rsidTr="0018630D">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FD471C"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9.5</w:t>
            </w:r>
          </w:p>
        </w:tc>
        <w:tc>
          <w:tcPr>
            <w:tcW w:w="0" w:type="auto"/>
            <w:hideMark/>
          </w:tcPr>
          <w:p w14:paraId="1A9DAF27" w14:textId="77777777" w:rsidR="008E50BE" w:rsidRPr="005C133F" w:rsidRDefault="008E50BE" w:rsidP="00773C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Encuesta de Clima Laboral</w:t>
            </w:r>
          </w:p>
        </w:tc>
        <w:tc>
          <w:tcPr>
            <w:tcW w:w="0" w:type="auto"/>
            <w:hideMark/>
          </w:tcPr>
          <w:p w14:paraId="2E552490"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100%</w:t>
            </w:r>
          </w:p>
        </w:tc>
      </w:tr>
      <w:tr w:rsidR="004921FF" w:rsidRPr="005C133F" w14:paraId="555F255E" w14:textId="77777777" w:rsidTr="0018630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1F1ACA" w14:textId="77777777" w:rsidR="008E50BE" w:rsidRPr="005C133F" w:rsidRDefault="008E50BE" w:rsidP="00773C75">
            <w:pPr>
              <w:jc w:val="center"/>
              <w:rPr>
                <w:rFonts w:ascii="Times New Roman" w:hAnsi="Times New Roman" w:cs="Times New Roman"/>
                <w:b w:val="0"/>
                <w:color w:val="767171"/>
                <w:spacing w:val="17"/>
                <w:sz w:val="24"/>
                <w:szCs w:val="24"/>
                <w:lang w:val="es-DO"/>
              </w:rPr>
            </w:pPr>
            <w:r w:rsidRPr="005C133F">
              <w:rPr>
                <w:rFonts w:ascii="Times New Roman" w:hAnsi="Times New Roman" w:cs="Times New Roman"/>
                <w:b w:val="0"/>
                <w:color w:val="767171"/>
                <w:spacing w:val="17"/>
                <w:sz w:val="24"/>
                <w:szCs w:val="24"/>
                <w:lang w:val="es-DO"/>
              </w:rPr>
              <w:t>9.6</w:t>
            </w:r>
          </w:p>
        </w:tc>
        <w:tc>
          <w:tcPr>
            <w:tcW w:w="0" w:type="auto"/>
            <w:hideMark/>
          </w:tcPr>
          <w:p w14:paraId="40537CD7" w14:textId="77777777" w:rsidR="008E50BE" w:rsidRPr="005C133F" w:rsidRDefault="008E50BE" w:rsidP="00773C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Implementación de Acciones de Inclusión y Accesibilidad en la Administración Pública</w:t>
            </w:r>
          </w:p>
        </w:tc>
        <w:tc>
          <w:tcPr>
            <w:tcW w:w="0" w:type="auto"/>
            <w:hideMark/>
          </w:tcPr>
          <w:p w14:paraId="5DE92C8E" w14:textId="77777777" w:rsidR="008E50BE" w:rsidRPr="005C133F" w:rsidRDefault="008E50BE" w:rsidP="00773C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75%</w:t>
            </w:r>
          </w:p>
        </w:tc>
      </w:tr>
      <w:tr w:rsidR="007C49E3" w:rsidRPr="005C133F" w14:paraId="0A762C3A" w14:textId="77777777" w:rsidTr="002B26F3">
        <w:trPr>
          <w:trHeight w:val="307"/>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2060"/>
          </w:tcPr>
          <w:p w14:paraId="3E296290" w14:textId="77777777" w:rsidR="008E50BE" w:rsidRPr="005C133F" w:rsidRDefault="008E50BE" w:rsidP="00773C75">
            <w:pP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aps w:val="0"/>
                <w:color w:val="FFFFFF" w:themeColor="background1"/>
                <w:spacing w:val="17"/>
                <w:sz w:val="24"/>
                <w:szCs w:val="24"/>
                <w:lang w:val="es-DO"/>
              </w:rPr>
              <w:t>Calificación SISMAP</w:t>
            </w:r>
          </w:p>
        </w:tc>
        <w:tc>
          <w:tcPr>
            <w:tcW w:w="0" w:type="auto"/>
            <w:shd w:val="clear" w:color="auto" w:fill="002060"/>
          </w:tcPr>
          <w:p w14:paraId="54B6F8DD" w14:textId="77777777" w:rsidR="008E50BE" w:rsidRPr="005C133F" w:rsidRDefault="008E50BE" w:rsidP="00773C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pacing w:val="17"/>
                <w:sz w:val="24"/>
                <w:szCs w:val="24"/>
                <w:lang w:val="es-DO"/>
              </w:rPr>
            </w:pPr>
            <w:r w:rsidRPr="005C133F">
              <w:rPr>
                <w:rFonts w:ascii="Times New Roman" w:hAnsi="Times New Roman" w:cs="Times New Roman"/>
                <w:b/>
                <w:color w:val="FFFFFF" w:themeColor="background1"/>
                <w:spacing w:val="17"/>
                <w:sz w:val="24"/>
                <w:szCs w:val="24"/>
                <w:lang w:val="es-DO"/>
              </w:rPr>
              <w:t>82.4%</w:t>
            </w:r>
          </w:p>
        </w:tc>
      </w:tr>
    </w:tbl>
    <w:p w14:paraId="227C423A" w14:textId="77777777" w:rsidR="00B84D25" w:rsidRPr="00885E9D" w:rsidRDefault="00B84D25" w:rsidP="00773C75">
      <w:pPr>
        <w:pStyle w:val="Textoindependiente"/>
        <w:ind w:right="1459"/>
        <w:jc w:val="both"/>
        <w:rPr>
          <w:b w:val="0"/>
          <w:bCs w:val="0"/>
          <w:i w:val="0"/>
          <w:iCs w:val="0"/>
          <w:color w:val="767171"/>
          <w:spacing w:val="17"/>
          <w:sz w:val="18"/>
          <w:szCs w:val="18"/>
          <w:lang w:val="es-DO"/>
        </w:rPr>
      </w:pPr>
      <w:r w:rsidRPr="00885E9D">
        <w:rPr>
          <w:b w:val="0"/>
          <w:bCs w:val="0"/>
          <w:i w:val="0"/>
          <w:iCs w:val="0"/>
          <w:color w:val="767171"/>
          <w:spacing w:val="17"/>
          <w:sz w:val="18"/>
          <w:szCs w:val="18"/>
          <w:lang w:val="es-DO"/>
        </w:rPr>
        <w:t>Fuente: Portal Web SISMAP</w:t>
      </w:r>
    </w:p>
    <w:p w14:paraId="027135BE" w14:textId="77777777" w:rsidR="008E50BE" w:rsidRPr="005C133F" w:rsidRDefault="008E50BE" w:rsidP="005C133F">
      <w:pPr>
        <w:spacing w:after="0" w:line="360" w:lineRule="auto"/>
        <w:jc w:val="both"/>
        <w:rPr>
          <w:noProof/>
          <w:lang w:val="es-DO"/>
        </w:rPr>
      </w:pPr>
    </w:p>
    <w:p w14:paraId="1CB64256" w14:textId="77777777" w:rsidR="004C71CD" w:rsidRPr="005C133F" w:rsidRDefault="004C71CD">
      <w:pPr>
        <w:pStyle w:val="Prrafodelista"/>
        <w:widowControl w:val="0"/>
        <w:numPr>
          <w:ilvl w:val="0"/>
          <w:numId w:val="170"/>
        </w:numPr>
        <w:tabs>
          <w:tab w:val="left" w:pos="1080"/>
        </w:tabs>
        <w:autoSpaceDE w:val="0"/>
        <w:autoSpaceDN w:val="0"/>
        <w:spacing w:after="0" w:line="360" w:lineRule="auto"/>
        <w:contextualSpacing w:val="0"/>
        <w:rPr>
          <w:b/>
          <w:lang w:val="es-DO"/>
        </w:rPr>
      </w:pPr>
      <w:r w:rsidRPr="005C133F">
        <w:rPr>
          <w:b/>
          <w:lang w:val="es-DO"/>
        </w:rPr>
        <w:t>Gestión del Empleo</w:t>
      </w:r>
    </w:p>
    <w:p w14:paraId="51614C3B" w14:textId="77777777" w:rsidR="004C71CD" w:rsidRPr="005C133F" w:rsidRDefault="004C71CD" w:rsidP="005C133F">
      <w:pPr>
        <w:pStyle w:val="Prrafodelista"/>
        <w:widowControl w:val="0"/>
        <w:tabs>
          <w:tab w:val="left" w:pos="1080"/>
        </w:tabs>
        <w:autoSpaceDE w:val="0"/>
        <w:autoSpaceDN w:val="0"/>
        <w:spacing w:after="0" w:line="360" w:lineRule="auto"/>
        <w:ind w:left="1080"/>
        <w:contextualSpacing w:val="0"/>
        <w:rPr>
          <w:b/>
          <w:lang w:val="es-DO"/>
        </w:rPr>
      </w:pPr>
    </w:p>
    <w:p w14:paraId="45ADC5C6" w14:textId="34E47343" w:rsidR="007A2516" w:rsidRPr="005C133F" w:rsidRDefault="00C66E49" w:rsidP="005C133F">
      <w:pPr>
        <w:spacing w:after="0" w:line="360" w:lineRule="auto"/>
        <w:jc w:val="both"/>
        <w:rPr>
          <w:noProof/>
          <w:lang w:val="es-DO"/>
        </w:rPr>
      </w:pPr>
      <w:r w:rsidRPr="005C133F">
        <w:rPr>
          <w:noProof/>
          <w:lang w:val="es-DO"/>
        </w:rPr>
        <w:t>Durante el período evaluado, se llevaron a cabo procesos de reclutamiento que permitieron la incorporación de 127 colaboradores, 116 fijos y 11 temporales, garantizando la cobertura de las necesidades operativas y estratégicas de cada unidad organizativa.  Este resultado refleja nuestro compromiso con la planificación del talento, la transparencia en los procesos ingreso de personal y la consolidación de equipos técnicos que impulsan la misión institucional. A continuación, detalles:</w:t>
      </w:r>
    </w:p>
    <w:p w14:paraId="6F585F18" w14:textId="29667EA6" w:rsidR="007302EB" w:rsidRPr="005C133F" w:rsidRDefault="007302EB" w:rsidP="0067066E">
      <w:pPr>
        <w:pStyle w:val="Descripcin"/>
        <w:keepNext/>
        <w:spacing w:after="0" w:line="360" w:lineRule="auto"/>
        <w:jc w:val="center"/>
        <w:rPr>
          <w:b/>
          <w:bCs/>
          <w:i w:val="0"/>
          <w:iCs w:val="0"/>
          <w:noProof/>
          <w:color w:val="767171"/>
          <w:sz w:val="24"/>
          <w:szCs w:val="24"/>
          <w:lang w:val="es-DO"/>
        </w:rPr>
      </w:pPr>
      <w:bookmarkStart w:id="120" w:name="_Toc218784180"/>
      <w:r w:rsidRPr="005C133F">
        <w:rPr>
          <w:b/>
          <w:bCs/>
          <w:i w:val="0"/>
          <w:iCs w:val="0"/>
          <w:noProof/>
          <w:color w:val="767171"/>
          <w:sz w:val="24"/>
          <w:szCs w:val="24"/>
          <w:lang w:val="es-DO"/>
        </w:rPr>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48</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xml:space="preserve">. Novedades, ingreso de personal, a </w:t>
      </w:r>
      <w:r w:rsidR="00904C92">
        <w:rPr>
          <w:b/>
          <w:bCs/>
          <w:i w:val="0"/>
          <w:iCs w:val="0"/>
          <w:noProof/>
          <w:color w:val="767171"/>
          <w:sz w:val="24"/>
          <w:szCs w:val="24"/>
          <w:lang w:val="es-DO"/>
        </w:rPr>
        <w:t>diciembre</w:t>
      </w:r>
      <w:r w:rsidRPr="005C133F">
        <w:rPr>
          <w:b/>
          <w:bCs/>
          <w:i w:val="0"/>
          <w:iCs w:val="0"/>
          <w:noProof/>
          <w:color w:val="767171"/>
          <w:sz w:val="24"/>
          <w:szCs w:val="24"/>
          <w:lang w:val="es-DO"/>
        </w:rPr>
        <w:t xml:space="preserve"> 2025</w:t>
      </w:r>
      <w:bookmarkEnd w:id="120"/>
    </w:p>
    <w:tbl>
      <w:tblPr>
        <w:tblW w:w="0" w:type="auto"/>
        <w:jc w:val="center"/>
        <w:tblCellMar>
          <w:left w:w="70" w:type="dxa"/>
          <w:right w:w="70" w:type="dxa"/>
        </w:tblCellMar>
        <w:tblLook w:val="04A0" w:firstRow="1" w:lastRow="0" w:firstColumn="1" w:lastColumn="0" w:noHBand="0" w:noVBand="1"/>
      </w:tblPr>
      <w:tblGrid>
        <w:gridCol w:w="1234"/>
        <w:gridCol w:w="2637"/>
        <w:gridCol w:w="3279"/>
        <w:gridCol w:w="380"/>
        <w:gridCol w:w="380"/>
      </w:tblGrid>
      <w:tr w:rsidR="007C49E3" w:rsidRPr="005C133F" w14:paraId="3FB55B54" w14:textId="77777777" w:rsidTr="0067066E">
        <w:trPr>
          <w:trHeight w:val="584"/>
          <w:tblHeader/>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356D4148"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Mes</w:t>
            </w:r>
          </w:p>
        </w:tc>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3B6E2473"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Cantidad de ingresos fijos</w:t>
            </w:r>
          </w:p>
        </w:tc>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0B791996"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Cantidad de ingresos temporales </w:t>
            </w:r>
          </w:p>
        </w:tc>
        <w:tc>
          <w:tcPr>
            <w:tcW w:w="0" w:type="auto"/>
            <w:gridSpan w:val="2"/>
            <w:tcBorders>
              <w:top w:val="single" w:sz="4" w:space="0" w:color="808080"/>
              <w:left w:val="nil"/>
              <w:bottom w:val="single" w:sz="4" w:space="0" w:color="808080"/>
              <w:right w:val="single" w:sz="4" w:space="0" w:color="808080"/>
            </w:tcBorders>
            <w:shd w:val="clear" w:color="auto" w:fill="011C50"/>
            <w:vAlign w:val="center"/>
            <w:hideMark/>
          </w:tcPr>
          <w:p w14:paraId="3FD73FBF"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Sexo</w:t>
            </w:r>
          </w:p>
        </w:tc>
      </w:tr>
      <w:tr w:rsidR="004921FF" w:rsidRPr="005C133F" w14:paraId="1CA1280F" w14:textId="77777777" w:rsidTr="0067066E">
        <w:trPr>
          <w:trHeight w:val="330"/>
          <w:tblHeader/>
          <w:jc w:val="center"/>
        </w:trPr>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2B7D704C" w14:textId="77777777" w:rsidR="000242F5" w:rsidRPr="005C133F" w:rsidRDefault="000242F5" w:rsidP="00904C92">
            <w:pPr>
              <w:spacing w:after="0" w:line="240" w:lineRule="auto"/>
              <w:rPr>
                <w:rFonts w:eastAsia="Times New Roman"/>
                <w:b/>
                <w:bCs/>
                <w:spacing w:val="0"/>
                <w:lang w:val="es-DO" w:eastAsia="es-DO"/>
              </w:rPr>
            </w:pPr>
          </w:p>
        </w:tc>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0649D1BB" w14:textId="77777777" w:rsidR="000242F5" w:rsidRPr="005C133F" w:rsidRDefault="000242F5" w:rsidP="00904C92">
            <w:pPr>
              <w:spacing w:after="0" w:line="240" w:lineRule="auto"/>
              <w:rPr>
                <w:rFonts w:eastAsia="Times New Roman"/>
                <w:b/>
                <w:bCs/>
                <w:spacing w:val="0"/>
                <w:lang w:val="es-DO" w:eastAsia="es-DO"/>
              </w:rPr>
            </w:pPr>
          </w:p>
        </w:tc>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58FF964C" w14:textId="77777777" w:rsidR="000242F5" w:rsidRPr="005C133F" w:rsidRDefault="000242F5" w:rsidP="00904C92">
            <w:pPr>
              <w:spacing w:after="0" w:line="240" w:lineRule="auto"/>
              <w:rPr>
                <w:rFonts w:eastAsia="Times New Roman"/>
                <w:b/>
                <w:bCs/>
                <w:spacing w:val="0"/>
                <w:lang w:val="es-DO" w:eastAsia="es-DO"/>
              </w:rPr>
            </w:pPr>
          </w:p>
        </w:tc>
        <w:tc>
          <w:tcPr>
            <w:tcW w:w="0" w:type="auto"/>
            <w:tcBorders>
              <w:top w:val="nil"/>
              <w:left w:val="nil"/>
              <w:bottom w:val="single" w:sz="4" w:space="0" w:color="808080"/>
              <w:right w:val="single" w:sz="4" w:space="0" w:color="808080"/>
            </w:tcBorders>
            <w:shd w:val="clear" w:color="auto" w:fill="011C50"/>
            <w:vAlign w:val="center"/>
            <w:hideMark/>
          </w:tcPr>
          <w:p w14:paraId="6035D79F"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w:t>
            </w:r>
          </w:p>
        </w:tc>
        <w:tc>
          <w:tcPr>
            <w:tcW w:w="0" w:type="auto"/>
            <w:tcBorders>
              <w:top w:val="nil"/>
              <w:left w:val="nil"/>
              <w:bottom w:val="single" w:sz="4" w:space="0" w:color="808080"/>
              <w:right w:val="single" w:sz="4" w:space="0" w:color="808080"/>
            </w:tcBorders>
            <w:shd w:val="clear" w:color="auto" w:fill="011C50"/>
            <w:vAlign w:val="center"/>
            <w:hideMark/>
          </w:tcPr>
          <w:p w14:paraId="0C9DCBD3"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F</w:t>
            </w:r>
          </w:p>
        </w:tc>
      </w:tr>
      <w:tr w:rsidR="004921FF" w:rsidRPr="005C133F" w14:paraId="17FDEDD4"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6D8A8915"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Enero</w:t>
            </w:r>
          </w:p>
        </w:tc>
        <w:tc>
          <w:tcPr>
            <w:tcW w:w="0" w:type="auto"/>
            <w:tcBorders>
              <w:top w:val="nil"/>
              <w:left w:val="nil"/>
              <w:bottom w:val="single" w:sz="4" w:space="0" w:color="808080"/>
              <w:right w:val="single" w:sz="4" w:space="0" w:color="808080"/>
            </w:tcBorders>
            <w:vAlign w:val="center"/>
            <w:hideMark/>
          </w:tcPr>
          <w:p w14:paraId="76B9EF53"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10</w:t>
            </w:r>
          </w:p>
        </w:tc>
        <w:tc>
          <w:tcPr>
            <w:tcW w:w="0" w:type="auto"/>
            <w:tcBorders>
              <w:top w:val="nil"/>
              <w:left w:val="nil"/>
              <w:bottom w:val="single" w:sz="4" w:space="0" w:color="808080"/>
              <w:right w:val="single" w:sz="4" w:space="0" w:color="808080"/>
            </w:tcBorders>
            <w:vAlign w:val="center"/>
            <w:hideMark/>
          </w:tcPr>
          <w:p w14:paraId="561F375D" w14:textId="0815F7CD"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hideMark/>
          </w:tcPr>
          <w:p w14:paraId="069BE08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vAlign w:val="center"/>
            <w:hideMark/>
          </w:tcPr>
          <w:p w14:paraId="25004FB1"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r>
      <w:tr w:rsidR="004921FF" w:rsidRPr="005C133F" w14:paraId="268659D8"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03999E29"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Febrero</w:t>
            </w:r>
          </w:p>
        </w:tc>
        <w:tc>
          <w:tcPr>
            <w:tcW w:w="0" w:type="auto"/>
            <w:tcBorders>
              <w:top w:val="nil"/>
              <w:left w:val="nil"/>
              <w:bottom w:val="single" w:sz="4" w:space="0" w:color="808080"/>
              <w:right w:val="single" w:sz="4" w:space="0" w:color="808080"/>
            </w:tcBorders>
            <w:shd w:val="clear" w:color="000000" w:fill="F2F2F2"/>
            <w:vAlign w:val="center"/>
            <w:hideMark/>
          </w:tcPr>
          <w:p w14:paraId="37552A97"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15</w:t>
            </w:r>
          </w:p>
        </w:tc>
        <w:tc>
          <w:tcPr>
            <w:tcW w:w="0" w:type="auto"/>
            <w:tcBorders>
              <w:top w:val="nil"/>
              <w:left w:val="nil"/>
              <w:bottom w:val="single" w:sz="4" w:space="0" w:color="808080"/>
              <w:right w:val="single" w:sz="4" w:space="0" w:color="808080"/>
            </w:tcBorders>
            <w:shd w:val="clear" w:color="000000" w:fill="F2F2F2"/>
            <w:vAlign w:val="center"/>
            <w:hideMark/>
          </w:tcPr>
          <w:p w14:paraId="594FB653" w14:textId="79067726"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shd w:val="clear" w:color="000000" w:fill="F2F2F2"/>
            <w:vAlign w:val="center"/>
            <w:hideMark/>
          </w:tcPr>
          <w:p w14:paraId="62127554"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nil"/>
              <w:left w:val="nil"/>
              <w:bottom w:val="single" w:sz="4" w:space="0" w:color="808080"/>
              <w:right w:val="single" w:sz="4" w:space="0" w:color="808080"/>
            </w:tcBorders>
            <w:shd w:val="clear" w:color="000000" w:fill="F2F2F2"/>
            <w:vAlign w:val="center"/>
            <w:hideMark/>
          </w:tcPr>
          <w:p w14:paraId="792BF5EC"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11</w:t>
            </w:r>
          </w:p>
        </w:tc>
      </w:tr>
      <w:tr w:rsidR="004921FF" w:rsidRPr="005C133F" w14:paraId="45A88616"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0B3177BB"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Marzo</w:t>
            </w:r>
          </w:p>
        </w:tc>
        <w:tc>
          <w:tcPr>
            <w:tcW w:w="0" w:type="auto"/>
            <w:tcBorders>
              <w:top w:val="nil"/>
              <w:left w:val="nil"/>
              <w:bottom w:val="single" w:sz="4" w:space="0" w:color="808080"/>
              <w:right w:val="single" w:sz="4" w:space="0" w:color="808080"/>
            </w:tcBorders>
            <w:vAlign w:val="center"/>
            <w:hideMark/>
          </w:tcPr>
          <w:p w14:paraId="03CB069F"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14</w:t>
            </w:r>
          </w:p>
        </w:tc>
        <w:tc>
          <w:tcPr>
            <w:tcW w:w="0" w:type="auto"/>
            <w:tcBorders>
              <w:top w:val="nil"/>
              <w:left w:val="nil"/>
              <w:bottom w:val="single" w:sz="4" w:space="0" w:color="808080"/>
              <w:right w:val="single" w:sz="4" w:space="0" w:color="808080"/>
            </w:tcBorders>
            <w:vAlign w:val="center"/>
            <w:hideMark/>
          </w:tcPr>
          <w:p w14:paraId="1EC9B264" w14:textId="6074B9BD"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hideMark/>
          </w:tcPr>
          <w:p w14:paraId="3ACD7BBF"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9</w:t>
            </w:r>
          </w:p>
        </w:tc>
        <w:tc>
          <w:tcPr>
            <w:tcW w:w="0" w:type="auto"/>
            <w:tcBorders>
              <w:top w:val="nil"/>
              <w:left w:val="nil"/>
              <w:bottom w:val="single" w:sz="4" w:space="0" w:color="808080"/>
              <w:right w:val="single" w:sz="4" w:space="0" w:color="808080"/>
            </w:tcBorders>
            <w:vAlign w:val="center"/>
            <w:hideMark/>
          </w:tcPr>
          <w:p w14:paraId="78112AEC"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5</w:t>
            </w:r>
          </w:p>
        </w:tc>
      </w:tr>
      <w:tr w:rsidR="004921FF" w:rsidRPr="005C133F" w14:paraId="79A5215F"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6D2CD8A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Abril</w:t>
            </w:r>
          </w:p>
        </w:tc>
        <w:tc>
          <w:tcPr>
            <w:tcW w:w="0" w:type="auto"/>
            <w:tcBorders>
              <w:top w:val="nil"/>
              <w:left w:val="nil"/>
              <w:bottom w:val="single" w:sz="4" w:space="0" w:color="808080"/>
              <w:right w:val="single" w:sz="4" w:space="0" w:color="808080"/>
            </w:tcBorders>
            <w:shd w:val="clear" w:color="000000" w:fill="F2F2F2"/>
            <w:vAlign w:val="center"/>
            <w:hideMark/>
          </w:tcPr>
          <w:p w14:paraId="6C7F5BC6"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14</w:t>
            </w:r>
          </w:p>
        </w:tc>
        <w:tc>
          <w:tcPr>
            <w:tcW w:w="0" w:type="auto"/>
            <w:tcBorders>
              <w:top w:val="nil"/>
              <w:left w:val="nil"/>
              <w:bottom w:val="single" w:sz="4" w:space="0" w:color="808080"/>
              <w:right w:val="single" w:sz="4" w:space="0" w:color="808080"/>
            </w:tcBorders>
            <w:shd w:val="clear" w:color="000000" w:fill="F2F2F2"/>
            <w:vAlign w:val="center"/>
            <w:hideMark/>
          </w:tcPr>
          <w:p w14:paraId="6CF09943" w14:textId="4DD024DA"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shd w:val="clear" w:color="000000" w:fill="F2F2F2"/>
            <w:vAlign w:val="center"/>
            <w:hideMark/>
          </w:tcPr>
          <w:p w14:paraId="6534938D"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shd w:val="clear" w:color="000000" w:fill="F2F2F2"/>
            <w:vAlign w:val="center"/>
            <w:hideMark/>
          </w:tcPr>
          <w:p w14:paraId="2D0D7DF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w:t>
            </w:r>
          </w:p>
        </w:tc>
      </w:tr>
      <w:tr w:rsidR="004921FF" w:rsidRPr="005C133F" w14:paraId="5EB4477B"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4EFE3AC3"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Mayo</w:t>
            </w:r>
          </w:p>
        </w:tc>
        <w:tc>
          <w:tcPr>
            <w:tcW w:w="0" w:type="auto"/>
            <w:tcBorders>
              <w:top w:val="nil"/>
              <w:left w:val="nil"/>
              <w:bottom w:val="single" w:sz="4" w:space="0" w:color="808080"/>
              <w:right w:val="single" w:sz="4" w:space="0" w:color="808080"/>
            </w:tcBorders>
            <w:vAlign w:val="center"/>
            <w:hideMark/>
          </w:tcPr>
          <w:p w14:paraId="0A21316C"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nil"/>
              <w:left w:val="nil"/>
              <w:bottom w:val="single" w:sz="4" w:space="0" w:color="808080"/>
              <w:right w:val="single" w:sz="4" w:space="0" w:color="808080"/>
            </w:tcBorders>
            <w:vAlign w:val="center"/>
            <w:hideMark/>
          </w:tcPr>
          <w:p w14:paraId="3671A2E6" w14:textId="45228D92"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hideMark/>
          </w:tcPr>
          <w:p w14:paraId="408320E7"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nil"/>
              <w:left w:val="nil"/>
              <w:bottom w:val="single" w:sz="4" w:space="0" w:color="808080"/>
              <w:right w:val="single" w:sz="4" w:space="0" w:color="808080"/>
            </w:tcBorders>
            <w:vAlign w:val="center"/>
            <w:hideMark/>
          </w:tcPr>
          <w:p w14:paraId="01922579"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w:t>
            </w:r>
          </w:p>
        </w:tc>
      </w:tr>
      <w:tr w:rsidR="004921FF" w:rsidRPr="005C133F" w14:paraId="219C1273"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4527203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Junio</w:t>
            </w:r>
          </w:p>
        </w:tc>
        <w:tc>
          <w:tcPr>
            <w:tcW w:w="0" w:type="auto"/>
            <w:tcBorders>
              <w:top w:val="nil"/>
              <w:left w:val="nil"/>
              <w:bottom w:val="single" w:sz="4" w:space="0" w:color="808080"/>
              <w:right w:val="single" w:sz="4" w:space="0" w:color="808080"/>
            </w:tcBorders>
            <w:shd w:val="clear" w:color="000000" w:fill="F2F2F2"/>
            <w:vAlign w:val="center"/>
            <w:hideMark/>
          </w:tcPr>
          <w:p w14:paraId="090AA2F7"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24</w:t>
            </w:r>
          </w:p>
        </w:tc>
        <w:tc>
          <w:tcPr>
            <w:tcW w:w="0" w:type="auto"/>
            <w:tcBorders>
              <w:top w:val="nil"/>
              <w:left w:val="nil"/>
              <w:bottom w:val="single" w:sz="4" w:space="0" w:color="808080"/>
              <w:right w:val="single" w:sz="4" w:space="0" w:color="808080"/>
            </w:tcBorders>
            <w:shd w:val="clear" w:color="000000" w:fill="F2F2F2"/>
            <w:vAlign w:val="center"/>
            <w:hideMark/>
          </w:tcPr>
          <w:p w14:paraId="781A82D1"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2C1988C2"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70</w:t>
            </w:r>
          </w:p>
        </w:tc>
        <w:tc>
          <w:tcPr>
            <w:tcW w:w="0" w:type="auto"/>
            <w:tcBorders>
              <w:top w:val="nil"/>
              <w:left w:val="nil"/>
              <w:bottom w:val="single" w:sz="4" w:space="0" w:color="808080"/>
              <w:right w:val="single" w:sz="4" w:space="0" w:color="808080"/>
            </w:tcBorders>
            <w:shd w:val="clear" w:color="000000" w:fill="F2F2F2"/>
            <w:vAlign w:val="center"/>
            <w:hideMark/>
          </w:tcPr>
          <w:p w14:paraId="6AA045A1"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14</w:t>
            </w:r>
          </w:p>
        </w:tc>
      </w:tr>
      <w:tr w:rsidR="004921FF" w:rsidRPr="005C133F" w14:paraId="2AE21C04"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7B7C7AE6"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Julio</w:t>
            </w:r>
          </w:p>
        </w:tc>
        <w:tc>
          <w:tcPr>
            <w:tcW w:w="0" w:type="auto"/>
            <w:tcBorders>
              <w:top w:val="nil"/>
              <w:left w:val="nil"/>
              <w:bottom w:val="single" w:sz="4" w:space="0" w:color="808080"/>
              <w:right w:val="single" w:sz="4" w:space="0" w:color="808080"/>
            </w:tcBorders>
            <w:vAlign w:val="center"/>
            <w:hideMark/>
          </w:tcPr>
          <w:p w14:paraId="7183C17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15</w:t>
            </w:r>
          </w:p>
        </w:tc>
        <w:tc>
          <w:tcPr>
            <w:tcW w:w="0" w:type="auto"/>
            <w:tcBorders>
              <w:top w:val="nil"/>
              <w:left w:val="nil"/>
              <w:bottom w:val="single" w:sz="4" w:space="0" w:color="808080"/>
              <w:right w:val="single" w:sz="4" w:space="0" w:color="808080"/>
            </w:tcBorders>
            <w:vAlign w:val="center"/>
            <w:hideMark/>
          </w:tcPr>
          <w:p w14:paraId="66A0D780" w14:textId="552C4985"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hideMark/>
          </w:tcPr>
          <w:p w14:paraId="43784668"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vAlign w:val="center"/>
            <w:hideMark/>
          </w:tcPr>
          <w:p w14:paraId="7831D5C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8</w:t>
            </w:r>
          </w:p>
        </w:tc>
      </w:tr>
      <w:tr w:rsidR="004921FF" w:rsidRPr="005C133F" w14:paraId="5EE9822B"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3F598345"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Agosto</w:t>
            </w:r>
          </w:p>
        </w:tc>
        <w:tc>
          <w:tcPr>
            <w:tcW w:w="0" w:type="auto"/>
            <w:tcBorders>
              <w:top w:val="nil"/>
              <w:left w:val="nil"/>
              <w:bottom w:val="single" w:sz="4" w:space="0" w:color="808080"/>
              <w:right w:val="single" w:sz="4" w:space="0" w:color="808080"/>
            </w:tcBorders>
            <w:shd w:val="clear" w:color="000000" w:fill="F2F2F2"/>
            <w:vAlign w:val="center"/>
            <w:hideMark/>
          </w:tcPr>
          <w:p w14:paraId="680DC249"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72E34AA6" w14:textId="1F0D68A8" w:rsidR="000242F5"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shd w:val="clear" w:color="000000" w:fill="F2F2F2"/>
            <w:vAlign w:val="center"/>
            <w:hideMark/>
          </w:tcPr>
          <w:p w14:paraId="14B3C43C"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shd w:val="clear" w:color="000000" w:fill="F2F2F2"/>
            <w:vAlign w:val="center"/>
            <w:hideMark/>
          </w:tcPr>
          <w:p w14:paraId="4F7BE413"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r>
      <w:tr w:rsidR="004921FF" w:rsidRPr="005C133F" w14:paraId="42DFC761"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3F33A096"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Septiembre</w:t>
            </w:r>
          </w:p>
        </w:tc>
        <w:tc>
          <w:tcPr>
            <w:tcW w:w="0" w:type="auto"/>
            <w:tcBorders>
              <w:top w:val="nil"/>
              <w:left w:val="nil"/>
              <w:bottom w:val="single" w:sz="4" w:space="0" w:color="808080"/>
              <w:right w:val="single" w:sz="4" w:space="0" w:color="808080"/>
            </w:tcBorders>
            <w:vAlign w:val="center"/>
            <w:hideMark/>
          </w:tcPr>
          <w:p w14:paraId="3AA462B9"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vAlign w:val="center"/>
            <w:hideMark/>
          </w:tcPr>
          <w:p w14:paraId="4F6C30F1"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nil"/>
              <w:left w:val="nil"/>
              <w:bottom w:val="single" w:sz="4" w:space="0" w:color="808080"/>
              <w:right w:val="single" w:sz="4" w:space="0" w:color="808080"/>
            </w:tcBorders>
            <w:vAlign w:val="center"/>
            <w:hideMark/>
          </w:tcPr>
          <w:p w14:paraId="049E704F"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vAlign w:val="center"/>
            <w:hideMark/>
          </w:tcPr>
          <w:p w14:paraId="4D47499C"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w:t>
            </w:r>
          </w:p>
        </w:tc>
      </w:tr>
      <w:tr w:rsidR="004921FF" w:rsidRPr="005C133F" w14:paraId="5DD8FC54"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1DF0A8AF"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Octubre</w:t>
            </w:r>
          </w:p>
        </w:tc>
        <w:tc>
          <w:tcPr>
            <w:tcW w:w="0" w:type="auto"/>
            <w:tcBorders>
              <w:top w:val="nil"/>
              <w:left w:val="nil"/>
              <w:bottom w:val="single" w:sz="4" w:space="0" w:color="808080"/>
              <w:right w:val="single" w:sz="4" w:space="0" w:color="808080"/>
            </w:tcBorders>
            <w:shd w:val="clear" w:color="000000" w:fill="F2F2F2"/>
            <w:vAlign w:val="center"/>
            <w:hideMark/>
          </w:tcPr>
          <w:p w14:paraId="34841040"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8</w:t>
            </w:r>
          </w:p>
        </w:tc>
        <w:tc>
          <w:tcPr>
            <w:tcW w:w="0" w:type="auto"/>
            <w:tcBorders>
              <w:top w:val="nil"/>
              <w:left w:val="nil"/>
              <w:bottom w:val="single" w:sz="4" w:space="0" w:color="808080"/>
              <w:right w:val="single" w:sz="4" w:space="0" w:color="808080"/>
            </w:tcBorders>
            <w:shd w:val="clear" w:color="000000" w:fill="F2F2F2"/>
            <w:vAlign w:val="center"/>
            <w:hideMark/>
          </w:tcPr>
          <w:p w14:paraId="49703673"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nil"/>
              <w:left w:val="nil"/>
              <w:bottom w:val="single" w:sz="4" w:space="0" w:color="808080"/>
              <w:right w:val="single" w:sz="4" w:space="0" w:color="808080"/>
            </w:tcBorders>
            <w:shd w:val="clear" w:color="000000" w:fill="F2F2F2"/>
            <w:vAlign w:val="center"/>
            <w:hideMark/>
          </w:tcPr>
          <w:p w14:paraId="70E5B364"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shd w:val="clear" w:color="000000" w:fill="F2F2F2"/>
            <w:vAlign w:val="center"/>
            <w:hideMark/>
          </w:tcPr>
          <w:p w14:paraId="371FE676"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2</w:t>
            </w:r>
          </w:p>
        </w:tc>
      </w:tr>
      <w:tr w:rsidR="004921FF" w:rsidRPr="005C133F" w14:paraId="03FCF96D"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hideMark/>
          </w:tcPr>
          <w:p w14:paraId="68551CF2"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lastRenderedPageBreak/>
              <w:t>Noviembre</w:t>
            </w:r>
          </w:p>
        </w:tc>
        <w:tc>
          <w:tcPr>
            <w:tcW w:w="0" w:type="auto"/>
            <w:tcBorders>
              <w:top w:val="nil"/>
              <w:left w:val="nil"/>
              <w:bottom w:val="single" w:sz="4" w:space="0" w:color="808080"/>
              <w:right w:val="single" w:sz="4" w:space="0" w:color="808080"/>
            </w:tcBorders>
            <w:vAlign w:val="center"/>
            <w:hideMark/>
          </w:tcPr>
          <w:p w14:paraId="2444687A"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nil"/>
              <w:left w:val="nil"/>
              <w:bottom w:val="single" w:sz="4" w:space="0" w:color="808080"/>
              <w:right w:val="single" w:sz="4" w:space="0" w:color="808080"/>
            </w:tcBorders>
            <w:vAlign w:val="center"/>
            <w:hideMark/>
          </w:tcPr>
          <w:p w14:paraId="6F68CDC2"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vAlign w:val="center"/>
            <w:hideMark/>
          </w:tcPr>
          <w:p w14:paraId="22AA8995"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nil"/>
              <w:left w:val="nil"/>
              <w:bottom w:val="single" w:sz="4" w:space="0" w:color="808080"/>
              <w:right w:val="single" w:sz="4" w:space="0" w:color="808080"/>
            </w:tcBorders>
            <w:vAlign w:val="center"/>
            <w:hideMark/>
          </w:tcPr>
          <w:p w14:paraId="036CE795" w14:textId="77777777" w:rsidR="000242F5" w:rsidRPr="005C133F" w:rsidRDefault="000242F5" w:rsidP="00904C92">
            <w:pPr>
              <w:spacing w:after="0" w:line="240" w:lineRule="auto"/>
              <w:jc w:val="center"/>
              <w:rPr>
                <w:rFonts w:eastAsia="Times New Roman"/>
                <w:spacing w:val="0"/>
                <w:lang w:val="es-DO" w:eastAsia="es-DO"/>
              </w:rPr>
            </w:pPr>
            <w:r w:rsidRPr="005C133F">
              <w:rPr>
                <w:rFonts w:eastAsia="Times New Roman"/>
                <w:spacing w:val="0"/>
                <w:lang w:val="es-DO" w:eastAsia="es-DO"/>
              </w:rPr>
              <w:t>3</w:t>
            </w:r>
          </w:p>
        </w:tc>
      </w:tr>
      <w:tr w:rsidR="00904C92" w:rsidRPr="005C133F" w14:paraId="44E5E760" w14:textId="77777777" w:rsidTr="0067066E">
        <w:trPr>
          <w:trHeight w:val="330"/>
          <w:jc w:val="center"/>
        </w:trPr>
        <w:tc>
          <w:tcPr>
            <w:tcW w:w="0" w:type="auto"/>
            <w:tcBorders>
              <w:top w:val="nil"/>
              <w:left w:val="single" w:sz="4" w:space="0" w:color="808080"/>
              <w:bottom w:val="single" w:sz="4" w:space="0" w:color="808080"/>
              <w:right w:val="single" w:sz="4" w:space="0" w:color="808080"/>
            </w:tcBorders>
            <w:vAlign w:val="center"/>
          </w:tcPr>
          <w:p w14:paraId="1C4AB617" w14:textId="493A8A54" w:rsidR="00904C92"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Diciembre</w:t>
            </w:r>
          </w:p>
        </w:tc>
        <w:tc>
          <w:tcPr>
            <w:tcW w:w="0" w:type="auto"/>
            <w:tcBorders>
              <w:top w:val="nil"/>
              <w:left w:val="nil"/>
              <w:bottom w:val="single" w:sz="4" w:space="0" w:color="808080"/>
              <w:right w:val="single" w:sz="4" w:space="0" w:color="808080"/>
            </w:tcBorders>
            <w:vAlign w:val="center"/>
          </w:tcPr>
          <w:p w14:paraId="79384E78" w14:textId="71CB5B3D" w:rsidR="00904C92"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tcPr>
          <w:p w14:paraId="002741B1" w14:textId="376913E0" w:rsidR="00904C92"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tcPr>
          <w:p w14:paraId="7D0FCC95" w14:textId="599DF3BA" w:rsidR="00904C92"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c>
          <w:tcPr>
            <w:tcW w:w="0" w:type="auto"/>
            <w:tcBorders>
              <w:top w:val="nil"/>
              <w:left w:val="nil"/>
              <w:bottom w:val="single" w:sz="4" w:space="0" w:color="808080"/>
              <w:right w:val="single" w:sz="4" w:space="0" w:color="808080"/>
            </w:tcBorders>
            <w:vAlign w:val="center"/>
          </w:tcPr>
          <w:p w14:paraId="6228738E" w14:textId="1B9C10AC" w:rsidR="00904C92" w:rsidRPr="005C133F" w:rsidRDefault="00904C92" w:rsidP="00904C92">
            <w:pPr>
              <w:spacing w:after="0" w:line="240" w:lineRule="auto"/>
              <w:jc w:val="center"/>
              <w:rPr>
                <w:rFonts w:eastAsia="Times New Roman"/>
                <w:spacing w:val="0"/>
                <w:lang w:val="es-DO" w:eastAsia="es-DO"/>
              </w:rPr>
            </w:pPr>
            <w:r>
              <w:rPr>
                <w:rFonts w:eastAsia="Times New Roman"/>
                <w:spacing w:val="0"/>
                <w:lang w:val="es-DO" w:eastAsia="es-DO"/>
              </w:rPr>
              <w:t>0</w:t>
            </w:r>
          </w:p>
        </w:tc>
      </w:tr>
      <w:tr w:rsidR="007C49E3" w:rsidRPr="005C133F" w14:paraId="51D54133" w14:textId="77777777" w:rsidTr="0067066E">
        <w:trPr>
          <w:trHeight w:val="330"/>
          <w:jc w:val="center"/>
        </w:trPr>
        <w:tc>
          <w:tcPr>
            <w:tcW w:w="0" w:type="auto"/>
            <w:tcBorders>
              <w:top w:val="nil"/>
              <w:left w:val="single" w:sz="4" w:space="0" w:color="808080"/>
              <w:bottom w:val="single" w:sz="4" w:space="0" w:color="808080"/>
              <w:right w:val="single" w:sz="4" w:space="0" w:color="808080"/>
            </w:tcBorders>
            <w:shd w:val="clear" w:color="auto" w:fill="011C50"/>
            <w:vAlign w:val="center"/>
            <w:hideMark/>
          </w:tcPr>
          <w:p w14:paraId="1AF98A37"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Total</w:t>
            </w:r>
          </w:p>
        </w:tc>
        <w:tc>
          <w:tcPr>
            <w:tcW w:w="0" w:type="auto"/>
            <w:tcBorders>
              <w:top w:val="nil"/>
              <w:left w:val="nil"/>
              <w:bottom w:val="single" w:sz="4" w:space="0" w:color="808080"/>
              <w:right w:val="single" w:sz="4" w:space="0" w:color="808080"/>
            </w:tcBorders>
            <w:shd w:val="clear" w:color="auto" w:fill="011C50"/>
            <w:vAlign w:val="center"/>
            <w:hideMark/>
          </w:tcPr>
          <w:p w14:paraId="72381B9F"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116</w:t>
            </w:r>
          </w:p>
        </w:tc>
        <w:tc>
          <w:tcPr>
            <w:tcW w:w="0" w:type="auto"/>
            <w:tcBorders>
              <w:top w:val="nil"/>
              <w:left w:val="nil"/>
              <w:bottom w:val="single" w:sz="4" w:space="0" w:color="808080"/>
              <w:right w:val="single" w:sz="4" w:space="0" w:color="808080"/>
            </w:tcBorders>
            <w:shd w:val="clear" w:color="auto" w:fill="011C50"/>
            <w:vAlign w:val="center"/>
            <w:hideMark/>
          </w:tcPr>
          <w:p w14:paraId="6D889314"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11</w:t>
            </w:r>
          </w:p>
        </w:tc>
        <w:tc>
          <w:tcPr>
            <w:tcW w:w="0" w:type="auto"/>
            <w:tcBorders>
              <w:top w:val="nil"/>
              <w:left w:val="nil"/>
              <w:bottom w:val="single" w:sz="4" w:space="0" w:color="808080"/>
              <w:right w:val="single" w:sz="4" w:space="0" w:color="808080"/>
            </w:tcBorders>
            <w:shd w:val="clear" w:color="auto" w:fill="011C50"/>
            <w:vAlign w:val="center"/>
            <w:hideMark/>
          </w:tcPr>
          <w:p w14:paraId="2B7F4AE5"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69</w:t>
            </w:r>
          </w:p>
        </w:tc>
        <w:tc>
          <w:tcPr>
            <w:tcW w:w="0" w:type="auto"/>
            <w:tcBorders>
              <w:top w:val="nil"/>
              <w:left w:val="nil"/>
              <w:bottom w:val="single" w:sz="4" w:space="0" w:color="808080"/>
              <w:right w:val="single" w:sz="4" w:space="0" w:color="808080"/>
            </w:tcBorders>
            <w:shd w:val="clear" w:color="auto" w:fill="011C50"/>
            <w:vAlign w:val="center"/>
            <w:hideMark/>
          </w:tcPr>
          <w:p w14:paraId="4D690AEF" w14:textId="77777777" w:rsidR="000242F5" w:rsidRPr="005C133F" w:rsidRDefault="000242F5" w:rsidP="00904C9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58</w:t>
            </w:r>
          </w:p>
        </w:tc>
      </w:tr>
    </w:tbl>
    <w:p w14:paraId="04A52698" w14:textId="6A482AF9" w:rsidR="00904C92" w:rsidRPr="00885E9D" w:rsidRDefault="00904C92" w:rsidP="00904C92">
      <w:pPr>
        <w:pStyle w:val="Textoindependiente"/>
        <w:ind w:right="1459"/>
        <w:jc w:val="both"/>
        <w:rPr>
          <w:b w:val="0"/>
          <w:bCs w:val="0"/>
          <w:i w:val="0"/>
          <w:iCs w:val="0"/>
          <w:color w:val="767171"/>
          <w:spacing w:val="17"/>
          <w:sz w:val="18"/>
          <w:szCs w:val="18"/>
          <w:lang w:val="es-DO"/>
        </w:rPr>
      </w:pPr>
      <w:r w:rsidRPr="00885E9D">
        <w:rPr>
          <w:b w:val="0"/>
          <w:bCs w:val="0"/>
          <w:i w:val="0"/>
          <w:iCs w:val="0"/>
          <w:color w:val="767171"/>
          <w:spacing w:val="17"/>
          <w:sz w:val="18"/>
          <w:szCs w:val="18"/>
          <w:lang w:val="es-DO"/>
        </w:rPr>
        <w:t xml:space="preserve">Fuente: </w:t>
      </w:r>
      <w:r>
        <w:rPr>
          <w:b w:val="0"/>
          <w:bCs w:val="0"/>
          <w:i w:val="0"/>
          <w:iCs w:val="0"/>
          <w:color w:val="767171"/>
          <w:spacing w:val="17"/>
          <w:sz w:val="18"/>
          <w:szCs w:val="18"/>
          <w:lang w:val="es-DO"/>
        </w:rPr>
        <w:t xml:space="preserve">Dirección de Recursos Humanos SISALRIL </w:t>
      </w:r>
    </w:p>
    <w:p w14:paraId="26FFBA30" w14:textId="77777777" w:rsidR="0082062D" w:rsidRPr="005C133F" w:rsidRDefault="0082062D" w:rsidP="005C133F">
      <w:pPr>
        <w:spacing w:after="0" w:line="360" w:lineRule="auto"/>
        <w:jc w:val="both"/>
        <w:rPr>
          <w:noProof/>
          <w:lang w:val="es-DO"/>
        </w:rPr>
      </w:pPr>
    </w:p>
    <w:p w14:paraId="76BBF0A8" w14:textId="5D7B36AE" w:rsidR="00A74528" w:rsidRPr="005C133F" w:rsidRDefault="0082062D" w:rsidP="005C133F">
      <w:pPr>
        <w:spacing w:after="0" w:line="360" w:lineRule="auto"/>
        <w:jc w:val="both"/>
        <w:rPr>
          <w:noProof/>
          <w:lang w:val="es-DO"/>
        </w:rPr>
      </w:pPr>
      <w:r w:rsidRPr="005C133F">
        <w:rPr>
          <w:noProof/>
          <w:lang w:val="es-DO"/>
        </w:rPr>
        <w:t>Durante el año 2025, la institución reafirmó su compromiso con la identificación y formación de nuevos talentos, al ofrecer oportunidades de pasantía a ocho (8) estudiantes universitarios y técnicos quienes se integraron a diversas áreas estratégicas y de apoyo, entre ellas: Dirección de Recursos Humanos, Dirección de Gestión Actuarial del SFS y SRL, Dirección de Transformación Digital y Dirección Administrativa y Financiera. Esta iniciativa contribuyó al fortalecimiento de sus competencias profesionales, facilitando la adquisición de experiencia práctica en el ámbito laboral y promoviendo el desarrollo de capacidades alineadas a los valores y exigencias del servicio público.</w:t>
      </w:r>
    </w:p>
    <w:p w14:paraId="6560AE5D" w14:textId="77777777" w:rsidR="00DA2926" w:rsidRPr="005C133F" w:rsidRDefault="00DA2926" w:rsidP="005C133F">
      <w:pPr>
        <w:spacing w:after="0" w:line="360" w:lineRule="auto"/>
        <w:jc w:val="both"/>
        <w:rPr>
          <w:noProof/>
          <w:lang w:val="es-DO"/>
        </w:rPr>
      </w:pPr>
    </w:p>
    <w:p w14:paraId="2B0E67CE" w14:textId="53AE21C6" w:rsidR="00A74528" w:rsidRPr="005C133F" w:rsidRDefault="00A74528" w:rsidP="005C133F">
      <w:pPr>
        <w:spacing w:after="0" w:line="360" w:lineRule="auto"/>
        <w:jc w:val="both"/>
        <w:rPr>
          <w:noProof/>
          <w:lang w:val="es-DO"/>
        </w:rPr>
      </w:pPr>
      <w:r w:rsidRPr="005C133F">
        <w:rPr>
          <w:noProof/>
          <w:lang w:val="es-DO"/>
        </w:rPr>
        <w:t>Asimismo, en el mes de agosto se llevó a cabo el programa “Mi Verano SISALRIL”, concebido como un programa formativo y vivencial, orientado a fomentar el acercamiento temprano al entorno laboral de los hijos e hijas de los colaboradores de la Superintendencia de Salud y Riesgos Laborales (SISALRIL). En esta edición, el programa contó con la participación de siete (7) jóvenes estudiantes quienes se integraron a áreas misionales, consultivas y de apoyo, fortaleciendo valores como la responsabilidad, el trabajo en equipo y el compromiso con la gestión pública.</w:t>
      </w:r>
    </w:p>
    <w:p w14:paraId="4C1832F2" w14:textId="77777777" w:rsidR="00144B18" w:rsidRPr="005C133F" w:rsidRDefault="00144B18" w:rsidP="005C133F">
      <w:pPr>
        <w:spacing w:after="0" w:line="360" w:lineRule="auto"/>
        <w:jc w:val="both"/>
        <w:rPr>
          <w:noProof/>
          <w:lang w:val="es-DO"/>
        </w:rPr>
      </w:pPr>
    </w:p>
    <w:p w14:paraId="30720633" w14:textId="5019DD55" w:rsidR="00144B18" w:rsidRPr="005C133F" w:rsidRDefault="00144B18">
      <w:pPr>
        <w:pStyle w:val="Prrafodelista"/>
        <w:widowControl w:val="0"/>
        <w:numPr>
          <w:ilvl w:val="0"/>
          <w:numId w:val="170"/>
        </w:numPr>
        <w:tabs>
          <w:tab w:val="left" w:pos="1080"/>
        </w:tabs>
        <w:autoSpaceDE w:val="0"/>
        <w:autoSpaceDN w:val="0"/>
        <w:spacing w:before="1" w:after="0" w:line="360" w:lineRule="auto"/>
        <w:contextualSpacing w:val="0"/>
        <w:rPr>
          <w:b/>
          <w:lang w:val="es-DO"/>
        </w:rPr>
      </w:pPr>
      <w:r w:rsidRPr="005C133F">
        <w:rPr>
          <w:b/>
          <w:lang w:val="es-DO"/>
        </w:rPr>
        <w:t>Manual de cargos y perfiles de competencias</w:t>
      </w:r>
    </w:p>
    <w:p w14:paraId="2FB9026C" w14:textId="77777777" w:rsidR="008F4021" w:rsidRPr="005C133F" w:rsidRDefault="008F4021" w:rsidP="005C133F">
      <w:pPr>
        <w:widowControl w:val="0"/>
        <w:tabs>
          <w:tab w:val="left" w:pos="1080"/>
        </w:tabs>
        <w:autoSpaceDE w:val="0"/>
        <w:autoSpaceDN w:val="0"/>
        <w:spacing w:before="1" w:after="0" w:line="360" w:lineRule="auto"/>
        <w:rPr>
          <w:b/>
          <w:lang w:val="es-DO"/>
        </w:rPr>
      </w:pPr>
    </w:p>
    <w:p w14:paraId="38C580BE" w14:textId="77777777" w:rsidR="008F4021" w:rsidRPr="005C133F" w:rsidRDefault="008F4021" w:rsidP="005C133F">
      <w:pPr>
        <w:spacing w:after="0" w:line="360" w:lineRule="auto"/>
        <w:jc w:val="both"/>
        <w:rPr>
          <w:noProof/>
          <w:lang w:val="es-DO"/>
        </w:rPr>
      </w:pPr>
      <w:r w:rsidRPr="005C133F">
        <w:rPr>
          <w:noProof/>
          <w:lang w:val="es-DO"/>
        </w:rPr>
        <w:lastRenderedPageBreak/>
        <w:t>Durante el año 2025, la institución dio continuidad al proceso de revisión y actualización del Manual de Cargos y Perfiles de Competencias, en el marco del proceso de implementación de la nueva estructura organizativa institucional, con el objetivo de fortalecer la gestión del talento humano y asegurar la coherencia entre la estructura, las funciones y las competencias requerida.</w:t>
      </w:r>
    </w:p>
    <w:p w14:paraId="0BE8C47B" w14:textId="77777777" w:rsidR="008F4021" w:rsidRPr="005C133F" w:rsidRDefault="008F4021" w:rsidP="005C133F">
      <w:pPr>
        <w:pStyle w:val="Textoindependiente"/>
        <w:spacing w:line="360" w:lineRule="auto"/>
        <w:ind w:left="426" w:right="424"/>
        <w:jc w:val="both"/>
        <w:rPr>
          <w:rFonts w:eastAsiaTheme="minorHAnsi"/>
          <w:b w:val="0"/>
          <w:bCs w:val="0"/>
          <w:i w:val="0"/>
          <w:iCs w:val="0"/>
          <w:color w:val="767171"/>
          <w:spacing w:val="20"/>
          <w:sz w:val="24"/>
          <w:szCs w:val="24"/>
          <w:lang w:val="es-DO"/>
        </w:rPr>
      </w:pPr>
    </w:p>
    <w:p w14:paraId="0262DA64" w14:textId="61627C7A" w:rsidR="00550793" w:rsidRPr="005C133F" w:rsidRDefault="008F4021" w:rsidP="005C133F">
      <w:pPr>
        <w:pStyle w:val="Textoindependiente"/>
        <w:spacing w:line="360" w:lineRule="auto"/>
        <w:ind w:left="426"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Entre los principales avances alcanzados, se destacan:</w:t>
      </w:r>
    </w:p>
    <w:p w14:paraId="0FC0B927" w14:textId="584AB2D3" w:rsidR="00550793"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Levantamiento y análisis de los 267 cargos vigentes, identificando las adecuaciones necesarias conforme a los nuevos lineamientos organizativos e institucionales.</w:t>
      </w:r>
    </w:p>
    <w:p w14:paraId="6F8BCA75" w14:textId="77777777" w:rsidR="00550793"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Definición de 70 nuevos cargos, derivados de la creación de áreas y funciones incorporadas en la nueva estructura orgánica.</w:t>
      </w:r>
    </w:p>
    <w:p w14:paraId="6677D141" w14:textId="23787B1B" w:rsidR="008F4021"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Actualización de los cargos existentes, mediante el ajuste de funciones, competencias y niveles de responsabilidad</w:t>
      </w:r>
      <w:r w:rsidRPr="005C133F">
        <w:rPr>
          <w:b w:val="0"/>
          <w:bCs w:val="0"/>
          <w:i w:val="0"/>
          <w:iCs w:val="0"/>
          <w:color w:val="767171"/>
          <w:sz w:val="24"/>
          <w:szCs w:val="24"/>
        </w:rPr>
        <w:t xml:space="preserve"> </w:t>
      </w:r>
      <w:r w:rsidRPr="005C133F">
        <w:rPr>
          <w:rFonts w:eastAsiaTheme="minorHAnsi"/>
          <w:b w:val="0"/>
          <w:bCs w:val="0"/>
          <w:i w:val="0"/>
          <w:iCs w:val="0"/>
          <w:color w:val="767171"/>
          <w:spacing w:val="20"/>
          <w:sz w:val="24"/>
          <w:szCs w:val="24"/>
          <w:lang w:val="es-DO"/>
        </w:rPr>
        <w:t>en correspondencia con los cambios estructurales y operativos.</w:t>
      </w:r>
    </w:p>
    <w:p w14:paraId="1DA397A3" w14:textId="77777777" w:rsidR="00514AF8"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Validación de la información con las áreas responsables, a fin de garantizar la correspondencia entre las funciones descritas y las realmente desempeñadas.</w:t>
      </w:r>
    </w:p>
    <w:p w14:paraId="30F713F7" w14:textId="77777777" w:rsidR="00514AF8"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Elaboración de nuevos descriptivos para los cargos creados a raíz de la implementación de la nueva estructura orgánica.</w:t>
      </w:r>
    </w:p>
    <w:p w14:paraId="66757BDD" w14:textId="77777777" w:rsidR="00514AF8"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Acompañamiento y orientación técnica a las direcciones durante el proceso de revisión y validación de los descriptivos.</w:t>
      </w:r>
    </w:p>
    <w:p w14:paraId="416D5F1D" w14:textId="77777777" w:rsidR="008F4021" w:rsidRPr="005C133F" w:rsidRDefault="008F4021">
      <w:pPr>
        <w:pStyle w:val="Textoindependiente"/>
        <w:numPr>
          <w:ilvl w:val="0"/>
          <w:numId w:val="171"/>
        </w:numPr>
        <w:spacing w:line="360" w:lineRule="auto"/>
        <w:ind w:right="424"/>
        <w:jc w:val="both"/>
        <w:rPr>
          <w:rFonts w:eastAsiaTheme="minorHAnsi"/>
          <w:b w:val="0"/>
          <w:bCs w:val="0"/>
          <w:i w:val="0"/>
          <w:iCs w:val="0"/>
          <w:color w:val="767171"/>
          <w:spacing w:val="20"/>
          <w:sz w:val="24"/>
          <w:szCs w:val="24"/>
          <w:lang w:val="es-DO"/>
        </w:rPr>
      </w:pPr>
      <w:r w:rsidRPr="005C133F">
        <w:rPr>
          <w:rFonts w:eastAsiaTheme="minorHAnsi"/>
          <w:b w:val="0"/>
          <w:bCs w:val="0"/>
          <w:i w:val="0"/>
          <w:iCs w:val="0"/>
          <w:color w:val="767171"/>
          <w:spacing w:val="20"/>
          <w:sz w:val="24"/>
          <w:szCs w:val="24"/>
          <w:lang w:val="es-DO"/>
        </w:rPr>
        <w:t xml:space="preserve">Avance en la compilación y organización de la información revisada, como etapa previa a la </w:t>
      </w:r>
      <w:r w:rsidRPr="005C133F">
        <w:rPr>
          <w:rFonts w:eastAsiaTheme="minorHAnsi"/>
          <w:b w:val="0"/>
          <w:bCs w:val="0"/>
          <w:i w:val="0"/>
          <w:iCs w:val="0"/>
          <w:color w:val="767171"/>
          <w:spacing w:val="20"/>
          <w:sz w:val="24"/>
          <w:szCs w:val="24"/>
          <w:lang w:val="es-DO"/>
        </w:rPr>
        <w:lastRenderedPageBreak/>
        <w:t>elaboración del documento final.</w:t>
      </w:r>
    </w:p>
    <w:p w14:paraId="6B98CF54" w14:textId="77777777" w:rsidR="005B6EF4" w:rsidRPr="005C133F" w:rsidRDefault="005B6EF4" w:rsidP="005C133F">
      <w:pPr>
        <w:widowControl w:val="0"/>
        <w:tabs>
          <w:tab w:val="left" w:pos="1080"/>
        </w:tabs>
        <w:autoSpaceDE w:val="0"/>
        <w:autoSpaceDN w:val="0"/>
        <w:spacing w:before="1" w:after="0" w:line="360" w:lineRule="auto"/>
        <w:rPr>
          <w:b/>
          <w:lang w:val="es-DO"/>
        </w:rPr>
      </w:pPr>
    </w:p>
    <w:p w14:paraId="6056BB54" w14:textId="0464EB99" w:rsidR="005B6EF4" w:rsidRPr="005C133F" w:rsidRDefault="005B6EF4">
      <w:pPr>
        <w:pStyle w:val="Prrafodelista"/>
        <w:widowControl w:val="0"/>
        <w:numPr>
          <w:ilvl w:val="0"/>
          <w:numId w:val="170"/>
        </w:numPr>
        <w:tabs>
          <w:tab w:val="left" w:pos="1080"/>
        </w:tabs>
        <w:autoSpaceDE w:val="0"/>
        <w:autoSpaceDN w:val="0"/>
        <w:spacing w:before="1" w:after="0" w:line="360" w:lineRule="auto"/>
        <w:contextualSpacing w:val="0"/>
        <w:rPr>
          <w:b/>
          <w:lang w:val="es-DO"/>
        </w:rPr>
      </w:pPr>
      <w:r w:rsidRPr="005C133F">
        <w:rPr>
          <w:b/>
          <w:lang w:val="es-DO"/>
        </w:rPr>
        <w:t>Gestión del Rendimiento</w:t>
      </w:r>
    </w:p>
    <w:p w14:paraId="3806DD04" w14:textId="77777777" w:rsidR="00EB6B13" w:rsidRPr="005C133F" w:rsidRDefault="00EB6B13" w:rsidP="005C133F">
      <w:pPr>
        <w:pStyle w:val="Prrafodelista"/>
        <w:widowControl w:val="0"/>
        <w:tabs>
          <w:tab w:val="left" w:pos="1080"/>
        </w:tabs>
        <w:autoSpaceDE w:val="0"/>
        <w:autoSpaceDN w:val="0"/>
        <w:spacing w:before="1" w:after="0" w:line="360" w:lineRule="auto"/>
        <w:ind w:left="1080"/>
        <w:contextualSpacing w:val="0"/>
        <w:rPr>
          <w:b/>
          <w:lang w:val="es-DO"/>
        </w:rPr>
      </w:pPr>
    </w:p>
    <w:p w14:paraId="485D9FE8" w14:textId="4CFBCB69" w:rsidR="001B59F2" w:rsidRPr="005C133F" w:rsidRDefault="005B6EF4" w:rsidP="005C133F">
      <w:pPr>
        <w:spacing w:after="0" w:line="360" w:lineRule="auto"/>
        <w:jc w:val="both"/>
        <w:rPr>
          <w:noProof/>
          <w:lang w:val="es-DO"/>
        </w:rPr>
      </w:pPr>
      <w:r w:rsidRPr="005C133F">
        <w:rPr>
          <w:noProof/>
          <w:lang w:val="es-DO"/>
        </w:rPr>
        <w:t>Fueron evaluados 406 servidores públicos, valorándose el componente logro de metas o resultados, conforme a lo establecido en el Reglamento No. 525-09 sobre Evaluación del Desempeño y Promoción. En seguimiento al proceso de evaluación, se realizaron tres revisiones de monitoreo, alcanzando una cobertura del 100% de las unidades organizativas, lo que garantizó la correcta aplicación del modelo de evaluación y el fortalecimiento de la gestión del rendimiento institucional.</w:t>
      </w:r>
    </w:p>
    <w:p w14:paraId="72CB295E" w14:textId="77777777" w:rsidR="001B59F2" w:rsidRPr="005C133F" w:rsidRDefault="001B59F2" w:rsidP="0067066E">
      <w:pPr>
        <w:spacing w:after="0" w:line="360" w:lineRule="auto"/>
        <w:jc w:val="center"/>
        <w:rPr>
          <w:b/>
          <w:bCs/>
          <w:spacing w:val="17"/>
          <w:lang w:val="es-DO"/>
        </w:rPr>
      </w:pPr>
    </w:p>
    <w:p w14:paraId="3BD540FA" w14:textId="440C9ADA" w:rsidR="00E27F0B" w:rsidRPr="005C133F" w:rsidRDefault="007302EB" w:rsidP="0067066E">
      <w:pPr>
        <w:pStyle w:val="Descripcin"/>
        <w:spacing w:after="0"/>
        <w:jc w:val="center"/>
        <w:rPr>
          <w:b/>
          <w:i w:val="0"/>
          <w:color w:val="FFFFFF" w:themeColor="background1"/>
          <w:sz w:val="24"/>
          <w:szCs w:val="24"/>
          <w:lang w:val="es-DO"/>
        </w:rPr>
      </w:pPr>
      <w:bookmarkStart w:id="121" w:name="_Toc218784181"/>
      <w:r w:rsidRPr="005C133F">
        <w:rPr>
          <w:b/>
          <w:i w:val="0"/>
          <w:iCs w:val="0"/>
          <w:color w:val="767171"/>
          <w:sz w:val="24"/>
          <w:szCs w:val="24"/>
          <w:lang w:val="es-DO"/>
        </w:rPr>
        <w:t xml:space="preserve">Tabla </w:t>
      </w:r>
      <w:r w:rsidRPr="005C133F">
        <w:rPr>
          <w:b/>
          <w:i w:val="0"/>
          <w:iCs w:val="0"/>
          <w:color w:val="767171"/>
          <w:sz w:val="24"/>
          <w:szCs w:val="24"/>
          <w:lang w:val="es-DO"/>
        </w:rPr>
        <w:fldChar w:fldCharType="begin"/>
      </w:r>
      <w:r w:rsidRPr="005C133F">
        <w:rPr>
          <w:b/>
          <w:i w:val="0"/>
          <w:iCs w:val="0"/>
          <w:color w:val="767171"/>
          <w:sz w:val="24"/>
          <w:szCs w:val="24"/>
          <w:lang w:val="es-DO"/>
        </w:rPr>
        <w:instrText xml:space="preserve"> SEQ Tabla \* ARABIC </w:instrText>
      </w:r>
      <w:r w:rsidRPr="005C133F">
        <w:rPr>
          <w:b/>
          <w:i w:val="0"/>
          <w:iCs w:val="0"/>
          <w:color w:val="767171"/>
          <w:sz w:val="24"/>
          <w:szCs w:val="24"/>
          <w:lang w:val="es-DO"/>
        </w:rPr>
        <w:fldChar w:fldCharType="separate"/>
      </w:r>
      <w:r w:rsidR="00814341">
        <w:rPr>
          <w:b/>
          <w:i w:val="0"/>
          <w:iCs w:val="0"/>
          <w:noProof/>
          <w:color w:val="767171"/>
          <w:sz w:val="24"/>
          <w:szCs w:val="24"/>
          <w:lang w:val="es-DO"/>
        </w:rPr>
        <w:t>49</w:t>
      </w:r>
      <w:r w:rsidRPr="005C133F">
        <w:rPr>
          <w:b/>
          <w:i w:val="0"/>
          <w:iCs w:val="0"/>
          <w:color w:val="767171"/>
          <w:sz w:val="24"/>
          <w:szCs w:val="24"/>
          <w:lang w:val="es-DO"/>
        </w:rPr>
        <w:fldChar w:fldCharType="end"/>
      </w:r>
      <w:r w:rsidRPr="005C133F">
        <w:rPr>
          <w:b/>
          <w:i w:val="0"/>
          <w:iCs w:val="0"/>
          <w:color w:val="767171"/>
          <w:sz w:val="24"/>
          <w:szCs w:val="24"/>
          <w:lang w:val="es-DO"/>
        </w:rPr>
        <w:t xml:space="preserve">. </w:t>
      </w:r>
      <w:r w:rsidR="0017222C" w:rsidRPr="005C133F">
        <w:rPr>
          <w:b/>
          <w:i w:val="0"/>
          <w:color w:val="767171"/>
          <w:sz w:val="24"/>
          <w:szCs w:val="24"/>
          <w:lang w:val="es-DO"/>
        </w:rPr>
        <w:t>Promedio del desempeño por grupo ocupacional y sexo</w:t>
      </w:r>
      <w:r w:rsidR="0017222C" w:rsidRPr="005C133F">
        <w:rPr>
          <w:b/>
          <w:i w:val="0"/>
          <w:color w:val="FFFFFF" w:themeColor="background1"/>
          <w:sz w:val="24"/>
          <w:szCs w:val="24"/>
          <w:lang w:val="es-DO"/>
        </w:rPr>
        <w:t>024</w:t>
      </w:r>
      <w:bookmarkEnd w:id="121"/>
    </w:p>
    <w:tbl>
      <w:tblPr>
        <w:tblStyle w:val="Tablanormal3"/>
        <w:tblpPr w:leftFromText="141" w:rightFromText="141" w:vertAnchor="text" w:horzAnchor="margin" w:tblpXSpec="center" w:tblpY="90"/>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894"/>
        <w:gridCol w:w="1101"/>
        <w:gridCol w:w="1907"/>
        <w:gridCol w:w="1101"/>
        <w:gridCol w:w="1907"/>
      </w:tblGrid>
      <w:tr w:rsidR="007C49E3" w:rsidRPr="005C133F" w14:paraId="5117B5CA" w14:textId="77777777" w:rsidTr="0067066E">
        <w:trPr>
          <w:cnfStyle w:val="100000000000" w:firstRow="1" w:lastRow="0" w:firstColumn="0" w:lastColumn="0" w:oddVBand="0" w:evenVBand="0" w:oddHBand="0" w:evenHBand="0" w:firstRowFirstColumn="0" w:firstRowLastColumn="0" w:lastRowFirstColumn="0" w:lastRowLastColumn="0"/>
          <w:trHeight w:val="1106"/>
          <w:tblHeader/>
        </w:trPr>
        <w:tc>
          <w:tcPr>
            <w:cnfStyle w:val="001000000100" w:firstRow="0" w:lastRow="0" w:firstColumn="1" w:lastColumn="0" w:oddVBand="0" w:evenVBand="0" w:oddHBand="0" w:evenHBand="0" w:firstRowFirstColumn="1" w:firstRowLastColumn="0" w:lastRowFirstColumn="0" w:lastRowLastColumn="0"/>
            <w:tcW w:w="0" w:type="auto"/>
            <w:shd w:val="clear" w:color="auto" w:fill="011C50"/>
            <w:vAlign w:val="center"/>
          </w:tcPr>
          <w:p w14:paraId="173675C8" w14:textId="77777777" w:rsidR="00E27F0B" w:rsidRPr="005C133F" w:rsidRDefault="00E27F0B" w:rsidP="001D31AA">
            <w:pPr>
              <w:ind w:left="284" w:right="424"/>
              <w:jc w:val="cente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G</w:t>
            </w:r>
            <w:r w:rsidRPr="005C133F">
              <w:rPr>
                <w:rFonts w:ascii="Times New Roman" w:hAnsi="Times New Roman" w:cs="Times New Roman"/>
                <w:caps w:val="0"/>
                <w:color w:val="FFFFFF" w:themeColor="background1"/>
                <w:spacing w:val="17"/>
                <w:sz w:val="24"/>
                <w:szCs w:val="24"/>
                <w:lang w:val="es-DO"/>
              </w:rPr>
              <w:t>rupo ocupacional</w:t>
            </w:r>
          </w:p>
        </w:tc>
        <w:tc>
          <w:tcPr>
            <w:tcW w:w="0" w:type="auto"/>
            <w:shd w:val="clear" w:color="auto" w:fill="011C50"/>
            <w:vAlign w:val="center"/>
          </w:tcPr>
          <w:p w14:paraId="1F513D3E" w14:textId="77777777" w:rsidR="00E27F0B" w:rsidRPr="005C133F" w:rsidRDefault="00E27F0B" w:rsidP="001D31AA">
            <w:pPr>
              <w:ind w:left="284" w:right="4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F</w:t>
            </w:r>
          </w:p>
        </w:tc>
        <w:tc>
          <w:tcPr>
            <w:tcW w:w="0" w:type="auto"/>
            <w:shd w:val="clear" w:color="auto" w:fill="011C50"/>
            <w:vAlign w:val="center"/>
          </w:tcPr>
          <w:p w14:paraId="0AA74739" w14:textId="77777777" w:rsidR="00E27F0B" w:rsidRPr="005C133F" w:rsidRDefault="00E27F0B" w:rsidP="001D31AA">
            <w:pPr>
              <w:ind w:left="284" w:right="4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C</w:t>
            </w:r>
            <w:r w:rsidRPr="005C133F">
              <w:rPr>
                <w:rFonts w:ascii="Times New Roman" w:hAnsi="Times New Roman" w:cs="Times New Roman"/>
                <w:caps w:val="0"/>
                <w:color w:val="FFFFFF" w:themeColor="background1"/>
                <w:spacing w:val="17"/>
                <w:sz w:val="24"/>
                <w:szCs w:val="24"/>
                <w:lang w:val="es-DO"/>
              </w:rPr>
              <w:t>alificación promedio</w:t>
            </w:r>
          </w:p>
        </w:tc>
        <w:tc>
          <w:tcPr>
            <w:tcW w:w="0" w:type="auto"/>
            <w:shd w:val="clear" w:color="auto" w:fill="011C50"/>
            <w:vAlign w:val="center"/>
          </w:tcPr>
          <w:p w14:paraId="4E640510" w14:textId="77777777" w:rsidR="00E27F0B" w:rsidRPr="005C133F" w:rsidRDefault="00E27F0B" w:rsidP="001D31AA">
            <w:pPr>
              <w:ind w:left="284" w:right="4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M</w:t>
            </w:r>
          </w:p>
        </w:tc>
        <w:tc>
          <w:tcPr>
            <w:tcW w:w="0" w:type="auto"/>
            <w:shd w:val="clear" w:color="auto" w:fill="011C50"/>
            <w:vAlign w:val="center"/>
          </w:tcPr>
          <w:p w14:paraId="6E2308DB" w14:textId="77777777" w:rsidR="00E27F0B" w:rsidRPr="005C133F" w:rsidRDefault="00E27F0B" w:rsidP="001D31AA">
            <w:pPr>
              <w:ind w:left="284" w:right="4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C</w:t>
            </w:r>
            <w:r w:rsidRPr="005C133F">
              <w:rPr>
                <w:rFonts w:ascii="Times New Roman" w:hAnsi="Times New Roman" w:cs="Times New Roman"/>
                <w:caps w:val="0"/>
                <w:color w:val="FFFFFF" w:themeColor="background1"/>
                <w:spacing w:val="17"/>
                <w:sz w:val="24"/>
                <w:szCs w:val="24"/>
                <w:lang w:val="es-DO"/>
              </w:rPr>
              <w:t>alificación promedio</w:t>
            </w:r>
          </w:p>
        </w:tc>
      </w:tr>
      <w:tr w:rsidR="004921FF" w:rsidRPr="005C133F" w14:paraId="59E259EA" w14:textId="77777777" w:rsidTr="0067066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auto"/>
          </w:tcPr>
          <w:p w14:paraId="15A5E685"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w:t>
            </w:r>
          </w:p>
        </w:tc>
        <w:tc>
          <w:tcPr>
            <w:tcW w:w="0" w:type="auto"/>
          </w:tcPr>
          <w:p w14:paraId="18893185"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14</w:t>
            </w:r>
          </w:p>
        </w:tc>
        <w:tc>
          <w:tcPr>
            <w:tcW w:w="0" w:type="auto"/>
          </w:tcPr>
          <w:p w14:paraId="623D6D71"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52</w:t>
            </w:r>
          </w:p>
        </w:tc>
        <w:tc>
          <w:tcPr>
            <w:tcW w:w="0" w:type="auto"/>
          </w:tcPr>
          <w:p w14:paraId="699C75BE"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31</w:t>
            </w:r>
          </w:p>
        </w:tc>
        <w:tc>
          <w:tcPr>
            <w:tcW w:w="0" w:type="auto"/>
          </w:tcPr>
          <w:p w14:paraId="325DF73B"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54</w:t>
            </w:r>
          </w:p>
        </w:tc>
      </w:tr>
      <w:tr w:rsidR="004921FF" w:rsidRPr="005C133F" w14:paraId="286A9551" w14:textId="77777777" w:rsidTr="0067066E">
        <w:trPr>
          <w:trHeight w:val="136"/>
        </w:trPr>
        <w:tc>
          <w:tcPr>
            <w:cnfStyle w:val="001000000000" w:firstRow="0" w:lastRow="0" w:firstColumn="1" w:lastColumn="0" w:oddVBand="0" w:evenVBand="0" w:oddHBand="0" w:evenHBand="0" w:firstRowFirstColumn="0" w:firstRowLastColumn="0" w:lastRowFirstColumn="0" w:lastRowLastColumn="0"/>
            <w:tcW w:w="0" w:type="auto"/>
          </w:tcPr>
          <w:p w14:paraId="5BA04AC9"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II</w:t>
            </w:r>
          </w:p>
        </w:tc>
        <w:tc>
          <w:tcPr>
            <w:tcW w:w="0" w:type="auto"/>
          </w:tcPr>
          <w:p w14:paraId="2F61E6A0"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32</w:t>
            </w:r>
          </w:p>
        </w:tc>
        <w:tc>
          <w:tcPr>
            <w:tcW w:w="0" w:type="auto"/>
          </w:tcPr>
          <w:p w14:paraId="59D9474A"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52</w:t>
            </w:r>
          </w:p>
        </w:tc>
        <w:tc>
          <w:tcPr>
            <w:tcW w:w="0" w:type="auto"/>
          </w:tcPr>
          <w:p w14:paraId="7F90C070"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9</w:t>
            </w:r>
          </w:p>
        </w:tc>
        <w:tc>
          <w:tcPr>
            <w:tcW w:w="0" w:type="auto"/>
          </w:tcPr>
          <w:p w14:paraId="6F3391BB"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51</w:t>
            </w:r>
          </w:p>
        </w:tc>
      </w:tr>
      <w:tr w:rsidR="004921FF" w:rsidRPr="005C133F" w14:paraId="331D7C19" w14:textId="77777777" w:rsidTr="0067066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0" w:type="auto"/>
          </w:tcPr>
          <w:p w14:paraId="1BEF0AF0"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III</w:t>
            </w:r>
          </w:p>
        </w:tc>
        <w:tc>
          <w:tcPr>
            <w:tcW w:w="0" w:type="auto"/>
          </w:tcPr>
          <w:p w14:paraId="3C8349BE"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35</w:t>
            </w:r>
          </w:p>
        </w:tc>
        <w:tc>
          <w:tcPr>
            <w:tcW w:w="0" w:type="auto"/>
          </w:tcPr>
          <w:p w14:paraId="13B0CC7A"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54</w:t>
            </w:r>
          </w:p>
        </w:tc>
        <w:tc>
          <w:tcPr>
            <w:tcW w:w="0" w:type="auto"/>
          </w:tcPr>
          <w:p w14:paraId="00A11E9E"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42</w:t>
            </w:r>
          </w:p>
        </w:tc>
        <w:tc>
          <w:tcPr>
            <w:tcW w:w="0" w:type="auto"/>
          </w:tcPr>
          <w:p w14:paraId="40205303"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54</w:t>
            </w:r>
          </w:p>
        </w:tc>
      </w:tr>
      <w:tr w:rsidR="004921FF" w:rsidRPr="005C133F" w14:paraId="277E8803" w14:textId="77777777" w:rsidTr="0067066E">
        <w:trPr>
          <w:trHeight w:val="85"/>
        </w:trPr>
        <w:tc>
          <w:tcPr>
            <w:cnfStyle w:val="001000000000" w:firstRow="0" w:lastRow="0" w:firstColumn="1" w:lastColumn="0" w:oddVBand="0" w:evenVBand="0" w:oddHBand="0" w:evenHBand="0" w:firstRowFirstColumn="0" w:firstRowLastColumn="0" w:lastRowFirstColumn="0" w:lastRowLastColumn="0"/>
            <w:tcW w:w="0" w:type="auto"/>
          </w:tcPr>
          <w:p w14:paraId="0D2EA081"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IV</w:t>
            </w:r>
          </w:p>
        </w:tc>
        <w:tc>
          <w:tcPr>
            <w:tcW w:w="0" w:type="auto"/>
          </w:tcPr>
          <w:p w14:paraId="50D02B09"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112</w:t>
            </w:r>
          </w:p>
        </w:tc>
        <w:tc>
          <w:tcPr>
            <w:tcW w:w="0" w:type="auto"/>
          </w:tcPr>
          <w:p w14:paraId="5D0FDE9F"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54</w:t>
            </w:r>
          </w:p>
        </w:tc>
        <w:tc>
          <w:tcPr>
            <w:tcW w:w="0" w:type="auto"/>
          </w:tcPr>
          <w:p w14:paraId="44DC583F" w14:textId="77777777" w:rsidR="00E27F0B" w:rsidRPr="005C133F" w:rsidRDefault="001B59F2"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w:t>
            </w:r>
            <w:r w:rsidR="00E27F0B" w:rsidRPr="005C133F">
              <w:rPr>
                <w:rFonts w:ascii="Times New Roman" w:hAnsi="Times New Roman" w:cs="Times New Roman"/>
                <w:color w:val="767171"/>
                <w:spacing w:val="17"/>
                <w:sz w:val="24"/>
                <w:szCs w:val="24"/>
                <w:lang w:val="es-DO"/>
              </w:rPr>
              <w:t>6</w:t>
            </w:r>
          </w:p>
        </w:tc>
        <w:tc>
          <w:tcPr>
            <w:tcW w:w="0" w:type="auto"/>
          </w:tcPr>
          <w:p w14:paraId="54324499"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54</w:t>
            </w:r>
          </w:p>
        </w:tc>
      </w:tr>
      <w:tr w:rsidR="004921FF" w:rsidRPr="005C133F" w14:paraId="402EEFBE" w14:textId="77777777" w:rsidTr="0067066E">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tcPr>
          <w:p w14:paraId="3C349A2E"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V</w:t>
            </w:r>
          </w:p>
        </w:tc>
        <w:tc>
          <w:tcPr>
            <w:tcW w:w="0" w:type="auto"/>
          </w:tcPr>
          <w:p w14:paraId="490BAE4D"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45</w:t>
            </w:r>
          </w:p>
        </w:tc>
        <w:tc>
          <w:tcPr>
            <w:tcW w:w="0" w:type="auto"/>
          </w:tcPr>
          <w:p w14:paraId="602AA6C6"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64</w:t>
            </w:r>
          </w:p>
        </w:tc>
        <w:tc>
          <w:tcPr>
            <w:tcW w:w="0" w:type="auto"/>
          </w:tcPr>
          <w:p w14:paraId="5F4CDBDC"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30</w:t>
            </w:r>
          </w:p>
        </w:tc>
        <w:tc>
          <w:tcPr>
            <w:tcW w:w="0" w:type="auto"/>
          </w:tcPr>
          <w:p w14:paraId="229B7046" w14:textId="77777777" w:rsidR="00E27F0B" w:rsidRPr="005C133F" w:rsidRDefault="00E27F0B" w:rsidP="001D31AA">
            <w:pPr>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64</w:t>
            </w:r>
          </w:p>
        </w:tc>
      </w:tr>
      <w:tr w:rsidR="004921FF" w:rsidRPr="005C133F" w14:paraId="4E450845" w14:textId="77777777" w:rsidTr="0067066E">
        <w:trPr>
          <w:trHeight w:val="2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B01C58" w14:textId="77777777" w:rsidR="00E27F0B" w:rsidRPr="005C133F" w:rsidRDefault="00E27F0B" w:rsidP="001D31AA">
            <w:pPr>
              <w:ind w:left="284" w:right="424"/>
              <w:jc w:val="center"/>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T</w:t>
            </w:r>
            <w:r w:rsidRPr="005C133F">
              <w:rPr>
                <w:rFonts w:ascii="Times New Roman" w:hAnsi="Times New Roman" w:cs="Times New Roman"/>
                <w:caps w:val="0"/>
                <w:color w:val="767171"/>
                <w:spacing w:val="17"/>
                <w:sz w:val="24"/>
                <w:szCs w:val="24"/>
                <w:lang w:val="es-DO"/>
              </w:rPr>
              <w:t>otal</w:t>
            </w:r>
          </w:p>
        </w:tc>
        <w:tc>
          <w:tcPr>
            <w:tcW w:w="0" w:type="auto"/>
            <w:vAlign w:val="center"/>
          </w:tcPr>
          <w:p w14:paraId="763C5161"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238</w:t>
            </w:r>
          </w:p>
        </w:tc>
        <w:tc>
          <w:tcPr>
            <w:tcW w:w="0" w:type="auto"/>
            <w:vAlign w:val="center"/>
          </w:tcPr>
          <w:p w14:paraId="030AE848"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N/A</w:t>
            </w:r>
          </w:p>
        </w:tc>
        <w:tc>
          <w:tcPr>
            <w:tcW w:w="0" w:type="auto"/>
            <w:vAlign w:val="center"/>
          </w:tcPr>
          <w:p w14:paraId="547DD750"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168</w:t>
            </w:r>
          </w:p>
        </w:tc>
        <w:tc>
          <w:tcPr>
            <w:tcW w:w="0" w:type="auto"/>
            <w:vAlign w:val="center"/>
          </w:tcPr>
          <w:p w14:paraId="7ABA0B00" w14:textId="77777777" w:rsidR="00E27F0B" w:rsidRPr="005C133F" w:rsidRDefault="00E27F0B" w:rsidP="001D31AA">
            <w:pPr>
              <w:ind w:left="284" w:right="4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N/A</w:t>
            </w:r>
          </w:p>
        </w:tc>
      </w:tr>
      <w:tr w:rsidR="004921FF" w:rsidRPr="005C133F" w14:paraId="1BD4C027" w14:textId="77777777" w:rsidTr="0067066E">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0" w:type="auto"/>
            <w:shd w:val="clear" w:color="auto" w:fill="011C50"/>
            <w:vAlign w:val="center"/>
          </w:tcPr>
          <w:p w14:paraId="495B0FEA" w14:textId="77777777" w:rsidR="00E27F0B" w:rsidRPr="005C133F" w:rsidRDefault="00E27F0B" w:rsidP="001D31AA">
            <w:pPr>
              <w:ind w:left="284" w:right="424"/>
              <w:jc w:val="center"/>
              <w:rPr>
                <w:rFonts w:ascii="Times New Roman" w:hAnsi="Times New Roman" w:cs="Times New Roman"/>
                <w:color w:val="FFFFFF" w:themeColor="background1"/>
                <w:spacing w:val="17"/>
                <w:sz w:val="24"/>
                <w:szCs w:val="24"/>
                <w:lang w:val="es-DO"/>
              </w:rPr>
            </w:pPr>
            <w:r w:rsidRPr="005C133F">
              <w:rPr>
                <w:rFonts w:ascii="Times New Roman" w:hAnsi="Times New Roman" w:cs="Times New Roman"/>
                <w:color w:val="FFFFFF" w:themeColor="background1"/>
                <w:spacing w:val="17"/>
                <w:sz w:val="24"/>
                <w:szCs w:val="24"/>
                <w:lang w:val="es-DO"/>
              </w:rPr>
              <w:t>T</w:t>
            </w:r>
            <w:r w:rsidRPr="005C133F">
              <w:rPr>
                <w:rFonts w:ascii="Times New Roman" w:hAnsi="Times New Roman" w:cs="Times New Roman"/>
                <w:caps w:val="0"/>
                <w:color w:val="FFFFFF" w:themeColor="background1"/>
                <w:spacing w:val="17"/>
                <w:sz w:val="24"/>
                <w:szCs w:val="24"/>
                <w:lang w:val="es-DO"/>
              </w:rPr>
              <w:t>otal servidores evaluados</w:t>
            </w:r>
          </w:p>
        </w:tc>
        <w:tc>
          <w:tcPr>
            <w:tcW w:w="0" w:type="auto"/>
            <w:gridSpan w:val="4"/>
            <w:shd w:val="clear" w:color="auto" w:fill="011C50"/>
          </w:tcPr>
          <w:p w14:paraId="457E5D79" w14:textId="77777777" w:rsidR="00E27F0B" w:rsidRPr="005C133F" w:rsidRDefault="00E27F0B" w:rsidP="001D31AA">
            <w:pPr>
              <w:spacing w:before="240"/>
              <w:ind w:left="284" w:right="4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pacing w:val="17"/>
                <w:sz w:val="24"/>
                <w:szCs w:val="24"/>
                <w:lang w:val="es-DO"/>
              </w:rPr>
            </w:pPr>
            <w:r w:rsidRPr="005C133F">
              <w:rPr>
                <w:rFonts w:ascii="Times New Roman" w:hAnsi="Times New Roman" w:cs="Times New Roman"/>
                <w:b/>
                <w:bCs/>
                <w:color w:val="FFFFFF" w:themeColor="background1"/>
                <w:spacing w:val="17"/>
                <w:sz w:val="24"/>
                <w:szCs w:val="24"/>
                <w:lang w:val="es-DO"/>
              </w:rPr>
              <w:t>406</w:t>
            </w:r>
          </w:p>
        </w:tc>
      </w:tr>
    </w:tbl>
    <w:p w14:paraId="4D4DBD5C" w14:textId="77777777" w:rsidR="00F4731A" w:rsidRPr="00ED6D7B" w:rsidRDefault="00F4731A" w:rsidP="001D31AA">
      <w:pPr>
        <w:spacing w:after="0" w:line="240" w:lineRule="auto"/>
        <w:ind w:left="284" w:right="424"/>
        <w:jc w:val="both"/>
        <w:rPr>
          <w:spacing w:val="17"/>
          <w:sz w:val="18"/>
          <w:szCs w:val="18"/>
          <w:lang w:val="es-DO"/>
        </w:rPr>
      </w:pPr>
      <w:r w:rsidRPr="00ED6D7B">
        <w:rPr>
          <w:b/>
          <w:spacing w:val="17"/>
          <w:sz w:val="18"/>
          <w:szCs w:val="18"/>
          <w:lang w:val="es-DO"/>
        </w:rPr>
        <w:lastRenderedPageBreak/>
        <w:t>Fuente:</w:t>
      </w:r>
      <w:r w:rsidRPr="00ED6D7B">
        <w:rPr>
          <w:spacing w:val="17"/>
          <w:sz w:val="18"/>
          <w:szCs w:val="18"/>
          <w:lang w:val="es-DO"/>
        </w:rPr>
        <w:t xml:space="preserve"> Plantilla de Evaluación del Desempeño Laboral 2024 DRRHH. Superintendencia de Salud y Riesgos Laborales.</w:t>
      </w:r>
    </w:p>
    <w:p w14:paraId="2404957B" w14:textId="77777777" w:rsidR="000B6FD7" w:rsidRPr="005C133F" w:rsidRDefault="000B6FD7" w:rsidP="005C133F">
      <w:pPr>
        <w:spacing w:after="0" w:line="360" w:lineRule="auto"/>
        <w:jc w:val="both"/>
        <w:rPr>
          <w:noProof/>
          <w:lang w:val="es-DO"/>
        </w:rPr>
      </w:pPr>
    </w:p>
    <w:p w14:paraId="05AAAFF2" w14:textId="35455687" w:rsidR="00342221" w:rsidRPr="005C133F" w:rsidRDefault="00342221" w:rsidP="005C133F">
      <w:pPr>
        <w:spacing w:after="0" w:line="360" w:lineRule="auto"/>
        <w:jc w:val="both"/>
        <w:rPr>
          <w:noProof/>
          <w:lang w:val="es-DO"/>
        </w:rPr>
      </w:pPr>
      <w:r w:rsidRPr="005C133F">
        <w:rPr>
          <w:noProof/>
          <w:lang w:val="es-DO"/>
        </w:rPr>
        <w:t>Como resultado del proceso de evaluación del desempeño, se llevó a cabo el Reconocimiento al Mérito SISALRIL 2024, en el cual 40 colaboradores fueron galardonados en distintas categorías y 6 areas organizativas por el desempeño en equipo</w:t>
      </w:r>
      <w:r w:rsidR="00C529D6" w:rsidRPr="005C133F">
        <w:rPr>
          <w:noProof/>
          <w:lang w:val="es-DO"/>
        </w:rPr>
        <w:t xml:space="preserve">. </w:t>
      </w:r>
    </w:p>
    <w:p w14:paraId="638DDAAF" w14:textId="297910A1" w:rsidR="00526426" w:rsidRPr="005C133F" w:rsidRDefault="00526426" w:rsidP="005C133F">
      <w:pPr>
        <w:pStyle w:val="Textoindependiente"/>
        <w:shd w:val="clear" w:color="auto" w:fill="FFFFFF" w:themeFill="background1"/>
        <w:spacing w:line="360" w:lineRule="auto"/>
        <w:ind w:left="284" w:right="424"/>
        <w:jc w:val="both"/>
        <w:rPr>
          <w:rFonts w:eastAsiaTheme="minorHAnsi"/>
          <w:i w:val="0"/>
          <w:iCs w:val="0"/>
          <w:noProof/>
          <w:color w:val="767171"/>
          <w:spacing w:val="20"/>
          <w:sz w:val="24"/>
          <w:szCs w:val="24"/>
          <w:lang w:val="es-DO"/>
        </w:rPr>
      </w:pPr>
    </w:p>
    <w:p w14:paraId="49F34DF5" w14:textId="01D7C7F0" w:rsidR="0068789E" w:rsidRPr="005C133F" w:rsidRDefault="0068789E" w:rsidP="001D31AA">
      <w:pPr>
        <w:pStyle w:val="Descripcin"/>
        <w:keepNext/>
        <w:spacing w:after="0"/>
        <w:jc w:val="center"/>
        <w:rPr>
          <w:b/>
          <w:bCs/>
          <w:i w:val="0"/>
          <w:iCs w:val="0"/>
          <w:noProof/>
          <w:color w:val="767171"/>
          <w:sz w:val="24"/>
          <w:szCs w:val="24"/>
          <w:lang w:val="es-DO"/>
        </w:rPr>
      </w:pPr>
      <w:bookmarkStart w:id="122" w:name="_Toc218784182"/>
      <w:r w:rsidRPr="005C133F">
        <w:rPr>
          <w:b/>
          <w:bCs/>
          <w:i w:val="0"/>
          <w:iCs w:val="0"/>
          <w:noProof/>
          <w:color w:val="767171"/>
          <w:sz w:val="24"/>
          <w:szCs w:val="24"/>
          <w:lang w:val="es-DO"/>
        </w:rPr>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50</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Cantidad de colaboradores y áreas galardonadas por categoría</w:t>
      </w:r>
      <w:bookmarkEnd w:id="122"/>
    </w:p>
    <w:tbl>
      <w:tblPr>
        <w:tblStyle w:val="Tablanormal3"/>
        <w:tblpPr w:leftFromText="141" w:rightFromText="141" w:vertAnchor="text" w:horzAnchor="margin" w:tblpXSpec="center" w:tblpY="1"/>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5328"/>
        <w:gridCol w:w="2582"/>
      </w:tblGrid>
      <w:tr w:rsidR="00DB19D4" w:rsidRPr="005C133F" w14:paraId="7F301A70" w14:textId="77777777" w:rsidTr="001D31AA">
        <w:trPr>
          <w:cnfStyle w:val="100000000000" w:firstRow="1" w:lastRow="0" w:firstColumn="0" w:lastColumn="0" w:oddVBand="0" w:evenVBand="0" w:oddHBand="0" w:evenHBand="0" w:firstRowFirstColumn="0" w:firstRowLastColumn="0" w:lastRowFirstColumn="0" w:lastRowLastColumn="0"/>
          <w:trHeight w:val="591"/>
          <w:tblHeader/>
        </w:trPr>
        <w:tc>
          <w:tcPr>
            <w:cnfStyle w:val="001000000100" w:firstRow="0" w:lastRow="0" w:firstColumn="1" w:lastColumn="0" w:oddVBand="0" w:evenVBand="0" w:oddHBand="0" w:evenHBand="0" w:firstRowFirstColumn="1" w:firstRowLastColumn="0" w:lastRowFirstColumn="0" w:lastRowLastColumn="0"/>
            <w:tcW w:w="5328" w:type="dxa"/>
            <w:shd w:val="clear" w:color="auto" w:fill="011C50"/>
            <w:vAlign w:val="center"/>
          </w:tcPr>
          <w:p w14:paraId="2A72CFFB" w14:textId="77777777" w:rsidR="00526426" w:rsidRPr="005C133F" w:rsidRDefault="00526426" w:rsidP="001D31AA">
            <w:pPr>
              <w:ind w:right="282"/>
              <w:jc w:val="center"/>
              <w:rPr>
                <w:rFonts w:ascii="Times New Roman" w:hAnsi="Times New Roman" w:cs="Times New Roman"/>
                <w:caps w:val="0"/>
                <w:color w:val="FFFFFF" w:themeColor="background1"/>
                <w:spacing w:val="17"/>
                <w:sz w:val="24"/>
                <w:szCs w:val="24"/>
                <w:lang w:val="es-DO"/>
              </w:rPr>
            </w:pPr>
            <w:r w:rsidRPr="005C133F">
              <w:rPr>
                <w:rFonts w:ascii="Times New Roman" w:hAnsi="Times New Roman" w:cs="Times New Roman"/>
                <w:caps w:val="0"/>
                <w:color w:val="FFFFFF" w:themeColor="background1"/>
                <w:spacing w:val="17"/>
                <w:sz w:val="24"/>
                <w:szCs w:val="24"/>
                <w:lang w:val="es-DO"/>
              </w:rPr>
              <w:t>Categorías</w:t>
            </w:r>
          </w:p>
        </w:tc>
        <w:tc>
          <w:tcPr>
            <w:tcW w:w="2582" w:type="dxa"/>
            <w:shd w:val="clear" w:color="auto" w:fill="011C50"/>
            <w:vAlign w:val="center"/>
          </w:tcPr>
          <w:p w14:paraId="11A19725" w14:textId="77777777" w:rsidR="00526426" w:rsidRPr="005C133F" w:rsidRDefault="00526426" w:rsidP="001D31AA">
            <w:pPr>
              <w:ind w:left="426"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color w:val="FFFFFF" w:themeColor="background1"/>
                <w:spacing w:val="17"/>
                <w:sz w:val="24"/>
                <w:szCs w:val="24"/>
                <w:lang w:val="es-DO"/>
              </w:rPr>
            </w:pPr>
            <w:r w:rsidRPr="005C133F">
              <w:rPr>
                <w:rFonts w:ascii="Times New Roman" w:hAnsi="Times New Roman" w:cs="Times New Roman"/>
                <w:caps w:val="0"/>
                <w:color w:val="FFFFFF" w:themeColor="background1"/>
                <w:spacing w:val="17"/>
                <w:sz w:val="24"/>
                <w:szCs w:val="24"/>
                <w:lang w:val="es-DO"/>
              </w:rPr>
              <w:t>Cantidad de Galardonados</w:t>
            </w:r>
          </w:p>
        </w:tc>
      </w:tr>
      <w:tr w:rsidR="004921FF" w:rsidRPr="005C133F" w14:paraId="5E27668E" w14:textId="77777777" w:rsidTr="0039644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328" w:type="dxa"/>
            <w:shd w:val="clear" w:color="auto" w:fill="FFFFFF" w:themeFill="background1"/>
          </w:tcPr>
          <w:p w14:paraId="73733D23" w14:textId="77777777" w:rsidR="00526426" w:rsidRPr="005C133F" w:rsidRDefault="00526426" w:rsidP="001D31AA">
            <w:pPr>
              <w:ind w:right="282"/>
              <w:rPr>
                <w:rFonts w:ascii="Times New Roman" w:hAnsi="Times New Roman" w:cs="Times New Roman"/>
                <w:b w:val="0"/>
                <w:bCs w:val="0"/>
                <w:caps w:val="0"/>
                <w:color w:val="767171"/>
                <w:spacing w:val="17"/>
                <w:sz w:val="24"/>
                <w:szCs w:val="24"/>
                <w:lang w:val="es-DO"/>
              </w:rPr>
            </w:pPr>
            <w:r w:rsidRPr="005C133F">
              <w:rPr>
                <w:rFonts w:ascii="Times New Roman" w:hAnsi="Times New Roman" w:cs="Times New Roman"/>
                <w:b w:val="0"/>
                <w:bCs w:val="0"/>
                <w:caps w:val="0"/>
                <w:color w:val="767171"/>
                <w:spacing w:val="17"/>
                <w:sz w:val="24"/>
                <w:szCs w:val="24"/>
                <w:lang w:val="es-DO"/>
              </w:rPr>
              <w:t>Categoría individual por desempeño</w:t>
            </w:r>
          </w:p>
        </w:tc>
        <w:tc>
          <w:tcPr>
            <w:tcW w:w="2582" w:type="dxa"/>
            <w:shd w:val="clear" w:color="auto" w:fill="FFFFFF" w:themeFill="background1"/>
          </w:tcPr>
          <w:p w14:paraId="26FD4AB2" w14:textId="77777777" w:rsidR="00526426" w:rsidRPr="005C133F" w:rsidRDefault="00526426" w:rsidP="001D31AA">
            <w:pPr>
              <w:ind w:left="426"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31</w:t>
            </w:r>
          </w:p>
        </w:tc>
      </w:tr>
      <w:tr w:rsidR="004921FF" w:rsidRPr="005C133F" w14:paraId="4F29E8D9" w14:textId="77777777" w:rsidTr="0039644D">
        <w:trPr>
          <w:trHeight w:val="286"/>
        </w:trPr>
        <w:tc>
          <w:tcPr>
            <w:cnfStyle w:val="001000000000" w:firstRow="0" w:lastRow="0" w:firstColumn="1" w:lastColumn="0" w:oddVBand="0" w:evenVBand="0" w:oddHBand="0" w:evenHBand="0" w:firstRowFirstColumn="0" w:firstRowLastColumn="0" w:lastRowFirstColumn="0" w:lastRowLastColumn="0"/>
            <w:tcW w:w="5328" w:type="dxa"/>
          </w:tcPr>
          <w:p w14:paraId="289631E6" w14:textId="77777777" w:rsidR="00526426" w:rsidRPr="005C133F" w:rsidRDefault="00526426" w:rsidP="001D31AA">
            <w:pPr>
              <w:ind w:right="282"/>
              <w:rPr>
                <w:rFonts w:ascii="Times New Roman" w:hAnsi="Times New Roman" w:cs="Times New Roman"/>
                <w:b w:val="0"/>
                <w:bCs w:val="0"/>
                <w:caps w:val="0"/>
                <w:color w:val="767171"/>
                <w:spacing w:val="17"/>
                <w:sz w:val="24"/>
                <w:szCs w:val="24"/>
                <w:lang w:val="es-DO"/>
              </w:rPr>
            </w:pPr>
            <w:r w:rsidRPr="005C133F">
              <w:rPr>
                <w:rFonts w:ascii="Times New Roman" w:hAnsi="Times New Roman" w:cs="Times New Roman"/>
                <w:b w:val="0"/>
                <w:bCs w:val="0"/>
                <w:caps w:val="0"/>
                <w:color w:val="767171"/>
                <w:spacing w:val="17"/>
                <w:sz w:val="24"/>
                <w:szCs w:val="24"/>
                <w:lang w:val="es-DO"/>
              </w:rPr>
              <w:t>Categoría individual por trayectoria</w:t>
            </w:r>
          </w:p>
        </w:tc>
        <w:tc>
          <w:tcPr>
            <w:tcW w:w="2582" w:type="dxa"/>
          </w:tcPr>
          <w:p w14:paraId="25051601" w14:textId="77777777" w:rsidR="00526426" w:rsidRPr="005C133F" w:rsidRDefault="00526426" w:rsidP="001D31AA">
            <w:pPr>
              <w:ind w:left="426"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6</w:t>
            </w:r>
          </w:p>
        </w:tc>
      </w:tr>
      <w:tr w:rsidR="004921FF" w:rsidRPr="005C133F" w14:paraId="797E88D3" w14:textId="77777777" w:rsidTr="0039644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5328" w:type="dxa"/>
            <w:shd w:val="clear" w:color="auto" w:fill="FFFFFF" w:themeFill="background1"/>
          </w:tcPr>
          <w:p w14:paraId="15D6A76C" w14:textId="77777777" w:rsidR="00526426" w:rsidRPr="005C133F" w:rsidRDefault="00526426" w:rsidP="001D31AA">
            <w:pPr>
              <w:ind w:right="282"/>
              <w:rPr>
                <w:rFonts w:ascii="Times New Roman" w:hAnsi="Times New Roman" w:cs="Times New Roman"/>
                <w:b w:val="0"/>
                <w:bCs w:val="0"/>
                <w:caps w:val="0"/>
                <w:color w:val="767171"/>
                <w:spacing w:val="17"/>
                <w:sz w:val="24"/>
                <w:szCs w:val="24"/>
                <w:lang w:val="es-DO"/>
              </w:rPr>
            </w:pPr>
            <w:r w:rsidRPr="005C133F">
              <w:rPr>
                <w:rFonts w:ascii="Times New Roman" w:hAnsi="Times New Roman" w:cs="Times New Roman"/>
                <w:b w:val="0"/>
                <w:bCs w:val="0"/>
                <w:caps w:val="0"/>
                <w:color w:val="767171"/>
                <w:spacing w:val="17"/>
                <w:sz w:val="24"/>
                <w:szCs w:val="24"/>
                <w:lang w:val="es-DO"/>
              </w:rPr>
              <w:t>Categoría reconocimientos especiales</w:t>
            </w:r>
          </w:p>
        </w:tc>
        <w:tc>
          <w:tcPr>
            <w:tcW w:w="2582" w:type="dxa"/>
            <w:shd w:val="clear" w:color="auto" w:fill="FFFFFF" w:themeFill="background1"/>
          </w:tcPr>
          <w:p w14:paraId="66E1A4DC" w14:textId="77777777" w:rsidR="00526426" w:rsidRPr="005C133F" w:rsidRDefault="00526426" w:rsidP="001D31AA">
            <w:pPr>
              <w:ind w:left="426"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3</w:t>
            </w:r>
          </w:p>
        </w:tc>
      </w:tr>
      <w:tr w:rsidR="004921FF" w:rsidRPr="005C133F" w14:paraId="0066EF0D" w14:textId="77777777" w:rsidTr="0039644D">
        <w:trPr>
          <w:trHeight w:val="784"/>
        </w:trPr>
        <w:tc>
          <w:tcPr>
            <w:cnfStyle w:val="001000000000" w:firstRow="0" w:lastRow="0" w:firstColumn="1" w:lastColumn="0" w:oddVBand="0" w:evenVBand="0" w:oddHBand="0" w:evenHBand="0" w:firstRowFirstColumn="0" w:firstRowLastColumn="0" w:lastRowFirstColumn="0" w:lastRowLastColumn="0"/>
            <w:tcW w:w="5328" w:type="dxa"/>
          </w:tcPr>
          <w:p w14:paraId="0653FEFE" w14:textId="77777777" w:rsidR="00526426" w:rsidRPr="005C133F" w:rsidRDefault="00526426" w:rsidP="001D31AA">
            <w:pPr>
              <w:ind w:right="282"/>
              <w:jc w:val="right"/>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Total de colaboradores galardonados</w:t>
            </w:r>
          </w:p>
        </w:tc>
        <w:tc>
          <w:tcPr>
            <w:tcW w:w="2582" w:type="dxa"/>
          </w:tcPr>
          <w:p w14:paraId="5F69FEF5" w14:textId="77777777" w:rsidR="00526426" w:rsidRPr="005C133F" w:rsidRDefault="00526426" w:rsidP="001D31AA">
            <w:pPr>
              <w:ind w:left="426"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17"/>
                <w:sz w:val="24"/>
                <w:szCs w:val="24"/>
                <w:lang w:val="es-DO"/>
              </w:rPr>
            </w:pPr>
            <w:r w:rsidRPr="005C133F">
              <w:rPr>
                <w:rFonts w:ascii="Times New Roman" w:hAnsi="Times New Roman" w:cs="Times New Roman"/>
                <w:b/>
                <w:bCs/>
                <w:color w:val="767171"/>
                <w:spacing w:val="17"/>
                <w:sz w:val="24"/>
                <w:szCs w:val="24"/>
                <w:lang w:val="es-DO"/>
              </w:rPr>
              <w:t>40</w:t>
            </w:r>
          </w:p>
        </w:tc>
      </w:tr>
      <w:tr w:rsidR="004921FF" w:rsidRPr="005C133F" w14:paraId="0D596DB1" w14:textId="77777777" w:rsidTr="0039644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328" w:type="dxa"/>
          </w:tcPr>
          <w:p w14:paraId="07ED645F" w14:textId="77777777" w:rsidR="00526426" w:rsidRPr="005C133F" w:rsidRDefault="00526426" w:rsidP="001D31AA">
            <w:pPr>
              <w:ind w:right="282"/>
              <w:rPr>
                <w:rFonts w:ascii="Times New Roman" w:hAnsi="Times New Roman" w:cs="Times New Roman"/>
                <w:b w:val="0"/>
                <w:bCs w:val="0"/>
                <w:caps w:val="0"/>
                <w:color w:val="767171"/>
                <w:spacing w:val="17"/>
                <w:sz w:val="24"/>
                <w:szCs w:val="24"/>
                <w:lang w:val="es-DO"/>
              </w:rPr>
            </w:pPr>
            <w:r w:rsidRPr="005C133F">
              <w:rPr>
                <w:rFonts w:ascii="Times New Roman" w:hAnsi="Times New Roman" w:cs="Times New Roman"/>
                <w:b w:val="0"/>
                <w:bCs w:val="0"/>
                <w:caps w:val="0"/>
                <w:color w:val="767171"/>
                <w:spacing w:val="17"/>
                <w:sz w:val="24"/>
                <w:szCs w:val="24"/>
                <w:lang w:val="es-DO"/>
              </w:rPr>
              <w:t>Áreas galardonadas en la categoría desempeño por equipos</w:t>
            </w:r>
          </w:p>
        </w:tc>
        <w:tc>
          <w:tcPr>
            <w:tcW w:w="2582" w:type="dxa"/>
          </w:tcPr>
          <w:p w14:paraId="39304F27" w14:textId="77777777" w:rsidR="00526426" w:rsidRPr="005C133F" w:rsidRDefault="00526426" w:rsidP="001D31AA">
            <w:pPr>
              <w:ind w:left="426"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17"/>
                <w:sz w:val="24"/>
                <w:szCs w:val="24"/>
                <w:lang w:val="es-DO"/>
              </w:rPr>
            </w:pPr>
            <w:r w:rsidRPr="005C133F">
              <w:rPr>
                <w:rFonts w:ascii="Times New Roman" w:hAnsi="Times New Roman" w:cs="Times New Roman"/>
                <w:color w:val="767171"/>
                <w:spacing w:val="17"/>
                <w:sz w:val="24"/>
                <w:szCs w:val="24"/>
                <w:lang w:val="es-DO"/>
              </w:rPr>
              <w:t>6</w:t>
            </w:r>
          </w:p>
        </w:tc>
      </w:tr>
    </w:tbl>
    <w:p w14:paraId="1DC40A7E" w14:textId="77777777" w:rsidR="0039644D" w:rsidRPr="00885E9D" w:rsidRDefault="0039644D" w:rsidP="005C133F">
      <w:pPr>
        <w:pStyle w:val="Textoindependiente"/>
        <w:spacing w:line="360" w:lineRule="auto"/>
        <w:ind w:left="426" w:right="282"/>
        <w:rPr>
          <w:b w:val="0"/>
          <w:bCs w:val="0"/>
          <w:i w:val="0"/>
          <w:iCs w:val="0"/>
          <w:color w:val="767171"/>
          <w:sz w:val="18"/>
          <w:szCs w:val="18"/>
          <w:lang w:val="es-DO"/>
        </w:rPr>
      </w:pPr>
      <w:r w:rsidRPr="00885E9D">
        <w:rPr>
          <w:rFonts w:eastAsiaTheme="minorEastAsia"/>
          <w:b w:val="0"/>
          <w:bCs w:val="0"/>
          <w:i w:val="0"/>
          <w:iCs w:val="0"/>
          <w:color w:val="767171"/>
          <w:sz w:val="18"/>
          <w:szCs w:val="18"/>
          <w:lang w:val="es-DO"/>
        </w:rPr>
        <w:t>Fuente: Matriz de Reconocimiento al Mérito 2024</w:t>
      </w:r>
    </w:p>
    <w:p w14:paraId="4C5F217B" w14:textId="77777777" w:rsidR="0014630C" w:rsidRDefault="0014630C" w:rsidP="005C133F">
      <w:pPr>
        <w:pStyle w:val="Textoindependiente"/>
        <w:spacing w:line="360" w:lineRule="auto"/>
        <w:ind w:left="284" w:right="424"/>
        <w:jc w:val="both"/>
        <w:rPr>
          <w:rFonts w:eastAsiaTheme="minorHAnsi"/>
          <w:i w:val="0"/>
          <w:iCs w:val="0"/>
          <w:noProof/>
          <w:color w:val="767171"/>
          <w:spacing w:val="20"/>
          <w:sz w:val="24"/>
          <w:szCs w:val="24"/>
          <w:lang w:val="es-DO"/>
        </w:rPr>
      </w:pPr>
    </w:p>
    <w:p w14:paraId="3B02132B" w14:textId="77777777" w:rsidR="001D31AA" w:rsidRPr="005C133F" w:rsidRDefault="001D31AA" w:rsidP="005C133F">
      <w:pPr>
        <w:pStyle w:val="Textoindependiente"/>
        <w:spacing w:line="360" w:lineRule="auto"/>
        <w:ind w:left="284" w:right="424"/>
        <w:jc w:val="both"/>
        <w:rPr>
          <w:rFonts w:eastAsiaTheme="minorHAnsi"/>
          <w:i w:val="0"/>
          <w:iCs w:val="0"/>
          <w:noProof/>
          <w:color w:val="767171"/>
          <w:spacing w:val="20"/>
          <w:sz w:val="24"/>
          <w:szCs w:val="24"/>
          <w:lang w:val="es-DO"/>
        </w:rPr>
      </w:pPr>
    </w:p>
    <w:p w14:paraId="558343EC" w14:textId="77777777" w:rsidR="0014630C" w:rsidRPr="005C133F" w:rsidRDefault="0014630C">
      <w:pPr>
        <w:pStyle w:val="Prrafodelista"/>
        <w:widowControl w:val="0"/>
        <w:numPr>
          <w:ilvl w:val="0"/>
          <w:numId w:val="172"/>
        </w:numPr>
        <w:tabs>
          <w:tab w:val="left" w:pos="1080"/>
        </w:tabs>
        <w:autoSpaceDE w:val="0"/>
        <w:autoSpaceDN w:val="0"/>
        <w:spacing w:before="1" w:after="0" w:line="360" w:lineRule="auto"/>
        <w:rPr>
          <w:b/>
          <w:lang w:val="es-DO"/>
        </w:rPr>
      </w:pPr>
      <w:r w:rsidRPr="005C133F">
        <w:rPr>
          <w:b/>
          <w:lang w:val="es-DO"/>
        </w:rPr>
        <w:t>Gestión de la Capacitación</w:t>
      </w:r>
    </w:p>
    <w:p w14:paraId="510542C3" w14:textId="77777777" w:rsidR="00407075" w:rsidRPr="005C133F" w:rsidRDefault="00407075" w:rsidP="005C133F">
      <w:pPr>
        <w:widowControl w:val="0"/>
        <w:tabs>
          <w:tab w:val="left" w:pos="1080"/>
        </w:tabs>
        <w:autoSpaceDE w:val="0"/>
        <w:autoSpaceDN w:val="0"/>
        <w:spacing w:after="0" w:line="360" w:lineRule="auto"/>
        <w:rPr>
          <w:b/>
          <w:lang w:val="es-DO"/>
        </w:rPr>
      </w:pPr>
    </w:p>
    <w:p w14:paraId="51778BC7" w14:textId="77777777" w:rsidR="00407075" w:rsidRPr="005C133F" w:rsidRDefault="00407075" w:rsidP="005C133F">
      <w:pPr>
        <w:spacing w:after="0" w:line="360" w:lineRule="auto"/>
        <w:jc w:val="both"/>
        <w:rPr>
          <w:lang w:val="es-DO"/>
        </w:rPr>
      </w:pPr>
      <w:r w:rsidRPr="005C133F">
        <w:rPr>
          <w:lang w:val="es-DO"/>
        </w:rPr>
        <w:t xml:space="preserve">Durante el año 2025, la Superintendencia fortaleció de manera sostenida su capital humano mediante la ejecución de 66 iniciativas formativas, orientadas a promover el aprendizaje continuo, la actualización de conocimientos y el desarrollo de competencias clave, en coherencia con los objetivos estratégicos institucionales. </w:t>
      </w:r>
    </w:p>
    <w:p w14:paraId="723A34A5" w14:textId="77777777" w:rsidR="00407075" w:rsidRPr="005C133F" w:rsidRDefault="00407075" w:rsidP="005C133F">
      <w:pPr>
        <w:spacing w:after="0" w:line="360" w:lineRule="auto"/>
        <w:jc w:val="both"/>
        <w:rPr>
          <w:lang w:val="es-DO"/>
        </w:rPr>
      </w:pPr>
    </w:p>
    <w:p w14:paraId="3E029899" w14:textId="77777777" w:rsidR="00407075" w:rsidRPr="005C133F" w:rsidRDefault="00407075" w:rsidP="005C133F">
      <w:pPr>
        <w:spacing w:after="0" w:line="360" w:lineRule="auto"/>
        <w:jc w:val="both"/>
        <w:rPr>
          <w:lang w:val="es-DO"/>
        </w:rPr>
      </w:pPr>
      <w:r w:rsidRPr="005C133F">
        <w:rPr>
          <w:lang w:val="es-DO"/>
        </w:rPr>
        <w:t xml:space="preserve">Estas acciones formativas impactaron 94% del total de los colaboradores con un enfoque de desarrollo integral del personal. En total, se invirtieron 2,755 horas en procesos de formación, lo que evidencia la prioridad institucional otorgada al crecimiento </w:t>
      </w:r>
      <w:r w:rsidRPr="005C133F">
        <w:rPr>
          <w:lang w:val="es-DO"/>
        </w:rPr>
        <w:lastRenderedPageBreak/>
        <w:t>profesional y a la preparación del talento humano para enfrentar con excelencia los retos del servicio público.</w:t>
      </w:r>
    </w:p>
    <w:p w14:paraId="04A50CC3" w14:textId="77777777" w:rsidR="00407075" w:rsidRPr="005C133F" w:rsidRDefault="00407075" w:rsidP="005C133F">
      <w:pPr>
        <w:spacing w:after="0" w:line="360" w:lineRule="auto"/>
        <w:jc w:val="both"/>
        <w:rPr>
          <w:lang w:val="es-DO"/>
        </w:rPr>
      </w:pPr>
    </w:p>
    <w:p w14:paraId="09B65A6B" w14:textId="4AE74CE3" w:rsidR="00407075" w:rsidRPr="005C133F" w:rsidRDefault="00407075" w:rsidP="005C133F">
      <w:pPr>
        <w:spacing w:after="0" w:line="360" w:lineRule="auto"/>
        <w:jc w:val="both"/>
        <w:rPr>
          <w:lang w:val="es-DO"/>
        </w:rPr>
      </w:pPr>
      <w:r w:rsidRPr="005C133F">
        <w:rPr>
          <w:lang w:val="es-DO"/>
        </w:rPr>
        <w:t>En el marco del fortalecimiento de la inclusión laboral, se constituyó el Comité de Inclusión y Accesibilidad Gubernamental (CIAG), de la Superintendencia de Salud y Riesgos Laborales. En coherencia con este compromiso se desarrollaron diversas jornadas de sensibilización sobre el trato digno, accesibilidad universal, discapacidad y empleo desde un enfoque de derechos, impactando aproximadamente al 20% del total de los colaboradores.</w:t>
      </w:r>
    </w:p>
    <w:p w14:paraId="326E16F4" w14:textId="39EC8885" w:rsidR="00F647D4" w:rsidRPr="005C133F" w:rsidRDefault="00F647D4" w:rsidP="005C133F">
      <w:pPr>
        <w:widowControl w:val="0"/>
        <w:tabs>
          <w:tab w:val="left" w:pos="1080"/>
        </w:tabs>
        <w:autoSpaceDE w:val="0"/>
        <w:autoSpaceDN w:val="0"/>
        <w:spacing w:before="1" w:after="0" w:line="360" w:lineRule="auto"/>
        <w:rPr>
          <w:b/>
          <w:lang w:val="es-DO"/>
        </w:rPr>
      </w:pPr>
    </w:p>
    <w:p w14:paraId="7C78D802" w14:textId="67A6A97E" w:rsidR="0068789E" w:rsidRPr="005C133F" w:rsidRDefault="0068789E" w:rsidP="005C133F">
      <w:pPr>
        <w:pStyle w:val="Descripcin"/>
        <w:keepNext/>
        <w:spacing w:after="0" w:line="360" w:lineRule="auto"/>
        <w:jc w:val="center"/>
        <w:rPr>
          <w:b/>
          <w:bCs/>
          <w:i w:val="0"/>
          <w:iCs w:val="0"/>
          <w:color w:val="767171"/>
          <w:sz w:val="24"/>
          <w:szCs w:val="24"/>
          <w:lang w:val="es-DO"/>
        </w:rPr>
      </w:pPr>
      <w:bookmarkStart w:id="123" w:name="_Toc218784183"/>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51</w:t>
      </w:r>
      <w:r w:rsidRPr="005C133F">
        <w:rPr>
          <w:b/>
          <w:bCs/>
          <w:i w:val="0"/>
          <w:iCs w:val="0"/>
          <w:color w:val="767171"/>
          <w:sz w:val="24"/>
          <w:szCs w:val="24"/>
          <w:lang w:val="es-DO"/>
        </w:rPr>
        <w:fldChar w:fldCharType="end"/>
      </w:r>
      <w:r w:rsidRPr="005C133F">
        <w:rPr>
          <w:b/>
          <w:bCs/>
          <w:i w:val="0"/>
          <w:iCs w:val="0"/>
          <w:color w:val="767171"/>
          <w:sz w:val="24"/>
          <w:szCs w:val="24"/>
          <w:lang w:val="es-DO"/>
        </w:rPr>
        <w:t>. Capacitaciones por pilares estratégicos 2025</w:t>
      </w:r>
      <w:bookmarkEnd w:id="123"/>
    </w:p>
    <w:tbl>
      <w:tblPr>
        <w:tblW w:w="791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673"/>
        <w:gridCol w:w="1701"/>
        <w:gridCol w:w="1536"/>
      </w:tblGrid>
      <w:tr w:rsidR="00DB19D4" w:rsidRPr="005C133F" w14:paraId="09CA9692" w14:textId="5A1E60A6" w:rsidTr="00FC13BB">
        <w:trPr>
          <w:trHeight w:val="936"/>
          <w:tblHeader/>
          <w:jc w:val="center"/>
        </w:trPr>
        <w:tc>
          <w:tcPr>
            <w:tcW w:w="4673" w:type="dxa"/>
            <w:shd w:val="clear" w:color="auto" w:fill="011C50"/>
            <w:noWrap/>
            <w:vAlign w:val="center"/>
            <w:hideMark/>
          </w:tcPr>
          <w:p w14:paraId="0BEC8386" w14:textId="77777777" w:rsidR="0083045C" w:rsidRPr="005C133F" w:rsidRDefault="0083045C" w:rsidP="001D31A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Pilares Estratégicos</w:t>
            </w:r>
          </w:p>
        </w:tc>
        <w:tc>
          <w:tcPr>
            <w:tcW w:w="1701" w:type="dxa"/>
            <w:shd w:val="clear" w:color="auto" w:fill="011C50"/>
            <w:vAlign w:val="center"/>
            <w:hideMark/>
          </w:tcPr>
          <w:p w14:paraId="0B7E5D36" w14:textId="7D252B85" w:rsidR="0083045C" w:rsidRPr="005C133F" w:rsidRDefault="0083045C" w:rsidP="001D31A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Cantidad de capacitaciones ejecutadas</w:t>
            </w:r>
          </w:p>
        </w:tc>
        <w:tc>
          <w:tcPr>
            <w:tcW w:w="1536" w:type="dxa"/>
            <w:shd w:val="clear" w:color="auto" w:fill="011C50"/>
          </w:tcPr>
          <w:p w14:paraId="5A6EB98A" w14:textId="2BEBC81D" w:rsidR="0083045C" w:rsidRPr="005C133F" w:rsidRDefault="0083045C" w:rsidP="001D31A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Cantidad de participantes </w:t>
            </w:r>
          </w:p>
        </w:tc>
      </w:tr>
      <w:tr w:rsidR="004921FF" w:rsidRPr="005C133F" w14:paraId="677336C2" w14:textId="31296B48" w:rsidTr="00DD6FC5">
        <w:trPr>
          <w:trHeight w:val="312"/>
          <w:jc w:val="center"/>
        </w:trPr>
        <w:tc>
          <w:tcPr>
            <w:tcW w:w="4673" w:type="dxa"/>
            <w:shd w:val="clear" w:color="000000" w:fill="FFFFFF"/>
            <w:vAlign w:val="center"/>
            <w:hideMark/>
          </w:tcPr>
          <w:p w14:paraId="3BFF0A20"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Ley 41-08</w:t>
            </w:r>
          </w:p>
        </w:tc>
        <w:tc>
          <w:tcPr>
            <w:tcW w:w="1701" w:type="dxa"/>
            <w:shd w:val="clear" w:color="000000" w:fill="FFFFFF"/>
            <w:noWrap/>
            <w:vAlign w:val="center"/>
            <w:hideMark/>
          </w:tcPr>
          <w:p w14:paraId="4234321C"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3</w:t>
            </w:r>
          </w:p>
        </w:tc>
        <w:tc>
          <w:tcPr>
            <w:tcW w:w="1536" w:type="dxa"/>
          </w:tcPr>
          <w:p w14:paraId="1D058984" w14:textId="750D9BE2" w:rsidR="0083045C" w:rsidRPr="005C133F" w:rsidRDefault="00C83D95" w:rsidP="001D31AA">
            <w:pPr>
              <w:spacing w:after="0" w:line="240" w:lineRule="auto"/>
              <w:jc w:val="center"/>
              <w:rPr>
                <w:rFonts w:eastAsia="Times New Roman"/>
                <w:spacing w:val="17"/>
                <w:lang w:val="es-DO" w:eastAsia="es-DO"/>
              </w:rPr>
            </w:pPr>
            <w:r w:rsidRPr="005C133F">
              <w:rPr>
                <w:rFonts w:eastAsia="Times New Roman"/>
                <w:spacing w:val="17"/>
                <w:lang w:val="es-DO" w:eastAsia="es-DO"/>
              </w:rPr>
              <w:t>176</w:t>
            </w:r>
          </w:p>
        </w:tc>
      </w:tr>
      <w:tr w:rsidR="004921FF" w:rsidRPr="005C133F" w14:paraId="2713C3B0" w14:textId="40BC4439" w:rsidTr="00DD6FC5">
        <w:trPr>
          <w:trHeight w:val="312"/>
          <w:jc w:val="center"/>
        </w:trPr>
        <w:tc>
          <w:tcPr>
            <w:tcW w:w="4673" w:type="dxa"/>
            <w:shd w:val="clear" w:color="000000" w:fill="FFFFFF"/>
            <w:vAlign w:val="center"/>
            <w:hideMark/>
          </w:tcPr>
          <w:p w14:paraId="4A08A178"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Fortalezas técnicas</w:t>
            </w:r>
          </w:p>
        </w:tc>
        <w:tc>
          <w:tcPr>
            <w:tcW w:w="1701" w:type="dxa"/>
            <w:shd w:val="clear" w:color="000000" w:fill="FFFFFF"/>
            <w:noWrap/>
            <w:vAlign w:val="center"/>
            <w:hideMark/>
          </w:tcPr>
          <w:p w14:paraId="48274F23"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21</w:t>
            </w:r>
          </w:p>
        </w:tc>
        <w:tc>
          <w:tcPr>
            <w:tcW w:w="1536" w:type="dxa"/>
          </w:tcPr>
          <w:p w14:paraId="11920AFD" w14:textId="170C55D6" w:rsidR="0083045C" w:rsidRPr="005C133F" w:rsidRDefault="00C83D95" w:rsidP="001D31AA">
            <w:pPr>
              <w:spacing w:after="0" w:line="240" w:lineRule="auto"/>
              <w:jc w:val="center"/>
              <w:rPr>
                <w:rFonts w:eastAsia="Times New Roman"/>
                <w:spacing w:val="17"/>
                <w:lang w:val="es-DO" w:eastAsia="es-DO"/>
              </w:rPr>
            </w:pPr>
            <w:r w:rsidRPr="005C133F">
              <w:rPr>
                <w:rFonts w:eastAsia="Times New Roman"/>
                <w:spacing w:val="17"/>
                <w:lang w:val="es-DO" w:eastAsia="es-DO"/>
              </w:rPr>
              <w:t>228</w:t>
            </w:r>
          </w:p>
        </w:tc>
      </w:tr>
      <w:tr w:rsidR="004921FF" w:rsidRPr="005C133F" w14:paraId="24544016" w14:textId="47A461A2" w:rsidTr="00DD6FC5">
        <w:trPr>
          <w:trHeight w:val="624"/>
          <w:jc w:val="center"/>
        </w:trPr>
        <w:tc>
          <w:tcPr>
            <w:tcW w:w="4673" w:type="dxa"/>
            <w:shd w:val="clear" w:color="000000" w:fill="FFFFFF"/>
            <w:vAlign w:val="center"/>
            <w:hideMark/>
          </w:tcPr>
          <w:p w14:paraId="3C4705D6"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Desarrollo de competencias tecnológicas</w:t>
            </w:r>
          </w:p>
        </w:tc>
        <w:tc>
          <w:tcPr>
            <w:tcW w:w="1701" w:type="dxa"/>
            <w:shd w:val="clear" w:color="000000" w:fill="FFFFFF"/>
            <w:noWrap/>
            <w:vAlign w:val="center"/>
            <w:hideMark/>
          </w:tcPr>
          <w:p w14:paraId="0BB7C6DA"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15</w:t>
            </w:r>
          </w:p>
        </w:tc>
        <w:tc>
          <w:tcPr>
            <w:tcW w:w="1536" w:type="dxa"/>
          </w:tcPr>
          <w:p w14:paraId="08426736" w14:textId="4039EAAB" w:rsidR="0083045C" w:rsidRPr="005C133F" w:rsidRDefault="00C83D95" w:rsidP="001D31AA">
            <w:pPr>
              <w:spacing w:after="0" w:line="240" w:lineRule="auto"/>
              <w:jc w:val="center"/>
              <w:rPr>
                <w:rFonts w:eastAsia="Times New Roman"/>
                <w:spacing w:val="17"/>
                <w:lang w:val="es-DO" w:eastAsia="es-DO"/>
              </w:rPr>
            </w:pPr>
            <w:r w:rsidRPr="005C133F">
              <w:rPr>
                <w:rFonts w:eastAsia="Times New Roman"/>
                <w:spacing w:val="17"/>
                <w:lang w:val="es-DO" w:eastAsia="es-DO"/>
              </w:rPr>
              <w:t>37</w:t>
            </w:r>
          </w:p>
        </w:tc>
      </w:tr>
      <w:tr w:rsidR="004921FF" w:rsidRPr="005C133F" w14:paraId="7F6878E4" w14:textId="006A21D0" w:rsidTr="00DD6FC5">
        <w:trPr>
          <w:trHeight w:val="312"/>
          <w:jc w:val="center"/>
        </w:trPr>
        <w:tc>
          <w:tcPr>
            <w:tcW w:w="4673" w:type="dxa"/>
            <w:shd w:val="clear" w:color="000000" w:fill="FFFFFF"/>
            <w:vAlign w:val="center"/>
            <w:hideMark/>
          </w:tcPr>
          <w:p w14:paraId="4F2B49E2"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Competencias blandas</w:t>
            </w:r>
          </w:p>
        </w:tc>
        <w:tc>
          <w:tcPr>
            <w:tcW w:w="1701" w:type="dxa"/>
            <w:shd w:val="clear" w:color="000000" w:fill="FFFFFF"/>
            <w:noWrap/>
            <w:vAlign w:val="center"/>
            <w:hideMark/>
          </w:tcPr>
          <w:p w14:paraId="4ABE3E4A"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4</w:t>
            </w:r>
          </w:p>
        </w:tc>
        <w:tc>
          <w:tcPr>
            <w:tcW w:w="1536" w:type="dxa"/>
          </w:tcPr>
          <w:p w14:paraId="029FDB11" w14:textId="14366EBE" w:rsidR="0083045C" w:rsidRPr="005C133F" w:rsidRDefault="00C83D95" w:rsidP="001D31AA">
            <w:pPr>
              <w:spacing w:after="0" w:line="240" w:lineRule="auto"/>
              <w:jc w:val="center"/>
              <w:rPr>
                <w:rFonts w:eastAsia="Times New Roman"/>
                <w:spacing w:val="17"/>
                <w:lang w:val="es-DO" w:eastAsia="es-DO"/>
              </w:rPr>
            </w:pPr>
            <w:r w:rsidRPr="005C133F">
              <w:rPr>
                <w:rFonts w:eastAsia="Times New Roman"/>
                <w:spacing w:val="17"/>
                <w:lang w:val="es-DO" w:eastAsia="es-DO"/>
              </w:rPr>
              <w:t>132</w:t>
            </w:r>
          </w:p>
        </w:tc>
      </w:tr>
      <w:tr w:rsidR="004921FF" w:rsidRPr="005C133F" w14:paraId="561B0AF7" w14:textId="724B6A57" w:rsidTr="00DD6FC5">
        <w:trPr>
          <w:trHeight w:val="343"/>
          <w:jc w:val="center"/>
        </w:trPr>
        <w:tc>
          <w:tcPr>
            <w:tcW w:w="4673" w:type="dxa"/>
            <w:shd w:val="clear" w:color="000000" w:fill="FFFFFF"/>
            <w:vAlign w:val="center"/>
            <w:hideMark/>
          </w:tcPr>
          <w:p w14:paraId="65F2C520"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Gestión del aprendizaje en procesos</w:t>
            </w:r>
          </w:p>
        </w:tc>
        <w:tc>
          <w:tcPr>
            <w:tcW w:w="1701" w:type="dxa"/>
            <w:shd w:val="clear" w:color="000000" w:fill="FFFFFF"/>
            <w:noWrap/>
            <w:vAlign w:val="center"/>
            <w:hideMark/>
          </w:tcPr>
          <w:p w14:paraId="2D815809"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7</w:t>
            </w:r>
          </w:p>
        </w:tc>
        <w:tc>
          <w:tcPr>
            <w:tcW w:w="1536" w:type="dxa"/>
          </w:tcPr>
          <w:p w14:paraId="523B7EEB" w14:textId="1C91CF98" w:rsidR="0083045C" w:rsidRPr="005C133F" w:rsidRDefault="00650B67" w:rsidP="001D31AA">
            <w:pPr>
              <w:spacing w:after="0" w:line="240" w:lineRule="auto"/>
              <w:jc w:val="center"/>
              <w:rPr>
                <w:rFonts w:eastAsia="Times New Roman"/>
                <w:spacing w:val="17"/>
                <w:lang w:val="es-DO" w:eastAsia="es-DO"/>
              </w:rPr>
            </w:pPr>
            <w:r w:rsidRPr="005C133F">
              <w:rPr>
                <w:rFonts w:eastAsia="Times New Roman"/>
                <w:spacing w:val="17"/>
                <w:lang w:val="es-DO" w:eastAsia="es-DO"/>
              </w:rPr>
              <w:t>108</w:t>
            </w:r>
          </w:p>
        </w:tc>
      </w:tr>
      <w:tr w:rsidR="004921FF" w:rsidRPr="005C133F" w14:paraId="0F948C2A" w14:textId="1D2E35A9" w:rsidTr="00DD6FC5">
        <w:trPr>
          <w:trHeight w:val="312"/>
          <w:jc w:val="center"/>
        </w:trPr>
        <w:tc>
          <w:tcPr>
            <w:tcW w:w="4673" w:type="dxa"/>
            <w:shd w:val="clear" w:color="000000" w:fill="FFFFFF"/>
            <w:vAlign w:val="center"/>
            <w:hideMark/>
          </w:tcPr>
          <w:p w14:paraId="66807A53"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Sistema de gestión</w:t>
            </w:r>
          </w:p>
        </w:tc>
        <w:tc>
          <w:tcPr>
            <w:tcW w:w="1701" w:type="dxa"/>
            <w:shd w:val="clear" w:color="000000" w:fill="FFFFFF"/>
            <w:noWrap/>
            <w:vAlign w:val="center"/>
            <w:hideMark/>
          </w:tcPr>
          <w:p w14:paraId="69E19EC3"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6</w:t>
            </w:r>
          </w:p>
        </w:tc>
        <w:tc>
          <w:tcPr>
            <w:tcW w:w="1536" w:type="dxa"/>
          </w:tcPr>
          <w:p w14:paraId="10CD586F" w14:textId="63CA2281" w:rsidR="0083045C" w:rsidRPr="005C133F" w:rsidRDefault="00BD46C7" w:rsidP="001D31AA">
            <w:pPr>
              <w:spacing w:after="0" w:line="240" w:lineRule="auto"/>
              <w:jc w:val="center"/>
              <w:rPr>
                <w:rFonts w:eastAsia="Times New Roman"/>
                <w:spacing w:val="17"/>
                <w:lang w:val="es-DO" w:eastAsia="es-DO"/>
              </w:rPr>
            </w:pPr>
            <w:r w:rsidRPr="005C133F">
              <w:rPr>
                <w:rFonts w:eastAsia="Times New Roman"/>
                <w:spacing w:val="17"/>
                <w:lang w:val="es-DO" w:eastAsia="es-DO"/>
              </w:rPr>
              <w:t>74</w:t>
            </w:r>
          </w:p>
        </w:tc>
      </w:tr>
      <w:tr w:rsidR="004921FF" w:rsidRPr="005C133F" w14:paraId="1B46FBB8" w14:textId="140417C5" w:rsidTr="00DD6FC5">
        <w:trPr>
          <w:trHeight w:val="312"/>
          <w:jc w:val="center"/>
        </w:trPr>
        <w:tc>
          <w:tcPr>
            <w:tcW w:w="4673" w:type="dxa"/>
            <w:shd w:val="clear" w:color="000000" w:fill="FFFFFF"/>
            <w:vAlign w:val="center"/>
            <w:hideMark/>
          </w:tcPr>
          <w:p w14:paraId="50D1DB42"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Formaciones en el área de salud</w:t>
            </w:r>
          </w:p>
        </w:tc>
        <w:tc>
          <w:tcPr>
            <w:tcW w:w="1701" w:type="dxa"/>
            <w:shd w:val="clear" w:color="000000" w:fill="FFFFFF"/>
            <w:noWrap/>
            <w:vAlign w:val="center"/>
            <w:hideMark/>
          </w:tcPr>
          <w:p w14:paraId="1DD54F11"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3</w:t>
            </w:r>
          </w:p>
        </w:tc>
        <w:tc>
          <w:tcPr>
            <w:tcW w:w="1536" w:type="dxa"/>
          </w:tcPr>
          <w:p w14:paraId="7C10A14D" w14:textId="5C9A8B2C" w:rsidR="0083045C" w:rsidRPr="005C133F" w:rsidRDefault="00BD46C7" w:rsidP="001D31AA">
            <w:pPr>
              <w:spacing w:after="0" w:line="240" w:lineRule="auto"/>
              <w:jc w:val="center"/>
              <w:rPr>
                <w:rFonts w:eastAsia="Times New Roman"/>
                <w:spacing w:val="17"/>
                <w:lang w:val="es-DO" w:eastAsia="es-DO"/>
              </w:rPr>
            </w:pPr>
            <w:r w:rsidRPr="005C133F">
              <w:rPr>
                <w:rFonts w:eastAsia="Times New Roman"/>
                <w:spacing w:val="17"/>
                <w:lang w:val="es-DO" w:eastAsia="es-DO"/>
              </w:rPr>
              <w:t>4</w:t>
            </w:r>
          </w:p>
        </w:tc>
      </w:tr>
      <w:tr w:rsidR="004921FF" w:rsidRPr="005C133F" w14:paraId="2ED95966" w14:textId="07000B94" w:rsidTr="00DD6FC5">
        <w:trPr>
          <w:trHeight w:val="312"/>
          <w:jc w:val="center"/>
        </w:trPr>
        <w:tc>
          <w:tcPr>
            <w:tcW w:w="4673" w:type="dxa"/>
            <w:shd w:val="clear" w:color="000000" w:fill="FFFFFF"/>
            <w:vAlign w:val="center"/>
            <w:hideMark/>
          </w:tcPr>
          <w:p w14:paraId="0D3392B2" w14:textId="77777777" w:rsidR="0083045C" w:rsidRPr="005C133F" w:rsidRDefault="0083045C" w:rsidP="001D31AA">
            <w:pPr>
              <w:spacing w:after="0" w:line="240" w:lineRule="auto"/>
              <w:rPr>
                <w:rFonts w:eastAsia="Times New Roman"/>
                <w:spacing w:val="0"/>
                <w:lang w:val="es-DO" w:eastAsia="es-DO"/>
              </w:rPr>
            </w:pPr>
            <w:r w:rsidRPr="005C133F">
              <w:rPr>
                <w:rFonts w:eastAsia="Times New Roman"/>
                <w:spacing w:val="17"/>
                <w:lang w:val="es-DO" w:eastAsia="es-DO"/>
              </w:rPr>
              <w:t>Seguridad social</w:t>
            </w:r>
          </w:p>
        </w:tc>
        <w:tc>
          <w:tcPr>
            <w:tcW w:w="1701" w:type="dxa"/>
            <w:shd w:val="clear" w:color="000000" w:fill="FFFFFF"/>
            <w:noWrap/>
            <w:vAlign w:val="center"/>
            <w:hideMark/>
          </w:tcPr>
          <w:p w14:paraId="0E8F69C5" w14:textId="77777777" w:rsidR="0083045C" w:rsidRPr="005C133F" w:rsidRDefault="0083045C" w:rsidP="001D31AA">
            <w:pPr>
              <w:spacing w:after="0" w:line="240" w:lineRule="auto"/>
              <w:jc w:val="center"/>
              <w:rPr>
                <w:rFonts w:eastAsia="Times New Roman"/>
                <w:spacing w:val="0"/>
                <w:lang w:val="es-DO" w:eastAsia="es-DO"/>
              </w:rPr>
            </w:pPr>
            <w:r w:rsidRPr="005C133F">
              <w:rPr>
                <w:rFonts w:eastAsia="Times New Roman"/>
                <w:spacing w:val="17"/>
                <w:lang w:val="es-DO" w:eastAsia="es-DO"/>
              </w:rPr>
              <w:t>7</w:t>
            </w:r>
          </w:p>
        </w:tc>
        <w:tc>
          <w:tcPr>
            <w:tcW w:w="1536" w:type="dxa"/>
          </w:tcPr>
          <w:p w14:paraId="27C8EAE2" w14:textId="679D282B" w:rsidR="0083045C" w:rsidRPr="005C133F" w:rsidRDefault="00CB5F5C" w:rsidP="001D31AA">
            <w:pPr>
              <w:spacing w:after="0" w:line="240" w:lineRule="auto"/>
              <w:jc w:val="center"/>
              <w:rPr>
                <w:rFonts w:eastAsia="Times New Roman"/>
                <w:spacing w:val="17"/>
                <w:lang w:val="es-DO" w:eastAsia="es-DO"/>
              </w:rPr>
            </w:pPr>
            <w:r w:rsidRPr="005C133F">
              <w:rPr>
                <w:rFonts w:eastAsia="Times New Roman"/>
                <w:spacing w:val="17"/>
                <w:lang w:val="es-DO" w:eastAsia="es-DO"/>
              </w:rPr>
              <w:t>39</w:t>
            </w:r>
          </w:p>
        </w:tc>
      </w:tr>
      <w:tr w:rsidR="00DB19D4" w:rsidRPr="005C133F" w14:paraId="4C7A3D3E" w14:textId="1BB8899B" w:rsidTr="00FC13BB">
        <w:trPr>
          <w:trHeight w:val="312"/>
          <w:jc w:val="center"/>
        </w:trPr>
        <w:tc>
          <w:tcPr>
            <w:tcW w:w="4673" w:type="dxa"/>
            <w:shd w:val="clear" w:color="auto" w:fill="011C50"/>
            <w:noWrap/>
            <w:vAlign w:val="center"/>
            <w:hideMark/>
          </w:tcPr>
          <w:p w14:paraId="634765AF" w14:textId="77777777" w:rsidR="0083045C" w:rsidRPr="005C133F" w:rsidRDefault="0083045C" w:rsidP="001D31AA">
            <w:pPr>
              <w:spacing w:after="0" w:line="240" w:lineRule="auto"/>
              <w:jc w:val="right"/>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Total</w:t>
            </w:r>
          </w:p>
        </w:tc>
        <w:tc>
          <w:tcPr>
            <w:tcW w:w="1701" w:type="dxa"/>
            <w:shd w:val="clear" w:color="auto" w:fill="011C50"/>
            <w:noWrap/>
            <w:vAlign w:val="center"/>
            <w:hideMark/>
          </w:tcPr>
          <w:p w14:paraId="4514DD4A" w14:textId="77777777" w:rsidR="0083045C" w:rsidRPr="005C133F" w:rsidRDefault="0083045C" w:rsidP="001D31A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66</w:t>
            </w:r>
          </w:p>
        </w:tc>
        <w:tc>
          <w:tcPr>
            <w:tcW w:w="1536" w:type="dxa"/>
            <w:shd w:val="clear" w:color="auto" w:fill="011C50"/>
          </w:tcPr>
          <w:p w14:paraId="1183C9B7" w14:textId="11746807" w:rsidR="0083045C" w:rsidRPr="005C133F" w:rsidRDefault="00CB5F5C" w:rsidP="001D31AA">
            <w:pPr>
              <w:spacing w:after="0" w:line="240" w:lineRule="auto"/>
              <w:jc w:val="center"/>
              <w:rPr>
                <w:rFonts w:eastAsia="Times New Roman"/>
                <w:b/>
                <w:bCs/>
                <w:color w:val="FFFFFF" w:themeColor="background1"/>
                <w:spacing w:val="17"/>
                <w:lang w:val="es-DO" w:eastAsia="es-DO"/>
              </w:rPr>
            </w:pPr>
            <w:r w:rsidRPr="005C133F">
              <w:rPr>
                <w:rFonts w:eastAsia="Times New Roman"/>
                <w:b/>
                <w:bCs/>
                <w:color w:val="FFFFFF" w:themeColor="background1"/>
                <w:spacing w:val="17"/>
                <w:lang w:val="es-DO" w:eastAsia="es-DO"/>
              </w:rPr>
              <w:t>798</w:t>
            </w:r>
          </w:p>
        </w:tc>
      </w:tr>
    </w:tbl>
    <w:p w14:paraId="5BA23504" w14:textId="77777777" w:rsidR="00226178" w:rsidRPr="00885E9D" w:rsidRDefault="00226178" w:rsidP="005C133F">
      <w:pPr>
        <w:pStyle w:val="Textoindependiente"/>
        <w:spacing w:line="360" w:lineRule="auto"/>
        <w:ind w:left="426" w:right="282"/>
        <w:rPr>
          <w:rFonts w:eastAsiaTheme="minorEastAsia"/>
          <w:b w:val="0"/>
          <w:bCs w:val="0"/>
          <w:i w:val="0"/>
          <w:iCs w:val="0"/>
          <w:color w:val="767171"/>
          <w:sz w:val="18"/>
          <w:szCs w:val="18"/>
          <w:lang w:val="es-DO"/>
        </w:rPr>
      </w:pPr>
      <w:r w:rsidRPr="00885E9D">
        <w:rPr>
          <w:rFonts w:eastAsiaTheme="minorEastAsia"/>
          <w:b w:val="0"/>
          <w:bCs w:val="0"/>
          <w:i w:val="0"/>
          <w:iCs w:val="0"/>
          <w:color w:val="767171"/>
          <w:sz w:val="18"/>
          <w:szCs w:val="18"/>
          <w:lang w:val="es-DO"/>
        </w:rPr>
        <w:t>Fuente: Matriz de capacitaciones 2025</w:t>
      </w:r>
    </w:p>
    <w:p w14:paraId="0E0FB702" w14:textId="77777777" w:rsidR="00B510C0" w:rsidRPr="005C133F" w:rsidRDefault="00B510C0" w:rsidP="005C133F">
      <w:pPr>
        <w:widowControl w:val="0"/>
        <w:tabs>
          <w:tab w:val="left" w:pos="1080"/>
        </w:tabs>
        <w:autoSpaceDE w:val="0"/>
        <w:autoSpaceDN w:val="0"/>
        <w:spacing w:before="1" w:after="0" w:line="360" w:lineRule="auto"/>
        <w:rPr>
          <w:b/>
          <w:lang w:val="es-DO"/>
        </w:rPr>
      </w:pPr>
    </w:p>
    <w:p w14:paraId="3B577B4C" w14:textId="77777777" w:rsidR="00C25AFA" w:rsidRPr="005C133F" w:rsidRDefault="00C25AFA">
      <w:pPr>
        <w:pStyle w:val="Prrafodelista"/>
        <w:widowControl w:val="0"/>
        <w:numPr>
          <w:ilvl w:val="0"/>
          <w:numId w:val="172"/>
        </w:numPr>
        <w:tabs>
          <w:tab w:val="left" w:pos="1080"/>
        </w:tabs>
        <w:autoSpaceDE w:val="0"/>
        <w:autoSpaceDN w:val="0"/>
        <w:spacing w:after="0" w:line="360" w:lineRule="auto"/>
        <w:rPr>
          <w:b/>
          <w:lang w:val="es-DO"/>
        </w:rPr>
      </w:pPr>
      <w:r w:rsidRPr="005C133F">
        <w:rPr>
          <w:b/>
          <w:lang w:val="es-DO"/>
        </w:rPr>
        <w:t>Gestión de las Relaciones Laborales y Sociales</w:t>
      </w:r>
    </w:p>
    <w:p w14:paraId="14169613" w14:textId="77777777" w:rsidR="00BB0D2A" w:rsidRPr="005C133F" w:rsidRDefault="00BB0D2A" w:rsidP="005C133F">
      <w:pPr>
        <w:spacing w:after="0" w:line="360" w:lineRule="auto"/>
        <w:jc w:val="both"/>
        <w:rPr>
          <w:noProof/>
          <w:lang w:val="es-DO"/>
        </w:rPr>
      </w:pPr>
    </w:p>
    <w:p w14:paraId="32068936" w14:textId="77777777" w:rsidR="00F57BC8" w:rsidRPr="005C133F" w:rsidRDefault="00F57BC8" w:rsidP="005C133F">
      <w:pPr>
        <w:spacing w:after="0" w:line="360" w:lineRule="auto"/>
        <w:jc w:val="both"/>
        <w:rPr>
          <w:b/>
          <w:bCs/>
          <w:noProof/>
          <w:lang w:val="es-DO"/>
        </w:rPr>
      </w:pPr>
      <w:r w:rsidRPr="005C133F">
        <w:rPr>
          <w:b/>
          <w:bCs/>
          <w:noProof/>
          <w:lang w:val="es-DO"/>
        </w:rPr>
        <w:t>Evaluaciones de Clima y Servicios Institucionales</w:t>
      </w:r>
    </w:p>
    <w:p w14:paraId="3FCAABE4" w14:textId="77777777" w:rsidR="00F57BC8" w:rsidRPr="005C133F" w:rsidRDefault="00F57BC8" w:rsidP="005C133F">
      <w:pPr>
        <w:spacing w:after="0" w:line="360" w:lineRule="auto"/>
        <w:jc w:val="both"/>
        <w:rPr>
          <w:noProof/>
          <w:lang w:val="es-DO"/>
        </w:rPr>
      </w:pPr>
    </w:p>
    <w:p w14:paraId="5D312A69" w14:textId="77777777" w:rsidR="00F57BC8" w:rsidRPr="005C133F" w:rsidRDefault="00F57BC8" w:rsidP="005C133F">
      <w:pPr>
        <w:spacing w:after="0" w:line="360" w:lineRule="auto"/>
        <w:jc w:val="both"/>
        <w:rPr>
          <w:noProof/>
          <w:lang w:val="es-DO"/>
        </w:rPr>
      </w:pPr>
      <w:r w:rsidRPr="005C133F">
        <w:rPr>
          <w:noProof/>
          <w:lang w:val="es-DO"/>
        </w:rPr>
        <w:t xml:space="preserve">Durante el año 2025, se realizaron tres (3) evaluaciones de microclima organizacional con el propósito de analizar la percepción </w:t>
      </w:r>
      <w:r w:rsidRPr="005C133F">
        <w:rPr>
          <w:noProof/>
          <w:lang w:val="es-DO"/>
        </w:rPr>
        <w:lastRenderedPageBreak/>
        <w:t xml:space="preserve">de los colaboradores respecto a dimensiones críticas de liderazgo, comunicación y trabajo en equipo en unidades organizativas específicas.  Estas evaluaciones formaron parte  del seguimiento al plan de mejora que se encuentra en ejecución derivado de la evaluación general de clima organizacional aplicada en la institución, en coordinación con el Ministerio de Administración Pública (MAP) en el año 2024. </w:t>
      </w:r>
    </w:p>
    <w:p w14:paraId="4234DD27" w14:textId="77777777" w:rsidR="00F57BC8" w:rsidRPr="005C133F" w:rsidRDefault="00F57BC8" w:rsidP="005C133F">
      <w:pPr>
        <w:spacing w:after="0" w:line="360" w:lineRule="auto"/>
        <w:jc w:val="both"/>
        <w:rPr>
          <w:noProof/>
          <w:lang w:val="es-DO"/>
        </w:rPr>
      </w:pPr>
    </w:p>
    <w:p w14:paraId="1EC5B831" w14:textId="169AAA76" w:rsidR="00F57BC8" w:rsidRPr="005C133F" w:rsidRDefault="00F57BC8" w:rsidP="005C133F">
      <w:pPr>
        <w:spacing w:after="0" w:line="360" w:lineRule="auto"/>
        <w:jc w:val="both"/>
        <w:rPr>
          <w:noProof/>
          <w:lang w:val="es-DO"/>
        </w:rPr>
      </w:pPr>
      <w:r w:rsidRPr="005C133F">
        <w:rPr>
          <w:noProof/>
          <w:lang w:val="es-DO"/>
        </w:rPr>
        <w:t>Los resultados obtenidos reflejaron una percepción favorable por parte del personal, al tiempo que permitieron identificar oportunidades de mejora especialmente en aspectos vinculados a la integración y reconocimiento.</w:t>
      </w:r>
    </w:p>
    <w:p w14:paraId="3B8A4230" w14:textId="77777777" w:rsidR="00DA2926" w:rsidRPr="005C133F" w:rsidRDefault="00DA2926" w:rsidP="005C133F">
      <w:pPr>
        <w:spacing w:after="0" w:line="360" w:lineRule="auto"/>
        <w:jc w:val="both"/>
        <w:rPr>
          <w:noProof/>
          <w:lang w:val="es-DO"/>
        </w:rPr>
      </w:pPr>
    </w:p>
    <w:p w14:paraId="2237F184" w14:textId="77777777" w:rsidR="00F57BC8" w:rsidRPr="005C133F" w:rsidRDefault="00F57BC8" w:rsidP="005C133F">
      <w:pPr>
        <w:spacing w:after="0" w:line="360" w:lineRule="auto"/>
        <w:jc w:val="both"/>
        <w:rPr>
          <w:noProof/>
          <w:lang w:val="es-DO"/>
        </w:rPr>
      </w:pPr>
      <w:r w:rsidRPr="005C133F">
        <w:rPr>
          <w:noProof/>
          <w:lang w:val="es-DO"/>
        </w:rPr>
        <w:t xml:space="preserve">Como parte de la estrategia de escucha activa a los colaboradores, se implementaron encuestas internas para evaluar la percepción y nivel de satisfacción respecto a dos beneficios institucionales relevantes. En el caso del servicio de transporte institucional se obtuvo una valoración positiva del  70% con oportunidades de mejora principalmente en el aspecto de comodidad.  Por su parte el servicio de almuerzo institucional alcanzó una valoración del 85% destacándose una percepción favorable en logística y puntualidad pese a la predominancia de calificaciones regulares. </w:t>
      </w:r>
    </w:p>
    <w:p w14:paraId="77E24DA6" w14:textId="77777777" w:rsidR="00DA2926" w:rsidRPr="005C133F" w:rsidRDefault="00DA2926" w:rsidP="005C133F">
      <w:pPr>
        <w:spacing w:after="0" w:line="360" w:lineRule="auto"/>
        <w:jc w:val="both"/>
        <w:rPr>
          <w:noProof/>
          <w:lang w:val="es-DO"/>
        </w:rPr>
      </w:pPr>
    </w:p>
    <w:p w14:paraId="57391F65" w14:textId="77777777" w:rsidR="00F57BC8" w:rsidRPr="005C133F" w:rsidRDefault="00F57BC8" w:rsidP="005C133F">
      <w:pPr>
        <w:spacing w:after="0" w:line="360" w:lineRule="auto"/>
        <w:jc w:val="both"/>
        <w:rPr>
          <w:noProof/>
          <w:lang w:val="es-DO"/>
        </w:rPr>
      </w:pPr>
      <w:r w:rsidRPr="005C133F">
        <w:rPr>
          <w:noProof/>
          <w:lang w:val="es-DO"/>
        </w:rPr>
        <w:t xml:space="preserve">Estos instrumentos permitieron identificar oportunidades de mejora, optimizar la oferta de servicios y fortalecer el vínculo entre la institución y sus colaboradores, contribuyendo al mejoramiento continuo de las condiciones laborales y de los procesos internos. </w:t>
      </w:r>
    </w:p>
    <w:p w14:paraId="45763DFF" w14:textId="77777777" w:rsidR="00F57BC8" w:rsidRPr="005C133F" w:rsidRDefault="00F57BC8" w:rsidP="005C133F">
      <w:pPr>
        <w:spacing w:after="0" w:line="360" w:lineRule="auto"/>
        <w:jc w:val="both"/>
        <w:rPr>
          <w:noProof/>
          <w:lang w:val="es-DO"/>
        </w:rPr>
      </w:pPr>
    </w:p>
    <w:p w14:paraId="643528C4" w14:textId="77777777" w:rsidR="00F57BC8" w:rsidRPr="005C133F" w:rsidRDefault="00F57BC8" w:rsidP="005C133F">
      <w:pPr>
        <w:spacing w:after="0" w:line="360" w:lineRule="auto"/>
        <w:jc w:val="both"/>
        <w:rPr>
          <w:b/>
          <w:bCs/>
          <w:noProof/>
          <w:lang w:val="es-DO"/>
        </w:rPr>
      </w:pPr>
      <w:r w:rsidRPr="005C133F">
        <w:rPr>
          <w:b/>
          <w:bCs/>
          <w:noProof/>
          <w:lang w:val="es-DO"/>
        </w:rPr>
        <w:t>Bienestar Laboral y Actividades de Integración</w:t>
      </w:r>
    </w:p>
    <w:p w14:paraId="6669CBD4" w14:textId="77777777" w:rsidR="00F57BC8" w:rsidRPr="005C133F" w:rsidRDefault="00F57BC8" w:rsidP="005C133F">
      <w:pPr>
        <w:spacing w:after="0" w:line="360" w:lineRule="auto"/>
        <w:jc w:val="both"/>
        <w:rPr>
          <w:noProof/>
          <w:lang w:val="es-DO"/>
        </w:rPr>
      </w:pPr>
    </w:p>
    <w:p w14:paraId="03BD820D" w14:textId="77777777" w:rsidR="00F57BC8" w:rsidRPr="005C133F" w:rsidRDefault="00F57BC8" w:rsidP="005C133F">
      <w:pPr>
        <w:spacing w:after="0" w:line="360" w:lineRule="auto"/>
        <w:jc w:val="both"/>
        <w:rPr>
          <w:noProof/>
          <w:lang w:val="es-DO"/>
        </w:rPr>
      </w:pPr>
      <w:r w:rsidRPr="005C133F">
        <w:rPr>
          <w:noProof/>
          <w:lang w:val="es-DO"/>
        </w:rPr>
        <w:lastRenderedPageBreak/>
        <w:t>Durante el 2025, la institución desarrolló diversas iniciativas orientadas al bienestar laboral y la integración de los colaboradores.</w:t>
      </w:r>
    </w:p>
    <w:p w14:paraId="1832CDC5" w14:textId="77777777" w:rsidR="00F57BC8" w:rsidRPr="005C133F" w:rsidRDefault="00F57BC8" w:rsidP="005C133F">
      <w:pPr>
        <w:spacing w:after="0" w:line="360" w:lineRule="auto"/>
        <w:jc w:val="both"/>
        <w:rPr>
          <w:noProof/>
          <w:lang w:val="es-DO"/>
        </w:rPr>
      </w:pPr>
      <w:r w:rsidRPr="005C133F">
        <w:rPr>
          <w:noProof/>
          <w:lang w:val="es-DO"/>
        </w:rPr>
        <w:t>Entre las principales acciones realizadas se destacan:</w:t>
      </w:r>
    </w:p>
    <w:p w14:paraId="51342D5D" w14:textId="77777777" w:rsidR="00DB7221" w:rsidRPr="005C133F" w:rsidRDefault="00DB7221" w:rsidP="005C133F">
      <w:pPr>
        <w:spacing w:after="0" w:line="360" w:lineRule="auto"/>
        <w:jc w:val="both"/>
        <w:rPr>
          <w:noProof/>
          <w:lang w:val="es-DO"/>
        </w:rPr>
      </w:pPr>
    </w:p>
    <w:p w14:paraId="32AF7AD1" w14:textId="614C0B79" w:rsidR="00F57BC8" w:rsidRPr="005C133F" w:rsidRDefault="00F57BC8">
      <w:pPr>
        <w:pStyle w:val="Prrafodelista"/>
        <w:numPr>
          <w:ilvl w:val="0"/>
          <w:numId w:val="173"/>
        </w:numPr>
        <w:spacing w:after="0" w:line="360" w:lineRule="auto"/>
        <w:jc w:val="both"/>
        <w:rPr>
          <w:noProof/>
          <w:lang w:val="es-DO"/>
        </w:rPr>
      </w:pPr>
      <w:r w:rsidRPr="005C133F">
        <w:rPr>
          <w:noProof/>
          <w:lang w:val="es-DO"/>
        </w:rPr>
        <w:t>Eventos conmemorativos con motivos del Día del Amor y la Amistad, Independencia Dominicana, Día de las Madres y Día de los Padres, en los que se desarrollaron actividades culturales, recreativas y temáticas dirigidas a todos los colaboradores.</w:t>
      </w:r>
    </w:p>
    <w:p w14:paraId="34B3916C" w14:textId="77777777" w:rsidR="001D31AA" w:rsidRDefault="00F57BC8">
      <w:pPr>
        <w:pStyle w:val="Prrafodelista"/>
        <w:numPr>
          <w:ilvl w:val="0"/>
          <w:numId w:val="173"/>
        </w:numPr>
        <w:spacing w:after="0" w:line="360" w:lineRule="auto"/>
        <w:jc w:val="both"/>
        <w:rPr>
          <w:noProof/>
          <w:lang w:val="es-DO"/>
        </w:rPr>
      </w:pPr>
      <w:r w:rsidRPr="005C133F">
        <w:rPr>
          <w:noProof/>
          <w:lang w:val="es-DO"/>
        </w:rPr>
        <w:t>Campamento de Verano “Kid’s Fitness Summer Boot Camp 2025” que conto con la participación de 130 niños en tres localidades, mediante la realización de actividades educativas, deportivas y recreativas registrando altos niveles de satisfacción y cero incidentes.</w:t>
      </w:r>
    </w:p>
    <w:p w14:paraId="3ACF076F" w14:textId="4996AE8F" w:rsidR="00F57BC8" w:rsidRPr="001D31AA" w:rsidRDefault="00F57BC8">
      <w:pPr>
        <w:pStyle w:val="Prrafodelista"/>
        <w:numPr>
          <w:ilvl w:val="0"/>
          <w:numId w:val="173"/>
        </w:numPr>
        <w:spacing w:after="0" w:line="360" w:lineRule="auto"/>
        <w:jc w:val="both"/>
        <w:rPr>
          <w:noProof/>
          <w:lang w:val="es-DO"/>
        </w:rPr>
      </w:pPr>
      <w:r w:rsidRPr="001D31AA">
        <w:rPr>
          <w:noProof/>
          <w:lang w:val="es-DO"/>
        </w:rPr>
        <w:t xml:space="preserve">Zumbatón y jornada “Prioriza tu Bienestar”, orientadas a promover el autocuidado, la salud física y la motivación en el entorno laboral, con la participación de 52 colaboradores. </w:t>
      </w:r>
    </w:p>
    <w:p w14:paraId="11113D24" w14:textId="7E72A9D6" w:rsidR="00F57BC8" w:rsidRPr="005C133F" w:rsidRDefault="00F57BC8">
      <w:pPr>
        <w:pStyle w:val="Prrafodelista"/>
        <w:numPr>
          <w:ilvl w:val="0"/>
          <w:numId w:val="173"/>
        </w:numPr>
        <w:spacing w:after="0" w:line="360" w:lineRule="auto"/>
        <w:jc w:val="both"/>
        <w:rPr>
          <w:noProof/>
          <w:lang w:val="es-DO"/>
        </w:rPr>
      </w:pPr>
      <w:r w:rsidRPr="005C133F">
        <w:rPr>
          <w:noProof/>
          <w:lang w:val="es-DO"/>
        </w:rPr>
        <w:t>Incorporación de una póliza corporativa de gimnasio, actualmente vigente con Body Shop y Gold's Gym,como incentivo para la práctica regular de actividad física.</w:t>
      </w:r>
    </w:p>
    <w:p w14:paraId="5D6358C8" w14:textId="5AD4B15A" w:rsidR="00F57BC8" w:rsidRPr="005C133F" w:rsidRDefault="00F57BC8">
      <w:pPr>
        <w:pStyle w:val="Prrafodelista"/>
        <w:numPr>
          <w:ilvl w:val="0"/>
          <w:numId w:val="173"/>
        </w:numPr>
        <w:spacing w:after="0" w:line="360" w:lineRule="auto"/>
        <w:jc w:val="both"/>
        <w:rPr>
          <w:noProof/>
          <w:lang w:val="es-DO"/>
        </w:rPr>
      </w:pPr>
      <w:r w:rsidRPr="005C133F">
        <w:rPr>
          <w:noProof/>
          <w:lang w:val="es-DO"/>
        </w:rPr>
        <w:t>Implementación de una póliza de vida colectiva, que garantiza un seguro de vida para todos los colaboradores activos de la institución, como parte del fortalecimiento de las medidas de protección y bienestar laboral.</w:t>
      </w:r>
    </w:p>
    <w:p w14:paraId="4751CE2B" w14:textId="77777777" w:rsidR="00F57BC8" w:rsidRPr="005C133F" w:rsidRDefault="00F57BC8" w:rsidP="005C133F">
      <w:pPr>
        <w:spacing w:after="0" w:line="360" w:lineRule="auto"/>
        <w:jc w:val="both"/>
        <w:rPr>
          <w:noProof/>
          <w:lang w:val="es-DO"/>
        </w:rPr>
      </w:pPr>
    </w:p>
    <w:p w14:paraId="285F1579" w14:textId="77777777" w:rsidR="00F57BC8" w:rsidRPr="005C133F" w:rsidRDefault="00F57BC8" w:rsidP="005C133F">
      <w:pPr>
        <w:spacing w:after="0" w:line="360" w:lineRule="auto"/>
        <w:jc w:val="both"/>
        <w:rPr>
          <w:b/>
          <w:bCs/>
          <w:noProof/>
          <w:lang w:val="es-DO"/>
        </w:rPr>
      </w:pPr>
      <w:r w:rsidRPr="005C133F">
        <w:rPr>
          <w:b/>
          <w:bCs/>
          <w:noProof/>
          <w:lang w:val="es-DO"/>
        </w:rPr>
        <w:t>Salud Ocupacional y Atención Médica</w:t>
      </w:r>
    </w:p>
    <w:p w14:paraId="62C7923B" w14:textId="77777777" w:rsidR="00F57BC8" w:rsidRPr="005C133F" w:rsidRDefault="00F57BC8" w:rsidP="005C133F">
      <w:pPr>
        <w:spacing w:after="0" w:line="360" w:lineRule="auto"/>
        <w:jc w:val="both"/>
        <w:rPr>
          <w:noProof/>
          <w:lang w:val="es-DO"/>
        </w:rPr>
      </w:pPr>
    </w:p>
    <w:p w14:paraId="1D41C205" w14:textId="77777777" w:rsidR="00F57BC8" w:rsidRPr="005C133F" w:rsidRDefault="00F57BC8" w:rsidP="005C133F">
      <w:pPr>
        <w:spacing w:after="0" w:line="360" w:lineRule="auto"/>
        <w:jc w:val="both"/>
        <w:rPr>
          <w:noProof/>
          <w:lang w:val="es-DO"/>
        </w:rPr>
      </w:pPr>
      <w:r w:rsidRPr="005C133F">
        <w:rPr>
          <w:noProof/>
          <w:lang w:val="es-DO"/>
        </w:rPr>
        <w:t xml:space="preserve">Se brindó atención médica a más de 324 colaboradores a través del dispensario médico institucional, dando respuesta oportuna a </w:t>
      </w:r>
      <w:r w:rsidRPr="005C133F">
        <w:rPr>
          <w:noProof/>
          <w:lang w:val="es-DO"/>
        </w:rPr>
        <w:lastRenderedPageBreak/>
        <w:t>diferentes diagnósticos frecuentes y contribuyendo a la prevención, el cuidado de la salud y el bienestar en el entorno laboral.</w:t>
      </w:r>
    </w:p>
    <w:p w14:paraId="7EBCF275" w14:textId="77777777" w:rsidR="00F57BC8" w:rsidRPr="005C133F" w:rsidRDefault="00F57BC8" w:rsidP="005C133F">
      <w:pPr>
        <w:spacing w:after="0" w:line="360" w:lineRule="auto"/>
        <w:jc w:val="both"/>
        <w:rPr>
          <w:noProof/>
          <w:lang w:val="es-DO"/>
        </w:rPr>
      </w:pPr>
    </w:p>
    <w:p w14:paraId="31AE7EFF" w14:textId="77777777" w:rsidR="00F57BC8" w:rsidRPr="005C133F" w:rsidRDefault="00F57BC8" w:rsidP="005C133F">
      <w:pPr>
        <w:spacing w:after="0" w:line="360" w:lineRule="auto"/>
        <w:jc w:val="both"/>
        <w:rPr>
          <w:noProof/>
          <w:lang w:val="es-DO"/>
        </w:rPr>
      </w:pPr>
      <w:r w:rsidRPr="005C133F">
        <w:rPr>
          <w:noProof/>
          <w:lang w:val="es-DO"/>
        </w:rPr>
        <w:t>En el marco de la estrategia de bienestar integral, se desarrollaron jornadas de salud orientadas a la promoción de hábitos saludables y a la prevención de riesgos en el marco de la Semana de Salud y Seguridad en el Trabajo, entre las que se destacan:</w:t>
      </w:r>
    </w:p>
    <w:p w14:paraId="0E4AC64B" w14:textId="132BBC88" w:rsidR="00F57BC8" w:rsidRPr="005C133F" w:rsidRDefault="00F57BC8">
      <w:pPr>
        <w:pStyle w:val="Prrafodelista"/>
        <w:numPr>
          <w:ilvl w:val="0"/>
          <w:numId w:val="174"/>
        </w:numPr>
        <w:spacing w:after="0" w:line="360" w:lineRule="auto"/>
        <w:jc w:val="both"/>
        <w:rPr>
          <w:noProof/>
          <w:lang w:val="es-DO"/>
        </w:rPr>
      </w:pPr>
      <w:r w:rsidRPr="005C133F">
        <w:rPr>
          <w:noProof/>
          <w:lang w:val="es-DO"/>
        </w:rPr>
        <w:t>Odontología preventiva, con una participación de 31 colaboradores.</w:t>
      </w:r>
    </w:p>
    <w:p w14:paraId="65A5F3ED" w14:textId="7CDA126A" w:rsidR="00F57BC8" w:rsidRPr="005C133F" w:rsidRDefault="00F57BC8">
      <w:pPr>
        <w:pStyle w:val="Prrafodelista"/>
        <w:numPr>
          <w:ilvl w:val="0"/>
          <w:numId w:val="174"/>
        </w:numPr>
        <w:spacing w:after="0" w:line="360" w:lineRule="auto"/>
        <w:jc w:val="both"/>
        <w:rPr>
          <w:noProof/>
          <w:lang w:val="es-DO"/>
        </w:rPr>
      </w:pPr>
      <w:r w:rsidRPr="005C133F">
        <w:rPr>
          <w:noProof/>
          <w:lang w:val="es-DO"/>
        </w:rPr>
        <w:t>Levantamiento de perfil de riesgo (hipertensión, obesidad, estrés), impactando 52 colaboradores.</w:t>
      </w:r>
    </w:p>
    <w:p w14:paraId="2A8BAC48" w14:textId="306CCE0B" w:rsidR="00F57BC8" w:rsidRPr="005C133F" w:rsidRDefault="00F57BC8">
      <w:pPr>
        <w:pStyle w:val="Prrafodelista"/>
        <w:numPr>
          <w:ilvl w:val="0"/>
          <w:numId w:val="174"/>
        </w:numPr>
        <w:spacing w:after="0" w:line="360" w:lineRule="auto"/>
        <w:jc w:val="both"/>
        <w:rPr>
          <w:noProof/>
          <w:lang w:val="es-DO"/>
        </w:rPr>
      </w:pPr>
      <w:r w:rsidRPr="005C133F">
        <w:rPr>
          <w:noProof/>
          <w:lang w:val="es-DO"/>
        </w:rPr>
        <w:t>Prevención de riesgos laborales, con la participación de 38 colaboradores.</w:t>
      </w:r>
    </w:p>
    <w:p w14:paraId="4B5D102F" w14:textId="20A0F1FF" w:rsidR="00F57BC8" w:rsidRPr="005C133F" w:rsidRDefault="00F57BC8">
      <w:pPr>
        <w:pStyle w:val="Prrafodelista"/>
        <w:numPr>
          <w:ilvl w:val="0"/>
          <w:numId w:val="174"/>
        </w:numPr>
        <w:spacing w:after="0" w:line="360" w:lineRule="auto"/>
        <w:jc w:val="both"/>
        <w:rPr>
          <w:noProof/>
          <w:lang w:val="es-DO"/>
        </w:rPr>
      </w:pPr>
      <w:r w:rsidRPr="005C133F">
        <w:rPr>
          <w:noProof/>
          <w:lang w:val="es-DO"/>
        </w:rPr>
        <w:t>Jornada de inteligencia emocional, en la que participaron 40 colaboradores.</w:t>
      </w:r>
    </w:p>
    <w:p w14:paraId="4C42C699" w14:textId="4C20337D" w:rsidR="00F57BC8" w:rsidRPr="005C133F" w:rsidRDefault="00F57BC8">
      <w:pPr>
        <w:pStyle w:val="Prrafodelista"/>
        <w:numPr>
          <w:ilvl w:val="0"/>
          <w:numId w:val="174"/>
        </w:numPr>
        <w:spacing w:after="0" w:line="360" w:lineRule="auto"/>
        <w:jc w:val="both"/>
        <w:rPr>
          <w:noProof/>
          <w:lang w:val="es-DO"/>
        </w:rPr>
      </w:pPr>
      <w:r w:rsidRPr="005C133F">
        <w:rPr>
          <w:noProof/>
          <w:lang w:val="es-DO"/>
        </w:rPr>
        <w:t>Charla y jornada de donación de sangre, con la participación inicial de 38 colaboradores. Posteriormente 24 colaboradores donaron sangre y actualmente estamos trabajando en la elaboración de un acuerdo interinstitucional con el Hemocentro.</w:t>
      </w:r>
    </w:p>
    <w:p w14:paraId="38C9A829" w14:textId="3F2C22F2" w:rsidR="00F57BC8" w:rsidRPr="005C133F" w:rsidRDefault="00F57BC8">
      <w:pPr>
        <w:pStyle w:val="Prrafodelista"/>
        <w:numPr>
          <w:ilvl w:val="0"/>
          <w:numId w:val="174"/>
        </w:numPr>
        <w:spacing w:after="0" w:line="360" w:lineRule="auto"/>
        <w:jc w:val="both"/>
        <w:rPr>
          <w:noProof/>
          <w:lang w:val="es-DO"/>
        </w:rPr>
      </w:pPr>
      <w:r w:rsidRPr="005C133F">
        <w:rPr>
          <w:noProof/>
          <w:lang w:val="es-DO"/>
        </w:rPr>
        <w:t xml:space="preserve">Jornada visual, mediante un operativo realizado  en las 4 sedes de la institución, dirigido a todo el personal. </w:t>
      </w:r>
    </w:p>
    <w:p w14:paraId="2B44F8CC" w14:textId="77777777" w:rsidR="00F57BC8" w:rsidRPr="005C133F" w:rsidRDefault="00F57BC8" w:rsidP="005C133F">
      <w:pPr>
        <w:spacing w:after="0" w:line="360" w:lineRule="auto"/>
        <w:jc w:val="both"/>
        <w:rPr>
          <w:noProof/>
          <w:lang w:val="es-DO"/>
        </w:rPr>
      </w:pPr>
    </w:p>
    <w:p w14:paraId="10098407" w14:textId="77777777" w:rsidR="00F57BC8" w:rsidRPr="005C133F" w:rsidRDefault="00F57BC8" w:rsidP="005C133F">
      <w:pPr>
        <w:spacing w:after="0" w:line="360" w:lineRule="auto"/>
        <w:jc w:val="both"/>
        <w:rPr>
          <w:noProof/>
          <w:lang w:val="es-DO"/>
        </w:rPr>
      </w:pPr>
      <w:r w:rsidRPr="005C133F">
        <w:rPr>
          <w:noProof/>
          <w:lang w:val="es-DO"/>
        </w:rPr>
        <w:t>Estas acciones evidencian el compromiso institucional con la salud física y emocional de los colaboradores, fortaleciendo una cultura de autocuidado, prevención y mejora continua de la calidad de vida laboral.</w:t>
      </w:r>
    </w:p>
    <w:p w14:paraId="581AB2D2" w14:textId="77777777" w:rsidR="00F57BC8" w:rsidRPr="005C133F" w:rsidRDefault="00F57BC8" w:rsidP="005C133F">
      <w:pPr>
        <w:spacing w:after="0" w:line="360" w:lineRule="auto"/>
        <w:jc w:val="both"/>
        <w:rPr>
          <w:noProof/>
          <w:lang w:val="es-DO"/>
        </w:rPr>
      </w:pPr>
    </w:p>
    <w:p w14:paraId="134AF78F" w14:textId="67CFE5FA" w:rsidR="00F57BC8" w:rsidRPr="005C133F" w:rsidRDefault="00F57BC8">
      <w:pPr>
        <w:pStyle w:val="Prrafodelista"/>
        <w:widowControl w:val="0"/>
        <w:numPr>
          <w:ilvl w:val="0"/>
          <w:numId w:val="172"/>
        </w:numPr>
        <w:tabs>
          <w:tab w:val="left" w:pos="1080"/>
        </w:tabs>
        <w:autoSpaceDE w:val="0"/>
        <w:autoSpaceDN w:val="0"/>
        <w:spacing w:before="1" w:after="0" w:line="360" w:lineRule="auto"/>
        <w:rPr>
          <w:b/>
          <w:lang w:val="es-DO"/>
        </w:rPr>
      </w:pPr>
      <w:r w:rsidRPr="005C133F">
        <w:rPr>
          <w:b/>
          <w:lang w:val="es-DO"/>
        </w:rPr>
        <w:t>Seguridad y Prevención</w:t>
      </w:r>
    </w:p>
    <w:p w14:paraId="3E07F78D" w14:textId="77777777" w:rsidR="00F57BC8" w:rsidRPr="005C133F" w:rsidRDefault="00F57BC8" w:rsidP="005C133F">
      <w:pPr>
        <w:spacing w:after="0" w:line="360" w:lineRule="auto"/>
        <w:jc w:val="both"/>
        <w:rPr>
          <w:noProof/>
          <w:lang w:val="es-DO"/>
        </w:rPr>
      </w:pPr>
    </w:p>
    <w:p w14:paraId="52B0A474" w14:textId="77777777" w:rsidR="00F57BC8" w:rsidRPr="005C133F" w:rsidRDefault="00F57BC8" w:rsidP="005C133F">
      <w:pPr>
        <w:spacing w:after="0" w:line="360" w:lineRule="auto"/>
        <w:jc w:val="both"/>
        <w:rPr>
          <w:noProof/>
          <w:lang w:val="es-DO"/>
        </w:rPr>
      </w:pPr>
      <w:r w:rsidRPr="005C133F">
        <w:rPr>
          <w:noProof/>
          <w:lang w:val="es-DO"/>
        </w:rPr>
        <w:lastRenderedPageBreak/>
        <w:t xml:space="preserve">En marzo de 2025 se formalizó el Comité Mixto de Seguridad y Salud en el Trabajo, reafirmando el compromiso institucional con el fortalecimiento de una cultura preventiva y la protección integral de los colaboradores. Este órgano se constituye como un pilar estratégico para garantizar entornos laborales seguros y saludables. </w:t>
      </w:r>
    </w:p>
    <w:p w14:paraId="5DA1D3E0" w14:textId="77777777" w:rsidR="00F57BC8" w:rsidRPr="005C133F" w:rsidRDefault="00F57BC8" w:rsidP="005C133F">
      <w:pPr>
        <w:spacing w:after="0" w:line="360" w:lineRule="auto"/>
        <w:jc w:val="both"/>
        <w:rPr>
          <w:noProof/>
          <w:lang w:val="es-DO"/>
        </w:rPr>
      </w:pPr>
    </w:p>
    <w:p w14:paraId="244A1B22" w14:textId="77777777" w:rsidR="00F57BC8" w:rsidRPr="005C133F" w:rsidRDefault="00F57BC8" w:rsidP="005C133F">
      <w:pPr>
        <w:spacing w:after="0" w:line="360" w:lineRule="auto"/>
        <w:jc w:val="both"/>
        <w:rPr>
          <w:noProof/>
          <w:lang w:val="es-DO"/>
        </w:rPr>
      </w:pPr>
      <w:r w:rsidRPr="005C133F">
        <w:rPr>
          <w:noProof/>
          <w:lang w:val="es-DO"/>
        </w:rPr>
        <w:t xml:space="preserve">El Comité realiza reuniones mensuales para evaluar y dar seguimiento a los avances e implementación de acciones, cuyos informes  son remitidos al Ministerio de Trabajo y al Ministerio de Administración Pública. Como parte de las acciones ejecutadas, se destacan la colocación de  señaléticas y el remozamiento de los extintores en todas las sedes institucionales. </w:t>
      </w:r>
    </w:p>
    <w:p w14:paraId="49FFAA43" w14:textId="77777777" w:rsidR="00F57BC8" w:rsidRPr="005C133F" w:rsidRDefault="00F57BC8" w:rsidP="005C133F">
      <w:pPr>
        <w:spacing w:after="0" w:line="360" w:lineRule="auto"/>
        <w:jc w:val="both"/>
        <w:rPr>
          <w:noProof/>
          <w:lang w:val="es-DO"/>
        </w:rPr>
      </w:pPr>
    </w:p>
    <w:p w14:paraId="7033AE0B" w14:textId="77777777" w:rsidR="00F57BC8" w:rsidRPr="005C133F" w:rsidRDefault="00F57BC8" w:rsidP="005C133F">
      <w:pPr>
        <w:spacing w:after="0" w:line="360" w:lineRule="auto"/>
        <w:jc w:val="both"/>
        <w:rPr>
          <w:noProof/>
          <w:lang w:val="es-DO"/>
        </w:rPr>
      </w:pPr>
      <w:r w:rsidRPr="005C133F">
        <w:rPr>
          <w:noProof/>
          <w:lang w:val="es-DO"/>
        </w:rPr>
        <w:t>En el marco del plan de acción, se desarrollaron talleres especializados sobre el uso de extintores y el Sistema de Seguridad y Salud en el Trabajo (SISTAP), dirigidos a la Brigada de Emergencia y a los miembros del Comité Mixto, con la participación de 67 colaboradores. Estas capacitaciones fortalecen la capacidad de respuesta institucional ante situaciones de emergencia y riesgo.</w:t>
      </w:r>
    </w:p>
    <w:p w14:paraId="09A8D6CF" w14:textId="77777777" w:rsidR="00F57BC8" w:rsidRPr="005C133F" w:rsidRDefault="00F57BC8" w:rsidP="005C133F">
      <w:pPr>
        <w:spacing w:after="0" w:line="360" w:lineRule="auto"/>
        <w:jc w:val="both"/>
        <w:rPr>
          <w:noProof/>
          <w:lang w:val="es-DO"/>
        </w:rPr>
      </w:pPr>
    </w:p>
    <w:p w14:paraId="2D456B96" w14:textId="77777777" w:rsidR="00F57BC8" w:rsidRPr="005C133F" w:rsidRDefault="00F57BC8" w:rsidP="005C133F">
      <w:pPr>
        <w:spacing w:after="0" w:line="360" w:lineRule="auto"/>
        <w:jc w:val="both"/>
        <w:rPr>
          <w:noProof/>
          <w:lang w:val="es-DO"/>
        </w:rPr>
      </w:pPr>
      <w:r w:rsidRPr="005C133F">
        <w:rPr>
          <w:noProof/>
          <w:lang w:val="es-DO"/>
        </w:rPr>
        <w:t>Se realizaron levantamientos de riesgos laborales en las cuatro sedes institucionales, en coordinación con el Cuerpo de Bomberos y el Instituto Dominicano de Prevención y Protección de Riesgos Laborales (IDOPPRIL). Actualmente, se trabaja en la elaboración y ejecución de los planes de acción derivados de estas evaluaciones, asegurando la mitigación de riesgos y la mejora continua de las condiciones de trabajo.</w:t>
      </w:r>
    </w:p>
    <w:p w14:paraId="5B3D2FA9" w14:textId="77777777" w:rsidR="00F57BC8" w:rsidRPr="005C133F" w:rsidRDefault="00F57BC8" w:rsidP="005C133F">
      <w:pPr>
        <w:spacing w:after="0" w:line="360" w:lineRule="auto"/>
        <w:jc w:val="both"/>
        <w:rPr>
          <w:noProof/>
          <w:lang w:val="es-DO"/>
        </w:rPr>
      </w:pPr>
    </w:p>
    <w:p w14:paraId="555A3BE3" w14:textId="7379D83A" w:rsidR="00F57BC8" w:rsidRPr="005C133F" w:rsidRDefault="00F57BC8">
      <w:pPr>
        <w:pStyle w:val="Prrafodelista"/>
        <w:widowControl w:val="0"/>
        <w:numPr>
          <w:ilvl w:val="0"/>
          <w:numId w:val="172"/>
        </w:numPr>
        <w:tabs>
          <w:tab w:val="left" w:pos="1080"/>
        </w:tabs>
        <w:autoSpaceDE w:val="0"/>
        <w:autoSpaceDN w:val="0"/>
        <w:spacing w:before="1" w:after="0" w:line="360" w:lineRule="auto"/>
        <w:rPr>
          <w:b/>
          <w:lang w:val="es-DO"/>
        </w:rPr>
      </w:pPr>
      <w:r w:rsidRPr="005C133F">
        <w:rPr>
          <w:b/>
          <w:lang w:val="es-DO"/>
        </w:rPr>
        <w:t>Registro y Control</w:t>
      </w:r>
    </w:p>
    <w:p w14:paraId="5ACCAF2A" w14:textId="77777777" w:rsidR="00A44401" w:rsidRPr="005C133F" w:rsidRDefault="00A44401" w:rsidP="005C133F">
      <w:pPr>
        <w:pStyle w:val="Prrafodelista"/>
        <w:widowControl w:val="0"/>
        <w:tabs>
          <w:tab w:val="left" w:pos="1080"/>
        </w:tabs>
        <w:autoSpaceDE w:val="0"/>
        <w:autoSpaceDN w:val="0"/>
        <w:spacing w:before="1" w:after="0" w:line="360" w:lineRule="auto"/>
        <w:rPr>
          <w:b/>
          <w:lang w:val="es-DO"/>
        </w:rPr>
      </w:pPr>
    </w:p>
    <w:p w14:paraId="60D35901" w14:textId="6ECF3C6C" w:rsidR="00BB075B" w:rsidRPr="005C133F" w:rsidRDefault="00F57BC8" w:rsidP="005C133F">
      <w:pPr>
        <w:spacing w:after="0" w:line="360" w:lineRule="auto"/>
        <w:jc w:val="both"/>
        <w:rPr>
          <w:noProof/>
          <w:lang w:val="es-DO"/>
        </w:rPr>
      </w:pPr>
      <w:r w:rsidRPr="005C133F">
        <w:rPr>
          <w:noProof/>
          <w:lang w:val="es-DO"/>
        </w:rPr>
        <w:lastRenderedPageBreak/>
        <w:t>A continuación, se presenta la distribución de mujeres y hombres por grupo ocupacional, así como su proporción relativa respecto al total de colaboradores. Del total del personal se registran nueve (9) colaboradores contratados y cuatrocientos ochenta y ocho (488) fijos, conforme a los registros institucionales vigentes.</w:t>
      </w:r>
    </w:p>
    <w:p w14:paraId="439755C4" w14:textId="0EEE830C" w:rsidR="003C3A31" w:rsidRPr="005C133F" w:rsidRDefault="003C3A31" w:rsidP="00673872">
      <w:pPr>
        <w:spacing w:after="0" w:line="240" w:lineRule="auto"/>
        <w:jc w:val="both"/>
        <w:rPr>
          <w:noProof/>
          <w:lang w:val="es-DO"/>
        </w:rPr>
      </w:pPr>
    </w:p>
    <w:p w14:paraId="26146C14" w14:textId="7E81FBC4" w:rsidR="00AD46B3" w:rsidRPr="005C133F" w:rsidRDefault="00AD46B3" w:rsidP="009B4ED1">
      <w:pPr>
        <w:pStyle w:val="Descripcin"/>
        <w:keepNext/>
        <w:spacing w:after="0"/>
        <w:jc w:val="center"/>
        <w:rPr>
          <w:b/>
          <w:bCs/>
          <w:i w:val="0"/>
          <w:iCs w:val="0"/>
          <w:noProof/>
          <w:color w:val="FFFFFF" w:themeColor="background1"/>
          <w:sz w:val="24"/>
          <w:szCs w:val="24"/>
          <w:lang w:val="es-DO"/>
        </w:rPr>
      </w:pPr>
      <w:bookmarkStart w:id="124" w:name="_Toc218784184"/>
      <w:r w:rsidRPr="005C133F">
        <w:rPr>
          <w:b/>
          <w:bCs/>
          <w:i w:val="0"/>
          <w:iCs w:val="0"/>
          <w:noProof/>
          <w:color w:val="767171"/>
          <w:sz w:val="24"/>
          <w:szCs w:val="24"/>
          <w:lang w:val="es-DO"/>
        </w:rPr>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52</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xml:space="preserve">. Composición del personal por grupo ocupacional y </w:t>
      </w:r>
      <w:r w:rsidR="00673872">
        <w:rPr>
          <w:b/>
          <w:bCs/>
          <w:i w:val="0"/>
          <w:iCs w:val="0"/>
          <w:noProof/>
          <w:color w:val="767171"/>
          <w:sz w:val="24"/>
          <w:szCs w:val="24"/>
          <w:lang w:val="es-DO"/>
        </w:rPr>
        <w:t>sexo</w:t>
      </w:r>
      <w:r w:rsidRPr="005C133F">
        <w:rPr>
          <w:b/>
          <w:bCs/>
          <w:i w:val="0"/>
          <w:iCs w:val="0"/>
          <w:noProof/>
          <w:color w:val="FFFFFF" w:themeColor="background1"/>
          <w:sz w:val="24"/>
          <w:szCs w:val="24"/>
          <w:lang w:val="es-DO"/>
        </w:rPr>
        <w:t>sexo, noviembre 2025</w:t>
      </w:r>
      <w:bookmarkEnd w:id="124"/>
    </w:p>
    <w:tbl>
      <w:tblPr>
        <w:tblStyle w:val="Tablanormal3"/>
        <w:tblpPr w:leftFromText="141" w:rightFromText="141" w:vertAnchor="text" w:horzAnchor="margin" w:tblpXSpec="center" w:tblpY="226"/>
        <w:tblOverlap w:val="never"/>
        <w:tblW w:w="8057"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009"/>
        <w:gridCol w:w="1143"/>
        <w:gridCol w:w="1143"/>
        <w:gridCol w:w="1329"/>
        <w:gridCol w:w="1563"/>
        <w:gridCol w:w="1563"/>
      </w:tblGrid>
      <w:tr w:rsidR="00DB19D4" w:rsidRPr="005C133F" w14:paraId="538E3EFE" w14:textId="77777777" w:rsidTr="00FB69FC">
        <w:trPr>
          <w:cnfStyle w:val="100000000000" w:firstRow="1" w:lastRow="0" w:firstColumn="0" w:lastColumn="0" w:oddVBand="0" w:evenVBand="0" w:oddHBand="0" w:evenHBand="0" w:firstRowFirstColumn="0" w:firstRowLastColumn="0" w:lastRowFirstColumn="0" w:lastRowLastColumn="0"/>
          <w:trHeight w:val="438"/>
          <w:tblHeader/>
        </w:trPr>
        <w:tc>
          <w:tcPr>
            <w:cnfStyle w:val="001000000100" w:firstRow="0" w:lastRow="0" w:firstColumn="1" w:lastColumn="0" w:oddVBand="0" w:evenVBand="0" w:oddHBand="0" w:evenHBand="0" w:firstRowFirstColumn="1" w:firstRowLastColumn="0" w:lastRowFirstColumn="0" w:lastRowLastColumn="0"/>
            <w:tcW w:w="1953" w:type="dxa"/>
            <w:shd w:val="clear" w:color="auto" w:fill="011C50"/>
            <w:vAlign w:val="center"/>
          </w:tcPr>
          <w:p w14:paraId="3E0D0B39" w14:textId="77777777" w:rsidR="003C3A31" w:rsidRPr="005C133F" w:rsidRDefault="003C3A31" w:rsidP="00673872">
            <w:pPr>
              <w:ind w:left="284" w:right="282"/>
              <w:jc w:val="center"/>
              <w:rPr>
                <w:rFonts w:ascii="Times New Roman" w:hAnsi="Times New Roman" w:cs="Times New Roman"/>
                <w:color w:val="FFFFFF" w:themeColor="background1"/>
                <w:sz w:val="24"/>
                <w:szCs w:val="24"/>
                <w:lang w:val="es-DO"/>
              </w:rPr>
            </w:pPr>
            <w:r w:rsidRPr="005C133F">
              <w:rPr>
                <w:rFonts w:ascii="Times New Roman" w:hAnsi="Times New Roman" w:cs="Times New Roman"/>
                <w:caps w:val="0"/>
                <w:color w:val="FFFFFF" w:themeColor="background1"/>
                <w:sz w:val="24"/>
                <w:szCs w:val="24"/>
                <w:lang w:val="es-DO"/>
              </w:rPr>
              <w:t>Grupo ocupacional</w:t>
            </w:r>
          </w:p>
        </w:tc>
        <w:tc>
          <w:tcPr>
            <w:tcW w:w="1039" w:type="dxa"/>
            <w:shd w:val="clear" w:color="auto" w:fill="011C50"/>
            <w:vAlign w:val="center"/>
          </w:tcPr>
          <w:p w14:paraId="157465A6" w14:textId="77777777" w:rsidR="003C3A31" w:rsidRPr="005C133F" w:rsidRDefault="003C3A31" w:rsidP="00673872">
            <w:pPr>
              <w:ind w:left="284"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5C133F">
              <w:rPr>
                <w:rFonts w:ascii="Times New Roman" w:hAnsi="Times New Roman" w:cs="Times New Roman"/>
                <w:caps w:val="0"/>
                <w:color w:val="FFFFFF" w:themeColor="background1"/>
                <w:sz w:val="24"/>
                <w:szCs w:val="24"/>
                <w:lang w:val="es-DO"/>
              </w:rPr>
              <w:t>F</w:t>
            </w:r>
          </w:p>
        </w:tc>
        <w:tc>
          <w:tcPr>
            <w:tcW w:w="0" w:type="auto"/>
            <w:shd w:val="clear" w:color="auto" w:fill="011C50"/>
            <w:vAlign w:val="center"/>
          </w:tcPr>
          <w:p w14:paraId="2D6C3FE9" w14:textId="77777777" w:rsidR="003C3A31" w:rsidRPr="005C133F" w:rsidRDefault="003C3A31" w:rsidP="00673872">
            <w:pPr>
              <w:ind w:left="284"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5C133F">
              <w:rPr>
                <w:rFonts w:ascii="Times New Roman" w:hAnsi="Times New Roman" w:cs="Times New Roman"/>
                <w:caps w:val="0"/>
                <w:color w:val="FFFFFF" w:themeColor="background1"/>
                <w:sz w:val="24"/>
                <w:szCs w:val="24"/>
                <w:lang w:val="es-DO"/>
              </w:rPr>
              <w:t>M</w:t>
            </w:r>
          </w:p>
        </w:tc>
        <w:tc>
          <w:tcPr>
            <w:tcW w:w="0" w:type="auto"/>
            <w:shd w:val="clear" w:color="auto" w:fill="011C50"/>
            <w:vAlign w:val="center"/>
          </w:tcPr>
          <w:p w14:paraId="2CDCA6BC" w14:textId="77777777" w:rsidR="003C3A31" w:rsidRPr="005C133F" w:rsidRDefault="003C3A31" w:rsidP="00673872">
            <w:pPr>
              <w:ind w:left="284"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5C133F">
              <w:rPr>
                <w:rFonts w:ascii="Times New Roman" w:hAnsi="Times New Roman" w:cs="Times New Roman"/>
                <w:caps w:val="0"/>
                <w:color w:val="FFFFFF" w:themeColor="background1"/>
                <w:sz w:val="24"/>
                <w:szCs w:val="24"/>
                <w:lang w:val="es-DO"/>
              </w:rPr>
              <w:t>Total</w:t>
            </w:r>
          </w:p>
        </w:tc>
        <w:tc>
          <w:tcPr>
            <w:tcW w:w="0" w:type="auto"/>
            <w:shd w:val="clear" w:color="auto" w:fill="011C50"/>
            <w:vAlign w:val="center"/>
          </w:tcPr>
          <w:p w14:paraId="27F55304" w14:textId="77777777" w:rsidR="003C3A31" w:rsidRPr="005C133F" w:rsidRDefault="003C3A31" w:rsidP="00673872">
            <w:pPr>
              <w:ind w:left="284"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5C133F">
              <w:rPr>
                <w:rFonts w:ascii="Times New Roman" w:hAnsi="Times New Roman" w:cs="Times New Roman"/>
                <w:color w:val="FFFFFF" w:themeColor="background1"/>
                <w:sz w:val="24"/>
                <w:szCs w:val="24"/>
                <w:lang w:val="es-DO"/>
              </w:rPr>
              <w:t xml:space="preserve">% </w:t>
            </w:r>
            <w:r w:rsidRPr="005C133F">
              <w:rPr>
                <w:rFonts w:ascii="Times New Roman" w:hAnsi="Times New Roman" w:cs="Times New Roman"/>
                <w:caps w:val="0"/>
                <w:color w:val="FFFFFF" w:themeColor="background1"/>
                <w:sz w:val="24"/>
                <w:szCs w:val="24"/>
                <w:lang w:val="es-DO"/>
              </w:rPr>
              <w:t>F</w:t>
            </w:r>
          </w:p>
        </w:tc>
        <w:tc>
          <w:tcPr>
            <w:tcW w:w="0" w:type="auto"/>
            <w:shd w:val="clear" w:color="auto" w:fill="011C50"/>
            <w:vAlign w:val="center"/>
          </w:tcPr>
          <w:p w14:paraId="097E7655" w14:textId="77777777" w:rsidR="003C3A31" w:rsidRPr="005C133F" w:rsidRDefault="003C3A31" w:rsidP="00673872">
            <w:pPr>
              <w:ind w:left="284" w:right="28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5C133F">
              <w:rPr>
                <w:rFonts w:ascii="Times New Roman" w:hAnsi="Times New Roman" w:cs="Times New Roman"/>
                <w:color w:val="FFFFFF" w:themeColor="background1"/>
                <w:sz w:val="24"/>
                <w:szCs w:val="24"/>
                <w:lang w:val="es-DO"/>
              </w:rPr>
              <w:t xml:space="preserve">% </w:t>
            </w:r>
            <w:r w:rsidRPr="005C133F">
              <w:rPr>
                <w:rFonts w:ascii="Times New Roman" w:hAnsi="Times New Roman" w:cs="Times New Roman"/>
                <w:caps w:val="0"/>
                <w:color w:val="FFFFFF" w:themeColor="background1"/>
                <w:sz w:val="24"/>
                <w:szCs w:val="24"/>
                <w:lang w:val="es-DO"/>
              </w:rPr>
              <w:t>M</w:t>
            </w:r>
          </w:p>
        </w:tc>
      </w:tr>
      <w:tr w:rsidR="004921FF" w:rsidRPr="005C133F" w14:paraId="470986D6" w14:textId="77777777" w:rsidTr="00FB69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3" w:type="dxa"/>
          </w:tcPr>
          <w:p w14:paraId="1313853F" w14:textId="77777777" w:rsidR="003C3A31" w:rsidRPr="005C133F" w:rsidRDefault="003C3A31" w:rsidP="00673872">
            <w:pPr>
              <w:ind w:left="284" w:right="282"/>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I</w:t>
            </w:r>
          </w:p>
        </w:tc>
        <w:tc>
          <w:tcPr>
            <w:tcW w:w="1039" w:type="dxa"/>
          </w:tcPr>
          <w:p w14:paraId="6EEB75BC"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19</w:t>
            </w:r>
          </w:p>
        </w:tc>
        <w:tc>
          <w:tcPr>
            <w:tcW w:w="0" w:type="auto"/>
          </w:tcPr>
          <w:p w14:paraId="5A10A1CF"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33</w:t>
            </w:r>
          </w:p>
        </w:tc>
        <w:tc>
          <w:tcPr>
            <w:tcW w:w="0" w:type="auto"/>
          </w:tcPr>
          <w:p w14:paraId="4B1C6D6C"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52</w:t>
            </w:r>
          </w:p>
        </w:tc>
        <w:tc>
          <w:tcPr>
            <w:tcW w:w="0" w:type="auto"/>
          </w:tcPr>
          <w:p w14:paraId="1C9E9F4E"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36.54</w:t>
            </w:r>
          </w:p>
        </w:tc>
        <w:tc>
          <w:tcPr>
            <w:tcW w:w="0" w:type="auto"/>
          </w:tcPr>
          <w:p w14:paraId="0C52295D"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63.46</w:t>
            </w:r>
          </w:p>
        </w:tc>
      </w:tr>
      <w:tr w:rsidR="004921FF" w:rsidRPr="005C133F" w14:paraId="6C678290" w14:textId="77777777" w:rsidTr="00FB69FC">
        <w:trPr>
          <w:trHeight w:val="300"/>
        </w:trPr>
        <w:tc>
          <w:tcPr>
            <w:cnfStyle w:val="001000000000" w:firstRow="0" w:lastRow="0" w:firstColumn="1" w:lastColumn="0" w:oddVBand="0" w:evenVBand="0" w:oddHBand="0" w:evenHBand="0" w:firstRowFirstColumn="0" w:firstRowLastColumn="0" w:lastRowFirstColumn="0" w:lastRowLastColumn="0"/>
            <w:tcW w:w="1953" w:type="dxa"/>
          </w:tcPr>
          <w:p w14:paraId="5386A678" w14:textId="77777777" w:rsidR="003C3A31" w:rsidRPr="005C133F" w:rsidRDefault="003C3A31" w:rsidP="00673872">
            <w:pPr>
              <w:ind w:left="284" w:right="282"/>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II</w:t>
            </w:r>
          </w:p>
        </w:tc>
        <w:tc>
          <w:tcPr>
            <w:tcW w:w="1039" w:type="dxa"/>
          </w:tcPr>
          <w:p w14:paraId="6FAD248E"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29</w:t>
            </w:r>
          </w:p>
        </w:tc>
        <w:tc>
          <w:tcPr>
            <w:tcW w:w="0" w:type="auto"/>
          </w:tcPr>
          <w:p w14:paraId="6060490E"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12</w:t>
            </w:r>
          </w:p>
        </w:tc>
        <w:tc>
          <w:tcPr>
            <w:tcW w:w="0" w:type="auto"/>
          </w:tcPr>
          <w:p w14:paraId="68DF8675"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41</w:t>
            </w:r>
          </w:p>
        </w:tc>
        <w:tc>
          <w:tcPr>
            <w:tcW w:w="0" w:type="auto"/>
          </w:tcPr>
          <w:p w14:paraId="623637AE"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70.73</w:t>
            </w:r>
          </w:p>
        </w:tc>
        <w:tc>
          <w:tcPr>
            <w:tcW w:w="0" w:type="auto"/>
          </w:tcPr>
          <w:p w14:paraId="5502EDBE"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29.27</w:t>
            </w:r>
          </w:p>
        </w:tc>
      </w:tr>
      <w:tr w:rsidR="004921FF" w:rsidRPr="005C133F" w14:paraId="0A6F9209" w14:textId="77777777" w:rsidTr="00FB69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3" w:type="dxa"/>
          </w:tcPr>
          <w:p w14:paraId="5A08C7C5" w14:textId="77777777" w:rsidR="003C3A31" w:rsidRPr="005C133F" w:rsidRDefault="003C3A31" w:rsidP="00673872">
            <w:pPr>
              <w:ind w:left="284" w:right="282"/>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III</w:t>
            </w:r>
          </w:p>
        </w:tc>
        <w:tc>
          <w:tcPr>
            <w:tcW w:w="1039" w:type="dxa"/>
          </w:tcPr>
          <w:p w14:paraId="1DE4BB57"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46</w:t>
            </w:r>
          </w:p>
        </w:tc>
        <w:tc>
          <w:tcPr>
            <w:tcW w:w="0" w:type="auto"/>
          </w:tcPr>
          <w:p w14:paraId="6AF3CC39"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56</w:t>
            </w:r>
          </w:p>
        </w:tc>
        <w:tc>
          <w:tcPr>
            <w:tcW w:w="0" w:type="auto"/>
          </w:tcPr>
          <w:p w14:paraId="25EE9BD2"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102</w:t>
            </w:r>
          </w:p>
        </w:tc>
        <w:tc>
          <w:tcPr>
            <w:tcW w:w="0" w:type="auto"/>
          </w:tcPr>
          <w:p w14:paraId="4DDC9D88"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45.1</w:t>
            </w:r>
          </w:p>
        </w:tc>
        <w:tc>
          <w:tcPr>
            <w:tcW w:w="0" w:type="auto"/>
          </w:tcPr>
          <w:p w14:paraId="239446DF"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54.9</w:t>
            </w:r>
          </w:p>
        </w:tc>
      </w:tr>
      <w:tr w:rsidR="004921FF" w:rsidRPr="005C133F" w14:paraId="1E1CFA36" w14:textId="77777777" w:rsidTr="00FB69FC">
        <w:trPr>
          <w:trHeight w:val="300"/>
        </w:trPr>
        <w:tc>
          <w:tcPr>
            <w:cnfStyle w:val="001000000000" w:firstRow="0" w:lastRow="0" w:firstColumn="1" w:lastColumn="0" w:oddVBand="0" w:evenVBand="0" w:oddHBand="0" w:evenHBand="0" w:firstRowFirstColumn="0" w:firstRowLastColumn="0" w:lastRowFirstColumn="0" w:lastRowLastColumn="0"/>
            <w:tcW w:w="1953" w:type="dxa"/>
          </w:tcPr>
          <w:p w14:paraId="75421F82" w14:textId="77777777" w:rsidR="003C3A31" w:rsidRPr="005C133F" w:rsidRDefault="003C3A31" w:rsidP="00673872">
            <w:pPr>
              <w:ind w:left="284" w:right="282"/>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IV</w:t>
            </w:r>
          </w:p>
        </w:tc>
        <w:tc>
          <w:tcPr>
            <w:tcW w:w="1039" w:type="dxa"/>
          </w:tcPr>
          <w:p w14:paraId="04BFBFEE"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129</w:t>
            </w:r>
          </w:p>
        </w:tc>
        <w:tc>
          <w:tcPr>
            <w:tcW w:w="0" w:type="auto"/>
          </w:tcPr>
          <w:p w14:paraId="4B32D11F"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98</w:t>
            </w:r>
          </w:p>
        </w:tc>
        <w:tc>
          <w:tcPr>
            <w:tcW w:w="0" w:type="auto"/>
          </w:tcPr>
          <w:p w14:paraId="778D6CEC"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227</w:t>
            </w:r>
          </w:p>
        </w:tc>
        <w:tc>
          <w:tcPr>
            <w:tcW w:w="0" w:type="auto"/>
          </w:tcPr>
          <w:p w14:paraId="079891B3"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56.83</w:t>
            </w:r>
          </w:p>
        </w:tc>
        <w:tc>
          <w:tcPr>
            <w:tcW w:w="0" w:type="auto"/>
          </w:tcPr>
          <w:p w14:paraId="031A2C2A" w14:textId="77777777" w:rsidR="003C3A31" w:rsidRPr="005C133F"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43.17</w:t>
            </w:r>
          </w:p>
        </w:tc>
      </w:tr>
      <w:tr w:rsidR="004921FF" w:rsidRPr="005C133F" w14:paraId="712BAE88" w14:textId="77777777" w:rsidTr="00FB69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3" w:type="dxa"/>
          </w:tcPr>
          <w:p w14:paraId="58B7B0E0" w14:textId="77777777" w:rsidR="003C3A31" w:rsidRPr="005C133F" w:rsidRDefault="003C3A31" w:rsidP="00673872">
            <w:pPr>
              <w:ind w:left="284" w:right="282"/>
              <w:jc w:val="center"/>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V</w:t>
            </w:r>
          </w:p>
        </w:tc>
        <w:tc>
          <w:tcPr>
            <w:tcW w:w="1039" w:type="dxa"/>
          </w:tcPr>
          <w:p w14:paraId="1A096841"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43</w:t>
            </w:r>
          </w:p>
        </w:tc>
        <w:tc>
          <w:tcPr>
            <w:tcW w:w="0" w:type="auto"/>
          </w:tcPr>
          <w:p w14:paraId="75F14826"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32</w:t>
            </w:r>
          </w:p>
        </w:tc>
        <w:tc>
          <w:tcPr>
            <w:tcW w:w="0" w:type="auto"/>
          </w:tcPr>
          <w:p w14:paraId="4469BF08"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75</w:t>
            </w:r>
          </w:p>
        </w:tc>
        <w:tc>
          <w:tcPr>
            <w:tcW w:w="0" w:type="auto"/>
          </w:tcPr>
          <w:p w14:paraId="27D27F08"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57.33</w:t>
            </w:r>
          </w:p>
        </w:tc>
        <w:tc>
          <w:tcPr>
            <w:tcW w:w="0" w:type="auto"/>
          </w:tcPr>
          <w:p w14:paraId="516029AD" w14:textId="77777777" w:rsidR="003C3A31" w:rsidRPr="005C133F" w:rsidRDefault="003C3A31" w:rsidP="00673872">
            <w:pPr>
              <w:ind w:left="284" w:right="28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5C133F">
              <w:rPr>
                <w:rFonts w:ascii="Times New Roman" w:hAnsi="Times New Roman" w:cs="Times New Roman"/>
                <w:color w:val="767171"/>
                <w:sz w:val="24"/>
                <w:szCs w:val="24"/>
                <w:lang w:val="es-DO"/>
              </w:rPr>
              <w:t>42.67</w:t>
            </w:r>
          </w:p>
        </w:tc>
      </w:tr>
      <w:tr w:rsidR="00673872" w:rsidRPr="00673872" w14:paraId="48D43DEC" w14:textId="77777777" w:rsidTr="00FB69FC">
        <w:trPr>
          <w:trHeight w:val="300"/>
        </w:trPr>
        <w:tc>
          <w:tcPr>
            <w:cnfStyle w:val="001000000000" w:firstRow="0" w:lastRow="0" w:firstColumn="1" w:lastColumn="0" w:oddVBand="0" w:evenVBand="0" w:oddHBand="0" w:evenHBand="0" w:firstRowFirstColumn="0" w:firstRowLastColumn="0" w:lastRowFirstColumn="0" w:lastRowLastColumn="0"/>
            <w:tcW w:w="1953" w:type="dxa"/>
            <w:shd w:val="clear" w:color="auto" w:fill="011C50"/>
          </w:tcPr>
          <w:p w14:paraId="33D38BB2" w14:textId="5B7D9EDA" w:rsidR="003C3A31" w:rsidRPr="00673872" w:rsidRDefault="003C3A31" w:rsidP="00673872">
            <w:pPr>
              <w:ind w:left="284" w:right="282"/>
              <w:jc w:val="center"/>
              <w:rPr>
                <w:rFonts w:ascii="Times New Roman" w:hAnsi="Times New Roman" w:cs="Times New Roman"/>
                <w:color w:val="FFFFFF" w:themeColor="background1"/>
                <w:sz w:val="24"/>
                <w:szCs w:val="24"/>
                <w:lang w:val="es-DO"/>
              </w:rPr>
            </w:pPr>
            <w:r w:rsidRPr="00673872">
              <w:rPr>
                <w:rFonts w:ascii="Times New Roman" w:hAnsi="Times New Roman" w:cs="Times New Roman"/>
                <w:color w:val="FFFFFF" w:themeColor="background1"/>
                <w:sz w:val="24"/>
                <w:szCs w:val="24"/>
                <w:lang w:val="es-DO"/>
              </w:rPr>
              <w:t>t</w:t>
            </w:r>
            <w:r w:rsidR="00FB34FE" w:rsidRPr="00673872">
              <w:rPr>
                <w:rFonts w:ascii="Times New Roman" w:hAnsi="Times New Roman" w:cs="Times New Roman"/>
                <w:color w:val="FFFFFF" w:themeColor="background1"/>
                <w:sz w:val="24"/>
                <w:szCs w:val="24"/>
                <w:lang w:val="es-DO"/>
              </w:rPr>
              <w:t>OTALES</w:t>
            </w:r>
          </w:p>
        </w:tc>
        <w:tc>
          <w:tcPr>
            <w:tcW w:w="1039" w:type="dxa"/>
            <w:shd w:val="clear" w:color="auto" w:fill="011C50"/>
          </w:tcPr>
          <w:p w14:paraId="55A301E8" w14:textId="77777777" w:rsidR="003C3A31" w:rsidRPr="00673872"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73872">
              <w:rPr>
                <w:rFonts w:ascii="Times New Roman" w:hAnsi="Times New Roman" w:cs="Times New Roman"/>
                <w:b/>
                <w:color w:val="FFFFFF" w:themeColor="background1"/>
                <w:sz w:val="24"/>
                <w:szCs w:val="24"/>
                <w:lang w:val="es-DO"/>
              </w:rPr>
              <w:t>266</w:t>
            </w:r>
          </w:p>
        </w:tc>
        <w:tc>
          <w:tcPr>
            <w:tcW w:w="0" w:type="auto"/>
            <w:shd w:val="clear" w:color="auto" w:fill="011C50"/>
          </w:tcPr>
          <w:p w14:paraId="698CFDBE" w14:textId="77777777" w:rsidR="003C3A31" w:rsidRPr="00673872"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73872">
              <w:rPr>
                <w:rFonts w:ascii="Times New Roman" w:hAnsi="Times New Roman" w:cs="Times New Roman"/>
                <w:b/>
                <w:color w:val="FFFFFF" w:themeColor="background1"/>
                <w:sz w:val="24"/>
                <w:szCs w:val="24"/>
                <w:lang w:val="es-DO"/>
              </w:rPr>
              <w:t>231</w:t>
            </w:r>
          </w:p>
        </w:tc>
        <w:tc>
          <w:tcPr>
            <w:tcW w:w="0" w:type="auto"/>
            <w:shd w:val="clear" w:color="auto" w:fill="011C50"/>
          </w:tcPr>
          <w:p w14:paraId="60EF4168" w14:textId="77777777" w:rsidR="003C3A31" w:rsidRPr="00673872"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73872">
              <w:rPr>
                <w:rFonts w:ascii="Times New Roman" w:hAnsi="Times New Roman" w:cs="Times New Roman"/>
                <w:b/>
                <w:color w:val="FFFFFF" w:themeColor="background1"/>
                <w:sz w:val="24"/>
                <w:szCs w:val="24"/>
                <w:lang w:val="es-DO"/>
              </w:rPr>
              <w:t>497</w:t>
            </w:r>
          </w:p>
        </w:tc>
        <w:tc>
          <w:tcPr>
            <w:tcW w:w="0" w:type="auto"/>
            <w:shd w:val="clear" w:color="auto" w:fill="011C50"/>
          </w:tcPr>
          <w:p w14:paraId="55AD1563" w14:textId="77777777" w:rsidR="003C3A31" w:rsidRPr="00673872"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73872">
              <w:rPr>
                <w:rFonts w:ascii="Times New Roman" w:hAnsi="Times New Roman" w:cs="Times New Roman"/>
                <w:b/>
                <w:color w:val="FFFFFF" w:themeColor="background1"/>
                <w:sz w:val="24"/>
                <w:szCs w:val="24"/>
                <w:lang w:val="es-DO"/>
              </w:rPr>
              <w:t>53.52%</w:t>
            </w:r>
          </w:p>
        </w:tc>
        <w:tc>
          <w:tcPr>
            <w:tcW w:w="0" w:type="auto"/>
            <w:shd w:val="clear" w:color="auto" w:fill="011C50"/>
          </w:tcPr>
          <w:p w14:paraId="6C1A524D" w14:textId="77777777" w:rsidR="003C3A31" w:rsidRPr="00673872" w:rsidRDefault="003C3A31" w:rsidP="00673872">
            <w:pPr>
              <w:ind w:left="284" w:right="28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73872">
              <w:rPr>
                <w:rFonts w:ascii="Times New Roman" w:hAnsi="Times New Roman" w:cs="Times New Roman"/>
                <w:b/>
                <w:color w:val="FFFFFF" w:themeColor="background1"/>
                <w:sz w:val="24"/>
                <w:szCs w:val="24"/>
                <w:lang w:val="es-DO"/>
              </w:rPr>
              <w:t>46.48%</w:t>
            </w:r>
          </w:p>
        </w:tc>
      </w:tr>
    </w:tbl>
    <w:p w14:paraId="6131A084" w14:textId="25EA96AF" w:rsidR="00C038A5" w:rsidRPr="00885E9D" w:rsidRDefault="00C038A5" w:rsidP="00673872">
      <w:pPr>
        <w:pStyle w:val="Textoindependiente"/>
        <w:ind w:right="282"/>
        <w:jc w:val="both"/>
        <w:rPr>
          <w:b w:val="0"/>
          <w:color w:val="FFFFFF" w:themeColor="background1"/>
          <w:spacing w:val="17"/>
          <w:sz w:val="18"/>
          <w:szCs w:val="18"/>
          <w:lang w:val="es-DO"/>
        </w:rPr>
      </w:pPr>
    </w:p>
    <w:p w14:paraId="075A6C8C" w14:textId="354FE3AF" w:rsidR="006E0547" w:rsidRPr="00885E9D" w:rsidRDefault="00AD46B3" w:rsidP="005C133F">
      <w:pPr>
        <w:spacing w:after="0" w:line="360" w:lineRule="auto"/>
        <w:jc w:val="both"/>
        <w:rPr>
          <w:sz w:val="18"/>
          <w:szCs w:val="18"/>
          <w:lang w:val="es-DO"/>
        </w:rPr>
      </w:pPr>
      <w:r w:rsidRPr="00885E9D">
        <w:rPr>
          <w:noProof/>
          <w:sz w:val="18"/>
          <w:szCs w:val="18"/>
          <w:lang w:val="es-DO"/>
        </w:rPr>
        <w:t>Fuente: Sistema de Nómina de la SISALRIL</w:t>
      </w:r>
    </w:p>
    <w:p w14:paraId="28956E09" w14:textId="77777777" w:rsidR="00AD46B3" w:rsidRPr="005C133F" w:rsidRDefault="00AD46B3" w:rsidP="005C133F">
      <w:pPr>
        <w:spacing w:after="0" w:line="360" w:lineRule="auto"/>
        <w:jc w:val="both"/>
        <w:rPr>
          <w:noProof/>
          <w:lang w:val="es-DO"/>
        </w:rPr>
      </w:pPr>
    </w:p>
    <w:p w14:paraId="53280579" w14:textId="44A28589" w:rsidR="00AD46B3" w:rsidRPr="005C133F" w:rsidRDefault="00AD46B3" w:rsidP="009B4ED1">
      <w:pPr>
        <w:pStyle w:val="Descripcin"/>
        <w:keepNext/>
        <w:spacing w:after="0" w:line="360" w:lineRule="auto"/>
        <w:jc w:val="center"/>
        <w:rPr>
          <w:b/>
          <w:bCs/>
          <w:i w:val="0"/>
          <w:iCs w:val="0"/>
          <w:noProof/>
          <w:color w:val="767171"/>
          <w:sz w:val="24"/>
          <w:szCs w:val="24"/>
          <w:lang w:val="es-DO"/>
        </w:rPr>
      </w:pPr>
      <w:bookmarkStart w:id="125" w:name="_Toc218784185"/>
      <w:r w:rsidRPr="005C133F">
        <w:rPr>
          <w:b/>
          <w:bCs/>
          <w:i w:val="0"/>
          <w:iCs w:val="0"/>
          <w:noProof/>
          <w:color w:val="767171"/>
          <w:sz w:val="24"/>
          <w:szCs w:val="24"/>
          <w:lang w:val="es-DO"/>
        </w:rPr>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53</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Índice de rotación del personal 2025</w:t>
      </w:r>
      <w:bookmarkEnd w:id="125"/>
    </w:p>
    <w:tbl>
      <w:tblPr>
        <w:tblW w:w="0" w:type="auto"/>
        <w:jc w:val="center"/>
        <w:tblCellMar>
          <w:left w:w="70" w:type="dxa"/>
          <w:right w:w="70" w:type="dxa"/>
        </w:tblCellMar>
        <w:tblLook w:val="04A0" w:firstRow="1" w:lastRow="0" w:firstColumn="1" w:lastColumn="0" w:noHBand="0" w:noVBand="1"/>
      </w:tblPr>
      <w:tblGrid>
        <w:gridCol w:w="1662"/>
        <w:gridCol w:w="799"/>
        <w:gridCol w:w="692"/>
        <w:gridCol w:w="1090"/>
        <w:gridCol w:w="1019"/>
        <w:gridCol w:w="1452"/>
        <w:gridCol w:w="1196"/>
      </w:tblGrid>
      <w:tr w:rsidR="00DB19D4" w:rsidRPr="005C133F" w14:paraId="389ABC48" w14:textId="77777777" w:rsidTr="009B4ED1">
        <w:trPr>
          <w:trHeight w:val="612"/>
          <w:tblHeader/>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7011A291" w14:textId="77777777" w:rsidR="006E0547" w:rsidRPr="005C133F" w:rsidRDefault="006E0547"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Mes</w:t>
            </w:r>
          </w:p>
        </w:tc>
        <w:tc>
          <w:tcPr>
            <w:tcW w:w="0" w:type="auto"/>
            <w:gridSpan w:val="4"/>
            <w:tcBorders>
              <w:top w:val="single" w:sz="4" w:space="0" w:color="808080"/>
              <w:left w:val="nil"/>
              <w:bottom w:val="single" w:sz="4" w:space="0" w:color="808080"/>
              <w:right w:val="single" w:sz="4" w:space="0" w:color="808080"/>
            </w:tcBorders>
            <w:shd w:val="clear" w:color="auto" w:fill="011C50"/>
            <w:vAlign w:val="center"/>
            <w:hideMark/>
          </w:tcPr>
          <w:p w14:paraId="6F968B6F" w14:textId="77777777" w:rsidR="006E0547" w:rsidRPr="005C133F" w:rsidRDefault="006E0547" w:rsidP="00673872">
            <w:pPr>
              <w:spacing w:after="0" w:line="240" w:lineRule="auto"/>
              <w:jc w:val="center"/>
              <w:rPr>
                <w:rFonts w:eastAsia="Times New Roman"/>
                <w:b/>
                <w:bCs/>
                <w:color w:val="FFFFFF" w:themeColor="background1"/>
                <w:spacing w:val="0"/>
                <w:lang w:val="es-DO" w:eastAsia="es-DO"/>
              </w:rPr>
            </w:pPr>
            <w:bookmarkStart w:id="126" w:name="RANGE!E66"/>
            <w:r w:rsidRPr="005C133F">
              <w:rPr>
                <w:rFonts w:eastAsia="Times New Roman"/>
                <w:b/>
                <w:bCs/>
                <w:color w:val="FFFFFF" w:themeColor="background1"/>
                <w:spacing w:val="17"/>
                <w:lang w:val="es-DO" w:eastAsia="es-DO"/>
              </w:rPr>
              <w:t>Cantidad de empleados</w:t>
            </w:r>
            <w:bookmarkEnd w:id="126"/>
          </w:p>
        </w:tc>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7D701DC7" w14:textId="77777777" w:rsidR="006E0547" w:rsidRPr="005C133F" w:rsidRDefault="006E0547" w:rsidP="00673872">
            <w:pPr>
              <w:spacing w:after="0" w:line="240" w:lineRule="auto"/>
              <w:jc w:val="center"/>
              <w:rPr>
                <w:rFonts w:eastAsia="Times New Roman"/>
                <w:b/>
                <w:bCs/>
                <w:color w:val="FFFFFF" w:themeColor="background1"/>
                <w:spacing w:val="0"/>
                <w:lang w:val="es-DO" w:eastAsia="es-DO"/>
              </w:rPr>
            </w:pPr>
            <w:r w:rsidRPr="005C133F">
              <w:rPr>
                <w:rFonts w:eastAsia="Arial"/>
                <w:b/>
                <w:bCs/>
                <w:color w:val="FFFFFF" w:themeColor="background1"/>
                <w:spacing w:val="17"/>
                <w:lang w:val="es-DO" w:eastAsia="es-DO"/>
              </w:rPr>
              <w:t>Promedio Efectivo (PE)</w:t>
            </w:r>
          </w:p>
        </w:tc>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51335041" w14:textId="77777777" w:rsidR="006E0547" w:rsidRPr="005C133F" w:rsidRDefault="006E0547"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Rotación</w:t>
            </w:r>
          </w:p>
        </w:tc>
      </w:tr>
      <w:tr w:rsidR="00DB19D4" w:rsidRPr="005C133F" w14:paraId="3CCD8053" w14:textId="77777777" w:rsidTr="009B4ED1">
        <w:trPr>
          <w:trHeight w:val="624"/>
          <w:tblHeader/>
          <w:jc w:val="center"/>
        </w:trPr>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2335FADD" w14:textId="77777777" w:rsidR="006E0547" w:rsidRPr="005C133F" w:rsidRDefault="006E0547" w:rsidP="00673872">
            <w:pPr>
              <w:spacing w:after="0" w:line="240" w:lineRule="auto"/>
              <w:rPr>
                <w:rFonts w:eastAsia="Times New Roman"/>
                <w:color w:val="FFFFFF" w:themeColor="background1"/>
                <w:spacing w:val="0"/>
                <w:lang w:val="es-DO" w:eastAsia="es-DO"/>
              </w:rPr>
            </w:pPr>
          </w:p>
        </w:tc>
        <w:tc>
          <w:tcPr>
            <w:tcW w:w="0" w:type="auto"/>
            <w:tcBorders>
              <w:top w:val="nil"/>
              <w:left w:val="nil"/>
              <w:bottom w:val="single" w:sz="4" w:space="0" w:color="808080"/>
              <w:right w:val="single" w:sz="4" w:space="0" w:color="808080"/>
            </w:tcBorders>
            <w:shd w:val="clear" w:color="auto" w:fill="011C50"/>
            <w:vAlign w:val="center"/>
            <w:hideMark/>
          </w:tcPr>
          <w:p w14:paraId="68E5A88E" w14:textId="77777777" w:rsidR="006E0547" w:rsidRPr="005C133F" w:rsidRDefault="006E0547" w:rsidP="00673872">
            <w:pPr>
              <w:spacing w:after="0" w:line="240" w:lineRule="auto"/>
              <w:jc w:val="center"/>
              <w:rPr>
                <w:rFonts w:eastAsia="Times New Roman"/>
                <w:color w:val="FFFFFF" w:themeColor="background1"/>
                <w:spacing w:val="0"/>
                <w:lang w:val="es-DO" w:eastAsia="es-DO"/>
              </w:rPr>
            </w:pPr>
            <w:r w:rsidRPr="005C133F">
              <w:rPr>
                <w:rFonts w:eastAsia="Times New Roman"/>
                <w:color w:val="FFFFFF" w:themeColor="background1"/>
                <w:spacing w:val="0"/>
                <w:lang w:val="es-DO" w:eastAsia="es-DO"/>
              </w:rPr>
              <w:t>Al inicio del año</w:t>
            </w:r>
          </w:p>
        </w:tc>
        <w:tc>
          <w:tcPr>
            <w:tcW w:w="0" w:type="auto"/>
            <w:tcBorders>
              <w:top w:val="nil"/>
              <w:left w:val="nil"/>
              <w:bottom w:val="single" w:sz="4" w:space="0" w:color="808080"/>
              <w:right w:val="single" w:sz="4" w:space="0" w:color="808080"/>
            </w:tcBorders>
            <w:shd w:val="clear" w:color="auto" w:fill="011C50"/>
            <w:vAlign w:val="center"/>
            <w:hideMark/>
          </w:tcPr>
          <w:p w14:paraId="4D80393C" w14:textId="77777777" w:rsidR="006E0547" w:rsidRPr="005C133F" w:rsidRDefault="006E0547" w:rsidP="00673872">
            <w:pPr>
              <w:spacing w:after="0" w:line="240" w:lineRule="auto"/>
              <w:jc w:val="center"/>
              <w:rPr>
                <w:rFonts w:eastAsia="Times New Roman"/>
                <w:color w:val="FFFFFF" w:themeColor="background1"/>
                <w:spacing w:val="0"/>
                <w:lang w:val="es-DO" w:eastAsia="es-DO"/>
              </w:rPr>
            </w:pPr>
            <w:r w:rsidRPr="005C133F">
              <w:rPr>
                <w:rFonts w:eastAsia="Times New Roman"/>
                <w:color w:val="FFFFFF" w:themeColor="background1"/>
                <w:spacing w:val="0"/>
                <w:lang w:val="es-DO" w:eastAsia="es-DO"/>
              </w:rPr>
              <w:t>Al final del año</w:t>
            </w:r>
          </w:p>
        </w:tc>
        <w:tc>
          <w:tcPr>
            <w:tcW w:w="0" w:type="auto"/>
            <w:tcBorders>
              <w:top w:val="nil"/>
              <w:left w:val="nil"/>
              <w:bottom w:val="single" w:sz="4" w:space="0" w:color="808080"/>
              <w:right w:val="single" w:sz="4" w:space="0" w:color="808080"/>
            </w:tcBorders>
            <w:shd w:val="clear" w:color="auto" w:fill="011C50"/>
            <w:vAlign w:val="center"/>
            <w:hideMark/>
          </w:tcPr>
          <w:p w14:paraId="4B2090FB" w14:textId="77777777" w:rsidR="006E0547" w:rsidRPr="005C133F" w:rsidRDefault="006E0547" w:rsidP="00673872">
            <w:pPr>
              <w:spacing w:after="0" w:line="240" w:lineRule="auto"/>
              <w:jc w:val="center"/>
              <w:rPr>
                <w:rFonts w:eastAsia="Times New Roman"/>
                <w:color w:val="FFFFFF" w:themeColor="background1"/>
                <w:spacing w:val="0"/>
                <w:lang w:val="es-DO" w:eastAsia="es-DO"/>
              </w:rPr>
            </w:pPr>
            <w:r w:rsidRPr="005C133F">
              <w:rPr>
                <w:rFonts w:eastAsia="Times New Roman"/>
                <w:color w:val="FFFFFF" w:themeColor="background1"/>
                <w:spacing w:val="17"/>
                <w:lang w:val="es-DO" w:eastAsia="es-DO"/>
              </w:rPr>
              <w:t xml:space="preserve">Ingresos </w:t>
            </w:r>
          </w:p>
        </w:tc>
        <w:tc>
          <w:tcPr>
            <w:tcW w:w="0" w:type="auto"/>
            <w:tcBorders>
              <w:top w:val="nil"/>
              <w:left w:val="nil"/>
              <w:bottom w:val="single" w:sz="4" w:space="0" w:color="808080"/>
              <w:right w:val="single" w:sz="4" w:space="0" w:color="808080"/>
            </w:tcBorders>
            <w:shd w:val="clear" w:color="auto" w:fill="011C50"/>
            <w:vAlign w:val="center"/>
            <w:hideMark/>
          </w:tcPr>
          <w:p w14:paraId="3B66D363" w14:textId="77777777" w:rsidR="006E0547" w:rsidRPr="005C133F" w:rsidRDefault="006E0547" w:rsidP="00673872">
            <w:pPr>
              <w:spacing w:after="0" w:line="240" w:lineRule="auto"/>
              <w:jc w:val="center"/>
              <w:rPr>
                <w:rFonts w:eastAsia="Times New Roman"/>
                <w:color w:val="FFFFFF" w:themeColor="background1"/>
                <w:spacing w:val="0"/>
                <w:lang w:val="es-DO" w:eastAsia="es-DO"/>
              </w:rPr>
            </w:pPr>
            <w:r w:rsidRPr="005C133F">
              <w:rPr>
                <w:rFonts w:eastAsia="Times New Roman"/>
                <w:color w:val="FFFFFF" w:themeColor="background1"/>
                <w:spacing w:val="17"/>
                <w:lang w:val="es-DO" w:eastAsia="es-DO"/>
              </w:rPr>
              <w:t>Egresos</w:t>
            </w:r>
          </w:p>
        </w:tc>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72C84D83" w14:textId="77777777" w:rsidR="006E0547" w:rsidRPr="005C133F" w:rsidRDefault="006E0547" w:rsidP="00673872">
            <w:pPr>
              <w:spacing w:after="0" w:line="240" w:lineRule="auto"/>
              <w:rPr>
                <w:rFonts w:eastAsia="Times New Roman"/>
                <w:color w:val="FFFFFF" w:themeColor="background1"/>
                <w:spacing w:val="0"/>
                <w:lang w:val="es-DO" w:eastAsia="es-DO"/>
              </w:rPr>
            </w:pPr>
          </w:p>
        </w:tc>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09527E8C" w14:textId="77777777" w:rsidR="006E0547" w:rsidRPr="005C133F" w:rsidRDefault="006E0547" w:rsidP="00673872">
            <w:pPr>
              <w:spacing w:after="0" w:line="240" w:lineRule="auto"/>
              <w:rPr>
                <w:rFonts w:eastAsia="Times New Roman"/>
                <w:color w:val="FFFFFF" w:themeColor="background1"/>
                <w:spacing w:val="0"/>
                <w:lang w:val="es-DO" w:eastAsia="es-DO"/>
              </w:rPr>
            </w:pPr>
          </w:p>
        </w:tc>
      </w:tr>
      <w:tr w:rsidR="004921FF" w:rsidRPr="005C133F" w14:paraId="1B5F1E2A"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32C0C439"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Enero</w:t>
            </w:r>
          </w:p>
        </w:tc>
        <w:tc>
          <w:tcPr>
            <w:tcW w:w="0" w:type="auto"/>
            <w:tcBorders>
              <w:top w:val="nil"/>
              <w:left w:val="nil"/>
              <w:bottom w:val="single" w:sz="4" w:space="0" w:color="808080"/>
              <w:right w:val="single" w:sz="4" w:space="0" w:color="808080"/>
            </w:tcBorders>
            <w:shd w:val="clear" w:color="000000" w:fill="F2F2F2"/>
            <w:vAlign w:val="center"/>
            <w:hideMark/>
          </w:tcPr>
          <w:p w14:paraId="283490E8"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420</w:t>
            </w:r>
          </w:p>
        </w:tc>
        <w:tc>
          <w:tcPr>
            <w:tcW w:w="0" w:type="auto"/>
            <w:tcBorders>
              <w:top w:val="nil"/>
              <w:left w:val="nil"/>
              <w:bottom w:val="single" w:sz="4" w:space="0" w:color="808080"/>
              <w:right w:val="single" w:sz="4" w:space="0" w:color="808080"/>
            </w:tcBorders>
            <w:shd w:val="clear" w:color="000000" w:fill="F2F2F2"/>
            <w:vAlign w:val="center"/>
            <w:hideMark/>
          </w:tcPr>
          <w:p w14:paraId="03A7D1BA"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424</w:t>
            </w:r>
          </w:p>
        </w:tc>
        <w:tc>
          <w:tcPr>
            <w:tcW w:w="0" w:type="auto"/>
            <w:tcBorders>
              <w:top w:val="nil"/>
              <w:left w:val="nil"/>
              <w:bottom w:val="single" w:sz="4" w:space="0" w:color="808080"/>
              <w:right w:val="single" w:sz="4" w:space="0" w:color="808080"/>
            </w:tcBorders>
            <w:shd w:val="clear" w:color="000000" w:fill="F2F2F2"/>
            <w:vAlign w:val="center"/>
            <w:hideMark/>
          </w:tcPr>
          <w:p w14:paraId="58257DF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11</w:t>
            </w:r>
          </w:p>
        </w:tc>
        <w:tc>
          <w:tcPr>
            <w:tcW w:w="0" w:type="auto"/>
            <w:tcBorders>
              <w:top w:val="nil"/>
              <w:left w:val="nil"/>
              <w:bottom w:val="single" w:sz="4" w:space="0" w:color="808080"/>
              <w:right w:val="single" w:sz="4" w:space="0" w:color="808080"/>
            </w:tcBorders>
            <w:shd w:val="clear" w:color="000000" w:fill="F2F2F2"/>
            <w:vAlign w:val="center"/>
            <w:hideMark/>
          </w:tcPr>
          <w:p w14:paraId="315DA1A7"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shd w:val="clear" w:color="000000" w:fill="F2F2F2"/>
            <w:vAlign w:val="center"/>
            <w:hideMark/>
          </w:tcPr>
          <w:p w14:paraId="700F5D5B"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424</w:t>
            </w:r>
          </w:p>
        </w:tc>
        <w:tc>
          <w:tcPr>
            <w:tcW w:w="0" w:type="auto"/>
            <w:tcBorders>
              <w:top w:val="nil"/>
              <w:left w:val="nil"/>
              <w:bottom w:val="single" w:sz="4" w:space="0" w:color="808080"/>
              <w:right w:val="single" w:sz="4" w:space="0" w:color="808080"/>
            </w:tcBorders>
            <w:shd w:val="clear" w:color="000000" w:fill="F2F2F2"/>
            <w:vAlign w:val="center"/>
            <w:hideMark/>
          </w:tcPr>
          <w:p w14:paraId="187D562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2,12</w:t>
            </w:r>
          </w:p>
        </w:tc>
      </w:tr>
      <w:tr w:rsidR="004921FF" w:rsidRPr="005C133F" w14:paraId="0D7C5926"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2B14FEBC"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Febrero</w:t>
            </w:r>
          </w:p>
        </w:tc>
        <w:tc>
          <w:tcPr>
            <w:tcW w:w="0" w:type="auto"/>
            <w:tcBorders>
              <w:top w:val="nil"/>
              <w:left w:val="nil"/>
              <w:bottom w:val="single" w:sz="4" w:space="0" w:color="808080"/>
              <w:right w:val="single" w:sz="4" w:space="0" w:color="808080"/>
            </w:tcBorders>
            <w:shd w:val="clear" w:color="000000" w:fill="F2F2F2"/>
            <w:vAlign w:val="center"/>
            <w:hideMark/>
          </w:tcPr>
          <w:p w14:paraId="5F7D4517"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424</w:t>
            </w:r>
          </w:p>
        </w:tc>
        <w:tc>
          <w:tcPr>
            <w:tcW w:w="0" w:type="auto"/>
            <w:tcBorders>
              <w:top w:val="nil"/>
              <w:left w:val="nil"/>
              <w:bottom w:val="single" w:sz="4" w:space="0" w:color="808080"/>
              <w:right w:val="single" w:sz="4" w:space="0" w:color="808080"/>
            </w:tcBorders>
            <w:vAlign w:val="center"/>
            <w:hideMark/>
          </w:tcPr>
          <w:p w14:paraId="63D0788B"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436</w:t>
            </w:r>
          </w:p>
        </w:tc>
        <w:tc>
          <w:tcPr>
            <w:tcW w:w="0" w:type="auto"/>
            <w:tcBorders>
              <w:top w:val="nil"/>
              <w:left w:val="nil"/>
              <w:bottom w:val="single" w:sz="4" w:space="0" w:color="808080"/>
              <w:right w:val="single" w:sz="4" w:space="0" w:color="808080"/>
            </w:tcBorders>
            <w:shd w:val="clear" w:color="000000" w:fill="F2F2F2"/>
            <w:vAlign w:val="center"/>
            <w:hideMark/>
          </w:tcPr>
          <w:p w14:paraId="4FAD49A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nil"/>
              <w:left w:val="nil"/>
              <w:bottom w:val="single" w:sz="4" w:space="0" w:color="808080"/>
              <w:right w:val="single" w:sz="4" w:space="0" w:color="808080"/>
            </w:tcBorders>
            <w:vAlign w:val="center"/>
            <w:hideMark/>
          </w:tcPr>
          <w:p w14:paraId="45EE9D3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6E12779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436</w:t>
            </w:r>
          </w:p>
        </w:tc>
        <w:tc>
          <w:tcPr>
            <w:tcW w:w="0" w:type="auto"/>
            <w:tcBorders>
              <w:top w:val="nil"/>
              <w:left w:val="nil"/>
              <w:bottom w:val="single" w:sz="4" w:space="0" w:color="808080"/>
              <w:right w:val="single" w:sz="4" w:space="0" w:color="808080"/>
            </w:tcBorders>
            <w:vAlign w:val="center"/>
            <w:hideMark/>
          </w:tcPr>
          <w:p w14:paraId="55829433"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2,75</w:t>
            </w:r>
          </w:p>
        </w:tc>
      </w:tr>
      <w:tr w:rsidR="004921FF" w:rsidRPr="005C133F" w14:paraId="7338AE4D"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7674BA81"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Marzo</w:t>
            </w:r>
          </w:p>
        </w:tc>
        <w:tc>
          <w:tcPr>
            <w:tcW w:w="0" w:type="auto"/>
            <w:tcBorders>
              <w:top w:val="nil"/>
              <w:left w:val="nil"/>
              <w:bottom w:val="single" w:sz="4" w:space="0" w:color="808080"/>
              <w:right w:val="single" w:sz="4" w:space="0" w:color="808080"/>
            </w:tcBorders>
            <w:shd w:val="clear" w:color="000000" w:fill="F2F2F2"/>
            <w:vAlign w:val="center"/>
            <w:hideMark/>
          </w:tcPr>
          <w:p w14:paraId="7723CD70"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436</w:t>
            </w:r>
          </w:p>
        </w:tc>
        <w:tc>
          <w:tcPr>
            <w:tcW w:w="0" w:type="auto"/>
            <w:tcBorders>
              <w:top w:val="nil"/>
              <w:left w:val="nil"/>
              <w:bottom w:val="single" w:sz="4" w:space="0" w:color="808080"/>
              <w:right w:val="single" w:sz="4" w:space="0" w:color="808080"/>
            </w:tcBorders>
            <w:shd w:val="clear" w:color="000000" w:fill="F2F2F2"/>
            <w:vAlign w:val="center"/>
            <w:hideMark/>
          </w:tcPr>
          <w:p w14:paraId="338D3527"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446</w:t>
            </w:r>
          </w:p>
        </w:tc>
        <w:tc>
          <w:tcPr>
            <w:tcW w:w="0" w:type="auto"/>
            <w:tcBorders>
              <w:top w:val="nil"/>
              <w:left w:val="nil"/>
              <w:bottom w:val="single" w:sz="4" w:space="0" w:color="808080"/>
              <w:right w:val="single" w:sz="4" w:space="0" w:color="808080"/>
            </w:tcBorders>
            <w:shd w:val="clear" w:color="000000" w:fill="F2F2F2"/>
            <w:vAlign w:val="center"/>
            <w:hideMark/>
          </w:tcPr>
          <w:p w14:paraId="4B3CEF8F"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17</w:t>
            </w:r>
          </w:p>
        </w:tc>
        <w:tc>
          <w:tcPr>
            <w:tcW w:w="0" w:type="auto"/>
            <w:tcBorders>
              <w:top w:val="nil"/>
              <w:left w:val="nil"/>
              <w:bottom w:val="single" w:sz="4" w:space="0" w:color="808080"/>
              <w:right w:val="single" w:sz="4" w:space="0" w:color="808080"/>
            </w:tcBorders>
            <w:shd w:val="clear" w:color="000000" w:fill="F2F2F2"/>
            <w:vAlign w:val="center"/>
            <w:hideMark/>
          </w:tcPr>
          <w:p w14:paraId="7BBF2B58"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nil"/>
              <w:left w:val="nil"/>
              <w:bottom w:val="single" w:sz="4" w:space="0" w:color="808080"/>
              <w:right w:val="single" w:sz="4" w:space="0" w:color="808080"/>
            </w:tcBorders>
            <w:shd w:val="clear" w:color="000000" w:fill="F2F2F2"/>
            <w:vAlign w:val="center"/>
            <w:hideMark/>
          </w:tcPr>
          <w:p w14:paraId="6FEECC7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446</w:t>
            </w:r>
          </w:p>
        </w:tc>
        <w:tc>
          <w:tcPr>
            <w:tcW w:w="0" w:type="auto"/>
            <w:tcBorders>
              <w:top w:val="nil"/>
              <w:left w:val="nil"/>
              <w:bottom w:val="single" w:sz="4" w:space="0" w:color="808080"/>
              <w:right w:val="single" w:sz="4" w:space="0" w:color="808080"/>
            </w:tcBorders>
            <w:shd w:val="clear" w:color="000000" w:fill="F2F2F2"/>
            <w:vAlign w:val="center"/>
            <w:hideMark/>
          </w:tcPr>
          <w:p w14:paraId="37272163"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2,69</w:t>
            </w:r>
          </w:p>
        </w:tc>
      </w:tr>
      <w:tr w:rsidR="004921FF" w:rsidRPr="005C133F" w14:paraId="1986B63F"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6083A9EB"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Abril</w:t>
            </w:r>
          </w:p>
        </w:tc>
        <w:tc>
          <w:tcPr>
            <w:tcW w:w="0" w:type="auto"/>
            <w:tcBorders>
              <w:top w:val="nil"/>
              <w:left w:val="nil"/>
              <w:bottom w:val="single" w:sz="4" w:space="0" w:color="808080"/>
              <w:right w:val="single" w:sz="4" w:space="0" w:color="808080"/>
            </w:tcBorders>
            <w:shd w:val="clear" w:color="000000" w:fill="F2F2F2"/>
            <w:vAlign w:val="center"/>
            <w:hideMark/>
          </w:tcPr>
          <w:p w14:paraId="361A9694"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446</w:t>
            </w:r>
          </w:p>
        </w:tc>
        <w:tc>
          <w:tcPr>
            <w:tcW w:w="0" w:type="auto"/>
            <w:tcBorders>
              <w:top w:val="nil"/>
              <w:left w:val="nil"/>
              <w:bottom w:val="single" w:sz="4" w:space="0" w:color="808080"/>
              <w:right w:val="single" w:sz="4" w:space="0" w:color="808080"/>
            </w:tcBorders>
            <w:vAlign w:val="center"/>
            <w:hideMark/>
          </w:tcPr>
          <w:p w14:paraId="350F8F6C"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451</w:t>
            </w:r>
          </w:p>
        </w:tc>
        <w:tc>
          <w:tcPr>
            <w:tcW w:w="0" w:type="auto"/>
            <w:tcBorders>
              <w:top w:val="nil"/>
              <w:left w:val="nil"/>
              <w:bottom w:val="single" w:sz="4" w:space="0" w:color="808080"/>
              <w:right w:val="single" w:sz="4" w:space="0" w:color="808080"/>
            </w:tcBorders>
            <w:shd w:val="clear" w:color="000000" w:fill="F2F2F2"/>
            <w:vAlign w:val="center"/>
            <w:hideMark/>
          </w:tcPr>
          <w:p w14:paraId="30FDEC0A"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11</w:t>
            </w:r>
          </w:p>
        </w:tc>
        <w:tc>
          <w:tcPr>
            <w:tcW w:w="0" w:type="auto"/>
            <w:tcBorders>
              <w:top w:val="nil"/>
              <w:left w:val="nil"/>
              <w:bottom w:val="single" w:sz="4" w:space="0" w:color="808080"/>
              <w:right w:val="single" w:sz="4" w:space="0" w:color="808080"/>
            </w:tcBorders>
            <w:vAlign w:val="center"/>
            <w:hideMark/>
          </w:tcPr>
          <w:p w14:paraId="18551241"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12A9FA31"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451</w:t>
            </w:r>
          </w:p>
        </w:tc>
        <w:tc>
          <w:tcPr>
            <w:tcW w:w="0" w:type="auto"/>
            <w:tcBorders>
              <w:top w:val="nil"/>
              <w:left w:val="nil"/>
              <w:bottom w:val="single" w:sz="4" w:space="0" w:color="808080"/>
              <w:right w:val="single" w:sz="4" w:space="0" w:color="808080"/>
            </w:tcBorders>
            <w:vAlign w:val="center"/>
            <w:hideMark/>
          </w:tcPr>
          <w:p w14:paraId="1DEFF49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1,88</w:t>
            </w:r>
          </w:p>
        </w:tc>
      </w:tr>
      <w:tr w:rsidR="004921FF" w:rsidRPr="005C133F" w14:paraId="0DF1F033"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600A589D"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Mayo</w:t>
            </w:r>
          </w:p>
        </w:tc>
        <w:tc>
          <w:tcPr>
            <w:tcW w:w="0" w:type="auto"/>
            <w:tcBorders>
              <w:top w:val="nil"/>
              <w:left w:val="nil"/>
              <w:bottom w:val="single" w:sz="4" w:space="0" w:color="808080"/>
              <w:right w:val="single" w:sz="4" w:space="0" w:color="808080"/>
            </w:tcBorders>
            <w:shd w:val="clear" w:color="000000" w:fill="F2F2F2"/>
            <w:vAlign w:val="center"/>
            <w:hideMark/>
          </w:tcPr>
          <w:p w14:paraId="07F6750D"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451</w:t>
            </w:r>
          </w:p>
        </w:tc>
        <w:tc>
          <w:tcPr>
            <w:tcW w:w="0" w:type="auto"/>
            <w:tcBorders>
              <w:top w:val="nil"/>
              <w:left w:val="nil"/>
              <w:bottom w:val="single" w:sz="4" w:space="0" w:color="808080"/>
              <w:right w:val="single" w:sz="4" w:space="0" w:color="808080"/>
            </w:tcBorders>
            <w:shd w:val="clear" w:color="000000" w:fill="F2F2F2"/>
            <w:vAlign w:val="center"/>
            <w:hideMark/>
          </w:tcPr>
          <w:p w14:paraId="14F52A6C"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453</w:t>
            </w:r>
          </w:p>
        </w:tc>
        <w:tc>
          <w:tcPr>
            <w:tcW w:w="0" w:type="auto"/>
            <w:tcBorders>
              <w:top w:val="nil"/>
              <w:left w:val="nil"/>
              <w:bottom w:val="single" w:sz="4" w:space="0" w:color="808080"/>
              <w:right w:val="single" w:sz="4" w:space="0" w:color="808080"/>
            </w:tcBorders>
            <w:shd w:val="clear" w:color="000000" w:fill="F2F2F2"/>
            <w:vAlign w:val="center"/>
            <w:hideMark/>
          </w:tcPr>
          <w:p w14:paraId="1C693BA4"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0C21C438"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nil"/>
              <w:left w:val="nil"/>
              <w:bottom w:val="single" w:sz="4" w:space="0" w:color="808080"/>
              <w:right w:val="single" w:sz="4" w:space="0" w:color="808080"/>
            </w:tcBorders>
            <w:shd w:val="clear" w:color="000000" w:fill="F2F2F2"/>
            <w:vAlign w:val="center"/>
            <w:hideMark/>
          </w:tcPr>
          <w:p w14:paraId="0671505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453</w:t>
            </w:r>
          </w:p>
        </w:tc>
        <w:tc>
          <w:tcPr>
            <w:tcW w:w="0" w:type="auto"/>
            <w:tcBorders>
              <w:top w:val="nil"/>
              <w:left w:val="nil"/>
              <w:bottom w:val="single" w:sz="4" w:space="0" w:color="808080"/>
              <w:right w:val="single" w:sz="4" w:space="0" w:color="808080"/>
            </w:tcBorders>
            <w:shd w:val="clear" w:color="000000" w:fill="F2F2F2"/>
            <w:vAlign w:val="center"/>
            <w:hideMark/>
          </w:tcPr>
          <w:p w14:paraId="44230134"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1,10</w:t>
            </w:r>
          </w:p>
        </w:tc>
      </w:tr>
      <w:tr w:rsidR="004921FF" w:rsidRPr="005C133F" w14:paraId="5ECF7635"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159892DF"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Junio</w:t>
            </w:r>
          </w:p>
        </w:tc>
        <w:tc>
          <w:tcPr>
            <w:tcW w:w="0" w:type="auto"/>
            <w:tcBorders>
              <w:top w:val="nil"/>
              <w:left w:val="nil"/>
              <w:bottom w:val="single" w:sz="4" w:space="0" w:color="808080"/>
              <w:right w:val="single" w:sz="4" w:space="0" w:color="808080"/>
            </w:tcBorders>
            <w:shd w:val="clear" w:color="000000" w:fill="F2F2F2"/>
            <w:vAlign w:val="center"/>
            <w:hideMark/>
          </w:tcPr>
          <w:p w14:paraId="19472D4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453</w:t>
            </w:r>
          </w:p>
        </w:tc>
        <w:tc>
          <w:tcPr>
            <w:tcW w:w="0" w:type="auto"/>
            <w:tcBorders>
              <w:top w:val="nil"/>
              <w:left w:val="nil"/>
              <w:bottom w:val="single" w:sz="4" w:space="0" w:color="808080"/>
              <w:right w:val="single" w:sz="4" w:space="0" w:color="808080"/>
            </w:tcBorders>
            <w:vAlign w:val="center"/>
            <w:hideMark/>
          </w:tcPr>
          <w:p w14:paraId="5AA10CC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473</w:t>
            </w:r>
          </w:p>
        </w:tc>
        <w:tc>
          <w:tcPr>
            <w:tcW w:w="0" w:type="auto"/>
            <w:tcBorders>
              <w:top w:val="nil"/>
              <w:left w:val="nil"/>
              <w:bottom w:val="single" w:sz="4" w:space="0" w:color="808080"/>
              <w:right w:val="single" w:sz="4" w:space="0" w:color="808080"/>
            </w:tcBorders>
            <w:shd w:val="clear" w:color="000000" w:fill="F2F2F2"/>
            <w:vAlign w:val="center"/>
            <w:hideMark/>
          </w:tcPr>
          <w:p w14:paraId="6F75190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24</w:t>
            </w:r>
          </w:p>
        </w:tc>
        <w:tc>
          <w:tcPr>
            <w:tcW w:w="0" w:type="auto"/>
            <w:tcBorders>
              <w:top w:val="nil"/>
              <w:left w:val="nil"/>
              <w:bottom w:val="single" w:sz="4" w:space="0" w:color="808080"/>
              <w:right w:val="single" w:sz="4" w:space="0" w:color="808080"/>
            </w:tcBorders>
            <w:vAlign w:val="center"/>
            <w:hideMark/>
          </w:tcPr>
          <w:p w14:paraId="7A4DBB04"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nil"/>
              <w:left w:val="nil"/>
              <w:bottom w:val="single" w:sz="4" w:space="0" w:color="808080"/>
              <w:right w:val="single" w:sz="4" w:space="0" w:color="808080"/>
            </w:tcBorders>
            <w:shd w:val="clear" w:color="000000" w:fill="F2F2F2"/>
            <w:vAlign w:val="center"/>
            <w:hideMark/>
          </w:tcPr>
          <w:p w14:paraId="130C7F5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473</w:t>
            </w:r>
          </w:p>
        </w:tc>
        <w:tc>
          <w:tcPr>
            <w:tcW w:w="0" w:type="auto"/>
            <w:tcBorders>
              <w:top w:val="nil"/>
              <w:left w:val="nil"/>
              <w:bottom w:val="single" w:sz="4" w:space="0" w:color="808080"/>
              <w:right w:val="single" w:sz="4" w:space="0" w:color="808080"/>
            </w:tcBorders>
            <w:vAlign w:val="center"/>
            <w:hideMark/>
          </w:tcPr>
          <w:p w14:paraId="617EF6D0"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2,96</w:t>
            </w:r>
          </w:p>
        </w:tc>
      </w:tr>
      <w:tr w:rsidR="004921FF" w:rsidRPr="005C133F" w14:paraId="753B7F74"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57F6B7A1"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Julio</w:t>
            </w:r>
          </w:p>
        </w:tc>
        <w:tc>
          <w:tcPr>
            <w:tcW w:w="0" w:type="auto"/>
            <w:tcBorders>
              <w:top w:val="nil"/>
              <w:left w:val="nil"/>
              <w:bottom w:val="single" w:sz="4" w:space="0" w:color="808080"/>
              <w:right w:val="single" w:sz="4" w:space="0" w:color="808080"/>
            </w:tcBorders>
            <w:shd w:val="clear" w:color="000000" w:fill="F2F2F2"/>
            <w:vAlign w:val="center"/>
            <w:hideMark/>
          </w:tcPr>
          <w:p w14:paraId="2EEF764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473</w:t>
            </w:r>
          </w:p>
        </w:tc>
        <w:tc>
          <w:tcPr>
            <w:tcW w:w="0" w:type="auto"/>
            <w:tcBorders>
              <w:top w:val="nil"/>
              <w:left w:val="nil"/>
              <w:bottom w:val="single" w:sz="4" w:space="0" w:color="808080"/>
              <w:right w:val="single" w:sz="4" w:space="0" w:color="808080"/>
            </w:tcBorders>
            <w:shd w:val="clear" w:color="000000" w:fill="F2F2F2"/>
            <w:vAlign w:val="center"/>
            <w:hideMark/>
          </w:tcPr>
          <w:p w14:paraId="339A478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485</w:t>
            </w:r>
          </w:p>
        </w:tc>
        <w:tc>
          <w:tcPr>
            <w:tcW w:w="0" w:type="auto"/>
            <w:tcBorders>
              <w:top w:val="nil"/>
              <w:left w:val="nil"/>
              <w:bottom w:val="single" w:sz="4" w:space="0" w:color="808080"/>
              <w:right w:val="single" w:sz="4" w:space="0" w:color="808080"/>
            </w:tcBorders>
            <w:shd w:val="clear" w:color="000000" w:fill="F2F2F2"/>
            <w:vAlign w:val="center"/>
            <w:hideMark/>
          </w:tcPr>
          <w:p w14:paraId="40B61068"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15</w:t>
            </w:r>
          </w:p>
        </w:tc>
        <w:tc>
          <w:tcPr>
            <w:tcW w:w="0" w:type="auto"/>
            <w:tcBorders>
              <w:top w:val="nil"/>
              <w:left w:val="nil"/>
              <w:bottom w:val="single" w:sz="4" w:space="0" w:color="808080"/>
              <w:right w:val="single" w:sz="4" w:space="0" w:color="808080"/>
            </w:tcBorders>
            <w:shd w:val="clear" w:color="000000" w:fill="F2F2F2"/>
            <w:vAlign w:val="center"/>
            <w:hideMark/>
          </w:tcPr>
          <w:p w14:paraId="23A038E1"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shd w:val="clear" w:color="000000" w:fill="F2F2F2"/>
            <w:vAlign w:val="center"/>
            <w:hideMark/>
          </w:tcPr>
          <w:p w14:paraId="54B2D41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485</w:t>
            </w:r>
          </w:p>
        </w:tc>
        <w:tc>
          <w:tcPr>
            <w:tcW w:w="0" w:type="auto"/>
            <w:tcBorders>
              <w:top w:val="nil"/>
              <w:left w:val="nil"/>
              <w:bottom w:val="single" w:sz="4" w:space="0" w:color="808080"/>
              <w:right w:val="single" w:sz="4" w:space="0" w:color="808080"/>
            </w:tcBorders>
            <w:shd w:val="clear" w:color="000000" w:fill="F2F2F2"/>
            <w:vAlign w:val="center"/>
            <w:hideMark/>
          </w:tcPr>
          <w:p w14:paraId="6B7EA98D"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1,86</w:t>
            </w:r>
          </w:p>
        </w:tc>
      </w:tr>
      <w:tr w:rsidR="004921FF" w:rsidRPr="005C133F" w14:paraId="083FE5C8"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06958173"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Agosto</w:t>
            </w:r>
          </w:p>
        </w:tc>
        <w:tc>
          <w:tcPr>
            <w:tcW w:w="0" w:type="auto"/>
            <w:tcBorders>
              <w:top w:val="nil"/>
              <w:left w:val="nil"/>
              <w:bottom w:val="single" w:sz="4" w:space="0" w:color="808080"/>
              <w:right w:val="single" w:sz="4" w:space="0" w:color="808080"/>
            </w:tcBorders>
            <w:shd w:val="clear" w:color="000000" w:fill="F2F2F2"/>
            <w:vAlign w:val="center"/>
            <w:hideMark/>
          </w:tcPr>
          <w:p w14:paraId="3093D971"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485</w:t>
            </w:r>
          </w:p>
        </w:tc>
        <w:tc>
          <w:tcPr>
            <w:tcW w:w="0" w:type="auto"/>
            <w:tcBorders>
              <w:top w:val="nil"/>
              <w:left w:val="nil"/>
              <w:bottom w:val="single" w:sz="4" w:space="0" w:color="808080"/>
              <w:right w:val="single" w:sz="4" w:space="0" w:color="808080"/>
            </w:tcBorders>
            <w:vAlign w:val="center"/>
            <w:hideMark/>
          </w:tcPr>
          <w:p w14:paraId="33099486"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489</w:t>
            </w:r>
          </w:p>
        </w:tc>
        <w:tc>
          <w:tcPr>
            <w:tcW w:w="0" w:type="auto"/>
            <w:tcBorders>
              <w:top w:val="nil"/>
              <w:left w:val="nil"/>
              <w:bottom w:val="single" w:sz="4" w:space="0" w:color="808080"/>
              <w:right w:val="single" w:sz="4" w:space="0" w:color="808080"/>
            </w:tcBorders>
            <w:shd w:val="clear" w:color="000000" w:fill="F2F2F2"/>
            <w:vAlign w:val="center"/>
            <w:hideMark/>
          </w:tcPr>
          <w:p w14:paraId="1193B5AB"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vAlign w:val="center"/>
            <w:hideMark/>
          </w:tcPr>
          <w:p w14:paraId="6AAD248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nil"/>
              <w:left w:val="nil"/>
              <w:bottom w:val="single" w:sz="4" w:space="0" w:color="808080"/>
              <w:right w:val="single" w:sz="4" w:space="0" w:color="808080"/>
            </w:tcBorders>
            <w:shd w:val="clear" w:color="000000" w:fill="F2F2F2"/>
            <w:vAlign w:val="center"/>
            <w:hideMark/>
          </w:tcPr>
          <w:p w14:paraId="0F6047B6"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489</w:t>
            </w:r>
          </w:p>
        </w:tc>
        <w:tc>
          <w:tcPr>
            <w:tcW w:w="0" w:type="auto"/>
            <w:tcBorders>
              <w:top w:val="nil"/>
              <w:left w:val="nil"/>
              <w:bottom w:val="single" w:sz="4" w:space="0" w:color="808080"/>
              <w:right w:val="single" w:sz="4" w:space="0" w:color="808080"/>
            </w:tcBorders>
            <w:vAlign w:val="center"/>
            <w:hideMark/>
          </w:tcPr>
          <w:p w14:paraId="7BABC8B6"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0,82</w:t>
            </w:r>
          </w:p>
        </w:tc>
      </w:tr>
      <w:tr w:rsidR="004921FF" w:rsidRPr="005C133F" w14:paraId="49882DF7"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165EE048"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Septiembre</w:t>
            </w:r>
          </w:p>
        </w:tc>
        <w:tc>
          <w:tcPr>
            <w:tcW w:w="0" w:type="auto"/>
            <w:tcBorders>
              <w:top w:val="nil"/>
              <w:left w:val="nil"/>
              <w:bottom w:val="single" w:sz="4" w:space="0" w:color="808080"/>
              <w:right w:val="single" w:sz="4" w:space="0" w:color="808080"/>
            </w:tcBorders>
            <w:shd w:val="clear" w:color="000000" w:fill="F2F2F2"/>
            <w:vAlign w:val="center"/>
            <w:hideMark/>
          </w:tcPr>
          <w:p w14:paraId="50CEED97"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489</w:t>
            </w:r>
          </w:p>
        </w:tc>
        <w:tc>
          <w:tcPr>
            <w:tcW w:w="0" w:type="auto"/>
            <w:tcBorders>
              <w:top w:val="nil"/>
              <w:left w:val="nil"/>
              <w:bottom w:val="single" w:sz="4" w:space="0" w:color="808080"/>
              <w:right w:val="single" w:sz="4" w:space="0" w:color="808080"/>
            </w:tcBorders>
            <w:shd w:val="clear" w:color="000000" w:fill="F2F2F2"/>
            <w:vAlign w:val="center"/>
            <w:hideMark/>
          </w:tcPr>
          <w:p w14:paraId="2D7DA5FA"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476</w:t>
            </w:r>
          </w:p>
        </w:tc>
        <w:tc>
          <w:tcPr>
            <w:tcW w:w="0" w:type="auto"/>
            <w:tcBorders>
              <w:top w:val="nil"/>
              <w:left w:val="nil"/>
              <w:bottom w:val="single" w:sz="4" w:space="0" w:color="808080"/>
              <w:right w:val="single" w:sz="4" w:space="0" w:color="808080"/>
            </w:tcBorders>
            <w:shd w:val="clear" w:color="000000" w:fill="F2F2F2"/>
            <w:vAlign w:val="center"/>
            <w:hideMark/>
          </w:tcPr>
          <w:p w14:paraId="485545C8"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nil"/>
              <w:left w:val="nil"/>
              <w:bottom w:val="single" w:sz="4" w:space="0" w:color="808080"/>
              <w:right w:val="single" w:sz="4" w:space="0" w:color="808080"/>
            </w:tcBorders>
            <w:shd w:val="clear" w:color="000000" w:fill="F2F2F2"/>
            <w:vAlign w:val="center"/>
            <w:hideMark/>
          </w:tcPr>
          <w:p w14:paraId="0A62DAF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16</w:t>
            </w:r>
          </w:p>
        </w:tc>
        <w:tc>
          <w:tcPr>
            <w:tcW w:w="0" w:type="auto"/>
            <w:tcBorders>
              <w:top w:val="nil"/>
              <w:left w:val="nil"/>
              <w:bottom w:val="single" w:sz="4" w:space="0" w:color="808080"/>
              <w:right w:val="single" w:sz="4" w:space="0" w:color="808080"/>
            </w:tcBorders>
            <w:shd w:val="clear" w:color="000000" w:fill="F2F2F2"/>
            <w:vAlign w:val="center"/>
            <w:hideMark/>
          </w:tcPr>
          <w:p w14:paraId="0D769F8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476</w:t>
            </w:r>
          </w:p>
        </w:tc>
        <w:tc>
          <w:tcPr>
            <w:tcW w:w="0" w:type="auto"/>
            <w:tcBorders>
              <w:top w:val="nil"/>
              <w:left w:val="nil"/>
              <w:bottom w:val="single" w:sz="4" w:space="0" w:color="808080"/>
              <w:right w:val="single" w:sz="4" w:space="0" w:color="808080"/>
            </w:tcBorders>
            <w:shd w:val="clear" w:color="000000" w:fill="F2F2F2"/>
            <w:vAlign w:val="center"/>
            <w:hideMark/>
          </w:tcPr>
          <w:p w14:paraId="1AD3C70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2,00</w:t>
            </w:r>
          </w:p>
        </w:tc>
      </w:tr>
      <w:tr w:rsidR="004921FF" w:rsidRPr="005C133F" w14:paraId="16137B8A"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08583A52"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Octubre</w:t>
            </w:r>
          </w:p>
        </w:tc>
        <w:tc>
          <w:tcPr>
            <w:tcW w:w="0" w:type="auto"/>
            <w:tcBorders>
              <w:top w:val="nil"/>
              <w:left w:val="nil"/>
              <w:bottom w:val="single" w:sz="4" w:space="0" w:color="808080"/>
              <w:right w:val="single" w:sz="4" w:space="0" w:color="808080"/>
            </w:tcBorders>
            <w:shd w:val="clear" w:color="000000" w:fill="F2F2F2"/>
            <w:vAlign w:val="center"/>
            <w:hideMark/>
          </w:tcPr>
          <w:p w14:paraId="3BC20A3F"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476</w:t>
            </w:r>
          </w:p>
        </w:tc>
        <w:tc>
          <w:tcPr>
            <w:tcW w:w="0" w:type="auto"/>
            <w:tcBorders>
              <w:top w:val="nil"/>
              <w:left w:val="nil"/>
              <w:bottom w:val="single" w:sz="4" w:space="0" w:color="808080"/>
              <w:right w:val="single" w:sz="4" w:space="0" w:color="808080"/>
            </w:tcBorders>
            <w:vAlign w:val="center"/>
            <w:hideMark/>
          </w:tcPr>
          <w:p w14:paraId="1E0FDE0B"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482</w:t>
            </w:r>
          </w:p>
        </w:tc>
        <w:tc>
          <w:tcPr>
            <w:tcW w:w="0" w:type="auto"/>
            <w:tcBorders>
              <w:top w:val="nil"/>
              <w:left w:val="nil"/>
              <w:bottom w:val="single" w:sz="4" w:space="0" w:color="808080"/>
              <w:right w:val="single" w:sz="4" w:space="0" w:color="808080"/>
            </w:tcBorders>
            <w:shd w:val="clear" w:color="000000" w:fill="F2F2F2"/>
            <w:vAlign w:val="center"/>
            <w:hideMark/>
          </w:tcPr>
          <w:p w14:paraId="61C60697"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8</w:t>
            </w:r>
          </w:p>
        </w:tc>
        <w:tc>
          <w:tcPr>
            <w:tcW w:w="0" w:type="auto"/>
            <w:tcBorders>
              <w:top w:val="nil"/>
              <w:left w:val="nil"/>
              <w:bottom w:val="single" w:sz="4" w:space="0" w:color="808080"/>
              <w:right w:val="single" w:sz="4" w:space="0" w:color="808080"/>
            </w:tcBorders>
            <w:vAlign w:val="center"/>
            <w:hideMark/>
          </w:tcPr>
          <w:p w14:paraId="04F7AA5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nil"/>
              <w:left w:val="nil"/>
              <w:bottom w:val="single" w:sz="4" w:space="0" w:color="808080"/>
              <w:right w:val="single" w:sz="4" w:space="0" w:color="808080"/>
            </w:tcBorders>
            <w:shd w:val="clear" w:color="000000" w:fill="F2F2F2"/>
            <w:vAlign w:val="center"/>
            <w:hideMark/>
          </w:tcPr>
          <w:p w14:paraId="2C4EC37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482</w:t>
            </w:r>
          </w:p>
        </w:tc>
        <w:tc>
          <w:tcPr>
            <w:tcW w:w="0" w:type="auto"/>
            <w:tcBorders>
              <w:top w:val="nil"/>
              <w:left w:val="nil"/>
              <w:bottom w:val="single" w:sz="4" w:space="0" w:color="808080"/>
              <w:right w:val="single" w:sz="4" w:space="0" w:color="808080"/>
            </w:tcBorders>
            <w:vAlign w:val="center"/>
            <w:hideMark/>
          </w:tcPr>
          <w:p w14:paraId="64AE843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1,04</w:t>
            </w:r>
          </w:p>
        </w:tc>
      </w:tr>
      <w:tr w:rsidR="004921FF" w:rsidRPr="005C133F" w14:paraId="45EDD25A"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04772824"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Noviembre</w:t>
            </w:r>
          </w:p>
        </w:tc>
        <w:tc>
          <w:tcPr>
            <w:tcW w:w="0" w:type="auto"/>
            <w:tcBorders>
              <w:top w:val="nil"/>
              <w:left w:val="nil"/>
              <w:bottom w:val="single" w:sz="4" w:space="0" w:color="808080"/>
              <w:right w:val="single" w:sz="4" w:space="0" w:color="808080"/>
            </w:tcBorders>
            <w:shd w:val="clear" w:color="000000" w:fill="F2F2F2"/>
            <w:vAlign w:val="center"/>
            <w:hideMark/>
          </w:tcPr>
          <w:p w14:paraId="6A4B99BC"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482</w:t>
            </w:r>
          </w:p>
        </w:tc>
        <w:tc>
          <w:tcPr>
            <w:tcW w:w="0" w:type="auto"/>
            <w:tcBorders>
              <w:top w:val="nil"/>
              <w:left w:val="nil"/>
              <w:bottom w:val="single" w:sz="4" w:space="0" w:color="808080"/>
              <w:right w:val="single" w:sz="4" w:space="0" w:color="808080"/>
            </w:tcBorders>
            <w:shd w:val="clear" w:color="000000" w:fill="F2F2F2"/>
            <w:vAlign w:val="center"/>
            <w:hideMark/>
          </w:tcPr>
          <w:p w14:paraId="7155A506"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488</w:t>
            </w:r>
          </w:p>
        </w:tc>
        <w:tc>
          <w:tcPr>
            <w:tcW w:w="0" w:type="auto"/>
            <w:tcBorders>
              <w:top w:val="nil"/>
              <w:left w:val="nil"/>
              <w:bottom w:val="single" w:sz="4" w:space="0" w:color="808080"/>
              <w:right w:val="single" w:sz="4" w:space="0" w:color="808080"/>
            </w:tcBorders>
            <w:shd w:val="clear" w:color="000000" w:fill="F2F2F2"/>
            <w:vAlign w:val="center"/>
            <w:hideMark/>
          </w:tcPr>
          <w:p w14:paraId="7DA8CE50"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tcBorders>
              <w:top w:val="nil"/>
              <w:left w:val="nil"/>
              <w:bottom w:val="single" w:sz="4" w:space="0" w:color="808080"/>
              <w:right w:val="single" w:sz="4" w:space="0" w:color="808080"/>
            </w:tcBorders>
            <w:shd w:val="clear" w:color="000000" w:fill="F2F2F2"/>
            <w:vAlign w:val="center"/>
            <w:hideMark/>
          </w:tcPr>
          <w:p w14:paraId="4FFFCC1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nil"/>
              <w:left w:val="nil"/>
              <w:bottom w:val="single" w:sz="4" w:space="0" w:color="808080"/>
              <w:right w:val="single" w:sz="4" w:space="0" w:color="808080"/>
            </w:tcBorders>
            <w:shd w:val="clear" w:color="000000" w:fill="F2F2F2"/>
            <w:vAlign w:val="center"/>
            <w:hideMark/>
          </w:tcPr>
          <w:p w14:paraId="2344B5DE"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spacing w:val="0"/>
                <w:lang w:val="es-DO" w:eastAsia="es-DO"/>
              </w:rPr>
              <w:t>488</w:t>
            </w:r>
          </w:p>
        </w:tc>
        <w:tc>
          <w:tcPr>
            <w:tcW w:w="0" w:type="auto"/>
            <w:tcBorders>
              <w:top w:val="nil"/>
              <w:left w:val="nil"/>
              <w:bottom w:val="single" w:sz="4" w:space="0" w:color="808080"/>
              <w:right w:val="single" w:sz="4" w:space="0" w:color="808080"/>
            </w:tcBorders>
            <w:shd w:val="clear" w:color="000000" w:fill="F2F2F2"/>
            <w:vAlign w:val="center"/>
            <w:hideMark/>
          </w:tcPr>
          <w:p w14:paraId="1E01CBA2"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0,61</w:t>
            </w:r>
          </w:p>
        </w:tc>
      </w:tr>
      <w:tr w:rsidR="004921FF" w:rsidRPr="005C133F" w14:paraId="6055E2AC" w14:textId="77777777" w:rsidTr="009B4ED1">
        <w:trPr>
          <w:trHeight w:val="312"/>
          <w:jc w:val="center"/>
        </w:trPr>
        <w:tc>
          <w:tcPr>
            <w:tcW w:w="0" w:type="auto"/>
            <w:tcBorders>
              <w:top w:val="nil"/>
              <w:left w:val="single" w:sz="4" w:space="0" w:color="808080"/>
              <w:bottom w:val="single" w:sz="4" w:space="0" w:color="808080"/>
              <w:right w:val="single" w:sz="4" w:space="0" w:color="808080"/>
            </w:tcBorders>
            <w:vAlign w:val="center"/>
            <w:hideMark/>
          </w:tcPr>
          <w:p w14:paraId="4FABB1FE" w14:textId="77777777" w:rsidR="006E0547" w:rsidRPr="005C133F" w:rsidRDefault="006E0547"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Diciembre</w:t>
            </w:r>
          </w:p>
        </w:tc>
        <w:tc>
          <w:tcPr>
            <w:tcW w:w="0" w:type="auto"/>
            <w:tcBorders>
              <w:top w:val="nil"/>
              <w:left w:val="nil"/>
              <w:bottom w:val="single" w:sz="4" w:space="0" w:color="808080"/>
              <w:right w:val="single" w:sz="4" w:space="0" w:color="808080"/>
            </w:tcBorders>
            <w:shd w:val="clear" w:color="000000" w:fill="F2F2F2"/>
            <w:vAlign w:val="center"/>
            <w:hideMark/>
          </w:tcPr>
          <w:p w14:paraId="08D83B50"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488</w:t>
            </w:r>
          </w:p>
        </w:tc>
        <w:tc>
          <w:tcPr>
            <w:tcW w:w="0" w:type="auto"/>
            <w:tcBorders>
              <w:top w:val="nil"/>
              <w:left w:val="nil"/>
              <w:bottom w:val="single" w:sz="4" w:space="0" w:color="808080"/>
              <w:right w:val="single" w:sz="4" w:space="0" w:color="808080"/>
            </w:tcBorders>
            <w:vAlign w:val="center"/>
            <w:hideMark/>
          </w:tcPr>
          <w:p w14:paraId="6A681DF6"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488</w:t>
            </w:r>
          </w:p>
        </w:tc>
        <w:tc>
          <w:tcPr>
            <w:tcW w:w="0" w:type="auto"/>
            <w:tcBorders>
              <w:top w:val="nil"/>
              <w:left w:val="nil"/>
              <w:bottom w:val="single" w:sz="4" w:space="0" w:color="808080"/>
              <w:right w:val="single" w:sz="4" w:space="0" w:color="808080"/>
            </w:tcBorders>
            <w:shd w:val="clear" w:color="000000" w:fill="F2F2F2"/>
            <w:vAlign w:val="center"/>
            <w:hideMark/>
          </w:tcPr>
          <w:p w14:paraId="3752658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0</w:t>
            </w:r>
          </w:p>
        </w:tc>
        <w:tc>
          <w:tcPr>
            <w:tcW w:w="0" w:type="auto"/>
            <w:tcBorders>
              <w:top w:val="nil"/>
              <w:left w:val="nil"/>
              <w:bottom w:val="single" w:sz="4" w:space="0" w:color="808080"/>
              <w:right w:val="single" w:sz="4" w:space="0" w:color="808080"/>
            </w:tcBorders>
            <w:vAlign w:val="center"/>
            <w:hideMark/>
          </w:tcPr>
          <w:p w14:paraId="6F0D8285"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0</w:t>
            </w:r>
          </w:p>
        </w:tc>
        <w:tc>
          <w:tcPr>
            <w:tcW w:w="0" w:type="auto"/>
            <w:tcBorders>
              <w:top w:val="nil"/>
              <w:left w:val="nil"/>
              <w:bottom w:val="single" w:sz="4" w:space="0" w:color="808080"/>
              <w:right w:val="single" w:sz="4" w:space="0" w:color="808080"/>
            </w:tcBorders>
            <w:shd w:val="clear" w:color="000000" w:fill="F2F2F2"/>
            <w:vAlign w:val="center"/>
            <w:hideMark/>
          </w:tcPr>
          <w:p w14:paraId="74551509"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488</w:t>
            </w:r>
          </w:p>
        </w:tc>
        <w:tc>
          <w:tcPr>
            <w:tcW w:w="0" w:type="auto"/>
            <w:tcBorders>
              <w:top w:val="nil"/>
              <w:left w:val="nil"/>
              <w:bottom w:val="single" w:sz="4" w:space="0" w:color="808080"/>
              <w:right w:val="single" w:sz="4" w:space="0" w:color="808080"/>
            </w:tcBorders>
            <w:vAlign w:val="center"/>
            <w:hideMark/>
          </w:tcPr>
          <w:p w14:paraId="7F14E9AF" w14:textId="77777777" w:rsidR="006E0547" w:rsidRPr="005C133F" w:rsidRDefault="006E0547" w:rsidP="00673872">
            <w:pPr>
              <w:spacing w:after="0" w:line="240" w:lineRule="auto"/>
              <w:jc w:val="center"/>
              <w:rPr>
                <w:rFonts w:eastAsia="Times New Roman"/>
                <w:spacing w:val="0"/>
                <w:lang w:val="es-DO" w:eastAsia="es-DO"/>
              </w:rPr>
            </w:pPr>
            <w:r w:rsidRPr="005C133F">
              <w:rPr>
                <w:rFonts w:eastAsia="Times New Roman"/>
                <w:caps/>
                <w:spacing w:val="0"/>
                <w:lang w:val="es-DO" w:eastAsia="es-DO"/>
              </w:rPr>
              <w:t>0,00</w:t>
            </w:r>
          </w:p>
        </w:tc>
      </w:tr>
    </w:tbl>
    <w:p w14:paraId="679986B5" w14:textId="77777777" w:rsidR="00A90C41" w:rsidRPr="00885E9D" w:rsidRDefault="00A90C41" w:rsidP="00673872">
      <w:pPr>
        <w:pStyle w:val="Textoindependiente"/>
        <w:spacing w:line="276" w:lineRule="auto"/>
        <w:ind w:left="284" w:right="282"/>
        <w:jc w:val="both"/>
        <w:rPr>
          <w:rFonts w:eastAsiaTheme="minorEastAsia"/>
          <w:b w:val="0"/>
          <w:i w:val="0"/>
          <w:color w:val="767171"/>
          <w:spacing w:val="17"/>
          <w:sz w:val="18"/>
          <w:szCs w:val="18"/>
          <w:lang w:val="es-DO"/>
        </w:rPr>
      </w:pPr>
      <w:r w:rsidRPr="00885E9D">
        <w:rPr>
          <w:rFonts w:eastAsiaTheme="minorEastAsia"/>
          <w:b w:val="0"/>
          <w:i w:val="0"/>
          <w:color w:val="767171"/>
          <w:spacing w:val="17"/>
          <w:sz w:val="18"/>
          <w:szCs w:val="18"/>
          <w:lang w:val="es-DO"/>
        </w:rPr>
        <w:t xml:space="preserve">Fuente: Reportes de nóminas mensuales. Superintendencia de Salud y Riesgos </w:t>
      </w:r>
      <w:r w:rsidRPr="00885E9D">
        <w:rPr>
          <w:rFonts w:eastAsiaTheme="minorEastAsia"/>
          <w:b w:val="0"/>
          <w:i w:val="0"/>
          <w:color w:val="767171"/>
          <w:spacing w:val="17"/>
          <w:sz w:val="18"/>
          <w:szCs w:val="18"/>
          <w:lang w:val="es-DO"/>
        </w:rPr>
        <w:lastRenderedPageBreak/>
        <w:t>Laborales</w:t>
      </w:r>
    </w:p>
    <w:p w14:paraId="0263BE44" w14:textId="4A2CC004" w:rsidR="005D7596" w:rsidRPr="005C133F" w:rsidRDefault="005D7596" w:rsidP="005C133F">
      <w:pPr>
        <w:spacing w:after="0" w:line="360" w:lineRule="auto"/>
        <w:rPr>
          <w:b/>
          <w:spacing w:val="17"/>
          <w:lang w:val="es-DO"/>
        </w:rPr>
      </w:pPr>
    </w:p>
    <w:p w14:paraId="73FA8A45" w14:textId="54FDCC24" w:rsidR="00006627" w:rsidRPr="005C133F" w:rsidRDefault="00006627" w:rsidP="009B4ED1">
      <w:pPr>
        <w:pStyle w:val="Descripcin"/>
        <w:keepNext/>
        <w:spacing w:after="0" w:line="360" w:lineRule="auto"/>
        <w:jc w:val="center"/>
        <w:rPr>
          <w:b/>
          <w:bCs/>
          <w:i w:val="0"/>
          <w:iCs w:val="0"/>
          <w:noProof/>
          <w:color w:val="767171"/>
          <w:sz w:val="24"/>
          <w:szCs w:val="24"/>
          <w:lang w:val="es-DO"/>
        </w:rPr>
      </w:pPr>
      <w:bookmarkStart w:id="127" w:name="_Toc218784186"/>
      <w:r w:rsidRPr="005C133F">
        <w:rPr>
          <w:b/>
          <w:bCs/>
          <w:i w:val="0"/>
          <w:iCs w:val="0"/>
          <w:noProof/>
          <w:color w:val="767171"/>
          <w:sz w:val="24"/>
          <w:szCs w:val="24"/>
          <w:lang w:val="es-DO"/>
        </w:rPr>
        <w:t xml:space="preserve">Tabla </w:t>
      </w:r>
      <w:r w:rsidRPr="005C133F">
        <w:rPr>
          <w:b/>
          <w:bCs/>
          <w:i w:val="0"/>
          <w:iCs w:val="0"/>
          <w:noProof/>
          <w:color w:val="767171"/>
          <w:sz w:val="24"/>
          <w:szCs w:val="24"/>
          <w:lang w:val="es-DO"/>
        </w:rPr>
        <w:fldChar w:fldCharType="begin"/>
      </w:r>
      <w:r w:rsidRPr="005C133F">
        <w:rPr>
          <w:b/>
          <w:bCs/>
          <w:i w:val="0"/>
          <w:iCs w:val="0"/>
          <w:noProof/>
          <w:color w:val="767171"/>
          <w:sz w:val="24"/>
          <w:szCs w:val="24"/>
          <w:lang w:val="es-DO"/>
        </w:rPr>
        <w:instrText xml:space="preserve"> SEQ Tabla \* ARABIC </w:instrText>
      </w:r>
      <w:r w:rsidRPr="005C133F">
        <w:rPr>
          <w:b/>
          <w:bCs/>
          <w:i w:val="0"/>
          <w:iCs w:val="0"/>
          <w:noProof/>
          <w:color w:val="767171"/>
          <w:sz w:val="24"/>
          <w:szCs w:val="24"/>
          <w:lang w:val="es-DO"/>
        </w:rPr>
        <w:fldChar w:fldCharType="separate"/>
      </w:r>
      <w:r w:rsidR="00814341">
        <w:rPr>
          <w:b/>
          <w:bCs/>
          <w:i w:val="0"/>
          <w:iCs w:val="0"/>
          <w:noProof/>
          <w:color w:val="767171"/>
          <w:sz w:val="24"/>
          <w:szCs w:val="24"/>
          <w:lang w:val="es-DO"/>
        </w:rPr>
        <w:t>54</w:t>
      </w:r>
      <w:r w:rsidRPr="005C133F">
        <w:rPr>
          <w:b/>
          <w:bCs/>
          <w:i w:val="0"/>
          <w:iCs w:val="0"/>
          <w:noProof/>
          <w:color w:val="767171"/>
          <w:sz w:val="24"/>
          <w:szCs w:val="24"/>
          <w:lang w:val="es-DO"/>
        </w:rPr>
        <w:fldChar w:fldCharType="end"/>
      </w:r>
      <w:r w:rsidRPr="005C133F">
        <w:rPr>
          <w:b/>
          <w:bCs/>
          <w:i w:val="0"/>
          <w:iCs w:val="0"/>
          <w:noProof/>
          <w:color w:val="767171"/>
          <w:sz w:val="24"/>
          <w:szCs w:val="24"/>
          <w:lang w:val="es-DO"/>
        </w:rPr>
        <w:t>. Índice de Absentismo 2025</w:t>
      </w:r>
      <w:bookmarkEnd w:id="127"/>
    </w:p>
    <w:tbl>
      <w:tblPr>
        <w:tblW w:w="0" w:type="auto"/>
        <w:jc w:val="center"/>
        <w:tblCellMar>
          <w:left w:w="70" w:type="dxa"/>
          <w:right w:w="70" w:type="dxa"/>
        </w:tblCellMar>
        <w:tblLook w:val="04A0" w:firstRow="1" w:lastRow="0" w:firstColumn="1" w:lastColumn="0" w:noHBand="0" w:noVBand="1"/>
      </w:tblPr>
      <w:tblGrid>
        <w:gridCol w:w="1661"/>
        <w:gridCol w:w="1312"/>
        <w:gridCol w:w="1339"/>
        <w:gridCol w:w="1891"/>
        <w:gridCol w:w="1707"/>
      </w:tblGrid>
      <w:tr w:rsidR="00DB19D4" w:rsidRPr="005C133F" w14:paraId="773632D2" w14:textId="77777777" w:rsidTr="009B4ED1">
        <w:trPr>
          <w:trHeight w:val="936"/>
          <w:tblHeader/>
          <w:jc w:val="center"/>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5F05A670" w14:textId="77777777" w:rsidR="00037EA0" w:rsidRPr="005C133F" w:rsidRDefault="00037EA0"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Mes</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6CF0CB2" w14:textId="77777777" w:rsidR="00037EA0" w:rsidRPr="005C133F" w:rsidRDefault="00037EA0"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Jornada laboral</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00270C18" w14:textId="77777777" w:rsidR="00037EA0" w:rsidRPr="005C133F" w:rsidRDefault="00037EA0"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Horas perdidas</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50798E8" w14:textId="77777777" w:rsidR="00037EA0" w:rsidRPr="005C133F" w:rsidRDefault="00037EA0"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Total de trabajadores</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F81F238" w14:textId="77777777" w:rsidR="00037EA0" w:rsidRPr="005C133F" w:rsidRDefault="00037EA0" w:rsidP="00673872">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17"/>
                <w:lang w:val="es-DO" w:eastAsia="es-DO"/>
              </w:rPr>
              <w:t>Índice de absentismo</w:t>
            </w:r>
          </w:p>
        </w:tc>
      </w:tr>
      <w:tr w:rsidR="004921FF" w:rsidRPr="005C133F" w14:paraId="5C437503"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75489261"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Enero</w:t>
            </w:r>
          </w:p>
        </w:tc>
        <w:tc>
          <w:tcPr>
            <w:tcW w:w="0" w:type="auto"/>
            <w:tcBorders>
              <w:top w:val="nil"/>
              <w:left w:val="nil"/>
              <w:bottom w:val="single" w:sz="4" w:space="0" w:color="808080"/>
              <w:right w:val="single" w:sz="4" w:space="0" w:color="808080"/>
            </w:tcBorders>
            <w:shd w:val="clear" w:color="000000" w:fill="F2F2F2"/>
            <w:noWrap/>
            <w:vAlign w:val="center"/>
            <w:hideMark/>
          </w:tcPr>
          <w:p w14:paraId="7C24893F"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20B23963"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4.32</w:t>
            </w:r>
          </w:p>
        </w:tc>
        <w:tc>
          <w:tcPr>
            <w:tcW w:w="0" w:type="auto"/>
            <w:tcBorders>
              <w:top w:val="nil"/>
              <w:left w:val="nil"/>
              <w:bottom w:val="single" w:sz="4" w:space="0" w:color="808080"/>
              <w:right w:val="single" w:sz="4" w:space="0" w:color="808080"/>
            </w:tcBorders>
            <w:shd w:val="clear" w:color="000000" w:fill="F2F2F2"/>
            <w:noWrap/>
            <w:vAlign w:val="center"/>
            <w:hideMark/>
          </w:tcPr>
          <w:p w14:paraId="70505C69"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424</w:t>
            </w:r>
          </w:p>
        </w:tc>
        <w:tc>
          <w:tcPr>
            <w:tcW w:w="0" w:type="auto"/>
            <w:tcBorders>
              <w:top w:val="nil"/>
              <w:left w:val="nil"/>
              <w:bottom w:val="single" w:sz="4" w:space="0" w:color="808080"/>
              <w:right w:val="single" w:sz="4" w:space="0" w:color="808080"/>
            </w:tcBorders>
            <w:shd w:val="clear" w:color="000000" w:fill="F2F2F2"/>
            <w:noWrap/>
            <w:vAlign w:val="center"/>
            <w:hideMark/>
          </w:tcPr>
          <w:p w14:paraId="55F612F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6,37</w:t>
            </w:r>
          </w:p>
        </w:tc>
      </w:tr>
      <w:tr w:rsidR="004921FF" w:rsidRPr="005C133F" w14:paraId="30CAF0EF"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22ECCCA8"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Febrero</w:t>
            </w:r>
          </w:p>
        </w:tc>
        <w:tc>
          <w:tcPr>
            <w:tcW w:w="0" w:type="auto"/>
            <w:tcBorders>
              <w:top w:val="nil"/>
              <w:left w:val="nil"/>
              <w:bottom w:val="single" w:sz="4" w:space="0" w:color="808080"/>
              <w:right w:val="single" w:sz="4" w:space="0" w:color="808080"/>
            </w:tcBorders>
            <w:noWrap/>
            <w:vAlign w:val="center"/>
            <w:hideMark/>
          </w:tcPr>
          <w:p w14:paraId="71741754"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0DAFEA9A"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4.565</w:t>
            </w:r>
          </w:p>
        </w:tc>
        <w:tc>
          <w:tcPr>
            <w:tcW w:w="0" w:type="auto"/>
            <w:tcBorders>
              <w:top w:val="nil"/>
              <w:left w:val="nil"/>
              <w:bottom w:val="single" w:sz="4" w:space="0" w:color="808080"/>
              <w:right w:val="single" w:sz="4" w:space="0" w:color="808080"/>
            </w:tcBorders>
            <w:noWrap/>
            <w:vAlign w:val="center"/>
            <w:hideMark/>
          </w:tcPr>
          <w:p w14:paraId="30C7DDC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436</w:t>
            </w:r>
          </w:p>
        </w:tc>
        <w:tc>
          <w:tcPr>
            <w:tcW w:w="0" w:type="auto"/>
            <w:tcBorders>
              <w:top w:val="nil"/>
              <w:left w:val="nil"/>
              <w:bottom w:val="single" w:sz="4" w:space="0" w:color="808080"/>
              <w:right w:val="single" w:sz="4" w:space="0" w:color="808080"/>
            </w:tcBorders>
            <w:noWrap/>
            <w:vAlign w:val="center"/>
            <w:hideMark/>
          </w:tcPr>
          <w:p w14:paraId="7E94E2BA"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6,54</w:t>
            </w:r>
          </w:p>
        </w:tc>
      </w:tr>
      <w:tr w:rsidR="004921FF" w:rsidRPr="005C133F" w14:paraId="734FBD00"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7489C1EF"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Marzo</w:t>
            </w:r>
          </w:p>
        </w:tc>
        <w:tc>
          <w:tcPr>
            <w:tcW w:w="0" w:type="auto"/>
            <w:tcBorders>
              <w:top w:val="nil"/>
              <w:left w:val="nil"/>
              <w:bottom w:val="single" w:sz="4" w:space="0" w:color="808080"/>
              <w:right w:val="single" w:sz="4" w:space="0" w:color="808080"/>
            </w:tcBorders>
            <w:shd w:val="clear" w:color="000000" w:fill="F2F2F2"/>
            <w:noWrap/>
            <w:vAlign w:val="center"/>
            <w:hideMark/>
          </w:tcPr>
          <w:p w14:paraId="63E1E81B"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6C923E6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4.645</w:t>
            </w:r>
          </w:p>
        </w:tc>
        <w:tc>
          <w:tcPr>
            <w:tcW w:w="0" w:type="auto"/>
            <w:tcBorders>
              <w:top w:val="nil"/>
              <w:left w:val="nil"/>
              <w:bottom w:val="single" w:sz="4" w:space="0" w:color="808080"/>
              <w:right w:val="single" w:sz="4" w:space="0" w:color="808080"/>
            </w:tcBorders>
            <w:shd w:val="clear" w:color="000000" w:fill="F2F2F2"/>
            <w:noWrap/>
            <w:vAlign w:val="center"/>
            <w:hideMark/>
          </w:tcPr>
          <w:p w14:paraId="4171EE02"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446</w:t>
            </w:r>
          </w:p>
        </w:tc>
        <w:tc>
          <w:tcPr>
            <w:tcW w:w="0" w:type="auto"/>
            <w:tcBorders>
              <w:top w:val="nil"/>
              <w:left w:val="nil"/>
              <w:bottom w:val="single" w:sz="4" w:space="0" w:color="808080"/>
              <w:right w:val="single" w:sz="4" w:space="0" w:color="808080"/>
            </w:tcBorders>
            <w:shd w:val="clear" w:color="000000" w:fill="F2F2F2"/>
            <w:noWrap/>
            <w:vAlign w:val="center"/>
            <w:hideMark/>
          </w:tcPr>
          <w:p w14:paraId="4AC499D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6,51</w:t>
            </w:r>
          </w:p>
        </w:tc>
      </w:tr>
      <w:tr w:rsidR="004921FF" w:rsidRPr="005C133F" w14:paraId="224E4A97"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5512A3A8"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Abril</w:t>
            </w:r>
          </w:p>
        </w:tc>
        <w:tc>
          <w:tcPr>
            <w:tcW w:w="0" w:type="auto"/>
            <w:tcBorders>
              <w:top w:val="nil"/>
              <w:left w:val="nil"/>
              <w:bottom w:val="single" w:sz="4" w:space="0" w:color="808080"/>
              <w:right w:val="single" w:sz="4" w:space="0" w:color="808080"/>
            </w:tcBorders>
            <w:noWrap/>
            <w:vAlign w:val="center"/>
            <w:hideMark/>
          </w:tcPr>
          <w:p w14:paraId="471D4B35"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49DB0EAA"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4.497</w:t>
            </w:r>
          </w:p>
        </w:tc>
        <w:tc>
          <w:tcPr>
            <w:tcW w:w="0" w:type="auto"/>
            <w:tcBorders>
              <w:top w:val="nil"/>
              <w:left w:val="nil"/>
              <w:bottom w:val="single" w:sz="4" w:space="0" w:color="808080"/>
              <w:right w:val="single" w:sz="4" w:space="0" w:color="808080"/>
            </w:tcBorders>
            <w:noWrap/>
            <w:vAlign w:val="center"/>
            <w:hideMark/>
          </w:tcPr>
          <w:p w14:paraId="73CE6480"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451</w:t>
            </w:r>
          </w:p>
        </w:tc>
        <w:tc>
          <w:tcPr>
            <w:tcW w:w="0" w:type="auto"/>
            <w:tcBorders>
              <w:top w:val="nil"/>
              <w:left w:val="nil"/>
              <w:bottom w:val="single" w:sz="4" w:space="0" w:color="808080"/>
              <w:right w:val="single" w:sz="4" w:space="0" w:color="808080"/>
            </w:tcBorders>
            <w:noWrap/>
            <w:vAlign w:val="center"/>
            <w:hideMark/>
          </w:tcPr>
          <w:p w14:paraId="4FF26D0C"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6,23</w:t>
            </w:r>
          </w:p>
        </w:tc>
      </w:tr>
      <w:tr w:rsidR="004921FF" w:rsidRPr="005C133F" w14:paraId="26A1BBB5"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3090458B"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Mayo</w:t>
            </w:r>
          </w:p>
        </w:tc>
        <w:tc>
          <w:tcPr>
            <w:tcW w:w="0" w:type="auto"/>
            <w:tcBorders>
              <w:top w:val="nil"/>
              <w:left w:val="nil"/>
              <w:bottom w:val="single" w:sz="4" w:space="0" w:color="808080"/>
              <w:right w:val="single" w:sz="4" w:space="0" w:color="808080"/>
            </w:tcBorders>
            <w:shd w:val="clear" w:color="000000" w:fill="F2F2F2"/>
            <w:noWrap/>
            <w:vAlign w:val="center"/>
            <w:hideMark/>
          </w:tcPr>
          <w:p w14:paraId="29C8B24D"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136CEE6B"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3.667</w:t>
            </w:r>
          </w:p>
        </w:tc>
        <w:tc>
          <w:tcPr>
            <w:tcW w:w="0" w:type="auto"/>
            <w:tcBorders>
              <w:top w:val="nil"/>
              <w:left w:val="nil"/>
              <w:bottom w:val="single" w:sz="4" w:space="0" w:color="808080"/>
              <w:right w:val="single" w:sz="4" w:space="0" w:color="808080"/>
            </w:tcBorders>
            <w:shd w:val="clear" w:color="000000" w:fill="F2F2F2"/>
            <w:noWrap/>
            <w:vAlign w:val="center"/>
            <w:hideMark/>
          </w:tcPr>
          <w:p w14:paraId="55034C6C"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453</w:t>
            </w:r>
          </w:p>
        </w:tc>
        <w:tc>
          <w:tcPr>
            <w:tcW w:w="0" w:type="auto"/>
            <w:tcBorders>
              <w:top w:val="nil"/>
              <w:left w:val="nil"/>
              <w:bottom w:val="single" w:sz="4" w:space="0" w:color="808080"/>
              <w:right w:val="single" w:sz="4" w:space="0" w:color="808080"/>
            </w:tcBorders>
            <w:shd w:val="clear" w:color="000000" w:fill="F2F2F2"/>
            <w:noWrap/>
            <w:vAlign w:val="center"/>
            <w:hideMark/>
          </w:tcPr>
          <w:p w14:paraId="7A97A4FF"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5,06</w:t>
            </w:r>
          </w:p>
        </w:tc>
      </w:tr>
      <w:tr w:rsidR="004921FF" w:rsidRPr="005C133F" w14:paraId="46282B06"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25AAC5FA"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Junio</w:t>
            </w:r>
          </w:p>
        </w:tc>
        <w:tc>
          <w:tcPr>
            <w:tcW w:w="0" w:type="auto"/>
            <w:tcBorders>
              <w:top w:val="nil"/>
              <w:left w:val="nil"/>
              <w:bottom w:val="single" w:sz="4" w:space="0" w:color="808080"/>
              <w:right w:val="single" w:sz="4" w:space="0" w:color="808080"/>
            </w:tcBorders>
            <w:noWrap/>
            <w:vAlign w:val="center"/>
            <w:hideMark/>
          </w:tcPr>
          <w:p w14:paraId="2379DCA4"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15124ABC"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4.973</w:t>
            </w:r>
          </w:p>
        </w:tc>
        <w:tc>
          <w:tcPr>
            <w:tcW w:w="0" w:type="auto"/>
            <w:tcBorders>
              <w:top w:val="nil"/>
              <w:left w:val="nil"/>
              <w:bottom w:val="single" w:sz="4" w:space="0" w:color="808080"/>
              <w:right w:val="single" w:sz="4" w:space="0" w:color="808080"/>
            </w:tcBorders>
            <w:noWrap/>
            <w:vAlign w:val="center"/>
            <w:hideMark/>
          </w:tcPr>
          <w:p w14:paraId="79C9C8E3"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473</w:t>
            </w:r>
          </w:p>
        </w:tc>
        <w:tc>
          <w:tcPr>
            <w:tcW w:w="0" w:type="auto"/>
            <w:tcBorders>
              <w:top w:val="nil"/>
              <w:left w:val="nil"/>
              <w:bottom w:val="single" w:sz="4" w:space="0" w:color="808080"/>
              <w:right w:val="single" w:sz="4" w:space="0" w:color="808080"/>
            </w:tcBorders>
            <w:noWrap/>
            <w:vAlign w:val="center"/>
            <w:hideMark/>
          </w:tcPr>
          <w:p w14:paraId="4D2CAE51"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6,57</w:t>
            </w:r>
          </w:p>
        </w:tc>
      </w:tr>
      <w:tr w:rsidR="004921FF" w:rsidRPr="005C133F" w14:paraId="1ED0B8E6"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0E07579B"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Julio</w:t>
            </w:r>
          </w:p>
        </w:tc>
        <w:tc>
          <w:tcPr>
            <w:tcW w:w="0" w:type="auto"/>
            <w:tcBorders>
              <w:top w:val="nil"/>
              <w:left w:val="nil"/>
              <w:bottom w:val="single" w:sz="4" w:space="0" w:color="808080"/>
              <w:right w:val="single" w:sz="4" w:space="0" w:color="808080"/>
            </w:tcBorders>
            <w:shd w:val="clear" w:color="000000" w:fill="F2F2F2"/>
            <w:noWrap/>
            <w:vAlign w:val="center"/>
            <w:hideMark/>
          </w:tcPr>
          <w:p w14:paraId="4AB8814B"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2344E5A0"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2.733</w:t>
            </w:r>
          </w:p>
        </w:tc>
        <w:tc>
          <w:tcPr>
            <w:tcW w:w="0" w:type="auto"/>
            <w:tcBorders>
              <w:top w:val="nil"/>
              <w:left w:val="nil"/>
              <w:bottom w:val="single" w:sz="4" w:space="0" w:color="808080"/>
              <w:right w:val="single" w:sz="4" w:space="0" w:color="808080"/>
            </w:tcBorders>
            <w:shd w:val="clear" w:color="000000" w:fill="F2F2F2"/>
            <w:noWrap/>
            <w:vAlign w:val="center"/>
            <w:hideMark/>
          </w:tcPr>
          <w:p w14:paraId="2529FAA0"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485</w:t>
            </w:r>
          </w:p>
        </w:tc>
        <w:tc>
          <w:tcPr>
            <w:tcW w:w="0" w:type="auto"/>
            <w:tcBorders>
              <w:top w:val="nil"/>
              <w:left w:val="nil"/>
              <w:bottom w:val="single" w:sz="4" w:space="0" w:color="808080"/>
              <w:right w:val="single" w:sz="4" w:space="0" w:color="808080"/>
            </w:tcBorders>
            <w:shd w:val="clear" w:color="000000" w:fill="F2F2F2"/>
            <w:noWrap/>
            <w:vAlign w:val="center"/>
            <w:hideMark/>
          </w:tcPr>
          <w:p w14:paraId="56809B40"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3,52</w:t>
            </w:r>
          </w:p>
        </w:tc>
      </w:tr>
      <w:tr w:rsidR="004921FF" w:rsidRPr="005C133F" w14:paraId="42736BAA"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48521071"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Agosto</w:t>
            </w:r>
          </w:p>
        </w:tc>
        <w:tc>
          <w:tcPr>
            <w:tcW w:w="0" w:type="auto"/>
            <w:tcBorders>
              <w:top w:val="nil"/>
              <w:left w:val="nil"/>
              <w:bottom w:val="single" w:sz="4" w:space="0" w:color="808080"/>
              <w:right w:val="single" w:sz="4" w:space="0" w:color="808080"/>
            </w:tcBorders>
            <w:noWrap/>
            <w:vAlign w:val="center"/>
            <w:hideMark/>
          </w:tcPr>
          <w:p w14:paraId="0F4DA46F"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30A9E096"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3.482</w:t>
            </w:r>
          </w:p>
        </w:tc>
        <w:tc>
          <w:tcPr>
            <w:tcW w:w="0" w:type="auto"/>
            <w:tcBorders>
              <w:top w:val="nil"/>
              <w:left w:val="nil"/>
              <w:bottom w:val="single" w:sz="4" w:space="0" w:color="808080"/>
              <w:right w:val="single" w:sz="4" w:space="0" w:color="808080"/>
            </w:tcBorders>
            <w:noWrap/>
            <w:vAlign w:val="center"/>
            <w:hideMark/>
          </w:tcPr>
          <w:p w14:paraId="00199F0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489</w:t>
            </w:r>
          </w:p>
        </w:tc>
        <w:tc>
          <w:tcPr>
            <w:tcW w:w="0" w:type="auto"/>
            <w:tcBorders>
              <w:top w:val="nil"/>
              <w:left w:val="nil"/>
              <w:bottom w:val="single" w:sz="4" w:space="0" w:color="808080"/>
              <w:right w:val="single" w:sz="4" w:space="0" w:color="808080"/>
            </w:tcBorders>
            <w:noWrap/>
            <w:vAlign w:val="center"/>
            <w:hideMark/>
          </w:tcPr>
          <w:p w14:paraId="71F79747"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4,45</w:t>
            </w:r>
          </w:p>
        </w:tc>
      </w:tr>
      <w:tr w:rsidR="004921FF" w:rsidRPr="005C133F" w14:paraId="64F4CB2D"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60F63D63"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Septiembre</w:t>
            </w:r>
          </w:p>
        </w:tc>
        <w:tc>
          <w:tcPr>
            <w:tcW w:w="0" w:type="auto"/>
            <w:tcBorders>
              <w:top w:val="nil"/>
              <w:left w:val="nil"/>
              <w:bottom w:val="single" w:sz="4" w:space="0" w:color="808080"/>
              <w:right w:val="single" w:sz="4" w:space="0" w:color="808080"/>
            </w:tcBorders>
            <w:shd w:val="clear" w:color="000000" w:fill="F2F2F2"/>
            <w:noWrap/>
            <w:vAlign w:val="center"/>
            <w:hideMark/>
          </w:tcPr>
          <w:p w14:paraId="619DD6A1"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7F3FCC41"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3.54</w:t>
            </w:r>
          </w:p>
        </w:tc>
        <w:tc>
          <w:tcPr>
            <w:tcW w:w="0" w:type="auto"/>
            <w:tcBorders>
              <w:top w:val="nil"/>
              <w:left w:val="nil"/>
              <w:bottom w:val="single" w:sz="4" w:space="0" w:color="808080"/>
              <w:right w:val="single" w:sz="4" w:space="0" w:color="808080"/>
            </w:tcBorders>
            <w:shd w:val="clear" w:color="000000" w:fill="F2F2F2"/>
            <w:noWrap/>
            <w:vAlign w:val="center"/>
            <w:hideMark/>
          </w:tcPr>
          <w:p w14:paraId="4D8BDDC9"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476</w:t>
            </w:r>
          </w:p>
        </w:tc>
        <w:tc>
          <w:tcPr>
            <w:tcW w:w="0" w:type="auto"/>
            <w:tcBorders>
              <w:top w:val="nil"/>
              <w:left w:val="nil"/>
              <w:bottom w:val="single" w:sz="4" w:space="0" w:color="808080"/>
              <w:right w:val="single" w:sz="4" w:space="0" w:color="808080"/>
            </w:tcBorders>
            <w:shd w:val="clear" w:color="000000" w:fill="F2F2F2"/>
            <w:noWrap/>
            <w:vAlign w:val="center"/>
            <w:hideMark/>
          </w:tcPr>
          <w:p w14:paraId="09C851BF"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4,65</w:t>
            </w:r>
          </w:p>
        </w:tc>
      </w:tr>
      <w:tr w:rsidR="004921FF" w:rsidRPr="005C133F" w14:paraId="46B16BE4"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1E235F6E"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Octubre</w:t>
            </w:r>
          </w:p>
        </w:tc>
        <w:tc>
          <w:tcPr>
            <w:tcW w:w="0" w:type="auto"/>
            <w:tcBorders>
              <w:top w:val="nil"/>
              <w:left w:val="nil"/>
              <w:bottom w:val="single" w:sz="4" w:space="0" w:color="808080"/>
              <w:right w:val="single" w:sz="4" w:space="0" w:color="808080"/>
            </w:tcBorders>
            <w:noWrap/>
            <w:vAlign w:val="center"/>
            <w:hideMark/>
          </w:tcPr>
          <w:p w14:paraId="4E10CFE2"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7603F188"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4.778</w:t>
            </w:r>
          </w:p>
        </w:tc>
        <w:tc>
          <w:tcPr>
            <w:tcW w:w="0" w:type="auto"/>
            <w:tcBorders>
              <w:top w:val="nil"/>
              <w:left w:val="nil"/>
              <w:bottom w:val="single" w:sz="4" w:space="0" w:color="808080"/>
              <w:right w:val="single" w:sz="4" w:space="0" w:color="808080"/>
            </w:tcBorders>
            <w:noWrap/>
            <w:vAlign w:val="center"/>
            <w:hideMark/>
          </w:tcPr>
          <w:p w14:paraId="1055E5D8"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482</w:t>
            </w:r>
          </w:p>
        </w:tc>
        <w:tc>
          <w:tcPr>
            <w:tcW w:w="0" w:type="auto"/>
            <w:tcBorders>
              <w:top w:val="nil"/>
              <w:left w:val="nil"/>
              <w:bottom w:val="single" w:sz="4" w:space="0" w:color="808080"/>
              <w:right w:val="single" w:sz="4" w:space="0" w:color="808080"/>
            </w:tcBorders>
            <w:noWrap/>
            <w:vAlign w:val="center"/>
            <w:hideMark/>
          </w:tcPr>
          <w:p w14:paraId="4A5F57A0"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6,20</w:t>
            </w:r>
          </w:p>
        </w:tc>
      </w:tr>
      <w:tr w:rsidR="004921FF" w:rsidRPr="005C133F" w14:paraId="014FC80A" w14:textId="77777777" w:rsidTr="009B4ED1">
        <w:trPr>
          <w:trHeight w:val="312"/>
          <w:jc w:val="center"/>
        </w:trPr>
        <w:tc>
          <w:tcPr>
            <w:tcW w:w="0" w:type="auto"/>
            <w:tcBorders>
              <w:top w:val="nil"/>
              <w:left w:val="single" w:sz="4" w:space="0" w:color="808080"/>
              <w:bottom w:val="single" w:sz="4" w:space="0" w:color="808080"/>
              <w:right w:val="single" w:sz="4" w:space="0" w:color="808080"/>
            </w:tcBorders>
            <w:shd w:val="clear" w:color="000000" w:fill="F2F2F2"/>
            <w:noWrap/>
            <w:vAlign w:val="center"/>
            <w:hideMark/>
          </w:tcPr>
          <w:p w14:paraId="1F84F0B5"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Noviembre</w:t>
            </w:r>
          </w:p>
        </w:tc>
        <w:tc>
          <w:tcPr>
            <w:tcW w:w="0" w:type="auto"/>
            <w:tcBorders>
              <w:top w:val="nil"/>
              <w:left w:val="nil"/>
              <w:bottom w:val="single" w:sz="4" w:space="0" w:color="808080"/>
              <w:right w:val="single" w:sz="4" w:space="0" w:color="808080"/>
            </w:tcBorders>
            <w:shd w:val="clear" w:color="000000" w:fill="F2F2F2"/>
            <w:noWrap/>
            <w:vAlign w:val="center"/>
            <w:hideMark/>
          </w:tcPr>
          <w:p w14:paraId="4A13124A"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shd w:val="clear" w:color="000000" w:fill="F2F2F2"/>
            <w:noWrap/>
            <w:vAlign w:val="center"/>
            <w:hideMark/>
          </w:tcPr>
          <w:p w14:paraId="58B1861C"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3.09</w:t>
            </w:r>
          </w:p>
        </w:tc>
        <w:tc>
          <w:tcPr>
            <w:tcW w:w="0" w:type="auto"/>
            <w:tcBorders>
              <w:top w:val="nil"/>
              <w:left w:val="nil"/>
              <w:bottom w:val="single" w:sz="4" w:space="0" w:color="808080"/>
              <w:right w:val="single" w:sz="4" w:space="0" w:color="808080"/>
            </w:tcBorders>
            <w:shd w:val="clear" w:color="000000" w:fill="F2F2F2"/>
            <w:noWrap/>
            <w:vAlign w:val="center"/>
            <w:hideMark/>
          </w:tcPr>
          <w:p w14:paraId="2D72C939"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488</w:t>
            </w:r>
          </w:p>
        </w:tc>
        <w:tc>
          <w:tcPr>
            <w:tcW w:w="0" w:type="auto"/>
            <w:tcBorders>
              <w:top w:val="nil"/>
              <w:left w:val="nil"/>
              <w:bottom w:val="single" w:sz="4" w:space="0" w:color="808080"/>
              <w:right w:val="single" w:sz="4" w:space="0" w:color="808080"/>
            </w:tcBorders>
            <w:shd w:val="clear" w:color="000000" w:fill="F2F2F2"/>
            <w:noWrap/>
            <w:vAlign w:val="center"/>
            <w:hideMark/>
          </w:tcPr>
          <w:p w14:paraId="279E5C83"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3,96</w:t>
            </w:r>
          </w:p>
        </w:tc>
      </w:tr>
      <w:tr w:rsidR="004921FF" w:rsidRPr="005C133F" w14:paraId="25C1C093" w14:textId="77777777" w:rsidTr="009B4ED1">
        <w:trPr>
          <w:trHeight w:val="312"/>
          <w:jc w:val="center"/>
        </w:trPr>
        <w:tc>
          <w:tcPr>
            <w:tcW w:w="0" w:type="auto"/>
            <w:tcBorders>
              <w:top w:val="nil"/>
              <w:left w:val="single" w:sz="4" w:space="0" w:color="808080"/>
              <w:bottom w:val="single" w:sz="4" w:space="0" w:color="808080"/>
              <w:right w:val="single" w:sz="4" w:space="0" w:color="808080"/>
            </w:tcBorders>
            <w:noWrap/>
            <w:vAlign w:val="center"/>
            <w:hideMark/>
          </w:tcPr>
          <w:p w14:paraId="6CB9CED1" w14:textId="77777777" w:rsidR="00037EA0" w:rsidRPr="005C133F" w:rsidRDefault="00037EA0" w:rsidP="00673872">
            <w:pPr>
              <w:spacing w:after="0" w:line="240" w:lineRule="auto"/>
              <w:ind w:firstLineChars="100" w:firstLine="257"/>
              <w:rPr>
                <w:rFonts w:eastAsia="Times New Roman"/>
                <w:spacing w:val="0"/>
                <w:lang w:val="es-DO" w:eastAsia="es-DO"/>
              </w:rPr>
            </w:pPr>
            <w:r w:rsidRPr="005C133F">
              <w:rPr>
                <w:rFonts w:eastAsia="Arial"/>
                <w:bCs/>
                <w:spacing w:val="17"/>
                <w:lang w:val="es-DO" w:eastAsia="es-DO"/>
              </w:rPr>
              <w:t>Diciembre</w:t>
            </w:r>
          </w:p>
        </w:tc>
        <w:tc>
          <w:tcPr>
            <w:tcW w:w="0" w:type="auto"/>
            <w:tcBorders>
              <w:top w:val="nil"/>
              <w:left w:val="nil"/>
              <w:bottom w:val="single" w:sz="4" w:space="0" w:color="808080"/>
              <w:right w:val="single" w:sz="4" w:space="0" w:color="808080"/>
            </w:tcBorders>
            <w:noWrap/>
            <w:vAlign w:val="center"/>
            <w:hideMark/>
          </w:tcPr>
          <w:p w14:paraId="2F40280E"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c>
          <w:tcPr>
            <w:tcW w:w="0" w:type="auto"/>
            <w:tcBorders>
              <w:top w:val="nil"/>
              <w:left w:val="nil"/>
              <w:bottom w:val="single" w:sz="4" w:space="0" w:color="808080"/>
              <w:right w:val="single" w:sz="4" w:space="0" w:color="808080"/>
            </w:tcBorders>
            <w:noWrap/>
            <w:vAlign w:val="center"/>
            <w:hideMark/>
          </w:tcPr>
          <w:p w14:paraId="4B4D7754"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347</w:t>
            </w:r>
          </w:p>
        </w:tc>
        <w:tc>
          <w:tcPr>
            <w:tcW w:w="0" w:type="auto"/>
            <w:tcBorders>
              <w:top w:val="nil"/>
              <w:left w:val="nil"/>
              <w:bottom w:val="single" w:sz="4" w:space="0" w:color="808080"/>
              <w:right w:val="single" w:sz="4" w:space="0" w:color="808080"/>
            </w:tcBorders>
            <w:noWrap/>
            <w:vAlign w:val="center"/>
            <w:hideMark/>
          </w:tcPr>
          <w:p w14:paraId="75E7ADF9"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488</w:t>
            </w:r>
          </w:p>
        </w:tc>
        <w:tc>
          <w:tcPr>
            <w:tcW w:w="0" w:type="auto"/>
            <w:tcBorders>
              <w:top w:val="nil"/>
              <w:left w:val="nil"/>
              <w:bottom w:val="single" w:sz="4" w:space="0" w:color="808080"/>
              <w:right w:val="single" w:sz="4" w:space="0" w:color="808080"/>
            </w:tcBorders>
            <w:noWrap/>
            <w:vAlign w:val="center"/>
            <w:hideMark/>
          </w:tcPr>
          <w:p w14:paraId="540A2F34" w14:textId="77777777" w:rsidR="00037EA0" w:rsidRPr="005C133F" w:rsidRDefault="00037EA0" w:rsidP="00673872">
            <w:pPr>
              <w:spacing w:after="0" w:line="240" w:lineRule="auto"/>
              <w:jc w:val="center"/>
              <w:rPr>
                <w:rFonts w:eastAsia="Times New Roman"/>
                <w:spacing w:val="0"/>
                <w:lang w:val="es-DO" w:eastAsia="es-DO"/>
              </w:rPr>
            </w:pPr>
            <w:r w:rsidRPr="005C133F">
              <w:rPr>
                <w:rFonts w:eastAsia="Times New Roman"/>
                <w:spacing w:val="0"/>
                <w:lang w:val="es-DO" w:eastAsia="es-DO"/>
              </w:rPr>
              <w:t>0,44</w:t>
            </w:r>
          </w:p>
        </w:tc>
      </w:tr>
    </w:tbl>
    <w:p w14:paraId="0D9B72A3" w14:textId="0F76F108" w:rsidR="00587695" w:rsidRPr="00885E9D" w:rsidRDefault="004E465F" w:rsidP="005C133F">
      <w:pPr>
        <w:pStyle w:val="Textoindependiente"/>
        <w:spacing w:line="360" w:lineRule="auto"/>
        <w:ind w:left="284" w:right="282"/>
        <w:jc w:val="both"/>
        <w:rPr>
          <w:rFonts w:eastAsiaTheme="minorEastAsia"/>
          <w:b w:val="0"/>
          <w:i w:val="0"/>
          <w:color w:val="767171"/>
          <w:spacing w:val="17"/>
          <w:sz w:val="18"/>
          <w:szCs w:val="18"/>
          <w:lang w:val="es-DO"/>
        </w:rPr>
      </w:pPr>
      <w:r w:rsidRPr="00885E9D">
        <w:rPr>
          <w:rFonts w:eastAsiaTheme="minorEastAsia"/>
          <w:b w:val="0"/>
          <w:i w:val="0"/>
          <w:color w:val="767171"/>
          <w:spacing w:val="17"/>
          <w:sz w:val="18"/>
          <w:szCs w:val="18"/>
          <w:lang w:val="es-DO"/>
        </w:rPr>
        <w:t>Fuente: Sistema de Asistencia de Recursos Humanos</w:t>
      </w:r>
    </w:p>
    <w:p w14:paraId="4884FAEF" w14:textId="300F255C" w:rsidR="00A31520" w:rsidRPr="005C133F" w:rsidRDefault="00A31520" w:rsidP="005C133F">
      <w:pPr>
        <w:pStyle w:val="SUBTITULITO"/>
        <w:spacing w:after="0"/>
        <w:rPr>
          <w:rFonts w:eastAsia="Calibri"/>
          <w:noProof/>
        </w:rPr>
      </w:pPr>
      <w:bookmarkStart w:id="128" w:name="_Toc219121854"/>
      <w:r w:rsidRPr="005C133F">
        <w:rPr>
          <w:rFonts w:eastAsia="Calibri"/>
          <w:noProof/>
        </w:rPr>
        <w:t>4.3 Desempeño de los Procesos Jurídicos</w:t>
      </w:r>
      <w:bookmarkEnd w:id="128"/>
    </w:p>
    <w:p w14:paraId="1CDB8C1B" w14:textId="77777777" w:rsidR="00B17F5D" w:rsidRPr="005C133F" w:rsidRDefault="00B17F5D" w:rsidP="005C133F">
      <w:pPr>
        <w:spacing w:after="0" w:line="360" w:lineRule="auto"/>
        <w:rPr>
          <w:rFonts w:eastAsia="Calibri"/>
          <w:noProof/>
          <w:lang w:val="es-DO"/>
        </w:rPr>
      </w:pPr>
    </w:p>
    <w:p w14:paraId="139A701C" w14:textId="6BB6D2B5" w:rsidR="00B17F5D" w:rsidRPr="005C133F" w:rsidRDefault="00B17F5D">
      <w:pPr>
        <w:pStyle w:val="Prrafodelista"/>
        <w:widowControl w:val="0"/>
        <w:numPr>
          <w:ilvl w:val="0"/>
          <w:numId w:val="172"/>
        </w:numPr>
        <w:tabs>
          <w:tab w:val="left" w:pos="1080"/>
        </w:tabs>
        <w:autoSpaceDE w:val="0"/>
        <w:autoSpaceDN w:val="0"/>
        <w:spacing w:after="0" w:line="360" w:lineRule="auto"/>
      </w:pPr>
      <w:r w:rsidRPr="005C133F">
        <w:rPr>
          <w:b/>
          <w:lang w:val="es-DO"/>
        </w:rPr>
        <w:t>Emisión de opiniones jurídicas</w:t>
      </w:r>
    </w:p>
    <w:p w14:paraId="5E066AD8" w14:textId="77777777" w:rsidR="005223AE" w:rsidRPr="005C133F" w:rsidRDefault="005223AE" w:rsidP="005C133F">
      <w:pPr>
        <w:spacing w:after="0" w:line="360" w:lineRule="auto"/>
      </w:pPr>
    </w:p>
    <w:p w14:paraId="26EC3868" w14:textId="5EC46A3B" w:rsidR="00B17F5D" w:rsidRPr="005C133F" w:rsidRDefault="00B17F5D" w:rsidP="005C133F">
      <w:pPr>
        <w:spacing w:after="0" w:line="360" w:lineRule="auto"/>
        <w:jc w:val="both"/>
        <w:rPr>
          <w:rFonts w:eastAsia="Calibri"/>
          <w:lang w:val="es-DO"/>
        </w:rPr>
      </w:pPr>
      <w:r w:rsidRPr="005C133F">
        <w:rPr>
          <w:lang w:val="es-DO"/>
        </w:rPr>
        <w:t>Durante el año 2025, la Dirección Jurídica revisó y validó un total de ciento treinta (130) expedientes correspondientes a solicitudes de renovación y acreditación de licencia a Promotores de Seguros de Salud garantizando el cumplimiento del marco legal y normativo aplicable.</w:t>
      </w:r>
    </w:p>
    <w:p w14:paraId="3D20832E" w14:textId="13902778" w:rsidR="000B2097" w:rsidRPr="005C133F" w:rsidRDefault="00E868D3" w:rsidP="005C133F">
      <w:pPr>
        <w:spacing w:after="0" w:line="360" w:lineRule="auto"/>
        <w:jc w:val="both"/>
        <w:rPr>
          <w:rFonts w:eastAsia="Calibri"/>
          <w:lang w:val="es-DO"/>
        </w:rPr>
      </w:pPr>
      <w:r w:rsidRPr="005C133F">
        <w:rPr>
          <w:noProof/>
          <w:lang w:val="es-DO"/>
        </w:rPr>
        <w:t>Se emittieron</w:t>
      </w:r>
      <w:r w:rsidR="00A43417" w:rsidRPr="005C133F">
        <w:rPr>
          <w:lang w:val="es-DO"/>
        </w:rPr>
        <w:t xml:space="preserve"> t</w:t>
      </w:r>
      <w:r w:rsidR="00B17F5D" w:rsidRPr="005C133F">
        <w:rPr>
          <w:lang w:val="es-DO"/>
        </w:rPr>
        <w:t>reinta (30) opiniones legales y jurídica a requerimiento de las diferentes unidades internas de la SISALRIL y usuarios externos sobre diferentes tópicos:</w:t>
      </w:r>
    </w:p>
    <w:p w14:paraId="14D2586A" w14:textId="49DC4248" w:rsidR="00E751C8" w:rsidRPr="005C133F" w:rsidRDefault="00B17F5D">
      <w:pPr>
        <w:pStyle w:val="Prrafodelista"/>
        <w:numPr>
          <w:ilvl w:val="0"/>
          <w:numId w:val="175"/>
        </w:numPr>
        <w:spacing w:after="0" w:line="360" w:lineRule="auto"/>
        <w:jc w:val="both"/>
        <w:rPr>
          <w:lang w:val="es-DO"/>
        </w:rPr>
      </w:pPr>
      <w:r w:rsidRPr="005C133F">
        <w:rPr>
          <w:lang w:val="es-DO"/>
        </w:rPr>
        <w:lastRenderedPageBreak/>
        <w:t>La vigencia del acuerdo OISS-SISALRIL, de fecha 10 de febrero 2025, a requerimiento de la Dirección Administrativa y Financiera.</w:t>
      </w:r>
    </w:p>
    <w:p w14:paraId="4C04CAAE" w14:textId="738ECF38" w:rsidR="00CE21E0" w:rsidRPr="005C133F" w:rsidRDefault="00B17F5D">
      <w:pPr>
        <w:pStyle w:val="Prrafodelista"/>
        <w:numPr>
          <w:ilvl w:val="0"/>
          <w:numId w:val="175"/>
        </w:numPr>
        <w:spacing w:after="0" w:line="360" w:lineRule="auto"/>
        <w:jc w:val="both"/>
        <w:rPr>
          <w:rFonts w:eastAsia="Calibri"/>
          <w:lang w:val="es-DO"/>
        </w:rPr>
      </w:pPr>
      <w:r w:rsidRPr="005C133F">
        <w:rPr>
          <w:rFonts w:eastAsia="Calibri"/>
          <w:lang w:val="es-DO"/>
        </w:rPr>
        <w:t>Solicitud de autorización de venta de acciones a requerimiento de la Administradora de Riesgos de Salud Renacer (ARS Renacer), mediante la comunicación de fecha 28 de febrero de 2025.</w:t>
      </w:r>
    </w:p>
    <w:p w14:paraId="23713B69" w14:textId="76C1C420" w:rsidR="00E751C8" w:rsidRPr="005C133F" w:rsidRDefault="00CE21E0">
      <w:pPr>
        <w:pStyle w:val="Prrafodelista"/>
        <w:numPr>
          <w:ilvl w:val="0"/>
          <w:numId w:val="175"/>
        </w:numPr>
        <w:spacing w:after="0" w:line="360" w:lineRule="auto"/>
        <w:jc w:val="both"/>
        <w:rPr>
          <w:rFonts w:eastAsia="Calibri"/>
          <w:lang w:val="es-DO"/>
        </w:rPr>
      </w:pPr>
      <w:r w:rsidRPr="005C133F">
        <w:rPr>
          <w:rFonts w:eastAsia="Calibri"/>
          <w:lang w:val="es-DO"/>
        </w:rPr>
        <w:t>El modelo de gestión técnico, administrativo y financiero planteado para el desarrollo del Fondo Especial para Programas Prioritarios de Salud Pública (FONSAP) y el Plan de Inclusión de Antirretrovirales en el Plan Básico de Salud (PBS), de fecha 5 de marzo de 2025, a requerimiento de la Dirección de Aseguramiento en Salud para el Régimen Contributivo y Planes</w:t>
      </w:r>
    </w:p>
    <w:p w14:paraId="2AB83715" w14:textId="267F4B33" w:rsidR="00B17F5D" w:rsidRPr="005C133F" w:rsidRDefault="00B17F5D">
      <w:pPr>
        <w:pStyle w:val="Prrafodelista"/>
        <w:numPr>
          <w:ilvl w:val="0"/>
          <w:numId w:val="175"/>
        </w:numPr>
        <w:spacing w:after="0" w:line="360" w:lineRule="auto"/>
        <w:jc w:val="both"/>
        <w:rPr>
          <w:lang w:val="es-DO"/>
        </w:rPr>
      </w:pPr>
      <w:r w:rsidRPr="005C133F">
        <w:rPr>
          <w:lang w:val="es-DO"/>
        </w:rPr>
        <w:t>La modalidad de acto administrativo sugerido para la contratación del personal por tiempo definido, a requerimiento de la Dirección de Recursos Humanos.</w:t>
      </w:r>
    </w:p>
    <w:p w14:paraId="6F57B805" w14:textId="5158BBEA" w:rsidR="00FD7DFA" w:rsidRPr="005C133F" w:rsidRDefault="00FD7DFA">
      <w:pPr>
        <w:pStyle w:val="Prrafodelista"/>
        <w:numPr>
          <w:ilvl w:val="0"/>
          <w:numId w:val="175"/>
        </w:numPr>
        <w:spacing w:after="0" w:line="360" w:lineRule="auto"/>
        <w:jc w:val="both"/>
        <w:rPr>
          <w:lang w:val="es-DO"/>
        </w:rPr>
      </w:pPr>
      <w:r w:rsidRPr="005C133F">
        <w:rPr>
          <w:noProof/>
          <w:lang w:val="es-DO"/>
        </w:rPr>
        <w:t>La solicitud de autorización de modificación de Estatutos Sociales, a requerimiento de la Administradora de Riesgos de Salud (ARS) Universal, mediante la comunicación de fecha 8 de abril de 2025.</w:t>
      </w:r>
    </w:p>
    <w:p w14:paraId="7825F85E" w14:textId="7C74B4AC" w:rsidR="00B17F5D" w:rsidRPr="005C133F" w:rsidRDefault="00B17F5D">
      <w:pPr>
        <w:pStyle w:val="Prrafodelista"/>
        <w:numPr>
          <w:ilvl w:val="0"/>
          <w:numId w:val="175"/>
        </w:numPr>
        <w:spacing w:after="0" w:line="360" w:lineRule="auto"/>
        <w:jc w:val="both"/>
        <w:rPr>
          <w:lang w:val="es-DO"/>
        </w:rPr>
      </w:pPr>
      <w:r w:rsidRPr="005C133F">
        <w:rPr>
          <w:lang w:val="es-DO"/>
        </w:rPr>
        <w:t>La solicitud de autorización de modificación de Estatutos Sociales, a requerimiento de la Administradora de Riesgos de Salud Futuro (ARS Futuro), en fecha 15 de mayo de 2025.</w:t>
      </w:r>
    </w:p>
    <w:p w14:paraId="63B622E3" w14:textId="24441FD3" w:rsidR="00B17F5D" w:rsidRPr="005C133F" w:rsidRDefault="00B17F5D">
      <w:pPr>
        <w:pStyle w:val="Prrafodelista"/>
        <w:numPr>
          <w:ilvl w:val="0"/>
          <w:numId w:val="175"/>
        </w:numPr>
        <w:spacing w:after="0" w:line="360" w:lineRule="auto"/>
        <w:jc w:val="both"/>
        <w:rPr>
          <w:lang w:val="es-DO"/>
        </w:rPr>
      </w:pPr>
      <w:r w:rsidRPr="005C133F">
        <w:rPr>
          <w:lang w:val="es-DO"/>
        </w:rPr>
        <w:t xml:space="preserve">La Política de Confidencialidad PO-GH09-2025, a requerimiento de la Dirección de Recursos Humanos. </w:t>
      </w:r>
    </w:p>
    <w:p w14:paraId="5D65384D" w14:textId="6485A682" w:rsidR="00B17F5D" w:rsidRPr="005C133F" w:rsidRDefault="00B17F5D">
      <w:pPr>
        <w:pStyle w:val="Prrafodelista"/>
        <w:numPr>
          <w:ilvl w:val="0"/>
          <w:numId w:val="175"/>
        </w:numPr>
        <w:spacing w:after="0" w:line="360" w:lineRule="auto"/>
        <w:jc w:val="both"/>
        <w:rPr>
          <w:lang w:val="es-DO"/>
        </w:rPr>
      </w:pPr>
      <w:r w:rsidRPr="005C133F">
        <w:rPr>
          <w:lang w:val="es-DO"/>
        </w:rPr>
        <w:t>Sobre la solicitud de autorización de Estatutos Sociales, a requerimiento de la Administradora de Riesgos de Salud APS (ARS APS), en fecha 31 de julio de 2025.</w:t>
      </w:r>
    </w:p>
    <w:p w14:paraId="0F2DDA03" w14:textId="7651C6A7" w:rsidR="00B17F5D" w:rsidRPr="005C133F" w:rsidRDefault="00B17F5D">
      <w:pPr>
        <w:pStyle w:val="Prrafodelista"/>
        <w:numPr>
          <w:ilvl w:val="0"/>
          <w:numId w:val="175"/>
        </w:numPr>
        <w:spacing w:after="0" w:line="360" w:lineRule="auto"/>
        <w:jc w:val="both"/>
        <w:rPr>
          <w:lang w:val="es-DO"/>
        </w:rPr>
      </w:pPr>
      <w:r w:rsidRPr="005C133F">
        <w:rPr>
          <w:lang w:val="es-DO"/>
        </w:rPr>
        <w:t xml:space="preserve">Sobre la solicitud de autorización de Estatutos Sociales, a requerimiento de la Administradora de Riesgos de Salud Futuro </w:t>
      </w:r>
      <w:r w:rsidRPr="005C133F">
        <w:rPr>
          <w:lang w:val="es-DO"/>
        </w:rPr>
        <w:lastRenderedPageBreak/>
        <w:t>(ARS Futuro), mediante comunicación de fecha 6 de agosto de 2025.</w:t>
      </w:r>
    </w:p>
    <w:p w14:paraId="6D11581D" w14:textId="3A3EF76B" w:rsidR="00B17F5D" w:rsidRPr="005C133F" w:rsidRDefault="00B17F5D">
      <w:pPr>
        <w:pStyle w:val="Prrafodelista"/>
        <w:numPr>
          <w:ilvl w:val="0"/>
          <w:numId w:val="175"/>
        </w:numPr>
        <w:spacing w:after="0" w:line="360" w:lineRule="auto"/>
        <w:jc w:val="both"/>
        <w:rPr>
          <w:lang w:val="es-DO"/>
        </w:rPr>
      </w:pPr>
      <w:r w:rsidRPr="005C133F">
        <w:rPr>
          <w:lang w:val="es-DO"/>
        </w:rPr>
        <w:t>Sobre la solicitud de autorización de Estatutos Sociales, a requerimiento de la Administradora de Riesgos de Salud Renacer (ARS Renacer), en fecha 8 de agosto de 2025.</w:t>
      </w:r>
    </w:p>
    <w:p w14:paraId="4D6E4520" w14:textId="1CA69C5D" w:rsidR="00B17F5D" w:rsidRPr="005C133F" w:rsidRDefault="00B17F5D">
      <w:pPr>
        <w:pStyle w:val="Prrafodelista"/>
        <w:numPr>
          <w:ilvl w:val="0"/>
          <w:numId w:val="175"/>
        </w:numPr>
        <w:spacing w:after="0" w:line="360" w:lineRule="auto"/>
        <w:jc w:val="both"/>
        <w:rPr>
          <w:lang w:val="es-DO"/>
        </w:rPr>
      </w:pPr>
      <w:r w:rsidRPr="005C133F">
        <w:rPr>
          <w:lang w:val="es-DO"/>
        </w:rPr>
        <w:t>La solicitud de autorización de Estatutos Sociales, a requerimiento de la Administradora de Riesgos de Salud MAPFRE (MAPFRE Salud ARS), en fecha 12 de noviembre de 2025.</w:t>
      </w:r>
    </w:p>
    <w:p w14:paraId="1A5EA861" w14:textId="3EC9631E" w:rsidR="00B17F5D" w:rsidRPr="005C133F" w:rsidRDefault="00B17F5D">
      <w:pPr>
        <w:pStyle w:val="Prrafodelista"/>
        <w:numPr>
          <w:ilvl w:val="0"/>
          <w:numId w:val="175"/>
        </w:numPr>
        <w:spacing w:after="0" w:line="360" w:lineRule="auto"/>
        <w:jc w:val="both"/>
        <w:rPr>
          <w:lang w:val="es-DO"/>
        </w:rPr>
      </w:pPr>
      <w:r w:rsidRPr="005C133F">
        <w:rPr>
          <w:lang w:val="es-DO"/>
        </w:rPr>
        <w:t>Determinación de derecho a licencia pre y post natal, al subsidio por maternidad y subsidio por lactancia en caso de fallecimiento del neonato, a requerimiento de la Dirección de Control de Subsidios.</w:t>
      </w:r>
    </w:p>
    <w:p w14:paraId="3C6E5D37" w14:textId="4EEC4CBD" w:rsidR="00B17F5D" w:rsidRPr="005C133F" w:rsidRDefault="00B17F5D">
      <w:pPr>
        <w:pStyle w:val="Prrafodelista"/>
        <w:numPr>
          <w:ilvl w:val="0"/>
          <w:numId w:val="175"/>
        </w:numPr>
        <w:spacing w:after="0" w:line="360" w:lineRule="auto"/>
        <w:jc w:val="both"/>
        <w:rPr>
          <w:lang w:val="es-DO"/>
        </w:rPr>
      </w:pPr>
      <w:r w:rsidRPr="005C133F">
        <w:rPr>
          <w:lang w:val="es-DO"/>
        </w:rPr>
        <w:t>Propuestas de mejoras a la Resolución del CNSS núm. 560-04, de fecha 15 de diciembre de 2022, que establece el Reglamento sobre Subsidios por Maternidad, Lactancia y Enfermedad Común, a requerimiento de la Dirección de Control de Subsidios.</w:t>
      </w:r>
    </w:p>
    <w:p w14:paraId="70FAE7DC" w14:textId="5A48DC81" w:rsidR="00B17F5D" w:rsidRPr="005C133F" w:rsidRDefault="00B17F5D">
      <w:pPr>
        <w:pStyle w:val="Prrafodelista"/>
        <w:numPr>
          <w:ilvl w:val="0"/>
          <w:numId w:val="175"/>
        </w:numPr>
        <w:spacing w:after="0" w:line="360" w:lineRule="auto"/>
        <w:jc w:val="both"/>
        <w:rPr>
          <w:lang w:val="es-DO"/>
        </w:rPr>
      </w:pPr>
      <w:r w:rsidRPr="005C133F">
        <w:rPr>
          <w:lang w:val="es-DO"/>
        </w:rPr>
        <w:t>La base legal para cálculo de antigüedad en el Estado dominicano, a requerimiento de la Dirección de Recursos Humanos.</w:t>
      </w:r>
    </w:p>
    <w:p w14:paraId="649DDDCD" w14:textId="384025A5" w:rsidR="00B17F5D" w:rsidRPr="005C133F" w:rsidRDefault="00B17F5D">
      <w:pPr>
        <w:pStyle w:val="Prrafodelista"/>
        <w:numPr>
          <w:ilvl w:val="0"/>
          <w:numId w:val="175"/>
        </w:numPr>
        <w:spacing w:after="0" w:line="360" w:lineRule="auto"/>
        <w:jc w:val="both"/>
        <w:rPr>
          <w:lang w:val="es-DO"/>
        </w:rPr>
      </w:pPr>
      <w:r w:rsidRPr="005C133F">
        <w:rPr>
          <w:lang w:val="es-DO"/>
        </w:rPr>
        <w:t>La procedencia de entrega de gastos fúnebres en casi de sobrevivencia de hijo mayor de edad y padres del trabajador fallecido, a requerimiento de la Dirección de Aseguramiento de Riesgos Laborales y a fines de ser emitida a la Dirección de Prevención y Protección de Riesgos Laborales (IDOPPRIL).</w:t>
      </w:r>
    </w:p>
    <w:p w14:paraId="1752FD7B" w14:textId="0FF0EA2F" w:rsidR="00B17F5D" w:rsidRPr="005C133F" w:rsidRDefault="00B17F5D">
      <w:pPr>
        <w:pStyle w:val="Prrafodelista"/>
        <w:numPr>
          <w:ilvl w:val="0"/>
          <w:numId w:val="175"/>
        </w:numPr>
        <w:spacing w:after="0" w:line="360" w:lineRule="auto"/>
        <w:jc w:val="both"/>
        <w:rPr>
          <w:lang w:val="es-DO"/>
        </w:rPr>
      </w:pPr>
      <w:r w:rsidRPr="005C133F">
        <w:rPr>
          <w:lang w:val="es-DO"/>
        </w:rPr>
        <w:t>Retiro de fondos por lactancia en caso de fallecimiento de la madre, a requerimiento de la Dirección de Control de Subsidios.</w:t>
      </w:r>
    </w:p>
    <w:p w14:paraId="65D322C2" w14:textId="2854CC3E" w:rsidR="00B17F5D" w:rsidRPr="005C133F" w:rsidRDefault="00B17F5D">
      <w:pPr>
        <w:pStyle w:val="Prrafodelista"/>
        <w:numPr>
          <w:ilvl w:val="0"/>
          <w:numId w:val="175"/>
        </w:numPr>
        <w:spacing w:after="0" w:line="360" w:lineRule="auto"/>
        <w:jc w:val="both"/>
        <w:rPr>
          <w:lang w:val="es-DO"/>
        </w:rPr>
      </w:pPr>
      <w:r w:rsidRPr="005C133F">
        <w:rPr>
          <w:lang w:val="es-DO"/>
        </w:rPr>
        <w:lastRenderedPageBreak/>
        <w:t>Las posibles acciones administrativas que pudo adoptar la SISALRIL en el proceso de supervisión a la ARS SeNaSa, ante la no remisión de información, a requerimiento de la Dirección de Supervisión y Monitoreo de la Gestión del Riesgo.</w:t>
      </w:r>
    </w:p>
    <w:p w14:paraId="6FE96CD3" w14:textId="582C1EB8" w:rsidR="00B17F5D" w:rsidRPr="005C133F" w:rsidRDefault="00B17F5D">
      <w:pPr>
        <w:pStyle w:val="Prrafodelista"/>
        <w:numPr>
          <w:ilvl w:val="0"/>
          <w:numId w:val="175"/>
        </w:numPr>
        <w:spacing w:after="0" w:line="360" w:lineRule="auto"/>
        <w:jc w:val="both"/>
        <w:rPr>
          <w:lang w:val="es-DO"/>
        </w:rPr>
      </w:pPr>
      <w:r w:rsidRPr="005C133F">
        <w:rPr>
          <w:lang w:val="es-DO"/>
        </w:rPr>
        <w:t>Los informes a ser utilizados por la Dirección de Información y Atención al Usuario (DIAU), en los casos de infracciones detectadas en el ejercicio de sus funciones.</w:t>
      </w:r>
    </w:p>
    <w:p w14:paraId="6900E09F" w14:textId="2FA35B87" w:rsidR="00B17F5D" w:rsidRPr="005C133F" w:rsidRDefault="00B17F5D">
      <w:pPr>
        <w:pStyle w:val="Prrafodelista"/>
        <w:numPr>
          <w:ilvl w:val="0"/>
          <w:numId w:val="175"/>
        </w:numPr>
        <w:spacing w:after="0" w:line="360" w:lineRule="auto"/>
        <w:jc w:val="both"/>
        <w:rPr>
          <w:lang w:val="es-DO"/>
        </w:rPr>
      </w:pPr>
      <w:r w:rsidRPr="005C133F">
        <w:rPr>
          <w:lang w:val="es-DO"/>
        </w:rPr>
        <w:t xml:space="preserve">La identificación de infracción por unificación de núcleo presuntamente irregular, a requerimiento de la Dirección de Información y Atención al Usuario (DIAU). </w:t>
      </w:r>
    </w:p>
    <w:p w14:paraId="61B62B45" w14:textId="28FB05FD" w:rsidR="00B17F5D" w:rsidRPr="005C133F" w:rsidRDefault="00B17F5D">
      <w:pPr>
        <w:pStyle w:val="Prrafodelista"/>
        <w:numPr>
          <w:ilvl w:val="0"/>
          <w:numId w:val="175"/>
        </w:numPr>
        <w:spacing w:after="0" w:line="360" w:lineRule="auto"/>
        <w:jc w:val="both"/>
        <w:rPr>
          <w:lang w:val="es-DO"/>
        </w:rPr>
      </w:pPr>
      <w:r w:rsidRPr="005C133F">
        <w:rPr>
          <w:lang w:val="es-DO"/>
        </w:rPr>
        <w:t>La actuación procedente de la Dirección de Aseguramiento de Riesgos Laborales, frente a una denuncia o reiteración de incumplimiento atribuida al Prestador de Servicios de Salud Centro Médico Escaño, enviada mediante correo electrónico en fecha 7 de marzo de 2025, a requerimiento de la Dirección de Aseguramiento de Riesgos Laborales.</w:t>
      </w:r>
    </w:p>
    <w:p w14:paraId="24A6EB68" w14:textId="41217A60" w:rsidR="00B17F5D" w:rsidRPr="005C133F" w:rsidRDefault="00B17F5D">
      <w:pPr>
        <w:pStyle w:val="Prrafodelista"/>
        <w:numPr>
          <w:ilvl w:val="0"/>
          <w:numId w:val="175"/>
        </w:numPr>
        <w:spacing w:after="0" w:line="360" w:lineRule="auto"/>
        <w:jc w:val="both"/>
        <w:rPr>
          <w:lang w:val="es-DO"/>
        </w:rPr>
      </w:pPr>
      <w:r w:rsidRPr="005C133F">
        <w:rPr>
          <w:lang w:val="es-DO"/>
        </w:rPr>
        <w:t>El escrito de defensa presentado por ARS SeNaSa en el marco de un procedimiento administrativo sancionador, a requerimiento de la Dirección de Supervisión y Monitoreo de la Gestión del Riesgo.</w:t>
      </w:r>
    </w:p>
    <w:p w14:paraId="32A1B97E" w14:textId="3C6088F2" w:rsidR="00B17F5D" w:rsidRPr="005C133F" w:rsidRDefault="00B17F5D">
      <w:pPr>
        <w:pStyle w:val="Prrafodelista"/>
        <w:numPr>
          <w:ilvl w:val="0"/>
          <w:numId w:val="175"/>
        </w:numPr>
        <w:spacing w:after="0" w:line="360" w:lineRule="auto"/>
        <w:jc w:val="both"/>
        <w:rPr>
          <w:lang w:val="es-DO"/>
        </w:rPr>
      </w:pPr>
      <w:r w:rsidRPr="005C133F">
        <w:rPr>
          <w:lang w:val="es-DO"/>
        </w:rPr>
        <w:t>La apertura de un procedimiento administrativo sancionador a la ARS por omisión en la remisión de información solicitada, a requerimiento de la Dirección de Aseguramiento en Salud para el régimen Contributivo y Planes.</w:t>
      </w:r>
    </w:p>
    <w:p w14:paraId="3E7CD190" w14:textId="5E727E1C" w:rsidR="00B17F5D" w:rsidRPr="005C133F" w:rsidRDefault="00B17F5D">
      <w:pPr>
        <w:pStyle w:val="Prrafodelista"/>
        <w:numPr>
          <w:ilvl w:val="0"/>
          <w:numId w:val="175"/>
        </w:numPr>
        <w:spacing w:after="0" w:line="360" w:lineRule="auto"/>
        <w:jc w:val="both"/>
        <w:rPr>
          <w:lang w:val="es-DO"/>
        </w:rPr>
      </w:pPr>
      <w:r w:rsidRPr="005C133F">
        <w:rPr>
          <w:lang w:val="es-DO"/>
        </w:rPr>
        <w:t xml:space="preserve">La aplicación del artículo 81 y siguientes de la Ley núm. 358-05, General de Protección de los Derechos del Consumidor o Usuario (Pro-Consumidor), y normas complementarias, respecto al registro de los contratos de adhesión suscritos entre la Administradoras de Riesgos de Salud Futuro S.A. (ARS Futuro) y sus afiliados, en el marco de los servicios de salud </w:t>
      </w:r>
      <w:r w:rsidRPr="005C133F">
        <w:rPr>
          <w:lang w:val="es-DO"/>
        </w:rPr>
        <w:lastRenderedPageBreak/>
        <w:t>ofertados bajo la modalidad de planes alternativos de salud (planes complementarios, planes especiales de medicina prepagada y planes voluntarios), a requerimiento de la Administradoras de Riesgos de Salud Futuro S.A. (ARS Futuro).</w:t>
      </w:r>
    </w:p>
    <w:p w14:paraId="567B858C" w14:textId="695CDBF9" w:rsidR="00B17F5D" w:rsidRPr="005C133F" w:rsidRDefault="00B17F5D">
      <w:pPr>
        <w:pStyle w:val="Prrafodelista"/>
        <w:numPr>
          <w:ilvl w:val="0"/>
          <w:numId w:val="175"/>
        </w:numPr>
        <w:spacing w:after="0" w:line="360" w:lineRule="auto"/>
        <w:jc w:val="both"/>
        <w:rPr>
          <w:lang w:val="es-DO"/>
        </w:rPr>
      </w:pPr>
      <w:r w:rsidRPr="005C133F">
        <w:rPr>
          <w:lang w:val="es-DO"/>
        </w:rPr>
        <w:t>La reconsideración de dictámenes de discapacidad emitidos por las comisiones médicas regionales y nacional, para pago de indemnizaciones económicas a favor de los señores Alba Dolores Galván Cordero, Arturo Adrián Jacinto Soto y Manuel de Jesús Arias, trabajadores afiliados al seguro de riesgos laborales, a requerimiento de la Dirección General de Información y Defensa de los Afiliados de la Seguridad Social (DIDA).</w:t>
      </w:r>
    </w:p>
    <w:p w14:paraId="5BBF2386" w14:textId="2A6FDD90" w:rsidR="00B17F5D" w:rsidRPr="005C133F" w:rsidRDefault="00B17F5D">
      <w:pPr>
        <w:pStyle w:val="Prrafodelista"/>
        <w:numPr>
          <w:ilvl w:val="0"/>
          <w:numId w:val="175"/>
        </w:numPr>
        <w:spacing w:after="0" w:line="360" w:lineRule="auto"/>
        <w:jc w:val="both"/>
        <w:rPr>
          <w:lang w:val="es-DO"/>
        </w:rPr>
      </w:pPr>
      <w:r w:rsidRPr="005C133F">
        <w:rPr>
          <w:lang w:val="es-DO"/>
        </w:rPr>
        <w:t>La aplicación de la Resolución Administrativa núm. 00254-2023, que Regula el Nuevo Procedimiento para la Entrega del Subsidio por Enfermedad Común, emitida por la SISARIL en fecha 15 de mayo de 2023; como también de la Normativa sobre el Subsidio por Enfermedad Común, dictada por el Consejo Nacional de Seguridad Social mediante la Resolución núm. 560-04 de fecha 15 de diciembre de 2022, a requerimiento de la Dirección de Control de Subsidios.</w:t>
      </w:r>
    </w:p>
    <w:p w14:paraId="4EC2C4EA" w14:textId="2093ABB1" w:rsidR="00B17F5D" w:rsidRPr="005C133F" w:rsidRDefault="00B17F5D">
      <w:pPr>
        <w:pStyle w:val="Prrafodelista"/>
        <w:numPr>
          <w:ilvl w:val="0"/>
          <w:numId w:val="175"/>
        </w:numPr>
        <w:spacing w:after="0" w:line="360" w:lineRule="auto"/>
        <w:jc w:val="both"/>
        <w:rPr>
          <w:lang w:val="es-DO"/>
        </w:rPr>
      </w:pPr>
      <w:r w:rsidRPr="005C133F">
        <w:rPr>
          <w:lang w:val="es-DO"/>
        </w:rPr>
        <w:t>La aplicación correcta del artículo 15, de la Normativa sobre el Subsidio por Enfermedad Común, para el caso de los trabajadores sometidos a la condición de pluriempleo y cálculo del subsidio por enfermedad común, a requerimiento de la Dirección de Control de Subsidios.</w:t>
      </w:r>
    </w:p>
    <w:p w14:paraId="21091ACE" w14:textId="5C2E58A0" w:rsidR="00B17F5D" w:rsidRPr="005C133F" w:rsidRDefault="00B17F5D">
      <w:pPr>
        <w:pStyle w:val="Prrafodelista"/>
        <w:numPr>
          <w:ilvl w:val="0"/>
          <w:numId w:val="175"/>
        </w:numPr>
        <w:spacing w:after="0" w:line="360" w:lineRule="auto"/>
        <w:jc w:val="both"/>
        <w:rPr>
          <w:lang w:val="es-DO"/>
        </w:rPr>
      </w:pPr>
      <w:r w:rsidRPr="005C133F">
        <w:rPr>
          <w:lang w:val="es-DO"/>
        </w:rPr>
        <w:t xml:space="preserve">La falta de calidad procedimental de la Asociación Nacional de Clínicas y Hospitales Privados, Inc. para impulsar, a nombre de sus agremiados, procedimientos administrativos arbitrales tendentes a resolver controversias entre prestadores de </w:t>
      </w:r>
      <w:r w:rsidRPr="005C133F">
        <w:rPr>
          <w:lang w:val="es-DO"/>
        </w:rPr>
        <w:lastRenderedPageBreak/>
        <w:t>servicios de salud y las administradoras de riesgos de salud, de conformidad a las potestades previstas en el artículo 176, literal “i”, de la Ley núm. 87-01.</w:t>
      </w:r>
    </w:p>
    <w:p w14:paraId="7556037C" w14:textId="790ADC38" w:rsidR="00B17F5D" w:rsidRPr="005C133F" w:rsidRDefault="00B17F5D">
      <w:pPr>
        <w:pStyle w:val="Prrafodelista"/>
        <w:numPr>
          <w:ilvl w:val="0"/>
          <w:numId w:val="175"/>
        </w:numPr>
        <w:spacing w:after="0" w:line="360" w:lineRule="auto"/>
        <w:jc w:val="both"/>
        <w:rPr>
          <w:lang w:val="es-DO"/>
        </w:rPr>
      </w:pPr>
      <w:r w:rsidRPr="005C133F">
        <w:rPr>
          <w:lang w:val="es-DO"/>
        </w:rPr>
        <w:t xml:space="preserve">El contrato de servicios suscrito en fecha 28 de febrero de 2025 entre el Seguro Nacional de Salud (ARS SeNaSa) y la razón social </w:t>
      </w:r>
      <w:proofErr w:type="spellStart"/>
      <w:r w:rsidRPr="005C133F">
        <w:rPr>
          <w:lang w:val="es-DO"/>
        </w:rPr>
        <w:t>Farmacard</w:t>
      </w:r>
      <w:proofErr w:type="spellEnd"/>
      <w:r w:rsidRPr="005C133F">
        <w:rPr>
          <w:lang w:val="es-DO"/>
        </w:rPr>
        <w:t>, S.A.S., con la finalidad de ceder la provisión integral de los servicios de asistencia farmacéutica ambulatoria para los medicamentos dispensados a los afiliados al régimen contributivo, los planes especiales de pensionados y jubilados, planes complementarios y voluntarios, hasta los topes de cobertura autorizados, a requerimiento del Despacho del Superintendente.</w:t>
      </w:r>
    </w:p>
    <w:p w14:paraId="7FD0A427" w14:textId="30AF5857" w:rsidR="00B17F5D" w:rsidRPr="005C133F" w:rsidRDefault="00B17F5D">
      <w:pPr>
        <w:pStyle w:val="Prrafodelista"/>
        <w:numPr>
          <w:ilvl w:val="0"/>
          <w:numId w:val="175"/>
        </w:numPr>
        <w:spacing w:after="0" w:line="360" w:lineRule="auto"/>
        <w:jc w:val="both"/>
        <w:rPr>
          <w:lang w:val="es-DO"/>
        </w:rPr>
      </w:pPr>
      <w:r w:rsidRPr="005C133F">
        <w:rPr>
          <w:lang w:val="es-DO"/>
        </w:rPr>
        <w:t xml:space="preserve">La naturaleza jurídica del “Contrato para la Compra y Venta de Servicios de Salud entre FARMACARD y el Seguro Nacional de Salud (ARS SeNaSa)”, de fecha 28 de febrero de 2025, a requerimiento de la de la Dirección General de Contrataciones Públicas. </w:t>
      </w:r>
    </w:p>
    <w:p w14:paraId="7DE53EE0" w14:textId="1070AE1A" w:rsidR="00B17F5D" w:rsidRPr="005C133F" w:rsidRDefault="00B17F5D">
      <w:pPr>
        <w:pStyle w:val="Prrafodelista"/>
        <w:numPr>
          <w:ilvl w:val="0"/>
          <w:numId w:val="175"/>
        </w:numPr>
        <w:spacing w:after="0" w:line="360" w:lineRule="auto"/>
        <w:jc w:val="both"/>
        <w:rPr>
          <w:lang w:val="es-DO"/>
        </w:rPr>
      </w:pPr>
      <w:r w:rsidRPr="005C133F">
        <w:rPr>
          <w:lang w:val="es-DO"/>
        </w:rPr>
        <w:t>La conformación de la estructura de gobernanza del Seguro Nacional de Salud (SeNaSa) y sus funciones, a requerimiento del Despacho del Superintendente.</w:t>
      </w:r>
    </w:p>
    <w:p w14:paraId="52120144" w14:textId="77777777" w:rsidR="00FB69FC" w:rsidRPr="005C133F" w:rsidRDefault="00FB69FC" w:rsidP="005C133F">
      <w:pPr>
        <w:pStyle w:val="Prrafodelista"/>
        <w:spacing w:after="0" w:line="360" w:lineRule="auto"/>
        <w:jc w:val="both"/>
        <w:rPr>
          <w:lang w:val="es-DO"/>
        </w:rPr>
      </w:pPr>
    </w:p>
    <w:p w14:paraId="5EAA0CB7" w14:textId="1F040B4C" w:rsidR="00B17F5D" w:rsidRPr="005C133F" w:rsidRDefault="00B17F5D">
      <w:pPr>
        <w:pStyle w:val="Prrafodelista"/>
        <w:widowControl w:val="0"/>
        <w:numPr>
          <w:ilvl w:val="0"/>
          <w:numId w:val="172"/>
        </w:numPr>
        <w:tabs>
          <w:tab w:val="left" w:pos="1080"/>
        </w:tabs>
        <w:autoSpaceDE w:val="0"/>
        <w:autoSpaceDN w:val="0"/>
        <w:spacing w:before="1" w:after="0" w:line="360" w:lineRule="auto"/>
      </w:pPr>
      <w:r w:rsidRPr="005C133F">
        <w:rPr>
          <w:b/>
          <w:lang w:val="es-DO"/>
        </w:rPr>
        <w:t>Elaboración de contratos</w:t>
      </w:r>
    </w:p>
    <w:p w14:paraId="72ABB767" w14:textId="77777777" w:rsidR="0082639E" w:rsidRPr="005C133F" w:rsidRDefault="0082639E" w:rsidP="005C133F">
      <w:pPr>
        <w:spacing w:after="0" w:line="360" w:lineRule="auto"/>
      </w:pPr>
    </w:p>
    <w:p w14:paraId="3742B6F0" w14:textId="4037C047" w:rsidR="0082639E" w:rsidRPr="005C133F" w:rsidRDefault="00B17F5D" w:rsidP="005C133F">
      <w:pPr>
        <w:spacing w:after="0" w:line="360" w:lineRule="auto"/>
        <w:jc w:val="both"/>
        <w:rPr>
          <w:lang w:val="es-DO"/>
        </w:rPr>
      </w:pPr>
      <w:r w:rsidRPr="005C133F">
        <w:rPr>
          <w:rFonts w:eastAsia="Calibri"/>
          <w:lang w:val="es-DO"/>
        </w:rPr>
        <w:t xml:space="preserve">Se elaboraron ochenta (80) contratos, requeridos por diferentes áreas sustantivas y de apoyo en la institución en sus respectivas clasificaciones, citados a continuación:  </w:t>
      </w:r>
    </w:p>
    <w:p w14:paraId="2BE49C7A" w14:textId="6E4BC8CB"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Doce (12) Contratos de Ejecución de Servicios, elaborados conforme a la Ley núm. 340-06 de Contratación Pública, bajo las modalidades de: Comparación de Precios, Subasta Inversa, Licitación Pública Nacional, Excepción por Exclusividad, </w:t>
      </w:r>
      <w:r w:rsidRPr="005C133F">
        <w:rPr>
          <w:rFonts w:eastAsia="Calibri"/>
          <w:lang w:val="es-DO"/>
        </w:rPr>
        <w:lastRenderedPageBreak/>
        <w:t xml:space="preserve">Excepción por Proveedor Único y Excepción por Obras Científicas o Técnicas. </w:t>
      </w:r>
    </w:p>
    <w:p w14:paraId="7C53B13C" w14:textId="6C6303C3"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Dos (2) Contratos de Ejecución de Servicios Temporales. </w:t>
      </w:r>
    </w:p>
    <w:p w14:paraId="31C33E7D" w14:textId="2D943EF6"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Un (1) Contrato de Asesoría Técnica. </w:t>
      </w:r>
    </w:p>
    <w:p w14:paraId="2A410645" w14:textId="2B40253B"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Once (11) Contratos de Suministro de Bienes, elaborados conforme a la Ley núm. 340-06 de Contratación Pública, bajo las modalidades de: Comparación de Precios, Subasta Inversa y Licitación Pública Nacional.  </w:t>
      </w:r>
    </w:p>
    <w:p w14:paraId="1B9A5C23" w14:textId="56E1154F"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Cincuenta y tres (53) Contratos-Adendas de Ejecución de Servicios de Publicidad, elaborados conforme a la Ley núm. 340-06 de Contratación Pública, bajo la modalidad de Excepción por Publicidad.  </w:t>
      </w:r>
    </w:p>
    <w:p w14:paraId="0BCD60BE" w14:textId="13FB5F7A" w:rsidR="00B17F5D" w:rsidRPr="005C133F" w:rsidRDefault="00B17F5D">
      <w:pPr>
        <w:pStyle w:val="Prrafodelista"/>
        <w:numPr>
          <w:ilvl w:val="0"/>
          <w:numId w:val="176"/>
        </w:numPr>
        <w:spacing w:after="0" w:line="360" w:lineRule="auto"/>
        <w:jc w:val="both"/>
        <w:rPr>
          <w:rFonts w:eastAsia="Calibri"/>
          <w:lang w:val="es-DO"/>
        </w:rPr>
      </w:pPr>
      <w:r w:rsidRPr="005C133F">
        <w:rPr>
          <w:rFonts w:eastAsia="Calibri"/>
          <w:lang w:val="es-DO"/>
        </w:rPr>
        <w:t xml:space="preserve">Una (1) Adenda a un Contrato de Obra.  </w:t>
      </w:r>
    </w:p>
    <w:p w14:paraId="1306D91B" w14:textId="77777777" w:rsidR="00DA2926" w:rsidRPr="005C133F" w:rsidRDefault="00DA2926" w:rsidP="005C133F">
      <w:pPr>
        <w:spacing w:after="0" w:line="360" w:lineRule="auto"/>
        <w:rPr>
          <w:rFonts w:eastAsia="Calibri"/>
          <w:lang w:val="es-DO"/>
        </w:rPr>
      </w:pPr>
    </w:p>
    <w:p w14:paraId="1986BEA2" w14:textId="2D8A94C0" w:rsidR="00B17F5D" w:rsidRPr="005C133F" w:rsidRDefault="00B17F5D">
      <w:pPr>
        <w:pStyle w:val="Prrafodelista"/>
        <w:widowControl w:val="0"/>
        <w:numPr>
          <w:ilvl w:val="0"/>
          <w:numId w:val="172"/>
        </w:numPr>
        <w:tabs>
          <w:tab w:val="left" w:pos="1080"/>
        </w:tabs>
        <w:autoSpaceDE w:val="0"/>
        <w:autoSpaceDN w:val="0"/>
        <w:spacing w:before="1" w:after="0" w:line="360" w:lineRule="auto"/>
      </w:pPr>
      <w:r w:rsidRPr="005C133F">
        <w:rPr>
          <w:b/>
          <w:lang w:val="es-DO"/>
        </w:rPr>
        <w:t xml:space="preserve">Elaboración de Resoluciones Administrativas </w:t>
      </w:r>
    </w:p>
    <w:p w14:paraId="0C7117B8" w14:textId="77777777" w:rsidR="00B97A87" w:rsidRPr="005C133F" w:rsidRDefault="00B97A87" w:rsidP="005C133F">
      <w:pPr>
        <w:spacing w:after="0" w:line="360" w:lineRule="auto"/>
        <w:rPr>
          <w:noProof/>
        </w:rPr>
      </w:pPr>
    </w:p>
    <w:p w14:paraId="6A7E1685" w14:textId="74BC66B6" w:rsidR="002A00B5" w:rsidRPr="005C133F" w:rsidRDefault="00B17F5D" w:rsidP="005C133F">
      <w:pPr>
        <w:spacing w:after="0" w:line="360" w:lineRule="auto"/>
        <w:rPr>
          <w:lang w:val="es-DO"/>
        </w:rPr>
      </w:pPr>
      <w:r w:rsidRPr="005C133F">
        <w:rPr>
          <w:rFonts w:eastAsia="Calibri"/>
          <w:lang w:val="es-DO"/>
        </w:rPr>
        <w:t>Se elaboraron trece (13) resoluciones administrativas internas</w:t>
      </w:r>
      <w:r w:rsidR="002A00B5" w:rsidRPr="005C133F">
        <w:rPr>
          <w:rFonts w:eastAsia="Calibri"/>
          <w:b/>
          <w:bCs/>
          <w:lang w:val="es-DO"/>
        </w:rPr>
        <w:t xml:space="preserve">: </w:t>
      </w:r>
    </w:p>
    <w:p w14:paraId="1B6EFDD0" w14:textId="77777777" w:rsidR="00B17F5D" w:rsidRPr="005C133F" w:rsidRDefault="00B17F5D" w:rsidP="005C133F">
      <w:pPr>
        <w:pStyle w:val="Prrafodelista"/>
        <w:spacing w:after="0" w:line="360" w:lineRule="auto"/>
        <w:jc w:val="both"/>
        <w:rPr>
          <w:lang w:val="es-DO"/>
        </w:rPr>
      </w:pPr>
    </w:p>
    <w:p w14:paraId="7F26CB3A" w14:textId="625EECFB" w:rsidR="00B63945"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001-2025, de fecha 13 de enero de 2025, mediante la cual se crea el Comité de Compras y Contrataciones de la Superintendencia de Salud y Riesgos Laborales (SISALRIL). </w:t>
      </w:r>
    </w:p>
    <w:p w14:paraId="7AAB2528" w14:textId="46568B32" w:rsidR="00C2344E" w:rsidRPr="005C133F" w:rsidRDefault="00B17F5D">
      <w:pPr>
        <w:pStyle w:val="Prrafodelista"/>
        <w:numPr>
          <w:ilvl w:val="0"/>
          <w:numId w:val="177"/>
        </w:numPr>
        <w:spacing w:after="0" w:line="360" w:lineRule="auto"/>
        <w:jc w:val="both"/>
        <w:rPr>
          <w:noProof/>
          <w:lang w:val="es-DO"/>
        </w:rPr>
      </w:pPr>
      <w:r w:rsidRPr="005C133F">
        <w:rPr>
          <w:lang w:val="es-DO"/>
        </w:rPr>
        <w:t xml:space="preserve">Resolución Administrativa núm. 002-2025, de 17 de enero de 2025, que Deroga y deja sin efecto jurídico la Resolución Administrativa Interna núm. 007-2022, de fecha 17 de marzo de 2022, así como cualquier otra disposición igual o menor jerarquía que le sea contraría. </w:t>
      </w:r>
    </w:p>
    <w:p w14:paraId="24C657D8" w14:textId="7ADD40AD" w:rsidR="00AF7F05" w:rsidRPr="005C133F" w:rsidRDefault="002A00B5">
      <w:pPr>
        <w:pStyle w:val="Prrafodelista"/>
        <w:numPr>
          <w:ilvl w:val="0"/>
          <w:numId w:val="177"/>
        </w:numPr>
        <w:spacing w:after="0" w:line="360" w:lineRule="auto"/>
        <w:jc w:val="both"/>
        <w:rPr>
          <w:lang w:val="es-DO"/>
        </w:rPr>
      </w:pPr>
      <w:r w:rsidRPr="005C133F">
        <w:rPr>
          <w:noProof/>
          <w:lang w:val="es-DO"/>
        </w:rPr>
        <w:t xml:space="preserve">Resolución Administrativa núm. 003-2025, de fecha 12 de febrero de 2025, que deroga la Resolución Administrativa núm. 245-2022 y establece la clasificación de la información de la </w:t>
      </w:r>
      <w:r w:rsidRPr="005C133F">
        <w:rPr>
          <w:noProof/>
          <w:lang w:val="es-DO"/>
        </w:rPr>
        <w:lastRenderedPageBreak/>
        <w:t>Superintendencia de Salud y Riesgos Laborales (SISALRIL). Resolución Administrativa núm. 004-2025, de fecha 05 de marzo de 2025, que establece el Comité de Compras y Contrataciones de la Superintendencia de Salud y Riesgos Laborales (SISALRIL).</w:t>
      </w:r>
    </w:p>
    <w:p w14:paraId="60E958D2" w14:textId="43147AB8"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005-2025, de fecha 04 de junio de 2025, que modifica la estructura organizativa de la Superintendencia de Salud y Riesgos Laborales (SISALRIL). </w:t>
      </w:r>
    </w:p>
    <w:p w14:paraId="73016074" w14:textId="03B4BC10"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006-2025, de fecha 08 de julio de 2025, que aprueba compromiso estratégico de integridad y prevención de la corrupción administrativa para cargos de alto nivel y equipo de gerencia institucional con el SNIRD. </w:t>
      </w:r>
    </w:p>
    <w:p w14:paraId="16DE3F20" w14:textId="479F75C6"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007-2025, de fecha 11 de julio de 2025, que declara de urgencia la adquisición de solución </w:t>
      </w:r>
      <w:proofErr w:type="spellStart"/>
      <w:r w:rsidRPr="005C133F">
        <w:rPr>
          <w:lang w:val="es-DO"/>
        </w:rPr>
        <w:t>hiperconvergente</w:t>
      </w:r>
      <w:proofErr w:type="spellEnd"/>
      <w:r w:rsidRPr="005C133F">
        <w:rPr>
          <w:lang w:val="es-DO"/>
        </w:rPr>
        <w:t xml:space="preserve"> para la actualización de la infraestructura tecnológica de la superintendencia de salud y riesgos laborales (SISALRIL). </w:t>
      </w:r>
    </w:p>
    <w:p w14:paraId="67286133" w14:textId="4B75FD1A"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008-2025, de fecha 30 de julio de 2025, que aprueba política de compensación y beneficios de los empleados de la Superintendencia de Salud y Riesgos Laborales (SISALRIL) y deroga la resolución núm. 001-2019 de fecha primero de mayo de 2019.   </w:t>
      </w:r>
    </w:p>
    <w:p w14:paraId="1325D2AC" w14:textId="087BB5ED"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009-2025, de fecha 27 de agosto de 2025, que crea el Sistema Institucional de Archivos (SIA) y establece la Comisión de Evaluación Institucional (CEI) del archivo central de la Superintendencia de Salud y Riesgos Laborales (SISALRIL). </w:t>
      </w:r>
    </w:p>
    <w:p w14:paraId="2D0FCE9A" w14:textId="0CFEF2A8"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010-2025, de fecha 03 de septiembre de 2025, que crea el Comité Institucional de </w:t>
      </w:r>
      <w:r w:rsidRPr="005C133F">
        <w:rPr>
          <w:lang w:val="es-DO"/>
        </w:rPr>
        <w:lastRenderedPageBreak/>
        <w:t>Transversalización de Género de la Superintendencia de Salud y Riesgos Laborales (SISALRIL).</w:t>
      </w:r>
    </w:p>
    <w:p w14:paraId="5275B3AD" w14:textId="2BAFDB4B"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011-2025, de fecha 09 de septiembre de 2025, que crea la Comisión de Inclusión y Accesibilidad Gubernamental (CIAG) de la Superintendencia de Salud y Riesgos Laborales (SISALRIL). </w:t>
      </w:r>
    </w:p>
    <w:p w14:paraId="7DE5A133" w14:textId="1D72AF12" w:rsidR="00B17F5D" w:rsidRPr="005C133F" w:rsidRDefault="00B17F5D">
      <w:pPr>
        <w:pStyle w:val="Prrafodelista"/>
        <w:numPr>
          <w:ilvl w:val="0"/>
          <w:numId w:val="177"/>
        </w:numPr>
        <w:spacing w:after="0" w:line="360" w:lineRule="auto"/>
        <w:jc w:val="both"/>
        <w:rPr>
          <w:lang w:val="es-DO"/>
        </w:rPr>
      </w:pPr>
      <w:r w:rsidRPr="005C133F">
        <w:rPr>
          <w:lang w:val="es-DO"/>
        </w:rPr>
        <w:t xml:space="preserve">Resolución Administrativa núm. 012-2025, de fecha 15 de septiembre de 2025, que establece la conformación del Comité de Gestión de Cumplimiento Normativo y Antisoborno de la Superintendencia de Salud y Riesgos Laborales (SISALRIL). </w:t>
      </w:r>
    </w:p>
    <w:p w14:paraId="6D6615BD" w14:textId="77777777" w:rsidR="00B17F5D" w:rsidRPr="005C133F" w:rsidRDefault="00B17F5D" w:rsidP="005C133F">
      <w:pPr>
        <w:spacing w:after="0" w:line="360" w:lineRule="auto"/>
        <w:rPr>
          <w:rFonts w:eastAsia="Calibri"/>
          <w:lang w:val="es-DO"/>
        </w:rPr>
      </w:pPr>
    </w:p>
    <w:p w14:paraId="3A353B74" w14:textId="5D2A7300" w:rsidR="00A00A2E" w:rsidRPr="005C133F" w:rsidRDefault="00B17F5D">
      <w:pPr>
        <w:pStyle w:val="Prrafodelista"/>
        <w:widowControl w:val="0"/>
        <w:numPr>
          <w:ilvl w:val="0"/>
          <w:numId w:val="172"/>
        </w:numPr>
        <w:tabs>
          <w:tab w:val="left" w:pos="1080"/>
        </w:tabs>
        <w:autoSpaceDE w:val="0"/>
        <w:autoSpaceDN w:val="0"/>
        <w:spacing w:before="1" w:after="0" w:line="360" w:lineRule="auto"/>
      </w:pPr>
      <w:r w:rsidRPr="005C133F">
        <w:rPr>
          <w:b/>
          <w:lang w:val="es-DO"/>
        </w:rPr>
        <w:t>Atención a consultas externas</w:t>
      </w:r>
    </w:p>
    <w:p w14:paraId="0771C924" w14:textId="77777777" w:rsidR="00B17F5D" w:rsidRPr="005C133F" w:rsidRDefault="00B17F5D" w:rsidP="005C133F">
      <w:pPr>
        <w:pStyle w:val="Prrafodelista"/>
        <w:widowControl w:val="0"/>
        <w:tabs>
          <w:tab w:val="left" w:pos="1080"/>
        </w:tabs>
        <w:autoSpaceDE w:val="0"/>
        <w:autoSpaceDN w:val="0"/>
        <w:spacing w:before="1" w:after="0" w:line="360" w:lineRule="auto"/>
      </w:pPr>
    </w:p>
    <w:p w14:paraId="333E2593" w14:textId="77777777" w:rsidR="00B17F5D" w:rsidRPr="005C133F" w:rsidRDefault="00B17F5D" w:rsidP="005C133F">
      <w:pPr>
        <w:spacing w:after="0" w:line="360" w:lineRule="auto"/>
        <w:jc w:val="both"/>
        <w:rPr>
          <w:lang w:val="es-DO"/>
        </w:rPr>
      </w:pPr>
      <w:r w:rsidRPr="005C133F">
        <w:rPr>
          <w:lang w:val="es-DO"/>
        </w:rPr>
        <w:t>Se elaboraron un total de siete (7) respuestas formales y cincuenta y cinco (55) certificaciones, en atención a consultas externas formuladas por afiliados, empresas e instituciones, relacionadas con la aplicación del Seguro Familiar de Salud y el Seguro de Riesgos Laborales, garantizando orientación oportuna y conforme al marco normativo vigente.</w:t>
      </w:r>
    </w:p>
    <w:p w14:paraId="723442CB" w14:textId="77777777" w:rsidR="00B17F5D" w:rsidRPr="005C133F" w:rsidRDefault="00B17F5D" w:rsidP="005C133F">
      <w:pPr>
        <w:spacing w:after="0" w:line="360" w:lineRule="auto"/>
        <w:jc w:val="both"/>
        <w:rPr>
          <w:lang w:val="es-DO"/>
        </w:rPr>
      </w:pPr>
    </w:p>
    <w:p w14:paraId="59F364DC" w14:textId="408AA8A2" w:rsidR="00B17F5D" w:rsidRPr="005C133F" w:rsidRDefault="00B17F5D">
      <w:pPr>
        <w:pStyle w:val="Prrafodelista"/>
        <w:widowControl w:val="0"/>
        <w:numPr>
          <w:ilvl w:val="0"/>
          <w:numId w:val="172"/>
        </w:numPr>
        <w:tabs>
          <w:tab w:val="left" w:pos="1080"/>
        </w:tabs>
        <w:autoSpaceDE w:val="0"/>
        <w:autoSpaceDN w:val="0"/>
        <w:spacing w:before="1" w:after="0" w:line="360" w:lineRule="auto"/>
      </w:pPr>
      <w:r w:rsidRPr="005C133F">
        <w:rPr>
          <w:b/>
          <w:lang w:val="es-DO"/>
        </w:rPr>
        <w:t xml:space="preserve">Elaboración de convenios/acuerdos </w:t>
      </w:r>
    </w:p>
    <w:p w14:paraId="69713EEF" w14:textId="77777777" w:rsidR="00B17F5D" w:rsidRPr="005C133F" w:rsidRDefault="00B17F5D" w:rsidP="005C133F">
      <w:pPr>
        <w:spacing w:after="0" w:line="360" w:lineRule="auto"/>
        <w:jc w:val="both"/>
      </w:pPr>
    </w:p>
    <w:p w14:paraId="3888500F" w14:textId="77777777" w:rsidR="00B17F5D" w:rsidRPr="005C133F" w:rsidRDefault="00B17F5D" w:rsidP="005C133F">
      <w:pPr>
        <w:spacing w:after="0" w:line="360" w:lineRule="auto"/>
        <w:jc w:val="both"/>
        <w:rPr>
          <w:lang w:val="es-DO"/>
        </w:rPr>
      </w:pPr>
      <w:r w:rsidRPr="005C133F">
        <w:rPr>
          <w:lang w:val="es-DO"/>
        </w:rPr>
        <w:t xml:space="preserve">Se formularon un total de doce (12) convenios y acuerdos, con entidades del Estado, organismos internacionales y entidades privadas, orientados a fortalecer la cooperación, el intercambio de información y el cumplimiento de los objetivos institucionales, los cuales citamos a continuación: </w:t>
      </w:r>
    </w:p>
    <w:p w14:paraId="62C59489" w14:textId="62BFECE3" w:rsidR="00B17F5D" w:rsidRPr="005C133F" w:rsidRDefault="00B17F5D">
      <w:pPr>
        <w:pStyle w:val="Prrafodelista"/>
        <w:numPr>
          <w:ilvl w:val="0"/>
          <w:numId w:val="178"/>
        </w:numPr>
        <w:spacing w:after="0" w:line="360" w:lineRule="auto"/>
        <w:jc w:val="both"/>
        <w:rPr>
          <w:lang w:val="es-DO"/>
        </w:rPr>
      </w:pPr>
      <w:r w:rsidRPr="005C133F">
        <w:rPr>
          <w:lang w:val="es-DO"/>
        </w:rPr>
        <w:t xml:space="preserve">Acuerdo de suscripción de servicio entre la Junta Central Electoral y la Superintendencia de Salud y Riesgos Laborales </w:t>
      </w:r>
      <w:r w:rsidRPr="005C133F">
        <w:rPr>
          <w:lang w:val="es-DO"/>
        </w:rPr>
        <w:lastRenderedPageBreak/>
        <w:t xml:space="preserve">(SISALRIL), para la “consulta del archivo maestro de cedulados”, de fecha 20 de enero de 2025.    </w:t>
      </w:r>
    </w:p>
    <w:p w14:paraId="50E043E1" w14:textId="77EF9D99" w:rsidR="00B17F5D" w:rsidRPr="005C133F" w:rsidRDefault="00B17F5D">
      <w:pPr>
        <w:pStyle w:val="Prrafodelista"/>
        <w:numPr>
          <w:ilvl w:val="0"/>
          <w:numId w:val="178"/>
        </w:numPr>
        <w:spacing w:after="0" w:line="360" w:lineRule="auto"/>
        <w:jc w:val="both"/>
        <w:rPr>
          <w:lang w:val="es-DO"/>
        </w:rPr>
      </w:pPr>
      <w:r w:rsidRPr="005C133F">
        <w:rPr>
          <w:lang w:val="es-DO"/>
        </w:rPr>
        <w:t xml:space="preserve">Acuerdo Interinstitucional entre el Instituto Nacional de Administración Pública (INAP) y Superintendencia de Salud y Riesgos Laborales (SISALRIL) para asignación de fondos como aportes para la capacitación, formación y entrenamiento de los servidores públicos de la institución, de fecha 18 de febrero de 2025. </w:t>
      </w:r>
    </w:p>
    <w:p w14:paraId="4698EF19" w14:textId="3E7DEE51" w:rsidR="00B17F5D" w:rsidRPr="005C133F" w:rsidRDefault="00B17F5D">
      <w:pPr>
        <w:pStyle w:val="Prrafodelista"/>
        <w:numPr>
          <w:ilvl w:val="0"/>
          <w:numId w:val="178"/>
        </w:numPr>
        <w:spacing w:after="0" w:line="360" w:lineRule="auto"/>
        <w:jc w:val="both"/>
        <w:rPr>
          <w:lang w:val="es-DO"/>
        </w:rPr>
      </w:pPr>
      <w:r w:rsidRPr="005C133F">
        <w:rPr>
          <w:lang w:val="es-DO"/>
        </w:rPr>
        <w:t xml:space="preserve">Acuerdo Específico para la realización de la Encuesta Nacional de Hogares de Propósitos Múltiples (ENHOGAR-2025) bajo la metodología de la ronda 7 de la MICS, por la Oficina Nacional de Estadística (ONE) y la Superintendencia de Salud y Riesgos Laborales (SISALRIL), de fecha 28 de marzo de 2025. </w:t>
      </w:r>
    </w:p>
    <w:p w14:paraId="74195C2F" w14:textId="002C7D76" w:rsidR="00B17F5D" w:rsidRPr="005C133F" w:rsidRDefault="00B17F5D">
      <w:pPr>
        <w:pStyle w:val="Prrafodelista"/>
        <w:numPr>
          <w:ilvl w:val="0"/>
          <w:numId w:val="178"/>
        </w:numPr>
        <w:spacing w:after="0" w:line="360" w:lineRule="auto"/>
        <w:jc w:val="both"/>
        <w:rPr>
          <w:lang w:val="es-DO"/>
        </w:rPr>
      </w:pPr>
      <w:r w:rsidRPr="005C133F">
        <w:rPr>
          <w:lang w:val="es-DO"/>
        </w:rPr>
        <w:t xml:space="preserve">Convenio de Cooperación Interinstitucional entre el Ministerio de Educación Superior, Ciencia y Tecnología (MESCYT) y la Superintendencia De Salud Y Riesgos Laborales (SISALRIL), de fecha 15 de abril de 2025. </w:t>
      </w:r>
    </w:p>
    <w:p w14:paraId="0BF26991" w14:textId="45D5B7C9" w:rsidR="00B17F5D" w:rsidRPr="005C133F" w:rsidRDefault="00B17F5D">
      <w:pPr>
        <w:pStyle w:val="Prrafodelista"/>
        <w:numPr>
          <w:ilvl w:val="0"/>
          <w:numId w:val="178"/>
        </w:numPr>
        <w:spacing w:after="0" w:line="360" w:lineRule="auto"/>
        <w:jc w:val="both"/>
        <w:rPr>
          <w:lang w:val="es-DO"/>
        </w:rPr>
      </w:pPr>
      <w:r w:rsidRPr="005C133F">
        <w:rPr>
          <w:lang w:val="es-DO"/>
        </w:rPr>
        <w:t xml:space="preserve">Acuerdo Específico Núm. 2, para el servicio de portafirmas gubernamental </w:t>
      </w:r>
      <w:proofErr w:type="spellStart"/>
      <w:r w:rsidRPr="005C133F">
        <w:rPr>
          <w:lang w:val="es-DO"/>
        </w:rPr>
        <w:t>firmagob</w:t>
      </w:r>
      <w:proofErr w:type="spellEnd"/>
      <w:r w:rsidRPr="005C133F">
        <w:rPr>
          <w:lang w:val="es-DO"/>
        </w:rPr>
        <w:t xml:space="preserve"> entre la Oficina Gubernamental de Tecnología de la Información y la Comunicación (OGTIC) y la Superintendencia de Salud y Riesgos Laborales (SISALRIL), en fecha 24 de junio de 2025.</w:t>
      </w:r>
    </w:p>
    <w:p w14:paraId="6DC8A821" w14:textId="32F88266" w:rsidR="00B17F5D" w:rsidRPr="005C133F" w:rsidRDefault="00B17F5D">
      <w:pPr>
        <w:pStyle w:val="Prrafodelista"/>
        <w:numPr>
          <w:ilvl w:val="0"/>
          <w:numId w:val="178"/>
        </w:numPr>
        <w:spacing w:after="0" w:line="360" w:lineRule="auto"/>
        <w:jc w:val="both"/>
        <w:rPr>
          <w:lang w:val="es-DO"/>
        </w:rPr>
      </w:pPr>
      <w:r w:rsidRPr="005C133F">
        <w:rPr>
          <w:lang w:val="es-DO"/>
        </w:rPr>
        <w:t>Acuerdo Específico de Interoperabilidad entre la Oficina Nacional de Estadística (ONE) y la Superintendencia de Salud y Riesgos Laborales (SISALRIL), de fecha 9 de julio de 2025.</w:t>
      </w:r>
    </w:p>
    <w:p w14:paraId="45E6ECA1" w14:textId="02AF45E5" w:rsidR="00B17F5D" w:rsidRPr="005C133F" w:rsidRDefault="00B17F5D">
      <w:pPr>
        <w:pStyle w:val="Prrafodelista"/>
        <w:numPr>
          <w:ilvl w:val="0"/>
          <w:numId w:val="178"/>
        </w:numPr>
        <w:spacing w:after="0" w:line="360" w:lineRule="auto"/>
        <w:jc w:val="both"/>
        <w:rPr>
          <w:lang w:val="es-DO"/>
        </w:rPr>
      </w:pPr>
      <w:r w:rsidRPr="005C133F">
        <w:rPr>
          <w:lang w:val="es-DO"/>
        </w:rPr>
        <w:t>Acuerdo de Cooperación Interinstitucional entre la Superintendencia de Salud y Riesgos Laborales (SISALRIL) y el Archivo General de la Nación (AGN), de fecha 11 de julio de 2025.</w:t>
      </w:r>
    </w:p>
    <w:p w14:paraId="4710B308" w14:textId="19191692" w:rsidR="00B17F5D" w:rsidRPr="005C133F" w:rsidRDefault="00B17F5D">
      <w:pPr>
        <w:pStyle w:val="Prrafodelista"/>
        <w:numPr>
          <w:ilvl w:val="0"/>
          <w:numId w:val="178"/>
        </w:numPr>
        <w:spacing w:after="0" w:line="360" w:lineRule="auto"/>
        <w:jc w:val="both"/>
        <w:rPr>
          <w:lang w:val="es-DO"/>
        </w:rPr>
      </w:pPr>
      <w:r w:rsidRPr="005C133F">
        <w:rPr>
          <w:lang w:val="es-DO"/>
        </w:rPr>
        <w:lastRenderedPageBreak/>
        <w:t>Acuerdo de Cooperación Interinstitucional entre la Superintendencia de Salud y Riesgos Laborales (SISALRIL) y el Archivo General de la Nación (AGN), de fecha 22 de agosto de 2025.</w:t>
      </w:r>
    </w:p>
    <w:p w14:paraId="66B10BE0" w14:textId="7283913E" w:rsidR="00B17F5D" w:rsidRPr="005C133F" w:rsidRDefault="00B17F5D">
      <w:pPr>
        <w:pStyle w:val="Prrafodelista"/>
        <w:numPr>
          <w:ilvl w:val="0"/>
          <w:numId w:val="178"/>
        </w:numPr>
        <w:spacing w:after="0" w:line="360" w:lineRule="auto"/>
        <w:jc w:val="both"/>
        <w:rPr>
          <w:lang w:val="es-DO"/>
        </w:rPr>
      </w:pPr>
      <w:r w:rsidRPr="005C133F">
        <w:rPr>
          <w:lang w:val="es-DO"/>
        </w:rPr>
        <w:t>Convenio Marco de Cooperación entre el Instituto de Evaluación Tecnológica en Salud -IETS- de la República de Colombia y la Superintendencia de Salud y Riesgos Laborales (SISALRIL) de la República Dominicana, de fecha 23 de septiembre de 2025.</w:t>
      </w:r>
    </w:p>
    <w:p w14:paraId="312185A4" w14:textId="3C67DCD4" w:rsidR="00B17F5D" w:rsidRPr="005C133F" w:rsidRDefault="00B17F5D">
      <w:pPr>
        <w:pStyle w:val="Prrafodelista"/>
        <w:numPr>
          <w:ilvl w:val="0"/>
          <w:numId w:val="178"/>
        </w:numPr>
        <w:spacing w:after="0" w:line="360" w:lineRule="auto"/>
        <w:jc w:val="both"/>
        <w:rPr>
          <w:lang w:val="es-DO"/>
        </w:rPr>
      </w:pPr>
      <w:r w:rsidRPr="005C133F">
        <w:rPr>
          <w:lang w:val="es-DO"/>
        </w:rPr>
        <w:t>Convenio de cooperación interinstitucional entre el Sistema Único De Beneficiarios (SIUBEN) y la Superintendencia de Salud y Riesgos Laborales (SISALRIL), de fecha 9 de octubre de 2025.</w:t>
      </w:r>
    </w:p>
    <w:p w14:paraId="6E10A251" w14:textId="778F7AAB" w:rsidR="00B17F5D" w:rsidRPr="005C133F" w:rsidRDefault="00B17F5D">
      <w:pPr>
        <w:pStyle w:val="Prrafodelista"/>
        <w:numPr>
          <w:ilvl w:val="0"/>
          <w:numId w:val="178"/>
        </w:numPr>
        <w:spacing w:after="0" w:line="360" w:lineRule="auto"/>
        <w:jc w:val="both"/>
        <w:rPr>
          <w:lang w:val="es-DO"/>
        </w:rPr>
      </w:pPr>
      <w:r w:rsidRPr="005C133F">
        <w:rPr>
          <w:lang w:val="es-DO"/>
        </w:rPr>
        <w:t>Acuerdo de Cooperación Interinstitucional entre la Superintendencia de Salud y Riesgos Laborales (SISALRIL) y el Archivo General de la Nación (AGN), de fecha 7 de octubre de 2025.</w:t>
      </w:r>
    </w:p>
    <w:p w14:paraId="0F2FF10B" w14:textId="5661E12A" w:rsidR="00B17F5D" w:rsidRDefault="00B17F5D">
      <w:pPr>
        <w:pStyle w:val="Prrafodelista"/>
        <w:numPr>
          <w:ilvl w:val="0"/>
          <w:numId w:val="178"/>
        </w:numPr>
        <w:spacing w:after="0" w:line="360" w:lineRule="auto"/>
        <w:jc w:val="both"/>
        <w:rPr>
          <w:lang w:val="es-DO"/>
        </w:rPr>
      </w:pPr>
      <w:r w:rsidRPr="005C133F">
        <w:rPr>
          <w:lang w:val="es-DO"/>
        </w:rPr>
        <w:t xml:space="preserve">Acuerdo de Colaboración para Jornada Visual suscrito entre la Superintendencia de Salud y Riesgos Laborales (SISALRIL) y Visión </w:t>
      </w:r>
      <w:proofErr w:type="spellStart"/>
      <w:r w:rsidRPr="005C133F">
        <w:rPr>
          <w:lang w:val="es-DO"/>
        </w:rPr>
        <w:t>Services</w:t>
      </w:r>
      <w:proofErr w:type="spellEnd"/>
      <w:r w:rsidRPr="005C133F">
        <w:rPr>
          <w:lang w:val="es-DO"/>
        </w:rPr>
        <w:t xml:space="preserve"> VS, S.R.L., en fecha 17 de octubre de 2025.</w:t>
      </w:r>
    </w:p>
    <w:p w14:paraId="313EC7AD" w14:textId="77777777" w:rsidR="00291603" w:rsidRPr="005C133F" w:rsidRDefault="00291603" w:rsidP="00291603">
      <w:pPr>
        <w:pStyle w:val="Prrafodelista"/>
        <w:spacing w:after="0" w:line="360" w:lineRule="auto"/>
        <w:jc w:val="both"/>
        <w:rPr>
          <w:lang w:val="es-DO"/>
        </w:rPr>
      </w:pPr>
    </w:p>
    <w:p w14:paraId="7CF3331B" w14:textId="77777777" w:rsidR="00724FD9" w:rsidRPr="005C133F" w:rsidRDefault="00724FD9">
      <w:pPr>
        <w:pStyle w:val="Prrafodelista"/>
        <w:widowControl w:val="0"/>
        <w:numPr>
          <w:ilvl w:val="0"/>
          <w:numId w:val="172"/>
        </w:numPr>
        <w:tabs>
          <w:tab w:val="left" w:pos="1080"/>
        </w:tabs>
        <w:autoSpaceDE w:val="0"/>
        <w:autoSpaceDN w:val="0"/>
        <w:spacing w:after="0" w:line="360" w:lineRule="auto"/>
        <w:rPr>
          <w:b/>
          <w:lang w:val="es-DO"/>
        </w:rPr>
      </w:pPr>
      <w:r w:rsidRPr="005C133F">
        <w:rPr>
          <w:b/>
          <w:lang w:val="es-DO"/>
        </w:rPr>
        <w:t>Recursos jerárquicos (apelación) ante el Consejo Nacional de Seguridad Social (CNSS)</w:t>
      </w:r>
    </w:p>
    <w:p w14:paraId="666574CB" w14:textId="77777777" w:rsidR="00291603" w:rsidRDefault="00291603" w:rsidP="005C133F">
      <w:pPr>
        <w:spacing w:after="0" w:line="360" w:lineRule="auto"/>
        <w:contextualSpacing/>
        <w:jc w:val="both"/>
        <w:rPr>
          <w:rFonts w:eastAsia="Times New Roman"/>
          <w:bCs/>
          <w:lang w:val="es-DO"/>
        </w:rPr>
      </w:pPr>
    </w:p>
    <w:p w14:paraId="55FF1E1C" w14:textId="768EFBF9" w:rsidR="003A0364" w:rsidRPr="005C133F" w:rsidRDefault="00870E1C" w:rsidP="005C133F">
      <w:pPr>
        <w:spacing w:after="0" w:line="360" w:lineRule="auto"/>
        <w:contextualSpacing/>
        <w:jc w:val="both"/>
        <w:rPr>
          <w:rFonts w:eastAsia="Times New Roman"/>
          <w:bCs/>
          <w:lang w:val="es-DO"/>
        </w:rPr>
      </w:pPr>
      <w:r w:rsidRPr="005C133F">
        <w:rPr>
          <w:rFonts w:eastAsia="Times New Roman"/>
          <w:bCs/>
          <w:lang w:val="es-DO"/>
        </w:rPr>
        <w:t xml:space="preserve">En atención al literal q) del artículo 22 de la Ley Núm. 87-01, tiene la encomienda de defender las actuaciones, en ejercicio de sus facultades, realizadas por la SISALRIL o de las resoluciones emitidas frente a los Recursos de Apelación (Jerárquicos) interpuestos por los administrados ante el Consejo Nacional de Seguridad Social (CNSS). </w:t>
      </w:r>
      <w:r w:rsidRPr="005C133F">
        <w:rPr>
          <w:rFonts w:eastAsia="Times New Roman"/>
          <w:bCs/>
          <w:lang w:val="es-DO"/>
        </w:rPr>
        <w:lastRenderedPageBreak/>
        <w:t>En esa tesitura, se han producido y depositado los siguientes cuatro (4) escritos de defensa, a saber:</w:t>
      </w:r>
    </w:p>
    <w:p w14:paraId="2A1C1D2E" w14:textId="77777777" w:rsidR="00FB69FC" w:rsidRPr="005C133F" w:rsidRDefault="003A0364">
      <w:pPr>
        <w:pStyle w:val="Prrafodelista"/>
        <w:numPr>
          <w:ilvl w:val="0"/>
          <w:numId w:val="179"/>
        </w:numPr>
        <w:spacing w:after="0" w:line="360" w:lineRule="auto"/>
        <w:jc w:val="both"/>
        <w:rPr>
          <w:rFonts w:eastAsia="Times New Roman"/>
          <w:bCs/>
          <w:lang w:val="es-DO"/>
        </w:rPr>
      </w:pPr>
      <w:r w:rsidRPr="005C133F">
        <w:rPr>
          <w:rFonts w:eastAsia="Times New Roman"/>
          <w:lang w:val="es-DO"/>
        </w:rPr>
        <w:t>Escrito de defensa depositado en fecha 22 de abril de 2025 ante el C</w:t>
      </w:r>
      <w:r w:rsidRPr="005C133F">
        <w:rPr>
          <w:lang w:val="es-DO"/>
        </w:rPr>
        <w:t>o</w:t>
      </w:r>
      <w:r w:rsidRPr="005C133F">
        <w:rPr>
          <w:rFonts w:eastAsia="Times New Roman"/>
          <w:lang w:val="es-DO"/>
        </w:rPr>
        <w:t xml:space="preserve">nsejo Nacional de Seguridad Social (CNSS), en ocasión al Recurso de Apelación (Jerárquico) interpuesto por la Dirección General de Información y Defensa de los Afiliados a la Seguridad Social (DIDA), en representación del Sr. José Marcia Regalado Guerrero en contra de la Resolución SISALRIL núm. DJ-GAJ-02-2016 de fecha 16 de octubre de 2016. </w:t>
      </w:r>
    </w:p>
    <w:p w14:paraId="3D20984E" w14:textId="77777777" w:rsidR="00FB69FC" w:rsidRPr="005C133F" w:rsidRDefault="003A0364">
      <w:pPr>
        <w:pStyle w:val="Prrafodelista"/>
        <w:numPr>
          <w:ilvl w:val="0"/>
          <w:numId w:val="179"/>
        </w:numPr>
        <w:spacing w:after="0" w:line="360" w:lineRule="auto"/>
        <w:jc w:val="both"/>
        <w:rPr>
          <w:rFonts w:eastAsia="Times New Roman"/>
          <w:bCs/>
          <w:lang w:val="es-DO"/>
        </w:rPr>
      </w:pPr>
      <w:r w:rsidRPr="005C133F">
        <w:rPr>
          <w:rFonts w:eastAsia="Times New Roman"/>
          <w:lang w:val="es-DO"/>
        </w:rPr>
        <w:t>Escrito de defensa depositado en fecha 20 de mayo de 2025 ante el Consejo Nacional de Seguridad Social (CNSS), en ocasión al Recurso de Apelación (Jerárquico) contra Resolución DJ-RR núm. 0002-2025, de fecha 18 de febrero de 2025, dictada por la Superintendencia de Salud y Riesgos Laborales (SISALRIL).</w:t>
      </w:r>
    </w:p>
    <w:p w14:paraId="3E4EA99D" w14:textId="77777777" w:rsidR="00FB69FC" w:rsidRPr="005C133F" w:rsidRDefault="003A0364">
      <w:pPr>
        <w:pStyle w:val="Prrafodelista"/>
        <w:numPr>
          <w:ilvl w:val="0"/>
          <w:numId w:val="179"/>
        </w:numPr>
        <w:spacing w:after="0" w:line="360" w:lineRule="auto"/>
        <w:jc w:val="both"/>
        <w:rPr>
          <w:rFonts w:eastAsia="Times New Roman"/>
          <w:bCs/>
          <w:lang w:val="es-DO"/>
        </w:rPr>
      </w:pPr>
      <w:r w:rsidRPr="005C133F">
        <w:rPr>
          <w:rFonts w:eastAsia="Times New Roman"/>
          <w:lang w:val="es-DO"/>
        </w:rPr>
        <w:t>Escrito de defensa depositado en fecha 5 de agosto de 2025 ante el Consejo Nacional de Seguridad Social (CNSS) en ocasión al Recurso de Apelación (Jerárquico) interpuesto por el Instituto Dominicano de Prevención y Protección de Riesgos Laborales (IDOPPRIL), contra la Resolución DJ-GL núm. 006-2025 de fecha 8 de mayo de 2025, emitida por esta Superintendencia a favor del Sr. Juan De Jesús Mejía Santana.</w:t>
      </w:r>
    </w:p>
    <w:p w14:paraId="78B9034D" w14:textId="77777777" w:rsidR="00FB69FC" w:rsidRPr="005C133F" w:rsidRDefault="003A0364">
      <w:pPr>
        <w:pStyle w:val="Prrafodelista"/>
        <w:numPr>
          <w:ilvl w:val="0"/>
          <w:numId w:val="179"/>
        </w:numPr>
        <w:spacing w:after="0" w:line="360" w:lineRule="auto"/>
        <w:jc w:val="both"/>
        <w:rPr>
          <w:rFonts w:eastAsia="Times New Roman"/>
          <w:bCs/>
          <w:lang w:val="es-DO"/>
        </w:rPr>
      </w:pPr>
      <w:r w:rsidRPr="005C133F">
        <w:rPr>
          <w:rFonts w:eastAsia="Times New Roman"/>
          <w:bCs/>
          <w:lang w:val="es-DO"/>
        </w:rPr>
        <w:t>Escrito de defensa depositado en fecha 23 de septiembre de 2025 ante el Consejo Nacional de Seguridad Social (CNSS), en ocasión al Recurso de Apelación (Jerárquico) contra la Res. DJ-RR núm. 0005-2025, de fecha 24 de junio de 2025, emitida por la Superintendencia de Salud y Riesgos Laborales (SISALRIL).</w:t>
      </w:r>
    </w:p>
    <w:p w14:paraId="3416B721" w14:textId="77777777" w:rsidR="00FB69FC" w:rsidRPr="005C133F" w:rsidRDefault="00FB69FC" w:rsidP="005C133F">
      <w:pPr>
        <w:pStyle w:val="Prrafodelista"/>
        <w:spacing w:after="0" w:line="360" w:lineRule="auto"/>
        <w:jc w:val="both"/>
        <w:rPr>
          <w:rFonts w:eastAsia="Times New Roman"/>
          <w:bCs/>
          <w:lang w:val="es-DO"/>
        </w:rPr>
      </w:pPr>
    </w:p>
    <w:p w14:paraId="35C3192B" w14:textId="667C3870" w:rsidR="003A0364" w:rsidRDefault="00510F49" w:rsidP="005C133F">
      <w:pPr>
        <w:pStyle w:val="Prrafodelista"/>
        <w:spacing w:after="0" w:line="360" w:lineRule="auto"/>
        <w:jc w:val="both"/>
        <w:rPr>
          <w:b/>
          <w:lang w:val="es-DO"/>
        </w:rPr>
      </w:pPr>
      <w:r w:rsidRPr="005C133F">
        <w:rPr>
          <w:b/>
          <w:lang w:val="es-DO"/>
        </w:rPr>
        <w:lastRenderedPageBreak/>
        <w:t>Representación legal ante los tribunales de la República Dominicana</w:t>
      </w:r>
    </w:p>
    <w:p w14:paraId="41005329" w14:textId="77777777" w:rsidR="00291603" w:rsidRPr="005C133F" w:rsidRDefault="00291603" w:rsidP="005C133F">
      <w:pPr>
        <w:pStyle w:val="Prrafodelista"/>
        <w:spacing w:after="0" w:line="360" w:lineRule="auto"/>
        <w:jc w:val="both"/>
        <w:rPr>
          <w:rFonts w:eastAsia="Times New Roman"/>
          <w:bCs/>
          <w:lang w:val="es-DO"/>
        </w:rPr>
      </w:pPr>
    </w:p>
    <w:p w14:paraId="2D1D0DC6" w14:textId="77777777" w:rsidR="00963A2B" w:rsidRPr="005C133F" w:rsidRDefault="00963A2B" w:rsidP="005C133F">
      <w:pPr>
        <w:spacing w:after="0" w:line="360" w:lineRule="auto"/>
        <w:contextualSpacing/>
        <w:jc w:val="both"/>
        <w:rPr>
          <w:rFonts w:eastAsia="Times New Roman"/>
          <w:lang w:val="es-DO"/>
        </w:rPr>
      </w:pPr>
      <w:r w:rsidRPr="005C133F">
        <w:rPr>
          <w:rFonts w:eastAsia="Times New Roman"/>
          <w:bCs/>
          <w:lang w:val="es-DO"/>
        </w:rPr>
        <w:t>En atención a los diferentes recursos y acciones judiciales se tiene el deber de presentar y producir escritos de defensa y los trámites correspondientes para la defensa legal de la Superintendencia de Salud y Riesgos Laborales, en ese orden se han producido, depositado y gestionado treinta y uno (31) trámites y documentos. A saber:</w:t>
      </w:r>
    </w:p>
    <w:p w14:paraId="16E46965" w14:textId="787630C0"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Demanda en Suspensión de Ejecución de Sentencia interpuesta en fecha 17 de enero de 2025, por la Superintendencia de Salud y Riesgos Laborales (SISALRIL), contra la Sentencia Núm. 0030-04-2024-SSEN-00546, de fecha 26 julio de 2024, dictada por la Tercera Sala del Tribunal Superior Administrativo, que revoca la Resolución Núm. 578-03, de fecha 26 de octubre de 2023, emitida por el Consejo Nacional de Seguridad Social (CNSS), la cual confirmó la Resolución DJ-GIS Núm. 0004-2022, de fecha 9 de marzo de 2022, </w:t>
      </w:r>
      <w:r w:rsidR="00C44A62" w:rsidRPr="005C133F">
        <w:rPr>
          <w:rFonts w:eastAsia="Times New Roman"/>
          <w:lang w:val="es-DO"/>
        </w:rPr>
        <w:t>d</w:t>
      </w:r>
      <w:r w:rsidRPr="005C133F">
        <w:rPr>
          <w:rFonts w:eastAsia="Times New Roman"/>
          <w:lang w:val="es-DO"/>
        </w:rPr>
        <w:t>ictada por la Superintendencia de Salud y Riesgos Laborales (SISALRIL).</w:t>
      </w:r>
    </w:p>
    <w:p w14:paraId="27B32233" w14:textId="77777777"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Depósito de documentos de parte de la SISALRIL de fecha 06 de febrero de 2025 ante la Cámara Civil y Comercial del Juzgado de Primera Instancia de San Juan de la Maguana-Número de Solicitud 2025-R0108364, en ocasión al Acto de Citación Constitucional de Habeas Data, Notificación de Instancia, Auto de Fijación y Pruebas interpuesto por el Sr. Ángel María Mora De Los Santos. </w:t>
      </w:r>
    </w:p>
    <w:p w14:paraId="39EF615B" w14:textId="77777777" w:rsidR="00BA3509"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Memorial de Defensa de la SISALRIL depositado en fecha 2 de abril de 2025 ante la Tercera Sala de la Suprema Corte de Justicia – Número de Solicitud: 2025-R0321840, en ocasión del Recurso de Casación interpuesto por el Sr. Servio Tulio De Jesús Castillo Castro, contra la Sentencia No. 0030-04-2024-</w:t>
      </w:r>
      <w:r w:rsidRPr="005C133F">
        <w:rPr>
          <w:rFonts w:eastAsia="Times New Roman"/>
          <w:lang w:val="es-DO"/>
        </w:rPr>
        <w:lastRenderedPageBreak/>
        <w:t>SSEN-00493, dictada por la Tercera Sala del Tribunal Superior Administrativo en fecha 5 de julio de 2024, resultado del Recurso Contencioso Administrativo interpuesto contra la Resolución No. 574-05, de fecha 10 de agosto de 2023 dictada por el Consejo Nacional de la Seguridad Social (CNSS), mediante la cual se rechaza el Recurso de Apelación (J</w:t>
      </w:r>
      <w:r w:rsidR="00225EE2" w:rsidRPr="005C133F">
        <w:rPr>
          <w:rFonts w:eastAsia="Times New Roman"/>
          <w:lang w:val="es-DO"/>
        </w:rPr>
        <w:t>e</w:t>
      </w:r>
      <w:r w:rsidRPr="005C133F">
        <w:rPr>
          <w:rFonts w:eastAsia="Times New Roman"/>
          <w:lang w:val="es-DO"/>
        </w:rPr>
        <w:t>rárquico) contra la Resolución SISALRIL DARCP-DJ No. 2021004372 de fecha 20 de agosto de 2021 emitida por la SISALRIL.</w:t>
      </w:r>
    </w:p>
    <w:p w14:paraId="208AAA5A"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199/2025, de fecha 21 de abril de 2025, instrumentado por el Ministerial Ariel Antonio Paulino Caraballo, de Estrados de la Cuarta Sala de la Cámara Civil y Comercial del Juzgado de Primera Instancia del D.N., en contestación del </w:t>
      </w:r>
    </w:p>
    <w:p w14:paraId="664D14E4"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277/2025, de fecha 2 de abril de 2025, instrumentado por el Ministerial Virgilio Arnulfo Alvarado Abreu, Ordinario del Tribunal de Ejecución de </w:t>
      </w:r>
      <w:r w:rsidR="007146CF" w:rsidRPr="005C133F">
        <w:rPr>
          <w:rFonts w:eastAsia="Times New Roman"/>
          <w:lang w:val="es-DO"/>
        </w:rPr>
        <w:t>l</w:t>
      </w:r>
      <w:r w:rsidRPr="005C133F">
        <w:rPr>
          <w:rFonts w:eastAsia="Times New Roman"/>
          <w:lang w:val="es-DO"/>
        </w:rPr>
        <w:t>a Pena Jurisdicción Penal de Santo Domingo.</w:t>
      </w:r>
    </w:p>
    <w:p w14:paraId="204398E1" w14:textId="056A2C45"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283/2025, de fecha 6 de mayo de 2025, instrumentado por el Ministerial José Soriano, Ordinario de la Cámara Penal de la Corte de Apelación de Santo Domingo, contentivo de Notificación de Levantamiento de Oposición a pago de ARS GMA, notificado al Banco </w:t>
      </w:r>
      <w:proofErr w:type="spellStart"/>
      <w:r w:rsidRPr="005C133F">
        <w:rPr>
          <w:rFonts w:eastAsia="Times New Roman"/>
          <w:lang w:val="es-DO"/>
        </w:rPr>
        <w:t>Promérica</w:t>
      </w:r>
      <w:proofErr w:type="spellEnd"/>
      <w:r w:rsidRPr="005C133F">
        <w:rPr>
          <w:rFonts w:eastAsia="Times New Roman"/>
          <w:lang w:val="es-DO"/>
        </w:rPr>
        <w:t>, Banco Banesco y al Banco Popular.</w:t>
      </w:r>
      <w:r w:rsidR="00FB69FC" w:rsidRPr="005C133F">
        <w:rPr>
          <w:rFonts w:eastAsia="Times New Roman"/>
          <w:lang w:val="es-DO"/>
        </w:rPr>
        <w:t xml:space="preserve"> </w:t>
      </w:r>
      <w:r w:rsidRPr="005C133F">
        <w:rPr>
          <w:rFonts w:eastAsia="Times New Roman"/>
          <w:lang w:val="es-DO"/>
        </w:rPr>
        <w:t xml:space="preserve">Denuncia y Proposición de Diligencias Procesales, depositada en fecha 8 de mayo de 2025 ante la Fiscalía del Distrito Nacional, consistente en solicitud de apertura de investigación en perjuicio del DR. JESÚS DAVID DISLA CLARK, por violación a los artículos siguientes: i) artículos 181 literal h y 182 párrafo I de la Ley 87-01 que crea el Sistema Dominicano de Seguridad Social, modificados por </w:t>
      </w:r>
      <w:r w:rsidRPr="005C133F">
        <w:rPr>
          <w:rFonts w:eastAsia="Times New Roman"/>
          <w:lang w:val="es-DO"/>
        </w:rPr>
        <w:lastRenderedPageBreak/>
        <w:t>los artículos 10 y 11, respectivamente, de la Ley 13-20 que fortalece la Tesorería de la Seguridad Social (TSS) y la Dirección General de Información y Defensa del Afiliado (DIDA). Modifica el recargo por mora en los pagos al Sistema Dominicano de Seguridad Social (SDSS) y modifica, además el esquema de comisiones apl</w:t>
      </w:r>
      <w:r w:rsidR="00FB69FC" w:rsidRPr="005C133F">
        <w:rPr>
          <w:rFonts w:eastAsia="Times New Roman"/>
          <w:lang w:val="es-DO"/>
        </w:rPr>
        <w:t>i</w:t>
      </w:r>
      <w:r w:rsidRPr="005C133F">
        <w:rPr>
          <w:rFonts w:eastAsia="Times New Roman"/>
          <w:lang w:val="es-DO"/>
        </w:rPr>
        <w:t xml:space="preserve">cados por las Administradoras de Fondos de Pensiones (AFP). G. O. No. 10970 del 7 de febrero de 2020; y, </w:t>
      </w:r>
      <w:proofErr w:type="spellStart"/>
      <w:r w:rsidRPr="005C133F">
        <w:rPr>
          <w:rFonts w:eastAsia="Times New Roman"/>
          <w:lang w:val="es-DO"/>
        </w:rPr>
        <w:t>ii</w:t>
      </w:r>
      <w:proofErr w:type="spellEnd"/>
      <w:r w:rsidRPr="005C133F">
        <w:rPr>
          <w:rFonts w:eastAsia="Times New Roman"/>
          <w:lang w:val="es-DO"/>
        </w:rPr>
        <w:t>) artículos 147, 150, 151 y 405 párrafo I del Código Penal Dominicano; en perjuicio de la Superintendencia de Salud y Riesgos Laborales (SISALRIL), por Falsedad de Escritura Privada y Estafa.</w:t>
      </w:r>
      <w:r w:rsidR="00DB19D4" w:rsidRPr="005C133F">
        <w:rPr>
          <w:rFonts w:eastAsia="Times New Roman"/>
          <w:lang w:val="es-DO"/>
        </w:rPr>
        <w:t xml:space="preserve"> </w:t>
      </w:r>
      <w:r w:rsidRPr="005C133F">
        <w:rPr>
          <w:rFonts w:eastAsia="Times New Roman"/>
          <w:lang w:val="es-DO"/>
        </w:rPr>
        <w:t xml:space="preserve">Acto No. 285/2025, de fecha 8 de mayo de 2025, instrumentado por el Ministerial José Soriano, Ordinario de la Cámara Penal de la Corte de Apelación de Santo Domingo, contentivo de Notificación de Levantamiento de Oposición a pago de ARS GMA, notificado al Banco Popular; </w:t>
      </w:r>
    </w:p>
    <w:p w14:paraId="40E4FA25" w14:textId="4C4B2CCD"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Escrito de defensa depositado por la Superintendencia de Salud y Riesgos Laborales (SISALRIL) en fecha 12 de mayo de 2025, ante la Secretaría del Juzgado de Trabajo de San Pedro de Macorís, -Número de Solicitud 2025-R0457832, en ocasión de la Demanda en Pago de Prestaciones laboral, por Dimisión Justificada, Daños y Perjuicios por Accidente de Trabajo incoada por el Sr. Nelson Bernardo.  </w:t>
      </w:r>
    </w:p>
    <w:p w14:paraId="14161572" w14:textId="5A1A6015"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Memorial de defensa depositado por la Superintendencia de Salud y Riesgos Laborales (SISALRIL) en fecha 16 de mayo de 2025 ante la Secretaría General de la Suprema Corte de Justicia- Número de Solicitud: 2025-R0481642 en ocasión del Recurso de Casación interpuesto por Metro MD, SRL, contra la Sentencia No. 0030-02-2025-SSEN-00156, de fecha 13 de </w:t>
      </w:r>
      <w:r w:rsidRPr="005C133F">
        <w:rPr>
          <w:rFonts w:eastAsia="Times New Roman"/>
          <w:lang w:val="es-DO"/>
        </w:rPr>
        <w:lastRenderedPageBreak/>
        <w:t xml:space="preserve">marzo de 2025, dictada por la Primera Sala del Tribunal Superior Administrativo. </w:t>
      </w:r>
    </w:p>
    <w:p w14:paraId="36E0820B"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319/2025, de fecha 21 de mayo de 2025, instrumentado por el Ministerial </w:t>
      </w:r>
      <w:r w:rsidR="00FB69FC" w:rsidRPr="005C133F">
        <w:rPr>
          <w:lang w:val="es-DO"/>
        </w:rPr>
        <w:t>J</w:t>
      </w:r>
      <w:r w:rsidRPr="005C133F">
        <w:rPr>
          <w:rFonts w:eastAsia="Times New Roman"/>
          <w:lang w:val="es-DO"/>
        </w:rPr>
        <w:t>osé Soriano, Ordinario de la Cámara Penal de la Corte de Apelación de Santo Domingo, contentivo de Notificación de Denuncia y Proposición de Diligencias procesales contra el Dr. Jesús David Disla Clark, a la ARS ASEMAP.</w:t>
      </w:r>
    </w:p>
    <w:p w14:paraId="457016CF" w14:textId="77DB65E2"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320/2025, de fecha 21 de mayo de 2025, instrumentado por el Ministerial José Soriano, Ordinario de la Cámara Penal de la Corte de Apelación de Santo Domingo, contentivo de Notificación de Denuncia y Proposición de Diligencias procesales contra el Dr. Jesús David Disla Clark, a la A</w:t>
      </w:r>
      <w:r w:rsidRPr="005C133F">
        <w:rPr>
          <w:lang w:val="es-DO"/>
        </w:rPr>
        <w:t>R</w:t>
      </w:r>
      <w:r w:rsidRPr="005C133F">
        <w:rPr>
          <w:rFonts w:eastAsia="Times New Roman"/>
          <w:lang w:val="es-DO"/>
        </w:rPr>
        <w:t>S BANCO CENTRAL.</w:t>
      </w:r>
    </w:p>
    <w:p w14:paraId="3D554208"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199/2025, de fecha 21 de abril de 2025, instrumentado por el Ministerial Ariel Antonio Paulino Caraballo, de Estrados de la Cuarta Sala de la Cámara Civil y Comercial del Juzgado de Primera Instancia del D.N., en contestación del Acto No. 277/2025, de fecha 2 de abril de 2025, instrumentado por el Ministerial Virgilio Arnulfo Alvarado Abreu, Ordinario del Tribunal de Ejecución de </w:t>
      </w:r>
      <w:r w:rsidR="007146CF" w:rsidRPr="005C133F">
        <w:rPr>
          <w:rFonts w:eastAsia="Times New Roman"/>
          <w:lang w:val="es-DO"/>
        </w:rPr>
        <w:t>l</w:t>
      </w:r>
      <w:r w:rsidRPr="005C133F">
        <w:rPr>
          <w:rFonts w:eastAsia="Times New Roman"/>
          <w:lang w:val="es-DO"/>
        </w:rPr>
        <w:t>a Pena Jurisdicción Penal de Santo Domingo.</w:t>
      </w:r>
    </w:p>
    <w:p w14:paraId="2F20120D" w14:textId="556A4D71"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283/2025, de fecha 6 de mayo de 2025, instrumentado por el Ministerial José Soriano, Ordinario de la Cámara Penal de la Corte de Apelación de Santo Domingo, contentivo de Notificación de Levantamiento de Oposición a pago de ARS GMA, notificado al Banco </w:t>
      </w:r>
      <w:proofErr w:type="spellStart"/>
      <w:r w:rsidRPr="005C133F">
        <w:rPr>
          <w:rFonts w:eastAsia="Times New Roman"/>
          <w:lang w:val="es-DO"/>
        </w:rPr>
        <w:t>Promérica</w:t>
      </w:r>
      <w:proofErr w:type="spellEnd"/>
      <w:r w:rsidRPr="005C133F">
        <w:rPr>
          <w:rFonts w:eastAsia="Times New Roman"/>
          <w:lang w:val="es-DO"/>
        </w:rPr>
        <w:t>, Banco Banesco y al Banco Popular.</w:t>
      </w:r>
      <w:r w:rsidR="00165E52" w:rsidRPr="005C133F">
        <w:rPr>
          <w:rFonts w:eastAsia="Times New Roman"/>
          <w:lang w:val="es-DO"/>
        </w:rPr>
        <w:t xml:space="preserve"> </w:t>
      </w:r>
      <w:r w:rsidRPr="005C133F">
        <w:rPr>
          <w:rFonts w:eastAsia="Times New Roman"/>
          <w:lang w:val="es-DO"/>
        </w:rPr>
        <w:t xml:space="preserve">Denuncia y Proposición de Diligencias Procesales, depositada en fecha 8 de mayo de 2025 ante la Fiscalía del Distrito Nacional, consistente en solicitud de </w:t>
      </w:r>
      <w:r w:rsidRPr="005C133F">
        <w:rPr>
          <w:rFonts w:eastAsia="Times New Roman"/>
          <w:lang w:val="es-DO"/>
        </w:rPr>
        <w:lastRenderedPageBreak/>
        <w:t>apertura de investigación en perjuicio del DR. JESÚS DAVID DISLA CLARK, por violación a los artículos siguientes: i) artículos 181 literal h y 182 párrafo I de la Ley 87-01 que crea el Sistema Dominicano de Seguridad Social, modificados por los artículos 10 y 11, respectivamente, de la Ley 13-20 que fortalece la Tesorería de la Seguridad Social (TSS) y la Dirección General de Información y Defensa del Afiliado (DIDA). Modifica el recargo por mora en los pagos al Sistema Dominicano de Seguridad Social (SDSS) y modifica, además el esquema de comisiones apl</w:t>
      </w:r>
      <w:r w:rsidR="00AD33F7" w:rsidRPr="005C133F">
        <w:rPr>
          <w:rFonts w:eastAsia="Times New Roman"/>
          <w:lang w:val="es-DO"/>
        </w:rPr>
        <w:t>i</w:t>
      </w:r>
      <w:r w:rsidRPr="005C133F">
        <w:rPr>
          <w:rFonts w:eastAsia="Times New Roman"/>
          <w:lang w:val="es-DO"/>
        </w:rPr>
        <w:t xml:space="preserve">cados por las Administradoras de Fondos de Pensiones (AFP). G. O. No. 10970 del 7 de febrero de 2020; y, </w:t>
      </w:r>
      <w:proofErr w:type="spellStart"/>
      <w:r w:rsidRPr="005C133F">
        <w:rPr>
          <w:rFonts w:eastAsia="Times New Roman"/>
          <w:lang w:val="es-DO"/>
        </w:rPr>
        <w:t>ii</w:t>
      </w:r>
      <w:proofErr w:type="spellEnd"/>
      <w:r w:rsidRPr="005C133F">
        <w:rPr>
          <w:rFonts w:eastAsia="Times New Roman"/>
          <w:lang w:val="es-DO"/>
        </w:rPr>
        <w:t>) artículos 147, 150, 151 y 405 párrafo I del Código Penal Dominicano; en perjuicio de la Superintendencia de Salud y Riesgos Laborales (SISALRIL), por Falsedad de Escritura Privada y Estafa.</w:t>
      </w:r>
      <w:r w:rsidR="00DB19D4" w:rsidRPr="005C133F">
        <w:rPr>
          <w:rFonts w:eastAsia="Times New Roman"/>
          <w:lang w:val="es-DO"/>
        </w:rPr>
        <w:t xml:space="preserve"> </w:t>
      </w:r>
      <w:r w:rsidRPr="005C133F">
        <w:rPr>
          <w:rFonts w:eastAsia="Times New Roman"/>
          <w:lang w:val="es-DO"/>
        </w:rPr>
        <w:t>Acto No. 285/2025, de fecha 8 de mayo de 2025, instrumentado por el Ministerial José Soriano, Ordinario de la Cámara Penal de la Corte de Apelación de Santo Domingo, contentivo de Notificación de Levantamiento de Oposición a pago de ARS GMA, notificado al Banco Popular;</w:t>
      </w:r>
    </w:p>
    <w:p w14:paraId="5051C5DB" w14:textId="4CCEFB88"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321/2025, de fecha 21 de mayo de 2025, instrumentado por el Ministerial José Soriano, Ordinario de la Cámara Penal de la Corte de Apelación de Santo Domingo, contentivo de Notificación de </w:t>
      </w:r>
      <w:r w:rsidR="00FB69FC" w:rsidRPr="005C133F">
        <w:rPr>
          <w:rFonts w:eastAsia="Times New Roman"/>
          <w:lang w:val="es-DO"/>
        </w:rPr>
        <w:t xml:space="preserve">Denuncia </w:t>
      </w:r>
      <w:r w:rsidRPr="005C133F">
        <w:rPr>
          <w:rFonts w:eastAsia="Times New Roman"/>
          <w:lang w:val="es-DO"/>
        </w:rPr>
        <w:t>y Proposición de Diligencias procesales contra el Dr. Jesús David Disla Clark, a la ARS APS.</w:t>
      </w:r>
    </w:p>
    <w:p w14:paraId="20B98888" w14:textId="77777777"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322/2025, de fecha 21 de mayo de 2025, instrumentado por el Ministerial José Soriano, Ordinario de la Cámara Penal de la Corte de Apelación de Santo Domingo, contentivo de Notificación de Denuncia y Proposición de </w:t>
      </w:r>
      <w:r w:rsidRPr="005C133F">
        <w:rPr>
          <w:rFonts w:eastAsia="Times New Roman"/>
          <w:lang w:val="es-DO"/>
        </w:rPr>
        <w:lastRenderedPageBreak/>
        <w:t>Diligencias procesales contra el Dr. Jesús David Disla Clark, a la ARS ABEL GONZÁLEZ.</w:t>
      </w:r>
    </w:p>
    <w:p w14:paraId="2B668A7B" w14:textId="0BDF06BD"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323/2025, de fecha 21 de mayo de 2025, instrumentado por el Ministerial José Soriano, Ordinario de la Cámara Penal de la Corte de Apelación de Santo Domingo, contentivo de Notificación de Denun</w:t>
      </w:r>
      <w:r w:rsidR="00FB69FC" w:rsidRPr="005C133F">
        <w:rPr>
          <w:rFonts w:eastAsia="Times New Roman"/>
          <w:lang w:val="es-DO"/>
        </w:rPr>
        <w:t>ci</w:t>
      </w:r>
      <w:r w:rsidRPr="005C133F">
        <w:rPr>
          <w:rFonts w:eastAsia="Times New Roman"/>
          <w:lang w:val="es-DO"/>
        </w:rPr>
        <w:t>a y Proposición de Diligencias procesales contra el Dr. Jesús David Disla Clark, a la ARS GMA, ARS SEMMA y ARS CMD.</w:t>
      </w:r>
    </w:p>
    <w:p w14:paraId="78E8F300"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324/2025, de fecha 21 de mayo de 2025, instrumentado por el Ministerial José Soriano, Ordinario de la Cámara Penal de la Corte de Apelación de Santo Domingo, contentivo de Notificaci</w:t>
      </w:r>
      <w:r w:rsidR="00FB69FC" w:rsidRPr="005C133F">
        <w:rPr>
          <w:rFonts w:eastAsia="Times New Roman"/>
          <w:lang w:val="es-DO"/>
        </w:rPr>
        <w:t>ón</w:t>
      </w:r>
      <w:r w:rsidRPr="005C133F">
        <w:rPr>
          <w:rFonts w:eastAsia="Times New Roman"/>
          <w:lang w:val="es-DO"/>
        </w:rPr>
        <w:t xml:space="preserve"> de Denuncia y Proposición de Diligencias procesales contra el Dr. Jesús David Disla Clark.</w:t>
      </w:r>
    </w:p>
    <w:p w14:paraId="1A091CAB"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325/2025, de fecha 21 de mayo de 2025, instrumentado por el Ministerial José Soriano, Ordinario de la Cámara Penal de la Corte de Apelación de Santo Domingo, contentivo de Notificación de Denuncia y Proposición de Diligencias procesales contra el Dr. Jesús David Disla Clark, a la ARS RENACER, ARS SENASA y ARS MAPFRE.</w:t>
      </w:r>
    </w:p>
    <w:p w14:paraId="38249070"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326/2025, de fecha 21 de mayo de 2025, instrumentado por el Ministerial José Soriano, Ordinario de la Cámara Penal de la Corte de Apelación de Santo Domingo, contentivo de Notificación de Denuncia y Proposición de Diligencias procesales contra el Dr. Jesús David Disla Clark, a la ARS UNIVERSAL, ARS PRIMERA y ARS YUNEN.</w:t>
      </w:r>
    </w:p>
    <w:p w14:paraId="70A1318D" w14:textId="5E26D484"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Acto No. 327/2025, de fecha 21 de mayo de 2025, instrumentado por el Ministerial José Soriano, Ordinario de la Cámara Penal de la Corte de Apelación de Santo Domingo, contentivo de </w:t>
      </w:r>
      <w:r w:rsidR="00FB69FC" w:rsidRPr="005C133F">
        <w:rPr>
          <w:rFonts w:eastAsia="Times New Roman"/>
          <w:lang w:val="es-DO"/>
        </w:rPr>
        <w:t>N</w:t>
      </w:r>
      <w:r w:rsidRPr="005C133F">
        <w:rPr>
          <w:rFonts w:eastAsia="Times New Roman"/>
          <w:lang w:val="es-DO"/>
        </w:rPr>
        <w:t xml:space="preserve">otificación de Denuncia y Proposición de </w:t>
      </w:r>
      <w:r w:rsidRPr="005C133F">
        <w:rPr>
          <w:rFonts w:eastAsia="Times New Roman"/>
          <w:lang w:val="es-DO"/>
        </w:rPr>
        <w:lastRenderedPageBreak/>
        <w:t>Diligencias procesales contra el Dr. Jesús David Disla Clark, a la ARS RESERVAS;</w:t>
      </w:r>
    </w:p>
    <w:p w14:paraId="2B399110" w14:textId="466B572A"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Escrito de defensa depositado por la Superintendencia de Salud y Riesgos Laborales (SISALRIL) en fecha 05 de junio de 2025 ante la Secretaría del Tribunal Superior Administrativo-Caratula de Caso 2025-0140968, en ocasión del Recurso de Revisión Constitucional contra la Sentencia No. 0030-03-2025-SSEN-00168, de fecha 11 de abril de 2025 emitida por la Segunda Sala del Tribunal Superior Administrativo (TSA), en sus atribuciones de Tribunal de Amparo Constitucional.</w:t>
      </w:r>
      <w:r w:rsidR="00D11C32" w:rsidRPr="005C133F">
        <w:rPr>
          <w:rFonts w:eastAsia="Times New Roman"/>
          <w:lang w:val="es-DO"/>
        </w:rPr>
        <w:t xml:space="preserve"> </w:t>
      </w:r>
      <w:r w:rsidRPr="005C133F">
        <w:rPr>
          <w:rFonts w:eastAsia="Times New Roman"/>
          <w:lang w:val="es-DO"/>
        </w:rPr>
        <w:t>Desistimiento de Recurso de Reconsideración interpuesto en fecha 14 de junio de 2023 por la SISALRIL contra la Resolución 569-07, de fecha 27 de abril de 2025, emitida por el CNSS, respecto a la Normativa sobre Auditoría Médica, Calidad de las Atenciones en Salud, Glosas y Pagos entre ARS/ARL y PSS, emitida por la SISALRIL</w:t>
      </w:r>
      <w:r w:rsidR="00567112" w:rsidRPr="005C133F">
        <w:rPr>
          <w:rFonts w:eastAsia="Times New Roman"/>
          <w:lang w:val="es-DO"/>
        </w:rPr>
        <w:t>.</w:t>
      </w:r>
      <w:r w:rsidRPr="005C133F">
        <w:rPr>
          <w:rFonts w:eastAsia="Times New Roman"/>
          <w:lang w:val="es-DO"/>
        </w:rPr>
        <w:t xml:space="preserve"> </w:t>
      </w:r>
    </w:p>
    <w:p w14:paraId="5CE1978F" w14:textId="047C0189" w:rsidR="003D2EDD"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 xml:space="preserve">Memorial de defensa depositado por la Superintendencia de Salud y Riesgos Laborales (SISALRIL), en fecha 18 de junio de 2025 ante la Secretaría General de la Suprema Corte de Justicia Número de Solicitud: 2025-R0618675, en ocasión del Recurso de Casación interpuesto por la Administradora de Riesgos de Salud (ARS SEMMA), contra la Sentencia No. 0030-02-2025-SSEN-00285 de fecha 08 de mayo de 2025, emitida por la Primera Sala del Tribunal Superior Administrativo. </w:t>
      </w:r>
    </w:p>
    <w:p w14:paraId="6C4968F8"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349/2025, de fecha 20 de junio de 20</w:t>
      </w:r>
      <w:r w:rsidR="00FB69FC" w:rsidRPr="005C133F">
        <w:rPr>
          <w:rFonts w:eastAsia="Times New Roman"/>
          <w:lang w:val="es-DO"/>
        </w:rPr>
        <w:t xml:space="preserve">, </w:t>
      </w:r>
      <w:r w:rsidRPr="005C133F">
        <w:rPr>
          <w:rFonts w:eastAsia="Times New Roman"/>
          <w:lang w:val="es-DO"/>
        </w:rPr>
        <w:t>instrumentado por el Ministerial Ariel Ant</w:t>
      </w:r>
      <w:r w:rsidR="00FB69FC" w:rsidRPr="005C133F">
        <w:rPr>
          <w:rFonts w:eastAsia="Times New Roman"/>
          <w:lang w:val="es-DO"/>
        </w:rPr>
        <w:t>onio</w:t>
      </w:r>
      <w:r w:rsidRPr="005C133F">
        <w:rPr>
          <w:rFonts w:eastAsia="Times New Roman"/>
          <w:lang w:val="es-DO"/>
        </w:rPr>
        <w:t xml:space="preserve"> Paulino Caraballo, de Estrados de la Cuarta Sala de la Cámara Civil y Comercial del Juzgado de Primera Instancia del D.N., contentivo de Notificación de Escrito de Defensa del Dr. Jesús David Disla Clark contra la </w:t>
      </w:r>
      <w:r w:rsidRPr="005C133F">
        <w:rPr>
          <w:rFonts w:eastAsia="Times New Roman"/>
          <w:lang w:val="es-DO"/>
        </w:rPr>
        <w:lastRenderedPageBreak/>
        <w:t xml:space="preserve">Denuncia y Proposición de Diligencias procesales, a la ARS SEMMA.2Escrito de Defensa de la SISALRIL depositado en fecha 27 de junio de 2025 ante el Tribunal Superior Administrativo – Número de caso: 2025-0163188, referente al Recurso Contencioso Administrativo incoado por el Dr. Marcos Francisco Mirambeaux Casso, contra la Resolución Administrativa Arbitral DJ-CA No. 005-2022, de fecha 25 de octubre de 2025, y la Comunicación de Terminación de Contrato realizada por ARS SENASA, en fecha 26 de mayo de 2022; </w:t>
      </w:r>
    </w:p>
    <w:p w14:paraId="10580C3C"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Escrito de Defensa de la SISALRIL depositado en fecha 2 de julio de 2025 ante la Corte de Apelación de Puerto Plata, en materia Laboral– Número de solicitud: 2025-R0670470, referente al Recurso de Apelación incoado por el Sres. Santiago Martínez Artiles y Ana María Santos Cambero, contra la Sentencia No. 465-2025-SSEN-0035 dictada por el Juzgado de Trabajo del Distrito Judicial de Puerto Plata, en fecha 7 de febrero de 2025;</w:t>
      </w:r>
    </w:p>
    <w:p w14:paraId="5BCE26DC" w14:textId="77777777"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498/2025, de fecha 4 de julio de 2025, instrumentado por el Ministerial José Soriano, Ordinario de la Cámara Penal de la Corte de Apelación de Santo Domingo, contentivo de Notificación de Requerimiento de Información al Banco Banesco.</w:t>
      </w:r>
    </w:p>
    <w:p w14:paraId="52E350FE" w14:textId="5364F91B"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Escrito de Defensa de la SISALRIL depositado en fecha 26 de agosto de 2025 ante el Tribu</w:t>
      </w:r>
      <w:r w:rsidR="00D11C32" w:rsidRPr="005C133F">
        <w:rPr>
          <w:rFonts w:eastAsia="Times New Roman"/>
          <w:lang w:val="es-DO"/>
        </w:rPr>
        <w:t>n</w:t>
      </w:r>
      <w:r w:rsidRPr="005C133F">
        <w:rPr>
          <w:rFonts w:eastAsia="Times New Roman"/>
          <w:lang w:val="es-DO"/>
        </w:rPr>
        <w:t>al Superior Administrativo – Número de solicitud: 2025-R0902716, referente al Recurso Contencioso Administrativo incoado por el Sr. Daniel Joel Nero Luna, contra el Monto de Indemnización evacuado por el IDOPPRIL.</w:t>
      </w:r>
    </w:p>
    <w:p w14:paraId="1C21570D" w14:textId="3C14D238" w:rsidR="00FB69FC"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lastRenderedPageBreak/>
        <w:t>Escrito de defensa depositado por la Superintendencia de Salud y Riesgos Laborales (SISALRIL), en fecha 11 de septiembre de 2025, ante la Secretaría de la Tercera Sala del Juzgado de Trabajo del Distrito Nacional, en ocasión de la Demanda en Intervención Forzosa interpuesta por el Dr. Juan Francisco Álvarez Morel con motivo de la Demanda Laboral en Resolución y Ejecución forzosa de Contrato de Trabajo por violación; cobros de salarios dejados de pagar, prestaciones laborales; reparación en daños y perjuicios.  o0Escrito de defensa depositado por la Superintendencia de Salud y Riesgos Laborales (SISALRIL), en fecha 11 de septiembre de 2025, a través del Tribunal Superior Administrativo, en ocasión del Recurso Contencioso Administrativo interpuesto por las doctoras Ada Alberta Valdez Paniagua; Maritza Cristiana Rodríguez Pérez; amparados en los artículos 38, 43, 44, 47, 51 de la Ley 87-01, que crea el Sistema Dominicano de Seguridad Social, 38, 60, 61 y 221 de la Constitución Dominicana.</w:t>
      </w:r>
      <w:r w:rsidR="00D11C32" w:rsidRPr="005C133F">
        <w:rPr>
          <w:rFonts w:eastAsia="Times New Roman"/>
          <w:lang w:val="es-DO"/>
        </w:rPr>
        <w:t xml:space="preserve"> </w:t>
      </w:r>
      <w:r w:rsidRPr="005C133F">
        <w:rPr>
          <w:rFonts w:eastAsia="Times New Roman"/>
          <w:lang w:val="es-DO"/>
        </w:rPr>
        <w:t xml:space="preserve">Denuncia y Proposición de Diligencias Procesales, depositada en fecha 13 de septiembre de 2025 por ante la Procuraduría General de la República (PGR), consistente en solicitud de apertura de investigación por  presuntos hechos ilícitos cometidos en perjuicio del Seguro Nacional de Salud (SeNaSa) y el Estado dominicano, los cuales pudieran constituir violación a los artículos siguientes: i) Coalición de funcionarios públicos (artículos del 123 al 126 del Código Penal; </w:t>
      </w:r>
      <w:proofErr w:type="spellStart"/>
      <w:r w:rsidRPr="005C133F">
        <w:rPr>
          <w:rFonts w:eastAsia="Times New Roman"/>
          <w:lang w:val="es-DO"/>
        </w:rPr>
        <w:t>ii</w:t>
      </w:r>
      <w:proofErr w:type="spellEnd"/>
      <w:r w:rsidRPr="005C133F">
        <w:rPr>
          <w:rFonts w:eastAsia="Times New Roman"/>
          <w:lang w:val="es-DO"/>
        </w:rPr>
        <w:t>) Prevaricación (artículo 166 del Cód</w:t>
      </w:r>
      <w:r w:rsidR="00671A84" w:rsidRPr="005C133F">
        <w:rPr>
          <w:rFonts w:eastAsia="Times New Roman"/>
          <w:lang w:val="es-DO"/>
        </w:rPr>
        <w:t>igo</w:t>
      </w:r>
      <w:r w:rsidRPr="005C133F">
        <w:rPr>
          <w:rFonts w:eastAsia="Times New Roman"/>
          <w:lang w:val="es-DO"/>
        </w:rPr>
        <w:t xml:space="preserve"> Penal Dominicano; </w:t>
      </w:r>
      <w:proofErr w:type="spellStart"/>
      <w:r w:rsidRPr="005C133F">
        <w:rPr>
          <w:rFonts w:eastAsia="Times New Roman"/>
          <w:lang w:val="es-DO"/>
        </w:rPr>
        <w:t>iii</w:t>
      </w:r>
      <w:proofErr w:type="spellEnd"/>
      <w:r w:rsidRPr="005C133F">
        <w:rPr>
          <w:rFonts w:eastAsia="Times New Roman"/>
          <w:lang w:val="es-DO"/>
        </w:rPr>
        <w:t>) A</w:t>
      </w:r>
      <w:r w:rsidR="0070592C" w:rsidRPr="005C133F">
        <w:rPr>
          <w:rFonts w:eastAsia="Times New Roman"/>
          <w:lang w:val="es-DO"/>
        </w:rPr>
        <w:t>s</w:t>
      </w:r>
      <w:r w:rsidRPr="005C133F">
        <w:rPr>
          <w:rFonts w:eastAsia="Times New Roman"/>
          <w:lang w:val="es-DO"/>
        </w:rPr>
        <w:t xml:space="preserve">ociación de malhechores (artículo 265 del Código Penal); </w:t>
      </w:r>
      <w:proofErr w:type="spellStart"/>
      <w:r w:rsidRPr="005C133F">
        <w:rPr>
          <w:rFonts w:eastAsia="Times New Roman"/>
          <w:lang w:val="es-DO"/>
        </w:rPr>
        <w:t>iv</w:t>
      </w:r>
      <w:proofErr w:type="spellEnd"/>
      <w:r w:rsidRPr="005C133F">
        <w:rPr>
          <w:rFonts w:eastAsia="Times New Roman"/>
          <w:lang w:val="es-DO"/>
        </w:rPr>
        <w:t xml:space="preserve">) Desfalco (artículo 1 de la Ley 712 del 1927, que modifica los artículos del 169 al 172 del Código Penal; v) Daños o alteración de datos ( artículo 10 de la Ley 53-07 sobre </w:t>
      </w:r>
      <w:r w:rsidRPr="005C133F">
        <w:rPr>
          <w:rFonts w:eastAsia="Times New Roman"/>
          <w:lang w:val="es-DO"/>
        </w:rPr>
        <w:lastRenderedPageBreak/>
        <w:t xml:space="preserve">Crímenes y Delitos de Alta Tecnología; vi) Sabotaje (artículo 11 de la Ley 53-07 sobre Crímenes y Delitos de Alta Tecnología; y, </w:t>
      </w:r>
      <w:proofErr w:type="spellStart"/>
      <w:r w:rsidRPr="005C133F">
        <w:rPr>
          <w:rFonts w:eastAsia="Times New Roman"/>
          <w:lang w:val="es-DO"/>
        </w:rPr>
        <w:t>vii</w:t>
      </w:r>
      <w:proofErr w:type="spellEnd"/>
      <w:r w:rsidRPr="005C133F">
        <w:rPr>
          <w:rFonts w:eastAsia="Times New Roman"/>
          <w:lang w:val="es-DO"/>
        </w:rPr>
        <w:t>) Falsedad de documentos y firmas (artículo 18 de la Ley 53-07 sobre Crímenes y Delitos de Alta Tecnología.</w:t>
      </w:r>
    </w:p>
    <w:p w14:paraId="2F11CD7A" w14:textId="6E1866EB" w:rsidR="00D11C32" w:rsidRPr="005C133F" w:rsidRDefault="003D2EDD">
      <w:pPr>
        <w:pStyle w:val="Prrafodelista"/>
        <w:numPr>
          <w:ilvl w:val="0"/>
          <w:numId w:val="180"/>
        </w:numPr>
        <w:spacing w:after="0" w:line="360" w:lineRule="auto"/>
        <w:jc w:val="both"/>
        <w:rPr>
          <w:rFonts w:eastAsia="Times New Roman"/>
          <w:lang w:val="es-DO"/>
        </w:rPr>
      </w:pPr>
      <w:r w:rsidRPr="005C133F">
        <w:rPr>
          <w:rFonts w:eastAsia="Times New Roman"/>
          <w:lang w:val="es-DO"/>
        </w:rPr>
        <w:t>Acto No. 869/2025, de fecha 20 de octu</w:t>
      </w:r>
      <w:r w:rsidR="00C14A00" w:rsidRPr="005C133F">
        <w:rPr>
          <w:rFonts w:eastAsia="Times New Roman"/>
          <w:lang w:val="es-DO"/>
        </w:rPr>
        <w:t>b</w:t>
      </w:r>
      <w:r w:rsidRPr="005C133F">
        <w:rPr>
          <w:rFonts w:eastAsia="Times New Roman"/>
          <w:lang w:val="es-DO"/>
        </w:rPr>
        <w:t xml:space="preserve">re de 2025, instrumentado por el Ministerial José Soriano, Ordinario de la Cámara Penal de la Corte de Apelación de Santo Domingo, contentivo de Acto de Advertencia y Contestación al Acto No. 169/9/2025, de fecha 30 de septiembre de 2025, a requerimiento de los Sres. José Moreno Adón y </w:t>
      </w:r>
      <w:proofErr w:type="spellStart"/>
      <w:r w:rsidRPr="005C133F">
        <w:rPr>
          <w:rFonts w:eastAsia="Times New Roman"/>
          <w:lang w:val="es-DO"/>
        </w:rPr>
        <w:t>Darhiana</w:t>
      </w:r>
      <w:proofErr w:type="spellEnd"/>
      <w:r w:rsidRPr="005C133F">
        <w:rPr>
          <w:rFonts w:eastAsia="Times New Roman"/>
          <w:lang w:val="es-DO"/>
        </w:rPr>
        <w:t xml:space="preserve"> Moreno de Mora.</w:t>
      </w:r>
      <w:r w:rsidR="00D11C32" w:rsidRPr="005C133F">
        <w:rPr>
          <w:lang w:val="es-DO"/>
        </w:rPr>
        <w:t xml:space="preserve"> </w:t>
      </w:r>
      <w:r w:rsidRPr="005C133F">
        <w:rPr>
          <w:rFonts w:eastAsia="Times New Roman"/>
          <w:lang w:val="es-DO"/>
        </w:rPr>
        <w:t xml:space="preserve">Denuncia y Proposición de Diligencias Procesales, depositada en fecha 4 de noviembre de 2025 por ante la Procuraduría General de la República (PGR), consistente en solicitud de apertura de investigación por  presuntos hechos ilícitos cometidos en perjuicio del Seguro Nacional de Salud (SeNaSa) y el Estado dominicano, los cuales pudieran constituir violación a los artículos siguientes: i) Coalición de funcionarios públicos (artículos del 123 al 126 del Código Penal); </w:t>
      </w:r>
      <w:proofErr w:type="spellStart"/>
      <w:r w:rsidRPr="005C133F">
        <w:rPr>
          <w:rFonts w:eastAsia="Times New Roman"/>
          <w:lang w:val="es-DO"/>
        </w:rPr>
        <w:t>ii</w:t>
      </w:r>
      <w:proofErr w:type="spellEnd"/>
      <w:r w:rsidRPr="005C133F">
        <w:rPr>
          <w:rFonts w:eastAsia="Times New Roman"/>
          <w:lang w:val="es-DO"/>
        </w:rPr>
        <w:t>) Prevaricación (artículo 166 del Cód</w:t>
      </w:r>
      <w:r w:rsidR="00671A84" w:rsidRPr="005C133F">
        <w:rPr>
          <w:rFonts w:eastAsia="Times New Roman"/>
          <w:lang w:val="es-DO"/>
        </w:rPr>
        <w:t>igo</w:t>
      </w:r>
      <w:r w:rsidRPr="005C133F">
        <w:rPr>
          <w:rFonts w:eastAsia="Times New Roman"/>
          <w:lang w:val="es-DO"/>
        </w:rPr>
        <w:t xml:space="preserve"> Penal Dominicano); </w:t>
      </w:r>
      <w:proofErr w:type="spellStart"/>
      <w:r w:rsidRPr="005C133F">
        <w:rPr>
          <w:rFonts w:eastAsia="Times New Roman"/>
          <w:lang w:val="es-DO"/>
        </w:rPr>
        <w:t>iii</w:t>
      </w:r>
      <w:proofErr w:type="spellEnd"/>
      <w:r w:rsidRPr="005C133F">
        <w:rPr>
          <w:rFonts w:eastAsia="Times New Roman"/>
          <w:lang w:val="es-DO"/>
        </w:rPr>
        <w:t>) A</w:t>
      </w:r>
      <w:r w:rsidR="0070592C" w:rsidRPr="005C133F">
        <w:rPr>
          <w:rFonts w:eastAsia="Times New Roman"/>
          <w:lang w:val="es-DO"/>
        </w:rPr>
        <w:t>s</w:t>
      </w:r>
      <w:r w:rsidRPr="005C133F">
        <w:rPr>
          <w:rFonts w:eastAsia="Times New Roman"/>
          <w:lang w:val="es-DO"/>
        </w:rPr>
        <w:t xml:space="preserve">ociación de malhechores (artículo 265 del Código Penal); </w:t>
      </w:r>
      <w:proofErr w:type="spellStart"/>
      <w:r w:rsidRPr="005C133F">
        <w:rPr>
          <w:rFonts w:eastAsia="Times New Roman"/>
          <w:lang w:val="es-DO"/>
        </w:rPr>
        <w:t>iv</w:t>
      </w:r>
      <w:proofErr w:type="spellEnd"/>
      <w:r w:rsidRPr="005C133F">
        <w:rPr>
          <w:rFonts w:eastAsia="Times New Roman"/>
          <w:lang w:val="es-DO"/>
        </w:rPr>
        <w:t xml:space="preserve">) Daños o alteración de datos ( artículo 10 de la Ley 53-07 sobre Crímenes y Delitos de Alta Tecnología); y, v) Falsedad de documentos y firmas (artículo 18 de la Ley 53-07 sobre Crímenes y Delitos de Alta Tecnología, en perjuicio del Seguro Nacional de Salud (SeNaSa) y el Estado </w:t>
      </w:r>
      <w:r w:rsidR="00D11C32" w:rsidRPr="005C133F">
        <w:rPr>
          <w:lang w:val="es-DO"/>
        </w:rPr>
        <w:t>D</w:t>
      </w:r>
      <w:r w:rsidRPr="005C133F">
        <w:rPr>
          <w:lang w:val="es-DO"/>
        </w:rPr>
        <w:t>ominicano.</w:t>
      </w:r>
    </w:p>
    <w:p w14:paraId="1F8AD389" w14:textId="77777777" w:rsidR="00D11C32" w:rsidRPr="005C133F" w:rsidRDefault="00D11C32" w:rsidP="005C133F">
      <w:pPr>
        <w:pStyle w:val="Prrafodelista"/>
        <w:spacing w:after="0" w:line="360" w:lineRule="auto"/>
        <w:jc w:val="both"/>
        <w:rPr>
          <w:rFonts w:eastAsia="Times New Roman"/>
          <w:lang w:val="es-DO"/>
        </w:rPr>
      </w:pPr>
    </w:p>
    <w:p w14:paraId="6F669D28" w14:textId="77777777" w:rsidR="005F2E13" w:rsidRDefault="005F2E13">
      <w:pPr>
        <w:rPr>
          <w:b/>
          <w:lang w:val="es-DO"/>
        </w:rPr>
      </w:pPr>
      <w:r>
        <w:rPr>
          <w:b/>
          <w:lang w:val="es-DO"/>
        </w:rPr>
        <w:br w:type="page"/>
      </w:r>
    </w:p>
    <w:p w14:paraId="2022DB31" w14:textId="517422C4" w:rsidR="00D11C32" w:rsidRPr="005F2E13" w:rsidRDefault="00CF249E">
      <w:pPr>
        <w:pStyle w:val="Prrafodelista"/>
        <w:numPr>
          <w:ilvl w:val="0"/>
          <w:numId w:val="199"/>
        </w:numPr>
        <w:spacing w:after="0" w:line="360" w:lineRule="auto"/>
        <w:jc w:val="both"/>
        <w:rPr>
          <w:lang w:val="es-DO"/>
        </w:rPr>
      </w:pPr>
      <w:r w:rsidRPr="005C133F">
        <w:rPr>
          <w:b/>
          <w:lang w:val="es-DO"/>
        </w:rPr>
        <w:lastRenderedPageBreak/>
        <w:t>Casos de Salud</w:t>
      </w:r>
    </w:p>
    <w:p w14:paraId="1B43F6D4" w14:textId="77777777" w:rsidR="005F2E13" w:rsidRPr="005C133F" w:rsidRDefault="005F2E13" w:rsidP="005F2E13">
      <w:pPr>
        <w:pStyle w:val="Prrafodelista"/>
        <w:spacing w:after="0" w:line="360" w:lineRule="auto"/>
        <w:ind w:left="1080"/>
        <w:jc w:val="both"/>
        <w:rPr>
          <w:lang w:val="es-DO"/>
        </w:rPr>
      </w:pPr>
    </w:p>
    <w:p w14:paraId="3B69EC3A" w14:textId="77777777" w:rsidR="00D11C32" w:rsidRPr="005C133F" w:rsidRDefault="00974906" w:rsidP="005C133F">
      <w:pPr>
        <w:spacing w:after="0" w:line="360" w:lineRule="auto"/>
        <w:ind w:left="360"/>
        <w:jc w:val="both"/>
        <w:rPr>
          <w:rFonts w:eastAsia="Times New Roman"/>
          <w:bCs/>
          <w:lang w:val="es-DO"/>
        </w:rPr>
      </w:pPr>
      <w:r w:rsidRPr="005C133F">
        <w:rPr>
          <w:rFonts w:eastAsia="Times New Roman"/>
          <w:bCs/>
          <w:lang w:val="es-DO"/>
        </w:rPr>
        <w:t>De conformidad con las atribuciones reconocidas a la Superintendencia de Salud y Riesgos Laborales (SISALRIL), la institución realiza labores de fiscalización y gestión de los casos en los que, presuntamente, pudieran verse vulnerados los derechos de los afiliados al Seguro Familiar de Salud y al Seguro de Riesgos Laborales. En tales circunstancias, la SISALRIL interviene en los procesos correspondientes y emite las instrucciones pertinentes a los diferentes actores del Sistema. A estos casos se les denomina “Casos de Salud”, de los cuales trece (13) fueron atendidos en el 2025. A saber:</w:t>
      </w:r>
    </w:p>
    <w:p w14:paraId="1B4DB697" w14:textId="0EDE8247" w:rsidR="003D2EDD" w:rsidRPr="005C133F" w:rsidRDefault="003D2EDD">
      <w:pPr>
        <w:pStyle w:val="Prrafodelista"/>
        <w:numPr>
          <w:ilvl w:val="0"/>
          <w:numId w:val="182"/>
        </w:numPr>
        <w:spacing w:after="0" w:line="360" w:lineRule="auto"/>
        <w:jc w:val="both"/>
        <w:rPr>
          <w:rFonts w:eastAsia="Times New Roman"/>
          <w:lang w:val="es-DO"/>
        </w:rPr>
      </w:pPr>
      <w:r w:rsidRPr="005C133F">
        <w:rPr>
          <w:rFonts w:eastAsia="Times New Roman"/>
          <w:lang w:val="es-DO"/>
        </w:rPr>
        <w:t>Acto No. 498/2025, de fecha 4 de julio de 2025</w:t>
      </w:r>
      <w:r w:rsidR="00D11C32" w:rsidRPr="005C133F">
        <w:rPr>
          <w:rFonts w:eastAsia="Times New Roman"/>
          <w:lang w:val="es-DO"/>
        </w:rPr>
        <w:t xml:space="preserve">. </w:t>
      </w:r>
      <w:r w:rsidR="00F8739E" w:rsidRPr="005C133F">
        <w:rPr>
          <w:rFonts w:eastAsia="Times New Roman"/>
          <w:lang w:val="es-DO"/>
        </w:rPr>
        <w:t>La Dirección Jurídica, conjuntamente a la Dirección de Aseguramiento en Salud de los Regímenes Contributivos y Planes (DARCP) reiteran a la Administradora de Riesgos de Salud MAPFRE (MAPFRE SALUD ARS) mediante oficio SSRL-INT-2025-000099, de fecha 27 de marzo de 2025, sobre instrucción de autorización de las coberturas correspondientes al caso del señor Héctor Silverio Dicarlo Torres.</w:t>
      </w:r>
    </w:p>
    <w:p w14:paraId="399F5353" w14:textId="77777777" w:rsidR="004B6B9D" w:rsidRPr="005C133F" w:rsidRDefault="004B6B9D">
      <w:pPr>
        <w:widowControl w:val="0"/>
        <w:numPr>
          <w:ilvl w:val="0"/>
          <w:numId w:val="182"/>
        </w:numPr>
        <w:autoSpaceDE w:val="0"/>
        <w:autoSpaceDN w:val="0"/>
        <w:adjustRightInd w:val="0"/>
        <w:spacing w:after="0" w:line="360" w:lineRule="auto"/>
        <w:contextualSpacing/>
        <w:jc w:val="both"/>
        <w:rPr>
          <w:rFonts w:eastAsia="Times New Roman"/>
          <w:lang w:val="es-DO"/>
        </w:rPr>
      </w:pPr>
      <w:r w:rsidRPr="005C133F">
        <w:rPr>
          <w:rFonts w:eastAsia="Times New Roman"/>
          <w:lang w:val="es-DO"/>
        </w:rPr>
        <w:t xml:space="preserve">La Dirección Jurídica, conjuntamente con la Dirección de Aseguramiento en Salud de los Regímenes Contributivos y Planes (DARCP), revisó y emitió su opinión en relación a la solicitud del Bufete Jurídico Nina Pereyra, sobre Denuncia interpuesta contra Humano Seguros, S.A., indicando mediante oficio SISALRIL-DJ Núm. 2025000949 de fecha 11 de febrero de 2025, que fue remitida a la Superintendencia de Seguros de la República Dominicana para fines de conocimientos y que sea adoptadas las acciones correspondientes al amparo de las disposiciones de la Ley Núm. 146-06 sobre Seguros y Fianzas </w:t>
      </w:r>
      <w:r w:rsidRPr="005C133F">
        <w:rPr>
          <w:rFonts w:eastAsia="Times New Roman"/>
          <w:lang w:val="es-DO"/>
        </w:rPr>
        <w:lastRenderedPageBreak/>
        <w:t xml:space="preserve">de la República Dominicana. </w:t>
      </w:r>
    </w:p>
    <w:p w14:paraId="43CCEDD1" w14:textId="77777777" w:rsidR="008F6A97" w:rsidRPr="005C133F" w:rsidRDefault="008F6A97">
      <w:pPr>
        <w:widowControl w:val="0"/>
        <w:numPr>
          <w:ilvl w:val="0"/>
          <w:numId w:val="182"/>
        </w:numPr>
        <w:autoSpaceDE w:val="0"/>
        <w:autoSpaceDN w:val="0"/>
        <w:adjustRightInd w:val="0"/>
        <w:spacing w:after="0" w:line="360" w:lineRule="auto"/>
        <w:contextualSpacing/>
        <w:jc w:val="both"/>
        <w:rPr>
          <w:rFonts w:eastAsia="Times New Roman"/>
          <w:lang w:val="es-DO"/>
        </w:rPr>
      </w:pPr>
      <w:r w:rsidRPr="005C133F">
        <w:rPr>
          <w:rFonts w:eastAsia="Times New Roman"/>
          <w:lang w:val="es-DO"/>
        </w:rPr>
        <w:t xml:space="preserve">La Dirección Jurídica, juntamente con la Dirección de Aseguramiento en Salud de los Regímenes Contributivos y Planes (DARCP), reiteraron a la Administradora de Riesgos de Salud SeNaSa (ARS SENASA) la revisión de cobertura del afiliado Rafael Ruíz Frías, mediante oficio SISALRIL DARCP-DJ Núm. 2025001125 de fecha 19 de febrero de 2025. </w:t>
      </w:r>
    </w:p>
    <w:p w14:paraId="1FC80204" w14:textId="77777777" w:rsidR="00E95F57" w:rsidRPr="005C133F" w:rsidRDefault="00E95F57">
      <w:pPr>
        <w:widowControl w:val="0"/>
        <w:numPr>
          <w:ilvl w:val="0"/>
          <w:numId w:val="182"/>
        </w:numPr>
        <w:autoSpaceDE w:val="0"/>
        <w:autoSpaceDN w:val="0"/>
        <w:adjustRightInd w:val="0"/>
        <w:spacing w:after="0" w:line="360" w:lineRule="auto"/>
        <w:contextualSpacing/>
        <w:jc w:val="both"/>
        <w:rPr>
          <w:rFonts w:eastAsia="Times New Roman"/>
          <w:lang w:val="es-DO"/>
        </w:rPr>
      </w:pPr>
      <w:r w:rsidRPr="005C133F">
        <w:rPr>
          <w:rFonts w:eastAsia="Times New Roman"/>
          <w:lang w:val="es-DO"/>
        </w:rPr>
        <w:t>La Dirección Jurídica, Solicito a la Administradora de Riesgos de Salud SeNaSa (ARS SENASA), corrección y/o rectificación de nombre en seguro del menor Antonio Iglesias Kavaliova.</w:t>
      </w:r>
    </w:p>
    <w:p w14:paraId="7365E423" w14:textId="77777777" w:rsidR="00621EE8" w:rsidRPr="005C133F" w:rsidRDefault="00621EE8">
      <w:pPr>
        <w:widowControl w:val="0"/>
        <w:numPr>
          <w:ilvl w:val="0"/>
          <w:numId w:val="182"/>
        </w:numPr>
        <w:autoSpaceDE w:val="0"/>
        <w:autoSpaceDN w:val="0"/>
        <w:adjustRightInd w:val="0"/>
        <w:spacing w:after="0" w:line="360" w:lineRule="auto"/>
        <w:contextualSpacing/>
        <w:jc w:val="both"/>
        <w:rPr>
          <w:rFonts w:eastAsia="Times New Roman"/>
          <w:lang w:val="es-DO"/>
        </w:rPr>
      </w:pPr>
      <w:r w:rsidRPr="005C133F">
        <w:rPr>
          <w:rFonts w:eastAsia="Times New Roman"/>
          <w:lang w:val="es-DO"/>
        </w:rPr>
        <w:t xml:space="preserve">La Dirección Jurídica, juntamente con la Dirección de Aseguramiento en Salud de los Regímenes Contributivos y Planes (DARCP), requirió a Grupo Read, información de la denuncia interpuesta por la Dirección General de Información y Defensa de los Afiliados con relación a la afiliada Agustina Guerrero Santana, mediante oficio SSRL-INT-2025-001530 de fecha 28 de julio de 2025. </w:t>
      </w:r>
    </w:p>
    <w:p w14:paraId="6E2EDBAD" w14:textId="77777777" w:rsidR="00194A91" w:rsidRPr="005C133F" w:rsidRDefault="00194A91">
      <w:pPr>
        <w:widowControl w:val="0"/>
        <w:numPr>
          <w:ilvl w:val="0"/>
          <w:numId w:val="182"/>
        </w:numPr>
        <w:autoSpaceDE w:val="0"/>
        <w:autoSpaceDN w:val="0"/>
        <w:adjustRightInd w:val="0"/>
        <w:spacing w:after="0" w:line="360" w:lineRule="auto"/>
        <w:contextualSpacing/>
        <w:jc w:val="both"/>
        <w:rPr>
          <w:rFonts w:eastAsia="Times New Roman"/>
          <w:b/>
          <w:lang w:val="es-DO"/>
        </w:rPr>
      </w:pPr>
      <w:r w:rsidRPr="005C133F">
        <w:rPr>
          <w:rFonts w:eastAsia="Times New Roman"/>
          <w:lang w:val="es-DO"/>
        </w:rPr>
        <w:t>La Dirección Jurídica, juntamente con la Dirección de Aseguramiento en Salud de los Regímenes Contributivos y Planes (DARCP), Respuesta a la Dirección de Información y Defensa de los Afiliados a la Seguridad Social (DIDA), sobre inconformidad de servicios de salud y cobros de diferencia en consultas para pacientes asegurados por parte del Dispensario Caritas Arquidiocesana de Santo Domingo, de fecha 12 de mayo del 2025, mediante oficio SSRL-INT-2025-001349 de fecha 11 de julio de 2025.</w:t>
      </w:r>
    </w:p>
    <w:p w14:paraId="271FFA7A" w14:textId="77777777" w:rsidR="003F26CB" w:rsidRPr="005C133F" w:rsidRDefault="003F26CB">
      <w:pPr>
        <w:widowControl w:val="0"/>
        <w:numPr>
          <w:ilvl w:val="0"/>
          <w:numId w:val="182"/>
        </w:numPr>
        <w:autoSpaceDE w:val="0"/>
        <w:autoSpaceDN w:val="0"/>
        <w:adjustRightInd w:val="0"/>
        <w:spacing w:after="0" w:line="360" w:lineRule="auto"/>
        <w:contextualSpacing/>
        <w:jc w:val="both"/>
        <w:rPr>
          <w:rFonts w:eastAsia="Times New Roman"/>
          <w:b/>
          <w:u w:val="single"/>
          <w:lang w:val="es-DO"/>
        </w:rPr>
      </w:pPr>
      <w:r w:rsidRPr="005C133F">
        <w:rPr>
          <w:rFonts w:eastAsia="Times New Roman"/>
          <w:lang w:val="es-DO"/>
        </w:rPr>
        <w:t xml:space="preserve">La Dirección Jurídica, juntamente con la Dirección de Aseguramiento en Salud de los Regímenes Contributivos y Planes (DARCP), Reiteran mediante oficio SSRL-INT-2025-001138 de fecha 25 de junio de 2025, caso negación de </w:t>
      </w:r>
      <w:r w:rsidRPr="005C133F">
        <w:rPr>
          <w:rFonts w:eastAsia="Times New Roman"/>
          <w:lang w:val="es-DO"/>
        </w:rPr>
        <w:lastRenderedPageBreak/>
        <w:t>reembolso de servicios de hemodiálisis en hospitalización requeridos por la fallecida Marcelina de Martínez afiliada en Plan Especial de Pensionados de ARS SeNaSa.</w:t>
      </w:r>
    </w:p>
    <w:p w14:paraId="52A3B8FC" w14:textId="77777777" w:rsidR="00B34880" w:rsidRPr="005C133F" w:rsidRDefault="00B34880">
      <w:pPr>
        <w:widowControl w:val="0"/>
        <w:numPr>
          <w:ilvl w:val="0"/>
          <w:numId w:val="182"/>
        </w:numPr>
        <w:autoSpaceDE w:val="0"/>
        <w:autoSpaceDN w:val="0"/>
        <w:adjustRightInd w:val="0"/>
        <w:spacing w:after="0" w:line="360" w:lineRule="auto"/>
        <w:contextualSpacing/>
        <w:jc w:val="both"/>
        <w:rPr>
          <w:rFonts w:eastAsia="Times New Roman"/>
          <w:lang w:val="es-DO"/>
        </w:rPr>
      </w:pPr>
      <w:r w:rsidRPr="005C133F">
        <w:rPr>
          <w:rFonts w:eastAsia="Times New Roman"/>
          <w:lang w:val="es-DO"/>
        </w:rPr>
        <w:t>La Dirección Jurídica, juntamente con la Dirección de Aseguramiento en Salud de los Regímenes Contributivos y Planes (DARCP), brindó respuesta mediante oficio SSRL-INT-2025-001979 de fecha 28 de agosto de 2025, al afiliado Yohan Fernández Archibal sobre denuncia de negación de reembolso por concepto de honorarios médicos ante la ARS SeNaSa por parte de la afiliada Mary Montesino Javier.</w:t>
      </w:r>
    </w:p>
    <w:p w14:paraId="4D7CAFE0" w14:textId="77777777" w:rsidR="00640104" w:rsidRPr="005C133F" w:rsidRDefault="00640104">
      <w:pPr>
        <w:widowControl w:val="0"/>
        <w:numPr>
          <w:ilvl w:val="0"/>
          <w:numId w:val="182"/>
        </w:numPr>
        <w:autoSpaceDE w:val="0"/>
        <w:autoSpaceDN w:val="0"/>
        <w:spacing w:after="0" w:line="360" w:lineRule="auto"/>
        <w:contextualSpacing/>
        <w:jc w:val="both"/>
        <w:rPr>
          <w:rFonts w:eastAsia="Times New Roman"/>
          <w:lang w:val="es-DO"/>
        </w:rPr>
      </w:pPr>
      <w:r w:rsidRPr="005C133F">
        <w:rPr>
          <w:rFonts w:eastAsia="Times New Roman"/>
          <w:lang w:val="es-DO"/>
        </w:rPr>
        <w:t>La Dirección Jurídica, conjuntamente a la Dirección de Monitoreo y Supervisión de la Gestión de Riesgos (DGR) notificó instrucciones a la Administradora de Riesgos de Salud APS (ARS APS), de no realizar cancelaciones de las inversiones de las Reservas Técnicas y otras inversiones libres, mediante Oficio SSRL-INT-2025-002592, de fecha 17 de octubre de 2025.</w:t>
      </w:r>
    </w:p>
    <w:p w14:paraId="38151F23" w14:textId="77777777" w:rsidR="008843FD" w:rsidRPr="005C133F" w:rsidRDefault="008843FD">
      <w:pPr>
        <w:widowControl w:val="0"/>
        <w:numPr>
          <w:ilvl w:val="0"/>
          <w:numId w:val="182"/>
        </w:numPr>
        <w:autoSpaceDE w:val="0"/>
        <w:autoSpaceDN w:val="0"/>
        <w:spacing w:after="0" w:line="360" w:lineRule="auto"/>
        <w:contextualSpacing/>
        <w:jc w:val="both"/>
        <w:rPr>
          <w:rFonts w:eastAsia="Times New Roman"/>
          <w:lang w:val="es-DO"/>
        </w:rPr>
      </w:pPr>
      <w:r w:rsidRPr="005C133F">
        <w:rPr>
          <w:rFonts w:eastAsia="Times New Roman"/>
          <w:lang w:val="es-DO"/>
        </w:rPr>
        <w:t>La Dirección Jurídica, juntamente con la Dirección de Aseguramiento en Salud de los Regímenes Contributivos y Planes (DARCP), brindó respuesta a denuncia por presuntos cobros indebidos por consultas médicas especializadas en Centro Médico Integral III.</w:t>
      </w:r>
    </w:p>
    <w:p w14:paraId="4F2CC46D" w14:textId="77777777" w:rsidR="0056303F" w:rsidRPr="005C133F" w:rsidRDefault="0056303F">
      <w:pPr>
        <w:widowControl w:val="0"/>
        <w:numPr>
          <w:ilvl w:val="0"/>
          <w:numId w:val="182"/>
        </w:numPr>
        <w:autoSpaceDE w:val="0"/>
        <w:autoSpaceDN w:val="0"/>
        <w:spacing w:after="0" w:line="360" w:lineRule="auto"/>
        <w:contextualSpacing/>
        <w:jc w:val="both"/>
        <w:rPr>
          <w:rFonts w:eastAsia="Times New Roman"/>
          <w:lang w:val="es-DO"/>
        </w:rPr>
      </w:pPr>
      <w:r w:rsidRPr="005C133F">
        <w:rPr>
          <w:rFonts w:eastAsia="Times New Roman"/>
          <w:lang w:val="es-DO"/>
        </w:rPr>
        <w:t>La</w:t>
      </w:r>
      <w:r w:rsidR="00DA2926" w:rsidRPr="005C133F">
        <w:rPr>
          <w:rFonts w:eastAsia="Times New Roman"/>
          <w:lang w:val="es-DO"/>
        </w:rPr>
        <w:t xml:space="preserve"> </w:t>
      </w:r>
      <w:r w:rsidRPr="005C133F">
        <w:rPr>
          <w:rFonts w:eastAsia="Times New Roman"/>
          <w:lang w:val="es-DO"/>
        </w:rPr>
        <w:t>Dirección Jurídica, juntamente con la Dirección de Aseguramiento en Salud de los Regímenes Contributivos y Planes (DARCP), brindó respuesta a solicitud de reembolso de gastos médicos realizada por el Sr. Faustino Antonio Reyes Espinal.</w:t>
      </w:r>
    </w:p>
    <w:p w14:paraId="50E9F9B7" w14:textId="22A62E66" w:rsidR="0038121D" w:rsidRPr="005C133F" w:rsidRDefault="0038121D">
      <w:pPr>
        <w:widowControl w:val="0"/>
        <w:numPr>
          <w:ilvl w:val="0"/>
          <w:numId w:val="182"/>
        </w:numPr>
        <w:autoSpaceDE w:val="0"/>
        <w:autoSpaceDN w:val="0"/>
        <w:spacing w:after="0" w:line="360" w:lineRule="auto"/>
        <w:contextualSpacing/>
        <w:jc w:val="both"/>
        <w:rPr>
          <w:rFonts w:eastAsia="Times New Roman"/>
          <w:lang w:val="es-DO"/>
        </w:rPr>
      </w:pPr>
      <w:r w:rsidRPr="005C133F">
        <w:rPr>
          <w:rFonts w:eastAsia="Times New Roman"/>
          <w:lang w:val="es-DO"/>
        </w:rPr>
        <w:t xml:space="preserve">La Dirección Jurídica, juntamente con la Dirección de Aseguramiento en Salud de los Regímenes Contributivos y Planes (DARCP), brindó respuesta a denuncia de práctica </w:t>
      </w:r>
      <w:r w:rsidRPr="005C133F">
        <w:rPr>
          <w:rFonts w:eastAsia="Times New Roman"/>
          <w:lang w:val="es-DO"/>
        </w:rPr>
        <w:lastRenderedPageBreak/>
        <w:t xml:space="preserve">indebida por parte del Prestador de Servicios de Salud (PSS) Centro Médico </w:t>
      </w:r>
      <w:proofErr w:type="spellStart"/>
      <w:r w:rsidRPr="005C133F">
        <w:rPr>
          <w:rFonts w:eastAsia="Times New Roman"/>
          <w:lang w:val="es-DO"/>
        </w:rPr>
        <w:t>Medilinkrd</w:t>
      </w:r>
      <w:proofErr w:type="spellEnd"/>
      <w:r w:rsidRPr="005C133F">
        <w:rPr>
          <w:rFonts w:eastAsia="Times New Roman"/>
          <w:lang w:val="es-DO"/>
        </w:rPr>
        <w:t>.</w:t>
      </w:r>
    </w:p>
    <w:p w14:paraId="579AD827" w14:textId="2864B538" w:rsidR="00FC19C6" w:rsidRPr="005C133F" w:rsidRDefault="00FC19C6">
      <w:pPr>
        <w:widowControl w:val="0"/>
        <w:numPr>
          <w:ilvl w:val="0"/>
          <w:numId w:val="182"/>
        </w:numPr>
        <w:autoSpaceDE w:val="0"/>
        <w:autoSpaceDN w:val="0"/>
        <w:spacing w:after="0" w:line="360" w:lineRule="auto"/>
        <w:contextualSpacing/>
        <w:jc w:val="both"/>
        <w:rPr>
          <w:rFonts w:eastAsia="Times New Roman"/>
          <w:lang w:val="es-DO"/>
        </w:rPr>
      </w:pPr>
      <w:r w:rsidRPr="005C133F">
        <w:rPr>
          <w:rFonts w:eastAsia="Times New Roman"/>
          <w:lang w:val="es-DO"/>
        </w:rPr>
        <w:t xml:space="preserve">La Dirección Jurídica, juntamente con la Dirección de Aseguramiento en Salud de los Regímenes Contributivos y Planes (DARCP), brindó respuesta a solicitud de cobertura sobre procedimiento quirúrgico Artrodesis Posterolateral </w:t>
      </w:r>
      <w:proofErr w:type="spellStart"/>
      <w:r w:rsidRPr="005C133F">
        <w:rPr>
          <w:rFonts w:eastAsia="Times New Roman"/>
          <w:lang w:val="es-DO"/>
        </w:rPr>
        <w:t>Intercorporal</w:t>
      </w:r>
      <w:proofErr w:type="spellEnd"/>
      <w:r w:rsidRPr="005C133F">
        <w:rPr>
          <w:rFonts w:eastAsia="Times New Roman"/>
          <w:lang w:val="es-DO"/>
        </w:rPr>
        <w:t xml:space="preserve"> (PLIF) de Columna Vertebral con Instrumentación a favor del Sr. Riquelmi Arsenio Reyes Núñez.</w:t>
      </w:r>
    </w:p>
    <w:p w14:paraId="4D8611C3" w14:textId="77777777" w:rsidR="00D24440" w:rsidRPr="005C133F" w:rsidRDefault="00D24440" w:rsidP="005C133F">
      <w:pPr>
        <w:widowControl w:val="0"/>
        <w:autoSpaceDE w:val="0"/>
        <w:autoSpaceDN w:val="0"/>
        <w:spacing w:after="0" w:line="360" w:lineRule="auto"/>
        <w:contextualSpacing/>
        <w:jc w:val="both"/>
        <w:rPr>
          <w:rFonts w:eastAsia="Times New Roman"/>
          <w:b/>
          <w:lang w:val="es-DO"/>
        </w:rPr>
      </w:pPr>
    </w:p>
    <w:p w14:paraId="757C99D3" w14:textId="0D456D07" w:rsidR="00D24440" w:rsidRPr="005C133F" w:rsidRDefault="008C151A">
      <w:pPr>
        <w:pStyle w:val="Prrafodelista"/>
        <w:widowControl w:val="0"/>
        <w:numPr>
          <w:ilvl w:val="0"/>
          <w:numId w:val="172"/>
        </w:numPr>
        <w:autoSpaceDE w:val="0"/>
        <w:autoSpaceDN w:val="0"/>
        <w:spacing w:after="0" w:line="360" w:lineRule="auto"/>
        <w:jc w:val="both"/>
        <w:rPr>
          <w:rFonts w:eastAsia="Times New Roman"/>
          <w:b/>
          <w:lang w:val="es-DO"/>
        </w:rPr>
      </w:pPr>
      <w:r w:rsidRPr="005C133F">
        <w:rPr>
          <w:rFonts w:eastAsia="Times New Roman"/>
          <w:b/>
          <w:lang w:val="es-DO"/>
        </w:rPr>
        <w:t>Procesos</w:t>
      </w:r>
      <w:r w:rsidR="00D24440" w:rsidRPr="005C133F">
        <w:rPr>
          <w:rFonts w:eastAsia="Times New Roman"/>
          <w:b/>
          <w:lang w:val="es-DO"/>
        </w:rPr>
        <w:t xml:space="preserve"> de Consultas Públicas</w:t>
      </w:r>
    </w:p>
    <w:p w14:paraId="24134E54" w14:textId="77777777" w:rsidR="00974906" w:rsidRPr="005C133F" w:rsidRDefault="00974906" w:rsidP="005C133F">
      <w:pPr>
        <w:spacing w:after="0" w:line="360" w:lineRule="auto"/>
        <w:ind w:left="851"/>
        <w:contextualSpacing/>
        <w:jc w:val="both"/>
        <w:rPr>
          <w:rFonts w:eastAsia="Times New Roman"/>
          <w:bCs/>
          <w:lang w:val="es-DO"/>
        </w:rPr>
      </w:pPr>
    </w:p>
    <w:p w14:paraId="6966C080" w14:textId="77777777" w:rsidR="00ED1E95" w:rsidRPr="005C133F" w:rsidRDefault="00ED1E95" w:rsidP="005C133F">
      <w:pPr>
        <w:spacing w:after="0" w:line="360" w:lineRule="auto"/>
        <w:contextualSpacing/>
        <w:jc w:val="both"/>
        <w:rPr>
          <w:rFonts w:eastAsia="Times New Roman"/>
          <w:bCs/>
          <w:lang w:val="es-DO"/>
        </w:rPr>
      </w:pPr>
      <w:r w:rsidRPr="005C133F">
        <w:rPr>
          <w:rFonts w:eastAsia="Times New Roman"/>
          <w:bCs/>
          <w:lang w:val="es-DO"/>
        </w:rPr>
        <w:t>En el marco de una gestión pública transparente y participativa, se realizaron cuatro (4) procesos de consultas públicas, de conformidad con las disposiciones de los artículos 23 y siguientes de la Ley General de Libre Acceso a la Información Pública Núm. 200-04; los artículos 30 y siguientes de la Ley sobre Derechos de las Personas en sus Relaciones con la Administración y de Procedimiento Administrativo, Núm.107-13, artículos 22 y siguientes de la Ley de Mejora Regulatoria y Simplificación de Trámites Núm.167-21 y su Reglamento de Aplicación contenido en el Decreto Num.486-22 y en cumplimiento al compromiso contemplado en la Agenda o Planificación Regulatoria institucional; a saber:</w:t>
      </w:r>
    </w:p>
    <w:p w14:paraId="6CF5231F" w14:textId="77777777" w:rsidR="002E3BF0" w:rsidRPr="005C133F" w:rsidRDefault="002E3BF0" w:rsidP="005C133F">
      <w:pPr>
        <w:spacing w:after="0" w:line="360" w:lineRule="auto"/>
        <w:contextualSpacing/>
        <w:jc w:val="both"/>
        <w:rPr>
          <w:rFonts w:eastAsia="Times New Roman"/>
          <w:bCs/>
          <w:lang w:val="es-DO"/>
        </w:rPr>
      </w:pPr>
    </w:p>
    <w:p w14:paraId="17DAFA13" w14:textId="77777777" w:rsidR="000665CE" w:rsidRPr="005C133F" w:rsidRDefault="000665CE">
      <w:pPr>
        <w:widowControl w:val="0"/>
        <w:numPr>
          <w:ilvl w:val="0"/>
          <w:numId w:val="183"/>
        </w:numPr>
        <w:autoSpaceDE w:val="0"/>
        <w:autoSpaceDN w:val="0"/>
        <w:spacing w:after="0" w:line="360" w:lineRule="auto"/>
        <w:contextualSpacing/>
        <w:jc w:val="both"/>
        <w:rPr>
          <w:rFonts w:eastAsia="Times New Roman"/>
          <w:lang w:val="es-DO"/>
        </w:rPr>
      </w:pPr>
      <w:r w:rsidRPr="005C133F">
        <w:rPr>
          <w:rFonts w:eastAsia="Times New Roman"/>
          <w:lang w:val="es-DO"/>
        </w:rPr>
        <w:t>Consulta pública del Proyecto de Resolución Administrativa que establece el Proceso de Registro y Descargo de las Autorizaciones de Cobertura, Reclamaciones y Pagos por Servicios de Salud de fecha doce (12) de septiembre de dos mil veinticinco (2025).</w:t>
      </w:r>
    </w:p>
    <w:p w14:paraId="1F86CB64" w14:textId="77777777" w:rsidR="00A11C08" w:rsidRPr="005C133F" w:rsidRDefault="00A11C08">
      <w:pPr>
        <w:widowControl w:val="0"/>
        <w:numPr>
          <w:ilvl w:val="0"/>
          <w:numId w:val="183"/>
        </w:numPr>
        <w:autoSpaceDE w:val="0"/>
        <w:autoSpaceDN w:val="0"/>
        <w:spacing w:after="0" w:line="360" w:lineRule="auto"/>
        <w:contextualSpacing/>
        <w:jc w:val="both"/>
        <w:rPr>
          <w:rFonts w:eastAsia="Times New Roman"/>
          <w:lang w:val="es-DO"/>
        </w:rPr>
      </w:pPr>
      <w:r w:rsidRPr="005C133F">
        <w:rPr>
          <w:rFonts w:eastAsia="Times New Roman"/>
          <w:lang w:val="es-DO"/>
        </w:rPr>
        <w:t xml:space="preserve">Consulta pública del Proyecto de Resolución Administrativa </w:t>
      </w:r>
      <w:r w:rsidRPr="005C133F">
        <w:rPr>
          <w:rFonts w:eastAsia="Times New Roman"/>
          <w:lang w:val="es-DO"/>
        </w:rPr>
        <w:lastRenderedPageBreak/>
        <w:t>que establece</w:t>
      </w:r>
      <w:r w:rsidRPr="005C133F">
        <w:rPr>
          <w:rFonts w:eastAsia="Times New Roman"/>
          <w:shd w:val="clear" w:color="auto" w:fill="FFFFFF"/>
          <w:lang w:val="es-DO" w:eastAsia="es-DO"/>
        </w:rPr>
        <w:t xml:space="preserve"> </w:t>
      </w:r>
      <w:r w:rsidRPr="005C133F">
        <w:rPr>
          <w:rFonts w:eastAsia="Times New Roman"/>
          <w:lang w:val="es-DO"/>
        </w:rPr>
        <w:t>el Cálculo del Pleno de Retención, del Margen de Solvencia y las Reservas Técnicas para las Administradoras de Riesgos de Salud (ARS) y el Instituto Dominicano de Prevención y Protección de Riesgos Laborales (IDOPPRIL). </w:t>
      </w:r>
    </w:p>
    <w:p w14:paraId="249FE195" w14:textId="77777777" w:rsidR="005315FB" w:rsidRPr="005C133F" w:rsidRDefault="005315FB">
      <w:pPr>
        <w:widowControl w:val="0"/>
        <w:numPr>
          <w:ilvl w:val="0"/>
          <w:numId w:val="183"/>
        </w:numPr>
        <w:autoSpaceDE w:val="0"/>
        <w:autoSpaceDN w:val="0"/>
        <w:spacing w:after="0" w:line="360" w:lineRule="auto"/>
        <w:contextualSpacing/>
        <w:jc w:val="both"/>
        <w:rPr>
          <w:rFonts w:eastAsia="Times New Roman"/>
          <w:lang w:val="es-DO" w:eastAsia="es-DO"/>
        </w:rPr>
      </w:pPr>
      <w:r w:rsidRPr="005C133F">
        <w:rPr>
          <w:rFonts w:eastAsia="Times New Roman"/>
          <w:lang w:val="es-DO"/>
        </w:rPr>
        <w:t xml:space="preserve">Consulta pública del Proyecto de </w:t>
      </w:r>
      <w:r w:rsidRPr="005C133F">
        <w:rPr>
          <w:rFonts w:eastAsia="Times New Roman"/>
          <w:shd w:val="clear" w:color="auto" w:fill="FFFFFF"/>
          <w:lang w:val="es-DO" w:eastAsia="es-DO"/>
        </w:rPr>
        <w:t>Resolución Administrativa que regula los cambios en las plataformas tecnológicas de las ARS y el IDOPPRIL para operar en el Seguro Familiar de Salud (SFS) y Seguro de Riesgos Laborales (SRL).</w:t>
      </w:r>
    </w:p>
    <w:p w14:paraId="408DA566" w14:textId="77777777" w:rsidR="00FE581B" w:rsidRPr="008C151A" w:rsidRDefault="00FE581B">
      <w:pPr>
        <w:widowControl w:val="0"/>
        <w:numPr>
          <w:ilvl w:val="0"/>
          <w:numId w:val="183"/>
        </w:numPr>
        <w:autoSpaceDE w:val="0"/>
        <w:autoSpaceDN w:val="0"/>
        <w:spacing w:after="0" w:line="360" w:lineRule="auto"/>
        <w:contextualSpacing/>
        <w:jc w:val="both"/>
        <w:rPr>
          <w:rFonts w:eastAsia="Times New Roman"/>
          <w:lang w:val="es-DO"/>
        </w:rPr>
      </w:pPr>
      <w:r w:rsidRPr="005C133F">
        <w:rPr>
          <w:rFonts w:eastAsia="Times New Roman"/>
          <w:bdr w:val="none" w:sz="0" w:space="0" w:color="auto" w:frame="1"/>
          <w:lang w:val="es-DO" w:eastAsia="es-DO"/>
        </w:rPr>
        <w:t>Consulta</w:t>
      </w:r>
      <w:r w:rsidRPr="005C133F">
        <w:rPr>
          <w:rFonts w:eastAsia="Times New Roman"/>
          <w:lang w:val="es-DO" w:eastAsia="es-DO"/>
        </w:rPr>
        <w:t> pública del proyecto de Resolución Administrativa </w:t>
      </w:r>
      <w:bookmarkStart w:id="129" w:name="x_x_x__Hlk212808217"/>
      <w:r w:rsidRPr="005C133F">
        <w:rPr>
          <w:rFonts w:eastAsia="Times New Roman"/>
          <w:bdr w:val="none" w:sz="0" w:space="0" w:color="auto" w:frame="1"/>
          <w:lang w:val="es-DO" w:eastAsia="es-DO"/>
        </w:rPr>
        <w:t>que establece el proceso de gestión de la afiliación de los Planes Especiales de Jubilados y Pensionados del Estado dominicano y de la Junta de Retiro y del Fondo de Pensiones de las Fuerzas Armadas. </w:t>
      </w:r>
      <w:bookmarkEnd w:id="129"/>
    </w:p>
    <w:p w14:paraId="72B244E5" w14:textId="77777777" w:rsidR="00CC53E1" w:rsidRPr="005C133F" w:rsidRDefault="00CC53E1" w:rsidP="005C133F">
      <w:pPr>
        <w:spacing w:after="0" w:line="360" w:lineRule="auto"/>
        <w:rPr>
          <w:rFonts w:eastAsia="Calibri"/>
          <w:lang w:val="es-DO"/>
        </w:rPr>
      </w:pPr>
    </w:p>
    <w:p w14:paraId="596EC764" w14:textId="090AC16F" w:rsidR="00A31520" w:rsidRPr="005C133F" w:rsidRDefault="00A31520" w:rsidP="005C133F">
      <w:pPr>
        <w:pStyle w:val="SUBTITULITO"/>
        <w:spacing w:before="0" w:after="0"/>
        <w:rPr>
          <w:rFonts w:eastAsia="Calibri"/>
          <w:noProof/>
        </w:rPr>
      </w:pPr>
      <w:bookmarkStart w:id="130" w:name="_Toc219121855"/>
      <w:r w:rsidRPr="005C133F">
        <w:rPr>
          <w:rFonts w:eastAsia="Calibri"/>
          <w:noProof/>
        </w:rPr>
        <w:t>4.4 Desempeño de la Tecnología</w:t>
      </w:r>
      <w:bookmarkEnd w:id="130"/>
    </w:p>
    <w:p w14:paraId="0A70DD7B" w14:textId="77777777" w:rsidR="006337A2" w:rsidRPr="005C133F" w:rsidRDefault="006337A2" w:rsidP="005C133F">
      <w:pPr>
        <w:spacing w:after="0" w:line="360" w:lineRule="auto"/>
        <w:rPr>
          <w:noProof/>
          <w:lang w:val="es-DO"/>
        </w:rPr>
      </w:pPr>
    </w:p>
    <w:p w14:paraId="29077725" w14:textId="77777777" w:rsidR="00772506" w:rsidRPr="005C133F" w:rsidRDefault="00772506" w:rsidP="005C133F">
      <w:pPr>
        <w:spacing w:after="0" w:line="360" w:lineRule="auto"/>
        <w:jc w:val="both"/>
        <w:rPr>
          <w:b/>
          <w:bCs/>
          <w:lang w:val="es-DO"/>
        </w:rPr>
      </w:pPr>
      <w:r w:rsidRPr="005C133F">
        <w:rPr>
          <w:b/>
          <w:bCs/>
          <w:lang w:val="es-DO"/>
        </w:rPr>
        <w:t>Avances logros en materia de tecnología, innovaciones e implementaciones</w:t>
      </w:r>
    </w:p>
    <w:p w14:paraId="271A53E8" w14:textId="77777777" w:rsidR="00DA2926" w:rsidRPr="005C133F" w:rsidRDefault="00DA2926" w:rsidP="005C133F">
      <w:pPr>
        <w:spacing w:after="0" w:line="360" w:lineRule="auto"/>
        <w:jc w:val="both"/>
        <w:rPr>
          <w:b/>
          <w:bCs/>
          <w:lang w:val="es-DO"/>
        </w:rPr>
      </w:pPr>
    </w:p>
    <w:p w14:paraId="2C7A5A31" w14:textId="77777777" w:rsidR="004F5B59" w:rsidRPr="005C133F" w:rsidRDefault="004F5B59">
      <w:pPr>
        <w:pStyle w:val="Prrafodelista"/>
        <w:numPr>
          <w:ilvl w:val="0"/>
          <w:numId w:val="184"/>
        </w:numPr>
        <w:spacing w:after="0" w:line="360" w:lineRule="auto"/>
        <w:jc w:val="both"/>
        <w:rPr>
          <w:lang w:val="es-DO"/>
        </w:rPr>
      </w:pPr>
      <w:r w:rsidRPr="005C133F">
        <w:rPr>
          <w:lang w:val="es-DO"/>
        </w:rPr>
        <w:t xml:space="preserve">Se inició el desarrollo del </w:t>
      </w:r>
      <w:r w:rsidRPr="005C133F">
        <w:rPr>
          <w:b/>
          <w:bCs/>
          <w:lang w:val="es-DO"/>
        </w:rPr>
        <w:t>PID-SIMON</w:t>
      </w:r>
      <w:r w:rsidRPr="005C133F">
        <w:rPr>
          <w:lang w:val="es-DO"/>
        </w:rPr>
        <w:t xml:space="preserve">, un proyecto orientado a fortalecer los procesos institucionales mediante la creación de un canal único de interoperabilidad para el intercambio de datos en tiempo real con las entidades del Sistema Dominicano de Seguridad Social. Esta iniciativa busca estandarizar y asegurar una comunicación continua que mejore la calidad, trazabilidad y recepción oportuna de los datos, garantizando una gobernanza segura y controlada. El sistema permitirá recibir automáticamente la información que hoy se captura mediante esquemas enviados de forma periódica, integrando estos flujos en un proceso automatizado con notificaciones en </w:t>
      </w:r>
      <w:r w:rsidRPr="005C133F">
        <w:rPr>
          <w:lang w:val="es-DO"/>
        </w:rPr>
        <w:lastRenderedPageBreak/>
        <w:t>línea sobre aceptación o correcciones. Al centralizar la integración en un solo punto por entidad, el PID-SIMON avanza hacia la interconexión total del sistema, fortaleciendo las funciones de supervisión y control de la SISALRIL, permitiendo actuar oportunamente, identificar situaciones de riesgo o alerta y proteger de manera más efectiva los derechos de la población afiliada.</w:t>
      </w:r>
    </w:p>
    <w:p w14:paraId="020ADFFD" w14:textId="77777777" w:rsidR="00BD1438" w:rsidRPr="005C133F" w:rsidRDefault="00BD1438">
      <w:pPr>
        <w:pStyle w:val="Prrafodelista"/>
        <w:numPr>
          <w:ilvl w:val="0"/>
          <w:numId w:val="184"/>
        </w:numPr>
        <w:spacing w:after="0" w:line="360" w:lineRule="auto"/>
        <w:jc w:val="both"/>
        <w:rPr>
          <w:lang w:val="es-DO"/>
        </w:rPr>
      </w:pPr>
      <w:r w:rsidRPr="005C133F">
        <w:rPr>
          <w:lang w:val="es-DO"/>
        </w:rPr>
        <w:t xml:space="preserve">Se implementó el </w:t>
      </w:r>
      <w:r w:rsidRPr="005C133F">
        <w:rPr>
          <w:b/>
          <w:bCs/>
          <w:lang w:val="es-DO"/>
        </w:rPr>
        <w:t>Portal Dinámico de Consultas de Indicadores del SFS y SRL</w:t>
      </w:r>
      <w:r w:rsidRPr="005C133F">
        <w:rPr>
          <w:lang w:val="es-DO"/>
        </w:rPr>
        <w:t xml:space="preserve">, una plataforma pública que facilita el acceso transparente y dinámico a más de 40 indicadores. Construido sobre el motor estadístico REDATAM de la CEPAL, el portal integra series históricas, visualizaciones interactivas, fichas técnicas y opciones de exportación en formatos abiertos (CSV, Excel y JSON). </w:t>
      </w:r>
    </w:p>
    <w:p w14:paraId="33F8338F" w14:textId="3C0F7EBF" w:rsidR="00AF23D6" w:rsidRPr="005C133F" w:rsidRDefault="00AF23D6">
      <w:pPr>
        <w:pStyle w:val="Prrafodelista"/>
        <w:numPr>
          <w:ilvl w:val="0"/>
          <w:numId w:val="184"/>
        </w:numPr>
        <w:spacing w:after="0" w:line="360" w:lineRule="auto"/>
        <w:jc w:val="both"/>
        <w:rPr>
          <w:lang w:val="es-DO"/>
        </w:rPr>
      </w:pPr>
      <w:r w:rsidRPr="005C133F">
        <w:rPr>
          <w:lang w:val="es-DO"/>
        </w:rPr>
        <w:t xml:space="preserve">Se inició la implementación de un </w:t>
      </w:r>
      <w:r w:rsidRPr="005C133F">
        <w:rPr>
          <w:b/>
          <w:lang w:val="es-DO"/>
        </w:rPr>
        <w:t>nuevo sistema de control de subsidios</w:t>
      </w:r>
      <w:r w:rsidRPr="005C133F">
        <w:rPr>
          <w:lang w:val="es-DO"/>
        </w:rPr>
        <w:t>, orientado a mejorar la eficiencia, reducir errores y tiempos de respuesta, y fortalecer la transparencia y trazabilidad en la gestión de fondos</w:t>
      </w:r>
      <w:r w:rsidR="00EE679B" w:rsidRPr="005C133F">
        <w:rPr>
          <w:lang w:val="es-DO"/>
        </w:rPr>
        <w:t xml:space="preserve">. </w:t>
      </w:r>
    </w:p>
    <w:p w14:paraId="00CC26ED" w14:textId="77777777" w:rsidR="002D1A01" w:rsidRPr="005C133F" w:rsidRDefault="002D1A01">
      <w:pPr>
        <w:pStyle w:val="Prrafodelista"/>
        <w:numPr>
          <w:ilvl w:val="0"/>
          <w:numId w:val="184"/>
        </w:numPr>
        <w:spacing w:after="0" w:line="360" w:lineRule="auto"/>
        <w:jc w:val="both"/>
        <w:rPr>
          <w:lang w:val="es-DO"/>
        </w:rPr>
      </w:pPr>
      <w:r w:rsidRPr="005C133F">
        <w:rPr>
          <w:lang w:val="es-DO"/>
        </w:rPr>
        <w:t xml:space="preserve">Se habilitó el proceso </w:t>
      </w:r>
      <w:r w:rsidRPr="005C133F">
        <w:rPr>
          <w:b/>
          <w:bCs/>
          <w:lang w:val="es-DO"/>
        </w:rPr>
        <w:t>de solicitud de evaluación de tecnologías sanitarias (EVTESA)</w:t>
      </w:r>
      <w:r w:rsidRPr="005C133F">
        <w:rPr>
          <w:lang w:val="es-DO"/>
        </w:rPr>
        <w:t xml:space="preserve"> a través del Sistema de Gestión de Trámites institucional, fortaleciendo la transparencia, eficiencia y trazabilidad de las solicitudes, desde la recepción hasta la emisión del informe final. La implementación de esta plataforma en la convocatoria 2025 impactó positivamente el proceso, consolidando a la SISALRIL como un referente en los procesos de Evaluación de Tecnologías Sanitarias (EVTESA) en la región de Las Américas y El Caribe.</w:t>
      </w:r>
    </w:p>
    <w:p w14:paraId="168C3A71" w14:textId="5708039D" w:rsidR="00B3179A" w:rsidRPr="005C133F" w:rsidRDefault="00B3179A">
      <w:pPr>
        <w:pStyle w:val="Prrafodelista"/>
        <w:numPr>
          <w:ilvl w:val="0"/>
          <w:numId w:val="184"/>
        </w:numPr>
        <w:spacing w:after="0" w:line="360" w:lineRule="auto"/>
        <w:jc w:val="both"/>
        <w:rPr>
          <w:lang w:val="es-DO"/>
        </w:rPr>
      </w:pPr>
      <w:r w:rsidRPr="005C133F">
        <w:rPr>
          <w:lang w:val="es-DO"/>
        </w:rPr>
        <w:t xml:space="preserve">Se implementó el </w:t>
      </w:r>
      <w:r w:rsidRPr="005C133F">
        <w:rPr>
          <w:b/>
          <w:bCs/>
          <w:lang w:val="es-DO"/>
        </w:rPr>
        <w:t>Sistema de Información y Gestión de Planes (SIGEP)</w:t>
      </w:r>
      <w:r w:rsidRPr="005C133F">
        <w:rPr>
          <w:lang w:val="es-DO"/>
        </w:rPr>
        <w:t xml:space="preserve">, que centraliza y digitaliza el proceso de </w:t>
      </w:r>
      <w:r w:rsidRPr="005C133F">
        <w:rPr>
          <w:lang w:val="es-DO"/>
        </w:rPr>
        <w:lastRenderedPageBreak/>
        <w:t>registro, validación y aprobación de los planes ofrecidos por las Administradoras de Riesgos de Salud (ARS), fortaleciendo la eficiencia, la transparencia y el control en la evaluación y supervisión de las coberturas y primas.</w:t>
      </w:r>
    </w:p>
    <w:p w14:paraId="09F852D1" w14:textId="38937A6C" w:rsidR="0028579A" w:rsidRPr="005C133F" w:rsidRDefault="0028579A">
      <w:pPr>
        <w:pStyle w:val="Prrafodelista"/>
        <w:numPr>
          <w:ilvl w:val="0"/>
          <w:numId w:val="184"/>
        </w:numPr>
        <w:spacing w:after="0" w:line="360" w:lineRule="auto"/>
        <w:jc w:val="both"/>
        <w:rPr>
          <w:lang w:val="es-DO"/>
        </w:rPr>
      </w:pPr>
      <w:r w:rsidRPr="005C133F">
        <w:rPr>
          <w:lang w:val="es-DO"/>
        </w:rPr>
        <w:t xml:space="preserve">Se implementó el </w:t>
      </w:r>
      <w:r w:rsidRPr="005C133F">
        <w:rPr>
          <w:b/>
          <w:bCs/>
          <w:lang w:val="es-DO"/>
        </w:rPr>
        <w:t>sistema de transparencia documental TRANSDOC</w:t>
      </w:r>
      <w:r w:rsidRPr="005C133F">
        <w:rPr>
          <w:lang w:val="es-DO"/>
        </w:rPr>
        <w:t>, en colaboración con el PNUD, que centraliza y digitaliza la gestión de correspondencia institucional, fortaleciendo la trazabilidad, los controles internos, la reducción del uso de papel y la eficiencia y seguridad en la gestión documental.</w:t>
      </w:r>
    </w:p>
    <w:p w14:paraId="798E1412" w14:textId="65D1C610" w:rsidR="00E5197A" w:rsidRPr="005C133F" w:rsidRDefault="00E5197A">
      <w:pPr>
        <w:pStyle w:val="Prrafodelista"/>
        <w:numPr>
          <w:ilvl w:val="0"/>
          <w:numId w:val="184"/>
        </w:numPr>
        <w:spacing w:after="0" w:line="360" w:lineRule="auto"/>
        <w:jc w:val="both"/>
        <w:rPr>
          <w:lang w:val="es-DO"/>
        </w:rPr>
      </w:pPr>
      <w:r w:rsidRPr="005C133F">
        <w:rPr>
          <w:lang w:val="es-DO"/>
        </w:rPr>
        <w:t xml:space="preserve">Se implementó el </w:t>
      </w:r>
      <w:r w:rsidRPr="005C133F">
        <w:rPr>
          <w:b/>
          <w:bCs/>
          <w:lang w:val="es-DO"/>
        </w:rPr>
        <w:t>Sistema Integrado de Gestión Institucional (SIGEI)</w:t>
      </w:r>
      <w:r w:rsidRPr="005C133F">
        <w:rPr>
          <w:lang w:val="es-DO"/>
        </w:rPr>
        <w:t xml:space="preserve">, permitiendo registrar, monitorear y </w:t>
      </w:r>
      <w:r w:rsidR="00977F4D" w:rsidRPr="005C133F">
        <w:rPr>
          <w:lang w:val="es-DO"/>
        </w:rPr>
        <w:t>centralizar la</w:t>
      </w:r>
      <w:r w:rsidRPr="005C133F">
        <w:rPr>
          <w:lang w:val="es-DO"/>
        </w:rPr>
        <w:t xml:space="preserve"> información del personal institucional, integrando procesos clave de la gestión de recursos humanos, fortaleciendo la eficiencia, la transparencia y la alineación con la normativa vigente y las recomendaciones de auditorías pasadas.</w:t>
      </w:r>
    </w:p>
    <w:p w14:paraId="3624A862" w14:textId="77777777" w:rsidR="00974DCF" w:rsidRPr="005C133F" w:rsidRDefault="00974DCF">
      <w:pPr>
        <w:pStyle w:val="Prrafodelista"/>
        <w:numPr>
          <w:ilvl w:val="0"/>
          <w:numId w:val="184"/>
        </w:numPr>
        <w:spacing w:after="0" w:line="360" w:lineRule="auto"/>
        <w:jc w:val="both"/>
        <w:rPr>
          <w:lang w:val="es-DO"/>
        </w:rPr>
      </w:pPr>
      <w:r w:rsidRPr="005C133F">
        <w:rPr>
          <w:lang w:val="es-DO"/>
        </w:rPr>
        <w:t xml:space="preserve">Se realizó la </w:t>
      </w:r>
      <w:r w:rsidRPr="005C133F">
        <w:rPr>
          <w:b/>
          <w:bCs/>
          <w:lang w:val="es-DO"/>
        </w:rPr>
        <w:t>migración de infraestructura y actualización a nuevas tecnologías del portal web</w:t>
      </w:r>
      <w:r w:rsidRPr="005C133F">
        <w:rPr>
          <w:lang w:val="es-DO"/>
        </w:rPr>
        <w:t xml:space="preserve"> oficial de la SISALRIL, permitiendo que se adaptara de acuerdo con nuestra imagen institucional, misión y visión actuales, lo que facilitó una gestión de contenidos más flexible y eficiente. Esta migración fue esencial para que la SISALRIL obtuviera la recertificación de la NORTIC A2 en su versión más reciente y la NORTIC B2, garantizando el cumplimiento con los más altos estándares de seguridad y accesibilidad.</w:t>
      </w:r>
    </w:p>
    <w:p w14:paraId="08C6E10B" w14:textId="77777777" w:rsidR="00346417" w:rsidRPr="005C133F" w:rsidRDefault="00346417">
      <w:pPr>
        <w:pStyle w:val="Prrafodelista"/>
        <w:numPr>
          <w:ilvl w:val="0"/>
          <w:numId w:val="184"/>
        </w:numPr>
        <w:spacing w:after="0" w:line="360" w:lineRule="auto"/>
        <w:jc w:val="both"/>
        <w:rPr>
          <w:lang w:val="es-DO"/>
        </w:rPr>
      </w:pPr>
      <w:r w:rsidRPr="005C133F">
        <w:rPr>
          <w:lang w:val="es-DO"/>
        </w:rPr>
        <w:t xml:space="preserve">Se desarrolló e implementó el </w:t>
      </w:r>
      <w:r w:rsidRPr="005C133F">
        <w:rPr>
          <w:b/>
          <w:bCs/>
          <w:lang w:val="es-DO"/>
        </w:rPr>
        <w:t>Módulo de Gestión de Eventos y Salones</w:t>
      </w:r>
      <w:r w:rsidRPr="005C133F">
        <w:rPr>
          <w:lang w:val="es-DO"/>
        </w:rPr>
        <w:t xml:space="preserve"> en la Intranet institucional, automatizando y centralizando la reserva de espacios, lo que redujo la gestión manual, mejoró la trazabilidad y fortaleció la eficiencia y transparencia en la planificación de eventos.</w:t>
      </w:r>
    </w:p>
    <w:p w14:paraId="3C88DF0E" w14:textId="42046655" w:rsidR="005F5015" w:rsidRPr="005C133F" w:rsidRDefault="00285FC5">
      <w:pPr>
        <w:pStyle w:val="Prrafodelista"/>
        <w:numPr>
          <w:ilvl w:val="0"/>
          <w:numId w:val="184"/>
        </w:numPr>
        <w:spacing w:after="0" w:line="360" w:lineRule="auto"/>
        <w:jc w:val="both"/>
        <w:rPr>
          <w:lang w:val="es-DO"/>
        </w:rPr>
      </w:pPr>
      <w:r w:rsidRPr="005C133F">
        <w:rPr>
          <w:lang w:val="es-DO"/>
        </w:rPr>
        <w:lastRenderedPageBreak/>
        <w:t xml:space="preserve">Se implementó el nuevo </w:t>
      </w:r>
      <w:r w:rsidRPr="005C133F">
        <w:rPr>
          <w:b/>
          <w:bCs/>
          <w:lang w:val="es-DO"/>
        </w:rPr>
        <w:t>sistema de nómina</w:t>
      </w:r>
      <w:r w:rsidRPr="005C133F">
        <w:rPr>
          <w:lang w:val="es-DO"/>
        </w:rPr>
        <w:t xml:space="preserve">, que automatiza y centraliza todos los procesos relacionados con la gestión de pagos al personal, reduciendo tiempos y errores, y fortaleciendo la trazabilidad, el control y la transparencia del proceso. </w:t>
      </w:r>
    </w:p>
    <w:p w14:paraId="6C40D21F" w14:textId="77777777" w:rsidR="00DA2926" w:rsidRPr="005C133F" w:rsidRDefault="00DA2926" w:rsidP="005C133F">
      <w:pPr>
        <w:pStyle w:val="Prrafodelista"/>
        <w:spacing w:after="0" w:line="360" w:lineRule="auto"/>
        <w:jc w:val="both"/>
        <w:rPr>
          <w:lang w:val="es-DO"/>
        </w:rPr>
      </w:pPr>
    </w:p>
    <w:p w14:paraId="352F4107" w14:textId="77777777" w:rsidR="00712837" w:rsidRPr="005C133F" w:rsidRDefault="00712837" w:rsidP="005C133F">
      <w:pPr>
        <w:spacing w:after="0" w:line="360" w:lineRule="auto"/>
        <w:jc w:val="both"/>
        <w:rPr>
          <w:b/>
          <w:lang w:val="es-DO"/>
        </w:rPr>
      </w:pPr>
      <w:r w:rsidRPr="005C133F">
        <w:rPr>
          <w:b/>
          <w:lang w:val="es-DO"/>
        </w:rPr>
        <w:t>Uso de las TIC para la simplificación de trámites y mejorar procesos</w:t>
      </w:r>
    </w:p>
    <w:p w14:paraId="61503EDB" w14:textId="77777777" w:rsidR="00DB19D4" w:rsidRPr="005C133F" w:rsidRDefault="00DB19D4" w:rsidP="005C133F">
      <w:pPr>
        <w:spacing w:after="0" w:line="360" w:lineRule="auto"/>
        <w:jc w:val="both"/>
        <w:rPr>
          <w:b/>
          <w:lang w:val="es-DO"/>
        </w:rPr>
      </w:pPr>
    </w:p>
    <w:p w14:paraId="70DE6A5A" w14:textId="77777777" w:rsidR="00712837" w:rsidRPr="005C133F" w:rsidRDefault="00712837">
      <w:pPr>
        <w:pStyle w:val="Prrafodelista"/>
        <w:numPr>
          <w:ilvl w:val="0"/>
          <w:numId w:val="185"/>
        </w:numPr>
        <w:spacing w:after="0" w:line="360" w:lineRule="auto"/>
        <w:jc w:val="both"/>
        <w:rPr>
          <w:lang w:val="es-DO"/>
        </w:rPr>
      </w:pPr>
      <w:r w:rsidRPr="005C133F">
        <w:rPr>
          <w:lang w:val="es-DO"/>
        </w:rPr>
        <w:t>Se desarrolló un</w:t>
      </w:r>
      <w:r w:rsidRPr="005C133F">
        <w:rPr>
          <w:b/>
          <w:lang w:val="es-DO"/>
        </w:rPr>
        <w:t xml:space="preserve"> sistema de turnos para la Oficina de Atención al Usuario</w:t>
      </w:r>
      <w:r w:rsidRPr="005C133F">
        <w:rPr>
          <w:lang w:val="es-DO"/>
        </w:rPr>
        <w:t>, que optimiza la gestión del flujo de personas, reduce los tiempos de espera y mejora la calidad y agilidad del servicio brindado a la ciudadanía.</w:t>
      </w:r>
    </w:p>
    <w:p w14:paraId="1FA30378" w14:textId="77777777" w:rsidR="00712837" w:rsidRPr="005C133F" w:rsidRDefault="00712837">
      <w:pPr>
        <w:pStyle w:val="Prrafodelista"/>
        <w:numPr>
          <w:ilvl w:val="0"/>
          <w:numId w:val="185"/>
        </w:numPr>
        <w:spacing w:after="0" w:line="360" w:lineRule="auto"/>
        <w:jc w:val="both"/>
        <w:rPr>
          <w:lang w:val="es-DO"/>
        </w:rPr>
      </w:pPr>
      <w:r w:rsidRPr="005C133F">
        <w:rPr>
          <w:lang w:val="es-DO"/>
        </w:rPr>
        <w:t xml:space="preserve">Se desarrolló </w:t>
      </w:r>
      <w:r w:rsidRPr="005C133F">
        <w:rPr>
          <w:b/>
          <w:lang w:val="es-DO"/>
        </w:rPr>
        <w:t>un Sistema de Gestión de Trámites</w:t>
      </w:r>
      <w:r w:rsidRPr="005C133F">
        <w:rPr>
          <w:lang w:val="es-DO"/>
        </w:rPr>
        <w:t xml:space="preserve"> que permitirá a la SISALRIL digitalizar todos los procesos de solicitud y entrega de servicios externos, permitiendo el seguimiento en tiempo real, la eliminación de expedientes físicos y la medición de tiempos, fortaleciendo la eficiencia, transparencia y mejora continua de los procesos institucionales.</w:t>
      </w:r>
    </w:p>
    <w:p w14:paraId="4BC8E756" w14:textId="77777777" w:rsidR="00712837" w:rsidRPr="005C133F" w:rsidRDefault="00712837">
      <w:pPr>
        <w:pStyle w:val="Prrafodelista"/>
        <w:numPr>
          <w:ilvl w:val="0"/>
          <w:numId w:val="185"/>
        </w:numPr>
        <w:spacing w:after="0" w:line="360" w:lineRule="auto"/>
        <w:jc w:val="both"/>
        <w:rPr>
          <w:lang w:val="es-DO"/>
        </w:rPr>
      </w:pPr>
      <w:r w:rsidRPr="005C133F">
        <w:rPr>
          <w:lang w:val="es-DO"/>
        </w:rPr>
        <w:t xml:space="preserve">Se implementó una </w:t>
      </w:r>
      <w:r w:rsidRPr="005C133F">
        <w:rPr>
          <w:b/>
          <w:lang w:val="es-DO"/>
        </w:rPr>
        <w:t>herramienta de ITSM</w:t>
      </w:r>
      <w:r w:rsidRPr="005C133F">
        <w:rPr>
          <w:lang w:val="es-DO"/>
        </w:rPr>
        <w:t xml:space="preserve"> (Gestión de Servicios de Tecnologías de la Información), que permite gestionar, clasificar, asignar y dar seguimiento a todos los tickets relacionados con soporte técnico y servicios, facilitando la gestión eficiente de incidentes y optimizando el flujo de trabajo del equipo técnico. Además, el sistema permite una trazabilidad completa, generando estadísticas que apoyan una mejor toma de decisiones en la gestión de los servicios de soporte.</w:t>
      </w:r>
    </w:p>
    <w:p w14:paraId="755FB8CA" w14:textId="77777777" w:rsidR="00712837" w:rsidRPr="005C133F" w:rsidRDefault="00712837">
      <w:pPr>
        <w:pStyle w:val="Prrafodelista"/>
        <w:numPr>
          <w:ilvl w:val="0"/>
          <w:numId w:val="185"/>
        </w:numPr>
        <w:spacing w:after="0" w:line="360" w:lineRule="auto"/>
        <w:jc w:val="both"/>
        <w:rPr>
          <w:lang w:val="es-DO"/>
        </w:rPr>
      </w:pPr>
      <w:r w:rsidRPr="005C133F">
        <w:rPr>
          <w:lang w:val="es-DO"/>
        </w:rPr>
        <w:lastRenderedPageBreak/>
        <w:t xml:space="preserve">Se inició la implementación de una solución de software que permitirá recibir todos los reportes de incidencias relacionados a peticiones, quejas, reclamaciones y servicios </w:t>
      </w:r>
      <w:r w:rsidRPr="005C133F">
        <w:rPr>
          <w:b/>
          <w:lang w:val="es-DO"/>
        </w:rPr>
        <w:t>(PQRS)</w:t>
      </w:r>
      <w:r w:rsidRPr="005C133F">
        <w:rPr>
          <w:lang w:val="es-DO"/>
        </w:rPr>
        <w:t xml:space="preserve"> dirigidos a la SISALRIL por entes externos, permitiendo la creación de una mesa de ayuda institucional, a través de la cual la ciudadanía podrá, mediante un correo electrónico o el llenado de un formulario digital, generar sus casos y darles seguimiento en tiempo real, comunicándose directamente con nuestros agentes sin necesidad de desplazarse a la oficina para depositar documentos.</w:t>
      </w:r>
    </w:p>
    <w:p w14:paraId="74410275" w14:textId="1A7174BA" w:rsidR="00712837" w:rsidRPr="005C133F" w:rsidRDefault="00712837">
      <w:pPr>
        <w:pStyle w:val="Prrafodelista"/>
        <w:numPr>
          <w:ilvl w:val="0"/>
          <w:numId w:val="185"/>
        </w:numPr>
        <w:spacing w:after="0" w:line="360" w:lineRule="auto"/>
        <w:jc w:val="both"/>
        <w:rPr>
          <w:lang w:val="es-DO"/>
        </w:rPr>
      </w:pPr>
      <w:r w:rsidRPr="005C133F">
        <w:rPr>
          <w:lang w:val="es-DO"/>
        </w:rPr>
        <w:t xml:space="preserve">Se inició la implementación de una nueva </w:t>
      </w:r>
      <w:r w:rsidRPr="005C133F">
        <w:rPr>
          <w:b/>
          <w:lang w:val="es-DO"/>
        </w:rPr>
        <w:t>estructura de reporte de datos</w:t>
      </w:r>
      <w:r w:rsidRPr="005C133F">
        <w:rPr>
          <w:lang w:val="es-DO"/>
        </w:rPr>
        <w:t xml:space="preserve"> para auditorías médicas orientada a mejorar la trazabilidad y la supervisión de los servicios médicos prestados por las ARS y las PSS, una correcta distribución de los profesionales médicos y evitando prácticas no </w:t>
      </w:r>
      <w:r w:rsidR="003E76C9" w:rsidRPr="005C133F">
        <w:rPr>
          <w:lang w:val="es-DO"/>
        </w:rPr>
        <w:t>éticas,</w:t>
      </w:r>
      <w:r w:rsidRPr="005C133F">
        <w:rPr>
          <w:lang w:val="es-DO"/>
        </w:rPr>
        <w:t xml:space="preserve"> contribuyendo a una gestión más confiable y transparente, además de facilitar una auditoría médica más eficiente.</w:t>
      </w:r>
    </w:p>
    <w:p w14:paraId="0DB1B159" w14:textId="367D6644" w:rsidR="00034A67" w:rsidRPr="005C133F" w:rsidRDefault="00034A67">
      <w:pPr>
        <w:pStyle w:val="Prrafodelista"/>
        <w:numPr>
          <w:ilvl w:val="0"/>
          <w:numId w:val="185"/>
        </w:numPr>
        <w:spacing w:after="0" w:line="360" w:lineRule="auto"/>
        <w:jc w:val="both"/>
        <w:rPr>
          <w:lang w:val="es-DO"/>
        </w:rPr>
      </w:pPr>
      <w:r w:rsidRPr="005C133F">
        <w:rPr>
          <w:lang w:val="es-DO"/>
        </w:rPr>
        <w:t xml:space="preserve">Se completó el desarrollo de un nuevo </w:t>
      </w:r>
      <w:r w:rsidRPr="005C133F">
        <w:rPr>
          <w:b/>
          <w:lang w:val="es-DO"/>
        </w:rPr>
        <w:t>módulo para la emisión de certificaciones de subsidios</w:t>
      </w:r>
      <w:r w:rsidRPr="005C133F">
        <w:rPr>
          <w:lang w:val="es-DO"/>
        </w:rPr>
        <w:t xml:space="preserve">, desde la Oficina Virtual, que elimina desplazamientos, optimiza tiempos y fortalece la agilidad, transparencia y accesibilidad del servicio para empleadores y </w:t>
      </w:r>
      <w:r w:rsidR="00156858" w:rsidRPr="005C133F">
        <w:rPr>
          <w:lang w:val="es-DO"/>
        </w:rPr>
        <w:t>trabajadores.</w:t>
      </w:r>
    </w:p>
    <w:p w14:paraId="74ED4B31" w14:textId="77777777" w:rsidR="00034A67" w:rsidRPr="005C133F" w:rsidRDefault="00034A67">
      <w:pPr>
        <w:pStyle w:val="Prrafodelista"/>
        <w:numPr>
          <w:ilvl w:val="0"/>
          <w:numId w:val="185"/>
        </w:numPr>
        <w:spacing w:after="0" w:line="360" w:lineRule="auto"/>
        <w:jc w:val="both"/>
        <w:rPr>
          <w:lang w:val="es-DO"/>
        </w:rPr>
      </w:pPr>
      <w:r w:rsidRPr="005C133F">
        <w:rPr>
          <w:lang w:val="es-DO"/>
        </w:rPr>
        <w:t xml:space="preserve">Se completó la </w:t>
      </w:r>
      <w:r w:rsidRPr="005C133F">
        <w:rPr>
          <w:b/>
          <w:lang w:val="es-DO"/>
        </w:rPr>
        <w:t>actualización del Esquema 0038</w:t>
      </w:r>
      <w:r w:rsidRPr="005C133F">
        <w:rPr>
          <w:lang w:val="es-DO"/>
        </w:rPr>
        <w:t>, a través del cual se nos reportan informaciones sobre prestaciones pagadas por las Administradoras de Riesgos de Salud (ARS), permitiendo una supervisión más eficiente de los patrones de consumo y la frecuencia de coberturas. Implementada dentro del SIMÓN, garantiza mayor transparencia en el uso de los fondos de salud, mejora la supervisión de los planes voluntarios y facilita la toma de decisiones oportunas.</w:t>
      </w:r>
    </w:p>
    <w:p w14:paraId="6D9FD659" w14:textId="7C2B3E64" w:rsidR="005F5015" w:rsidRPr="005C133F" w:rsidRDefault="00034A67">
      <w:pPr>
        <w:pStyle w:val="Prrafodelista"/>
        <w:numPr>
          <w:ilvl w:val="0"/>
          <w:numId w:val="185"/>
        </w:numPr>
        <w:spacing w:after="0" w:line="360" w:lineRule="auto"/>
        <w:jc w:val="both"/>
        <w:rPr>
          <w:lang w:val="es-DO"/>
        </w:rPr>
      </w:pPr>
      <w:r w:rsidRPr="005C133F">
        <w:rPr>
          <w:lang w:val="es-DO"/>
        </w:rPr>
        <w:lastRenderedPageBreak/>
        <w:t xml:space="preserve">Se completó un ciclo de desarrollo orientado a la </w:t>
      </w:r>
      <w:r w:rsidRPr="005C133F">
        <w:rPr>
          <w:b/>
          <w:lang w:val="es-DO"/>
        </w:rPr>
        <w:t>implementación de mejoras en el Sistema de Gestión Documental Institucional</w:t>
      </w:r>
      <w:r w:rsidRPr="005C133F">
        <w:rPr>
          <w:lang w:val="es-DO"/>
        </w:rPr>
        <w:t>, fortaleciendo el control, actualización y disponibilidad de los registros, y asegurando el cumplimiento de los estándares ISO 9001 e ISO 27001.</w:t>
      </w:r>
    </w:p>
    <w:p w14:paraId="4798B6B9" w14:textId="77777777" w:rsidR="00DA2926" w:rsidRPr="005C133F" w:rsidRDefault="00DA2926" w:rsidP="005C133F">
      <w:pPr>
        <w:pStyle w:val="Prrafodelista"/>
        <w:spacing w:after="0" w:line="360" w:lineRule="auto"/>
        <w:jc w:val="both"/>
        <w:rPr>
          <w:lang w:val="es-DO"/>
        </w:rPr>
      </w:pPr>
    </w:p>
    <w:p w14:paraId="6D6E543E" w14:textId="77777777" w:rsidR="00EE173E" w:rsidRPr="005C133F" w:rsidRDefault="00EE173E" w:rsidP="005C133F">
      <w:pPr>
        <w:spacing w:after="0" w:line="360" w:lineRule="auto"/>
        <w:jc w:val="both"/>
        <w:rPr>
          <w:b/>
          <w:lang w:val="es-DO"/>
        </w:rPr>
      </w:pPr>
      <w:r w:rsidRPr="005C133F">
        <w:rPr>
          <w:b/>
          <w:lang w:val="es-DO"/>
        </w:rPr>
        <w:t>Certificaciones obtenidas</w:t>
      </w:r>
    </w:p>
    <w:p w14:paraId="0468F563" w14:textId="77777777" w:rsidR="00DA2926" w:rsidRPr="005C133F" w:rsidRDefault="00DA2926" w:rsidP="005C133F">
      <w:pPr>
        <w:spacing w:after="0" w:line="360" w:lineRule="auto"/>
        <w:jc w:val="both"/>
        <w:rPr>
          <w:b/>
          <w:lang w:val="es-DO"/>
        </w:rPr>
      </w:pPr>
    </w:p>
    <w:p w14:paraId="3CA2CE6D" w14:textId="77777777" w:rsidR="00EE173E" w:rsidRPr="005C133F" w:rsidRDefault="00EE173E" w:rsidP="005C133F">
      <w:pPr>
        <w:spacing w:after="0" w:line="360" w:lineRule="auto"/>
        <w:jc w:val="both"/>
        <w:rPr>
          <w:lang w:val="es-DO"/>
        </w:rPr>
      </w:pPr>
      <w:r w:rsidRPr="005C133F">
        <w:rPr>
          <w:lang w:val="es-DO"/>
        </w:rPr>
        <w:t>Hemos completado los procesos de auditoría requeridos para recertificarse en las NORTIC A3 y E1, y obtuvimos por primera vez las certificaciones NORTIC B2 y NORTIC A2 en su versión más reciente, reforzando así su compromiso con el cumplimiento de las normas y estándares establecidos por la OGTIC.</w:t>
      </w:r>
    </w:p>
    <w:p w14:paraId="4CD607D5" w14:textId="77777777" w:rsidR="00EE173E" w:rsidRPr="005C133F" w:rsidRDefault="00EE173E">
      <w:pPr>
        <w:pStyle w:val="Prrafodelista"/>
        <w:numPr>
          <w:ilvl w:val="0"/>
          <w:numId w:val="186"/>
        </w:numPr>
        <w:spacing w:after="0" w:line="360" w:lineRule="auto"/>
        <w:jc w:val="both"/>
        <w:rPr>
          <w:lang w:val="es-DO"/>
        </w:rPr>
      </w:pPr>
      <w:r w:rsidRPr="005C133F">
        <w:rPr>
          <w:b/>
          <w:lang w:val="es-DO"/>
        </w:rPr>
        <w:t>NORTIC B2:</w:t>
      </w:r>
      <w:r w:rsidRPr="005C133F">
        <w:rPr>
          <w:lang w:val="es-DO"/>
        </w:rPr>
        <w:t xml:space="preserve"> Norma sobre Accesibilidad Web del Estado Dominicano.</w:t>
      </w:r>
    </w:p>
    <w:p w14:paraId="49F76738" w14:textId="77777777" w:rsidR="00EE173E" w:rsidRPr="005C133F" w:rsidRDefault="00EE173E">
      <w:pPr>
        <w:pStyle w:val="Prrafodelista"/>
        <w:numPr>
          <w:ilvl w:val="0"/>
          <w:numId w:val="186"/>
        </w:numPr>
        <w:spacing w:after="0" w:line="360" w:lineRule="auto"/>
        <w:jc w:val="both"/>
        <w:rPr>
          <w:lang w:val="es-DO"/>
        </w:rPr>
      </w:pPr>
      <w:r w:rsidRPr="005C133F">
        <w:rPr>
          <w:b/>
          <w:lang w:val="es-DO"/>
        </w:rPr>
        <w:t>NORTIC A2:2023</w:t>
      </w:r>
      <w:r w:rsidRPr="005C133F">
        <w:rPr>
          <w:lang w:val="es-DO"/>
        </w:rPr>
        <w:t xml:space="preserve"> -Norma para el Desarrollo y Gestión de los Portales Web y la Transparencia de los Organismos del Estado Dominicano.</w:t>
      </w:r>
    </w:p>
    <w:p w14:paraId="333FBE50" w14:textId="77777777" w:rsidR="00EE173E" w:rsidRPr="005C133F" w:rsidRDefault="00EE173E">
      <w:pPr>
        <w:pStyle w:val="Prrafodelista"/>
        <w:numPr>
          <w:ilvl w:val="0"/>
          <w:numId w:val="186"/>
        </w:numPr>
        <w:spacing w:after="0" w:line="360" w:lineRule="auto"/>
        <w:jc w:val="both"/>
        <w:rPr>
          <w:lang w:val="es-DO"/>
        </w:rPr>
      </w:pPr>
      <w:r w:rsidRPr="005C133F">
        <w:rPr>
          <w:b/>
          <w:lang w:val="es-DO"/>
        </w:rPr>
        <w:t>NORTIC A3:</w:t>
      </w:r>
      <w:r w:rsidRPr="005C133F">
        <w:rPr>
          <w:lang w:val="es-DO"/>
        </w:rPr>
        <w:t xml:space="preserve"> Norma sobre Publicación de Datos Abiertos del Gobierno Dominicano. (</w:t>
      </w:r>
      <w:r w:rsidRPr="005C133F">
        <w:rPr>
          <w:b/>
          <w:lang w:val="es-DO"/>
        </w:rPr>
        <w:t>Recertificación</w:t>
      </w:r>
      <w:r w:rsidRPr="005C133F">
        <w:rPr>
          <w:lang w:val="es-DO"/>
        </w:rPr>
        <w:t>).</w:t>
      </w:r>
    </w:p>
    <w:p w14:paraId="713372BE" w14:textId="26558D2C" w:rsidR="00EE173E" w:rsidRPr="005C133F" w:rsidRDefault="00EE173E">
      <w:pPr>
        <w:pStyle w:val="Prrafodelista"/>
        <w:numPr>
          <w:ilvl w:val="0"/>
          <w:numId w:val="186"/>
        </w:numPr>
        <w:spacing w:after="0" w:line="360" w:lineRule="auto"/>
        <w:jc w:val="both"/>
        <w:rPr>
          <w:lang w:val="es-DO"/>
        </w:rPr>
      </w:pPr>
      <w:r w:rsidRPr="005C133F">
        <w:rPr>
          <w:b/>
          <w:lang w:val="es-DO"/>
        </w:rPr>
        <w:t>NORTIC E1:</w:t>
      </w:r>
      <w:r w:rsidRPr="005C133F">
        <w:rPr>
          <w:lang w:val="es-DO"/>
        </w:rPr>
        <w:t xml:space="preserve"> Norma para la Gestión de las Redes Sociales en los Organismos Gubernamentales (</w:t>
      </w:r>
      <w:r w:rsidRPr="005C133F">
        <w:rPr>
          <w:b/>
          <w:lang w:val="es-DO"/>
        </w:rPr>
        <w:t>Recertificación</w:t>
      </w:r>
      <w:r w:rsidRPr="005C133F">
        <w:rPr>
          <w:lang w:val="es-DO"/>
        </w:rPr>
        <w:t>).</w:t>
      </w:r>
    </w:p>
    <w:p w14:paraId="2B5157B3" w14:textId="77777777" w:rsidR="00934A51" w:rsidRPr="005C133F" w:rsidRDefault="00934A51" w:rsidP="005C133F">
      <w:pPr>
        <w:pStyle w:val="Prrafodelista"/>
        <w:spacing w:after="0" w:line="360" w:lineRule="auto"/>
        <w:jc w:val="both"/>
        <w:rPr>
          <w:lang w:val="es-DO"/>
        </w:rPr>
      </w:pPr>
    </w:p>
    <w:p w14:paraId="52BFA446" w14:textId="77777777" w:rsidR="00934A51" w:rsidRPr="005C133F" w:rsidRDefault="00934A51" w:rsidP="005C133F">
      <w:pPr>
        <w:spacing w:after="0" w:line="360" w:lineRule="auto"/>
        <w:jc w:val="both"/>
        <w:rPr>
          <w:b/>
          <w:lang w:val="es-DO"/>
        </w:rPr>
      </w:pPr>
      <w:r w:rsidRPr="005C133F">
        <w:rPr>
          <w:b/>
          <w:lang w:val="es-DO"/>
        </w:rPr>
        <w:t>Desempeño de la mesa de servicio y proyectos de fortalecimiento del área o las competencias del personal</w:t>
      </w:r>
    </w:p>
    <w:p w14:paraId="1AE37306" w14:textId="77777777" w:rsidR="002D0F24" w:rsidRPr="005C133F" w:rsidRDefault="002D0F24" w:rsidP="005C133F">
      <w:pPr>
        <w:spacing w:after="0" w:line="360" w:lineRule="auto"/>
        <w:jc w:val="both"/>
        <w:rPr>
          <w:b/>
          <w:lang w:val="es-DO"/>
        </w:rPr>
      </w:pPr>
    </w:p>
    <w:p w14:paraId="1D0DFCE1" w14:textId="140994FA" w:rsidR="00934A51" w:rsidRPr="005C133F" w:rsidRDefault="00934A51">
      <w:pPr>
        <w:pStyle w:val="Prrafodelista"/>
        <w:numPr>
          <w:ilvl w:val="0"/>
          <w:numId w:val="187"/>
        </w:numPr>
        <w:spacing w:after="0" w:line="360" w:lineRule="auto"/>
        <w:jc w:val="both"/>
        <w:rPr>
          <w:lang w:val="es-DO"/>
        </w:rPr>
      </w:pPr>
      <w:r w:rsidRPr="005C133F">
        <w:rPr>
          <w:lang w:val="es-DO"/>
        </w:rPr>
        <w:t xml:space="preserve">Se implementó un Data </w:t>
      </w:r>
      <w:proofErr w:type="spellStart"/>
      <w:r w:rsidRPr="005C133F">
        <w:rPr>
          <w:lang w:val="es-DO"/>
        </w:rPr>
        <w:t>Warehouse</w:t>
      </w:r>
      <w:proofErr w:type="spellEnd"/>
      <w:r w:rsidRPr="005C133F">
        <w:rPr>
          <w:lang w:val="es-DO"/>
        </w:rPr>
        <w:t xml:space="preserve"> institucional que centraliza y consolida la información de la SISALRIL, fortaleciendo el análisis de datos, la generación de reportes y la toma de </w:t>
      </w:r>
      <w:r w:rsidRPr="005C133F">
        <w:rPr>
          <w:lang w:val="es-DO"/>
        </w:rPr>
        <w:lastRenderedPageBreak/>
        <w:t xml:space="preserve">decisiones, con mayor confiabilidad y transparencia en la gestión de la información. </w:t>
      </w:r>
    </w:p>
    <w:p w14:paraId="3CAB0959" w14:textId="7CFAFCC3" w:rsidR="00934A51" w:rsidRPr="005C133F" w:rsidRDefault="00934A51">
      <w:pPr>
        <w:pStyle w:val="Prrafodelista"/>
        <w:numPr>
          <w:ilvl w:val="0"/>
          <w:numId w:val="187"/>
        </w:numPr>
        <w:spacing w:after="0" w:line="360" w:lineRule="auto"/>
        <w:jc w:val="both"/>
        <w:rPr>
          <w:lang w:val="es-DO"/>
        </w:rPr>
      </w:pPr>
      <w:r w:rsidRPr="005C133F">
        <w:rPr>
          <w:lang w:val="es-DO"/>
        </w:rPr>
        <w:t>Se completó la migración de la Intranet Institucional a nuevas tecnologías, fortaleciendo la seguridad, eficiencia y accesibilidad, y optimizando la gestión de módulos clave para las funciones regulatorias</w:t>
      </w:r>
      <w:r w:rsidR="001E2549" w:rsidRPr="005C133F">
        <w:rPr>
          <w:lang w:val="es-DO"/>
        </w:rPr>
        <w:t xml:space="preserve"> </w:t>
      </w:r>
      <w:r w:rsidRPr="005C133F">
        <w:rPr>
          <w:lang w:val="es-DO"/>
        </w:rPr>
        <w:t>y el tratamiento de las incidencias que los usuarios reportan a través de los canales de atención..</w:t>
      </w:r>
    </w:p>
    <w:p w14:paraId="742D5B98" w14:textId="6533CF68" w:rsidR="00934A51" w:rsidRPr="005C133F" w:rsidRDefault="00934A51">
      <w:pPr>
        <w:pStyle w:val="Prrafodelista"/>
        <w:numPr>
          <w:ilvl w:val="0"/>
          <w:numId w:val="187"/>
        </w:numPr>
        <w:spacing w:after="0" w:line="360" w:lineRule="auto"/>
        <w:jc w:val="both"/>
        <w:rPr>
          <w:lang w:val="es-DO"/>
        </w:rPr>
      </w:pPr>
      <w:r w:rsidRPr="005C133F">
        <w:rPr>
          <w:lang w:val="es-DO"/>
        </w:rPr>
        <w:t>Se atendieron oportunamente un total de 5,820 casos de incidencias o solicitudes de servicios dirigidos a la Dirección de Transformación Digital, tanto de usuarios internos como externos, incluyendo requerimientos vinculados a la Oficina Virtual.</w:t>
      </w:r>
    </w:p>
    <w:p w14:paraId="49FB16AF" w14:textId="77777777" w:rsidR="002D0F24" w:rsidRPr="005C133F" w:rsidRDefault="002D0F24" w:rsidP="005C133F">
      <w:pPr>
        <w:pStyle w:val="Prrafodelista"/>
        <w:spacing w:after="0" w:line="360" w:lineRule="auto"/>
        <w:jc w:val="both"/>
        <w:rPr>
          <w:lang w:val="es-DO"/>
        </w:rPr>
      </w:pPr>
    </w:p>
    <w:p w14:paraId="0B1FD8BF" w14:textId="77777777" w:rsidR="00934A51" w:rsidRPr="005C133F" w:rsidRDefault="00934A51" w:rsidP="005C133F">
      <w:pPr>
        <w:spacing w:after="0" w:line="360" w:lineRule="auto"/>
        <w:jc w:val="both"/>
        <w:rPr>
          <w:b/>
          <w:lang w:val="es-DO"/>
        </w:rPr>
      </w:pPr>
      <w:r w:rsidRPr="005C133F">
        <w:rPr>
          <w:b/>
          <w:lang w:val="es-DO"/>
        </w:rPr>
        <w:t>Resultados obtenidos en el Índice de Uso de TIC e Implementación de Gobierno Electrónico (</w:t>
      </w:r>
      <w:proofErr w:type="spellStart"/>
      <w:r w:rsidRPr="005C133F">
        <w:rPr>
          <w:b/>
          <w:lang w:val="es-DO"/>
        </w:rPr>
        <w:t>iTICge</w:t>
      </w:r>
      <w:proofErr w:type="spellEnd"/>
      <w:r w:rsidRPr="005C133F">
        <w:rPr>
          <w:b/>
          <w:lang w:val="es-DO"/>
        </w:rPr>
        <w:t xml:space="preserve">) durante el año. </w:t>
      </w:r>
    </w:p>
    <w:p w14:paraId="2665CB74" w14:textId="77777777" w:rsidR="002D0F24" w:rsidRPr="005C133F" w:rsidRDefault="002D0F24" w:rsidP="005C133F">
      <w:pPr>
        <w:spacing w:after="0" w:line="360" w:lineRule="auto"/>
        <w:jc w:val="both"/>
        <w:rPr>
          <w:b/>
          <w:lang w:val="es-DO"/>
        </w:rPr>
      </w:pPr>
    </w:p>
    <w:p w14:paraId="336504BC" w14:textId="001019C4" w:rsidR="002D0F24" w:rsidRPr="005C133F" w:rsidRDefault="00934A51">
      <w:pPr>
        <w:pStyle w:val="Prrafodelista"/>
        <w:numPr>
          <w:ilvl w:val="0"/>
          <w:numId w:val="188"/>
        </w:numPr>
        <w:spacing w:after="0" w:line="360" w:lineRule="auto"/>
        <w:jc w:val="both"/>
        <w:rPr>
          <w:lang w:val="es-DO"/>
        </w:rPr>
      </w:pPr>
      <w:r w:rsidRPr="005C133F">
        <w:rPr>
          <w:lang w:val="es-DO"/>
        </w:rPr>
        <w:t xml:space="preserve">La SISALRIL alcanzó la posición número uno en el ranking </w:t>
      </w:r>
      <w:proofErr w:type="spellStart"/>
      <w:r w:rsidRPr="005C133F">
        <w:rPr>
          <w:lang w:val="es-DO"/>
        </w:rPr>
        <w:t>iTICge</w:t>
      </w:r>
      <w:proofErr w:type="spellEnd"/>
      <w:r w:rsidRPr="005C133F">
        <w:rPr>
          <w:lang w:val="es-DO"/>
        </w:rPr>
        <w:t xml:space="preserve"> + i, obteniendo una calificación sobresaliente de 87.96, representando un salto significativo desde la posición 43 que ocupaba en 2024.</w:t>
      </w:r>
    </w:p>
    <w:p w14:paraId="2C1269B7" w14:textId="77777777" w:rsidR="002D0F24" w:rsidRPr="005C133F" w:rsidRDefault="002D0F24" w:rsidP="005C133F">
      <w:pPr>
        <w:spacing w:after="0" w:line="360" w:lineRule="auto"/>
        <w:jc w:val="both"/>
        <w:rPr>
          <w:lang w:val="es-DO"/>
        </w:rPr>
      </w:pPr>
    </w:p>
    <w:p w14:paraId="09E43ACC" w14:textId="77777777" w:rsidR="00A31520" w:rsidRPr="005C133F" w:rsidRDefault="00A31520" w:rsidP="005C133F">
      <w:pPr>
        <w:pStyle w:val="SUBTITULITO"/>
        <w:spacing w:after="0"/>
        <w:rPr>
          <w:rFonts w:eastAsia="Calibri"/>
          <w:noProof/>
        </w:rPr>
      </w:pPr>
      <w:bookmarkStart w:id="131" w:name="_Toc219121856"/>
      <w:r w:rsidRPr="005C133F">
        <w:rPr>
          <w:rFonts w:eastAsia="Calibri"/>
          <w:noProof/>
        </w:rPr>
        <w:t>4.5 Desempeño del Sistema de Planificación y Desarrollo Institucional</w:t>
      </w:r>
      <w:bookmarkEnd w:id="131"/>
    </w:p>
    <w:p w14:paraId="56F97345" w14:textId="77777777" w:rsidR="006337A2" w:rsidRPr="005C133F" w:rsidRDefault="006337A2" w:rsidP="005C133F">
      <w:pPr>
        <w:spacing w:after="0" w:line="360" w:lineRule="auto"/>
        <w:rPr>
          <w:noProof/>
          <w:lang w:val="es-DO"/>
        </w:rPr>
      </w:pPr>
    </w:p>
    <w:p w14:paraId="0BD4CEC4" w14:textId="77777777" w:rsidR="007E24D8" w:rsidRPr="005C133F" w:rsidRDefault="007E24D8" w:rsidP="005C133F">
      <w:pPr>
        <w:spacing w:after="0" w:line="360" w:lineRule="auto"/>
        <w:jc w:val="both"/>
        <w:rPr>
          <w:b/>
          <w:bCs/>
          <w:iCs/>
          <w:lang w:val="es-DO"/>
        </w:rPr>
      </w:pPr>
      <w:r w:rsidRPr="005C133F">
        <w:rPr>
          <w:b/>
          <w:bCs/>
          <w:iCs/>
          <w:lang w:val="es-DO"/>
        </w:rPr>
        <w:t>Rediseño Organizacional</w:t>
      </w:r>
    </w:p>
    <w:p w14:paraId="0DFFA560" w14:textId="77777777" w:rsidR="007E24D8" w:rsidRPr="005C133F" w:rsidRDefault="007E24D8" w:rsidP="005C133F">
      <w:pPr>
        <w:spacing w:after="0" w:line="360" w:lineRule="auto"/>
        <w:jc w:val="both"/>
        <w:rPr>
          <w:b/>
          <w:bCs/>
          <w:iCs/>
          <w:lang w:val="es-DO"/>
        </w:rPr>
      </w:pPr>
    </w:p>
    <w:p w14:paraId="7E0CF6FD" w14:textId="77777777" w:rsidR="007E24D8" w:rsidRPr="005C133F" w:rsidRDefault="007E24D8" w:rsidP="005C133F">
      <w:pPr>
        <w:spacing w:after="0" w:line="360" w:lineRule="auto"/>
        <w:jc w:val="both"/>
        <w:rPr>
          <w:rFonts w:eastAsia="Times New Roman"/>
          <w:lang w:val="es-DO" w:eastAsia="es-DO"/>
        </w:rPr>
      </w:pPr>
      <w:bookmarkStart w:id="132" w:name="_Hlk169692016"/>
      <w:r w:rsidRPr="005C133F">
        <w:rPr>
          <w:rFonts w:eastAsia="Times New Roman"/>
          <w:lang w:val="es-DO" w:eastAsia="es-DO"/>
        </w:rPr>
        <w:t xml:space="preserve">Durante el año 2025, la SISALRIL avanzó de manera significativa en el proceso de rediseño organizacional, orientado al fortalecimiento de la gobernanza institucional y a la mejora de la eficiencia operativa. En este marco, se emitió la Resolución Administrativa </w:t>
      </w:r>
      <w:r w:rsidRPr="005C133F">
        <w:rPr>
          <w:rFonts w:eastAsia="Times New Roman"/>
          <w:lang w:val="es-DO" w:eastAsia="es-DO"/>
        </w:rPr>
        <w:lastRenderedPageBreak/>
        <w:t>Interna núm. 005-2025, mediante la cual se aprobó la modificación de la estructura organizativa, debidamente refrendada por el Ministerio de Administración Pública (MAP).</w:t>
      </w:r>
    </w:p>
    <w:p w14:paraId="526C342E" w14:textId="77777777" w:rsidR="007E24D8" w:rsidRPr="005C133F" w:rsidRDefault="007E24D8" w:rsidP="005C133F">
      <w:pPr>
        <w:spacing w:before="120" w:after="0" w:line="360" w:lineRule="auto"/>
        <w:jc w:val="both"/>
        <w:rPr>
          <w:rFonts w:eastAsia="Times New Roman"/>
          <w:lang w:val="es-DO" w:eastAsia="es-DO"/>
        </w:rPr>
      </w:pPr>
      <w:r w:rsidRPr="005C133F">
        <w:rPr>
          <w:rFonts w:eastAsia="Times New Roman"/>
          <w:lang w:val="es-DO" w:eastAsia="es-DO"/>
        </w:rPr>
        <w:t>Como parte de la ejecución del Plan de Implementación de la nueva estructura organizativa, se realizaron acciones clave, entre ellas:</w:t>
      </w:r>
    </w:p>
    <w:p w14:paraId="1C1AB4AF" w14:textId="77777777" w:rsidR="007E24D8" w:rsidRPr="005C133F" w:rsidRDefault="007E24D8">
      <w:pPr>
        <w:pStyle w:val="Prrafodelista"/>
        <w:numPr>
          <w:ilvl w:val="0"/>
          <w:numId w:val="188"/>
        </w:numPr>
        <w:spacing w:before="120" w:after="0" w:line="360" w:lineRule="auto"/>
        <w:jc w:val="both"/>
        <w:rPr>
          <w:rFonts w:eastAsia="Times New Roman"/>
          <w:lang w:val="es-DO" w:eastAsia="es-DO"/>
        </w:rPr>
      </w:pPr>
      <w:r w:rsidRPr="005C133F">
        <w:rPr>
          <w:rFonts w:eastAsia="Times New Roman"/>
          <w:lang w:val="es-DO" w:eastAsia="es-DO"/>
        </w:rPr>
        <w:t>Actualización de la nomenclatura de cargos en los sistemas institucionales, incluyendo la Intranet y el correo electrónico.</w:t>
      </w:r>
    </w:p>
    <w:p w14:paraId="47926D99" w14:textId="77777777" w:rsidR="007E24D8" w:rsidRPr="005C133F" w:rsidRDefault="007E24D8">
      <w:pPr>
        <w:pStyle w:val="Prrafodelista"/>
        <w:numPr>
          <w:ilvl w:val="0"/>
          <w:numId w:val="188"/>
        </w:numPr>
        <w:spacing w:before="120" w:after="0" w:line="360" w:lineRule="auto"/>
        <w:jc w:val="both"/>
        <w:rPr>
          <w:rFonts w:eastAsia="Times New Roman"/>
          <w:lang w:val="es-DO" w:eastAsia="es-DO"/>
        </w:rPr>
      </w:pPr>
      <w:r w:rsidRPr="005C133F">
        <w:rPr>
          <w:rFonts w:eastAsia="Times New Roman"/>
          <w:lang w:val="es-DO" w:eastAsia="es-DO"/>
        </w:rPr>
        <w:t>Adecuación de los registros internos conforme a la nueva estructura aprobada.</w:t>
      </w:r>
    </w:p>
    <w:p w14:paraId="5783601F" w14:textId="77777777" w:rsidR="007E24D8" w:rsidRPr="005C133F" w:rsidRDefault="007E24D8">
      <w:pPr>
        <w:pStyle w:val="Prrafodelista"/>
        <w:numPr>
          <w:ilvl w:val="0"/>
          <w:numId w:val="188"/>
        </w:numPr>
        <w:spacing w:before="120" w:after="0" w:line="360" w:lineRule="auto"/>
        <w:jc w:val="both"/>
        <w:rPr>
          <w:rFonts w:eastAsia="Times New Roman"/>
          <w:lang w:val="es-DO" w:eastAsia="es-DO"/>
        </w:rPr>
      </w:pPr>
      <w:r w:rsidRPr="005C133F">
        <w:rPr>
          <w:rFonts w:eastAsia="Times New Roman"/>
          <w:lang w:val="es-DO" w:eastAsia="es-DO"/>
        </w:rPr>
        <w:t>Asimismo, durante el período evaluado se desarrolló un proceso integral de levantamiento técnico y funcional con las distintas unidades organizativas, orientado a la actualización del Manual de Organización y Funciones (MOF). Este ejercicio permitió fortalecer la claridad institucional respecto a los roles, responsabilidades y ámbitos de actuación de cada área, contribuyendo a una mejor articulación interna, la reducción de solapamientos funcionales y una mayor coherencia en la gestión organizativa.</w:t>
      </w:r>
    </w:p>
    <w:p w14:paraId="5DA5561B" w14:textId="548E43FE" w:rsidR="007E24D8" w:rsidRPr="005C133F" w:rsidRDefault="007E24D8">
      <w:pPr>
        <w:pStyle w:val="Prrafodelista"/>
        <w:numPr>
          <w:ilvl w:val="0"/>
          <w:numId w:val="188"/>
        </w:numPr>
        <w:spacing w:before="120" w:after="0" w:line="360" w:lineRule="auto"/>
        <w:jc w:val="both"/>
        <w:rPr>
          <w:rFonts w:eastAsia="Times New Roman"/>
          <w:lang w:val="es-DO" w:eastAsia="es-DO"/>
        </w:rPr>
      </w:pPr>
      <w:r w:rsidRPr="005C133F">
        <w:rPr>
          <w:rFonts w:eastAsia="Times New Roman"/>
          <w:lang w:val="es-DO" w:eastAsia="es-DO"/>
        </w:rPr>
        <w:t>Como resultado de este proceso, se elaboró el borrador actualizado del MOF, alineado con los lineamientos del MAP y con la nueva estructura organizativa aprobada mediante la Resolución Administrativa Interna núm. 005-2025. Para tales fines, se llevaron a cabo trece (13) reuniones de consenso con las unidades organizativas involucradas.</w:t>
      </w:r>
    </w:p>
    <w:p w14:paraId="375E1D65" w14:textId="7F8750AE" w:rsidR="007E24D8" w:rsidRPr="005C133F" w:rsidRDefault="007E24D8" w:rsidP="005C133F">
      <w:pPr>
        <w:spacing w:before="120" w:after="0" w:line="360" w:lineRule="auto"/>
        <w:jc w:val="both"/>
        <w:rPr>
          <w:rFonts w:eastAsia="Times New Roman"/>
          <w:lang w:val="es-DO" w:eastAsia="es-DO"/>
        </w:rPr>
      </w:pPr>
      <w:r w:rsidRPr="005C133F">
        <w:rPr>
          <w:rFonts w:eastAsia="Times New Roman"/>
          <w:lang w:val="es-DO" w:eastAsia="es-DO"/>
        </w:rPr>
        <w:t>De manera complementaria, se avanzó en la elaboración del primer borrador del Mapa de Procesos institucional, como herramienta fundamental para el ordenamiento de los flujos de trabajo y la mejora continua de los procesos internos.</w:t>
      </w:r>
    </w:p>
    <w:p w14:paraId="3DF28FA6" w14:textId="59EA544C" w:rsidR="007E24D8" w:rsidRPr="005C133F" w:rsidRDefault="007E24D8" w:rsidP="005C133F">
      <w:pPr>
        <w:spacing w:after="0" w:line="360" w:lineRule="auto"/>
        <w:jc w:val="both"/>
        <w:rPr>
          <w:rFonts w:eastAsia="Times New Roman"/>
          <w:lang w:val="es-DO" w:eastAsia="es-DO"/>
        </w:rPr>
      </w:pPr>
      <w:r w:rsidRPr="005C133F">
        <w:rPr>
          <w:rFonts w:eastAsia="Times New Roman"/>
          <w:lang w:val="es-DO" w:eastAsia="es-DO"/>
        </w:rPr>
        <w:lastRenderedPageBreak/>
        <w:t>Estos avances constituyen un hito relevante para el fortalecimiento de la gobernanza institucional, la optimización de los procesos y la consolidación de una gestión más eficiente, transparente y orientada a resultados, en beneficio del adecuado funcionamiento del Sistema Dominicano de Seguridad Social.</w:t>
      </w:r>
      <w:bookmarkEnd w:id="132"/>
    </w:p>
    <w:p w14:paraId="53A64BAB" w14:textId="77777777" w:rsidR="005F5015" w:rsidRPr="005C133F" w:rsidRDefault="005F5015" w:rsidP="005C133F">
      <w:pPr>
        <w:spacing w:after="0" w:line="360" w:lineRule="auto"/>
        <w:jc w:val="both"/>
        <w:rPr>
          <w:rFonts w:eastAsia="Times New Roman"/>
          <w:lang w:val="es-DO" w:eastAsia="es-DO"/>
        </w:rPr>
      </w:pPr>
    </w:p>
    <w:p w14:paraId="31C8322D" w14:textId="77777777" w:rsidR="007E24D8" w:rsidRPr="005C133F" w:rsidRDefault="007E24D8" w:rsidP="005C133F">
      <w:pPr>
        <w:spacing w:after="0" w:line="360" w:lineRule="auto"/>
        <w:jc w:val="both"/>
        <w:rPr>
          <w:b/>
          <w:bCs/>
          <w:iCs/>
          <w:lang w:val="es-DO"/>
        </w:rPr>
      </w:pPr>
      <w:r w:rsidRPr="005C133F">
        <w:rPr>
          <w:b/>
          <w:bCs/>
          <w:iCs/>
          <w:lang w:val="es-DO"/>
        </w:rPr>
        <w:t>Índice de Control Interno (ICI)</w:t>
      </w:r>
    </w:p>
    <w:p w14:paraId="19FA88ED" w14:textId="77777777" w:rsidR="002D0F24" w:rsidRPr="005C133F" w:rsidRDefault="002D0F24" w:rsidP="005C133F">
      <w:pPr>
        <w:spacing w:after="0" w:line="360" w:lineRule="auto"/>
        <w:jc w:val="both"/>
        <w:rPr>
          <w:b/>
          <w:lang w:val="es-DO"/>
        </w:rPr>
      </w:pPr>
    </w:p>
    <w:p w14:paraId="3E41F7BF" w14:textId="4C782443" w:rsidR="008C151A" w:rsidRPr="00CC53E1" w:rsidRDefault="007E24D8" w:rsidP="00CC53E1">
      <w:pPr>
        <w:pStyle w:val="Prrafodelista"/>
        <w:numPr>
          <w:ilvl w:val="0"/>
          <w:numId w:val="189"/>
        </w:numPr>
        <w:spacing w:after="0" w:line="360" w:lineRule="auto"/>
        <w:ind w:left="357" w:hanging="357"/>
        <w:contextualSpacing w:val="0"/>
        <w:jc w:val="both"/>
        <w:rPr>
          <w:rFonts w:eastAsia="Times New Roman"/>
          <w:lang w:val="es-DO" w:eastAsia="es-DO"/>
        </w:rPr>
      </w:pPr>
      <w:r w:rsidRPr="005C133F">
        <w:rPr>
          <w:rFonts w:eastAsia="Times New Roman"/>
          <w:lang w:val="es-DO" w:eastAsia="es-DO"/>
        </w:rPr>
        <w:t xml:space="preserve">Durante el periodo enero – septiembre 2025, la institución logró cumplir con la carga de todos los requisitos del indicador ICI obteniendo una calificación de 100% al cierre del tercer trimestre. </w:t>
      </w:r>
    </w:p>
    <w:p w14:paraId="7EC9AC2C" w14:textId="77777777" w:rsidR="008C151A" w:rsidRPr="005C133F" w:rsidRDefault="008C151A" w:rsidP="005C133F">
      <w:pPr>
        <w:pStyle w:val="Prrafodelista"/>
        <w:spacing w:after="0" w:line="360" w:lineRule="auto"/>
        <w:ind w:left="357"/>
        <w:contextualSpacing w:val="0"/>
        <w:jc w:val="both"/>
        <w:rPr>
          <w:rFonts w:eastAsia="Times New Roman"/>
          <w:lang w:val="es-DO" w:eastAsia="es-DO"/>
        </w:rPr>
      </w:pPr>
    </w:p>
    <w:p w14:paraId="091DF129" w14:textId="77777777" w:rsidR="007E24D8" w:rsidRPr="005C133F" w:rsidRDefault="007E24D8" w:rsidP="005C133F">
      <w:pPr>
        <w:spacing w:after="0" w:line="360" w:lineRule="auto"/>
        <w:jc w:val="both"/>
        <w:rPr>
          <w:b/>
          <w:bCs/>
          <w:iCs/>
          <w:lang w:val="es-DO"/>
        </w:rPr>
      </w:pPr>
      <w:r w:rsidRPr="005C133F">
        <w:rPr>
          <w:b/>
          <w:bCs/>
          <w:iCs/>
          <w:lang w:val="es-DO"/>
        </w:rPr>
        <w:t>Normas Básicas de Control Interno (NOBACI)</w:t>
      </w:r>
    </w:p>
    <w:p w14:paraId="79AB2807" w14:textId="77777777" w:rsidR="002D0F24" w:rsidRPr="005C133F" w:rsidRDefault="002D0F24" w:rsidP="005C133F">
      <w:pPr>
        <w:spacing w:after="0" w:line="360" w:lineRule="auto"/>
        <w:jc w:val="both"/>
        <w:rPr>
          <w:b/>
          <w:bCs/>
          <w:iCs/>
          <w:lang w:val="es-DO"/>
        </w:rPr>
      </w:pPr>
    </w:p>
    <w:p w14:paraId="5CB95782" w14:textId="1A88801F" w:rsidR="007E24D8" w:rsidRPr="005C133F" w:rsidRDefault="007E24D8">
      <w:pPr>
        <w:pStyle w:val="Prrafodelista"/>
        <w:numPr>
          <w:ilvl w:val="0"/>
          <w:numId w:val="189"/>
        </w:numPr>
        <w:spacing w:after="0" w:line="360" w:lineRule="auto"/>
        <w:ind w:left="357" w:hanging="357"/>
        <w:contextualSpacing w:val="0"/>
        <w:jc w:val="both"/>
        <w:rPr>
          <w:rFonts w:eastAsia="Times New Roman"/>
          <w:lang w:val="es-DO" w:eastAsia="es-DO"/>
        </w:rPr>
      </w:pPr>
      <w:r w:rsidRPr="005C133F">
        <w:rPr>
          <w:rFonts w:eastAsia="Times New Roman"/>
          <w:lang w:val="es-DO" w:eastAsia="es-DO"/>
        </w:rPr>
        <w:t xml:space="preserve">En el marco de la implementación de la Normativa Básica de Control Interno (NOBACI), la institución </w:t>
      </w:r>
      <w:r w:rsidR="005374CF" w:rsidRPr="005C133F">
        <w:rPr>
          <w:rFonts w:eastAsia="Times New Roman"/>
          <w:lang w:val="es-DO" w:eastAsia="es-DO"/>
        </w:rPr>
        <w:t>alcanzó una</w:t>
      </w:r>
      <w:r w:rsidRPr="005C133F">
        <w:rPr>
          <w:rFonts w:eastAsia="Times New Roman"/>
          <w:lang w:val="es-DO" w:eastAsia="es-DO"/>
        </w:rPr>
        <w:t xml:space="preserve"> puntuación total de 100% al cierre del tercer trimestre 2025. Este resultado, ha permitido fortalecer el diseño y la formalización de procedimientos y reglamentos alineados a las mejores prácticas de control interno. Además, la NOBACI facilita la rendición de cuentas, al </w:t>
      </w:r>
      <w:r w:rsidR="005374CF" w:rsidRPr="005C133F">
        <w:rPr>
          <w:rFonts w:eastAsia="Times New Roman"/>
          <w:lang w:val="es-DO" w:eastAsia="es-DO"/>
        </w:rPr>
        <w:t>proporcionar una</w:t>
      </w:r>
      <w:r w:rsidRPr="005C133F">
        <w:rPr>
          <w:rFonts w:eastAsia="Times New Roman"/>
          <w:lang w:val="es-DO" w:eastAsia="es-DO"/>
        </w:rPr>
        <w:t xml:space="preserve"> estructura clara y coherente para la gestión de los recursos y la toma de decisiones, reforzando los principios de transparencia, eficiencia y responsabilidad institucional.</w:t>
      </w:r>
    </w:p>
    <w:p w14:paraId="4F3AC1B1" w14:textId="542B503B" w:rsidR="007E24D8" w:rsidRDefault="007E24D8">
      <w:pPr>
        <w:pStyle w:val="Prrafodelista"/>
        <w:numPr>
          <w:ilvl w:val="0"/>
          <w:numId w:val="189"/>
        </w:numPr>
        <w:spacing w:before="120" w:after="0" w:line="360" w:lineRule="auto"/>
        <w:ind w:left="357" w:hanging="357"/>
        <w:contextualSpacing w:val="0"/>
        <w:jc w:val="both"/>
        <w:rPr>
          <w:rFonts w:eastAsia="Times New Roman"/>
          <w:lang w:val="es-DO" w:eastAsia="es-DO"/>
        </w:rPr>
      </w:pPr>
      <w:r w:rsidRPr="005C133F">
        <w:rPr>
          <w:rFonts w:eastAsia="Times New Roman"/>
          <w:lang w:val="es-DO" w:eastAsia="es-DO"/>
        </w:rPr>
        <w:t>Los avances al 30 de septiembre 2025 en la implementación de las NOBACI se muestran a continuación:</w:t>
      </w:r>
    </w:p>
    <w:p w14:paraId="1B36684B" w14:textId="77777777" w:rsidR="008C151A" w:rsidRPr="005C133F" w:rsidRDefault="008C151A" w:rsidP="008C151A">
      <w:pPr>
        <w:pStyle w:val="Prrafodelista"/>
        <w:spacing w:before="120" w:after="0" w:line="360" w:lineRule="auto"/>
        <w:ind w:left="357"/>
        <w:contextualSpacing w:val="0"/>
        <w:jc w:val="both"/>
        <w:rPr>
          <w:rFonts w:eastAsia="Times New Roman"/>
          <w:lang w:val="es-DO" w:eastAsia="es-DO"/>
        </w:rPr>
      </w:pPr>
    </w:p>
    <w:p w14:paraId="247A2AE6" w14:textId="28EECBC1" w:rsidR="005F5015" w:rsidRPr="005C133F" w:rsidRDefault="005F5015" w:rsidP="000D4D13">
      <w:pPr>
        <w:pStyle w:val="Descripcin"/>
        <w:keepNext/>
        <w:spacing w:after="0"/>
        <w:jc w:val="center"/>
        <w:rPr>
          <w:b/>
          <w:bCs/>
          <w:i w:val="0"/>
          <w:iCs w:val="0"/>
          <w:color w:val="767171"/>
          <w:sz w:val="24"/>
          <w:szCs w:val="24"/>
          <w:lang w:val="es-DO"/>
        </w:rPr>
      </w:pPr>
      <w:bookmarkStart w:id="133" w:name="_Toc218784187"/>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55</w:t>
      </w:r>
      <w:r w:rsidRPr="005C133F">
        <w:rPr>
          <w:b/>
          <w:bCs/>
          <w:i w:val="0"/>
          <w:iCs w:val="0"/>
          <w:color w:val="767171"/>
          <w:sz w:val="24"/>
          <w:szCs w:val="24"/>
          <w:lang w:val="es-DO"/>
        </w:rPr>
        <w:fldChar w:fldCharType="end"/>
      </w:r>
      <w:r w:rsidRPr="005C133F">
        <w:rPr>
          <w:b/>
          <w:bCs/>
          <w:i w:val="0"/>
          <w:iCs w:val="0"/>
          <w:color w:val="767171"/>
          <w:sz w:val="24"/>
          <w:szCs w:val="24"/>
          <w:lang w:val="es-DO"/>
        </w:rPr>
        <w:t>. Resultados Normas Básicas de Control Interno (NOBACI)</w:t>
      </w:r>
      <w:bookmarkEnd w:id="133"/>
    </w:p>
    <w:tbl>
      <w:tblPr>
        <w:tblW w:w="5000" w:type="pct"/>
        <w:jc w:val="center"/>
        <w:tblCellMar>
          <w:left w:w="70" w:type="dxa"/>
          <w:right w:w="70" w:type="dxa"/>
        </w:tblCellMar>
        <w:tblLook w:val="04A0" w:firstRow="1" w:lastRow="0" w:firstColumn="1" w:lastColumn="0" w:noHBand="0" w:noVBand="1"/>
      </w:tblPr>
      <w:tblGrid>
        <w:gridCol w:w="4360"/>
        <w:gridCol w:w="3550"/>
      </w:tblGrid>
      <w:tr w:rsidR="00DB19D4" w:rsidRPr="005C133F" w14:paraId="0F1C3844" w14:textId="77777777" w:rsidTr="005F5015">
        <w:trPr>
          <w:trHeight w:val="552"/>
          <w:tblHeader/>
          <w:jc w:val="center"/>
        </w:trPr>
        <w:tc>
          <w:tcPr>
            <w:tcW w:w="27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1C2578F2" w14:textId="77777777" w:rsidR="007E24D8" w:rsidRPr="005C133F" w:rsidRDefault="007E24D8" w:rsidP="000D4D13">
            <w:pPr>
              <w:spacing w:after="0" w:line="240" w:lineRule="auto"/>
              <w:jc w:val="center"/>
              <w:rPr>
                <w:rFonts w:eastAsia="Times New Roman"/>
                <w:b/>
                <w:color w:val="FFFFFF" w:themeColor="background1"/>
                <w:lang w:val="es-DO" w:eastAsia="es-DO"/>
              </w:rPr>
            </w:pPr>
            <w:r w:rsidRPr="005C133F">
              <w:rPr>
                <w:rFonts w:eastAsia="Times New Roman"/>
                <w:b/>
                <w:color w:val="FFFFFF" w:themeColor="background1"/>
                <w:lang w:val="es-DO" w:eastAsia="es-DO"/>
              </w:rPr>
              <w:t>Componente del control interno.</w:t>
            </w:r>
          </w:p>
        </w:tc>
        <w:tc>
          <w:tcPr>
            <w:tcW w:w="224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011C50"/>
            <w:vAlign w:val="center"/>
            <w:hideMark/>
          </w:tcPr>
          <w:p w14:paraId="649DA6FE" w14:textId="77777777" w:rsidR="007E24D8" w:rsidRPr="005C133F" w:rsidRDefault="007E24D8" w:rsidP="000D4D13">
            <w:pPr>
              <w:spacing w:after="0" w:line="240" w:lineRule="auto"/>
              <w:jc w:val="center"/>
              <w:rPr>
                <w:rFonts w:eastAsia="Times New Roman"/>
                <w:b/>
                <w:color w:val="FFFFFF" w:themeColor="background1"/>
                <w:lang w:val="es-DO" w:eastAsia="es-DO"/>
              </w:rPr>
            </w:pPr>
            <w:r w:rsidRPr="005C133F">
              <w:rPr>
                <w:rFonts w:eastAsia="Times New Roman"/>
                <w:b/>
                <w:color w:val="FFFFFF" w:themeColor="background1"/>
                <w:lang w:val="es-DO" w:eastAsia="es-DO"/>
              </w:rPr>
              <w:t>Calificación actual (septiembre 2025)</w:t>
            </w:r>
          </w:p>
        </w:tc>
      </w:tr>
      <w:tr w:rsidR="004921FF" w:rsidRPr="005C133F" w14:paraId="50109C92" w14:textId="77777777">
        <w:trPr>
          <w:trHeight w:val="288"/>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A741F3"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Ambiente de Control.</w:t>
            </w:r>
          </w:p>
        </w:tc>
        <w:tc>
          <w:tcPr>
            <w:tcW w:w="2244" w:type="pct"/>
            <w:tcBorders>
              <w:top w:val="nil"/>
              <w:left w:val="nil"/>
              <w:bottom w:val="single" w:sz="4" w:space="0" w:color="808080" w:themeColor="background1" w:themeShade="80"/>
              <w:right w:val="single" w:sz="4" w:space="0" w:color="808080" w:themeColor="background1" w:themeShade="80"/>
            </w:tcBorders>
            <w:vAlign w:val="center"/>
            <w:hideMark/>
          </w:tcPr>
          <w:p w14:paraId="5399D86C"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100%</w:t>
            </w:r>
          </w:p>
        </w:tc>
      </w:tr>
      <w:tr w:rsidR="004921FF" w:rsidRPr="005C133F" w14:paraId="4C669363" w14:textId="77777777">
        <w:trPr>
          <w:trHeight w:val="367"/>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853781D"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Valoración y Administración de Riesgos.</w:t>
            </w:r>
          </w:p>
        </w:tc>
        <w:tc>
          <w:tcPr>
            <w:tcW w:w="2244" w:type="pct"/>
            <w:tcBorders>
              <w:top w:val="nil"/>
              <w:left w:val="nil"/>
              <w:bottom w:val="single" w:sz="4" w:space="0" w:color="808080" w:themeColor="background1" w:themeShade="80"/>
              <w:right w:val="single" w:sz="4" w:space="0" w:color="808080" w:themeColor="background1" w:themeShade="80"/>
            </w:tcBorders>
            <w:vAlign w:val="center"/>
            <w:hideMark/>
          </w:tcPr>
          <w:p w14:paraId="2533B9AB"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100%</w:t>
            </w:r>
          </w:p>
        </w:tc>
      </w:tr>
      <w:tr w:rsidR="004921FF" w:rsidRPr="005C133F" w14:paraId="0BED8BCA" w14:textId="77777777">
        <w:trPr>
          <w:trHeight w:val="288"/>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63114A2"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Actividades de Control.</w:t>
            </w:r>
          </w:p>
        </w:tc>
        <w:tc>
          <w:tcPr>
            <w:tcW w:w="2244" w:type="pct"/>
            <w:tcBorders>
              <w:top w:val="nil"/>
              <w:left w:val="nil"/>
              <w:bottom w:val="single" w:sz="4" w:space="0" w:color="808080" w:themeColor="background1" w:themeShade="80"/>
              <w:right w:val="single" w:sz="4" w:space="0" w:color="808080" w:themeColor="background1" w:themeShade="80"/>
            </w:tcBorders>
            <w:vAlign w:val="center"/>
            <w:hideMark/>
          </w:tcPr>
          <w:p w14:paraId="73F15241"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100%</w:t>
            </w:r>
          </w:p>
        </w:tc>
      </w:tr>
      <w:tr w:rsidR="004921FF" w:rsidRPr="005C133F" w14:paraId="0FFBC56F" w14:textId="77777777">
        <w:trPr>
          <w:trHeight w:val="46"/>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31887BF"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Información y Comunicación.</w:t>
            </w:r>
          </w:p>
        </w:tc>
        <w:tc>
          <w:tcPr>
            <w:tcW w:w="2244" w:type="pct"/>
            <w:tcBorders>
              <w:top w:val="nil"/>
              <w:left w:val="nil"/>
              <w:bottom w:val="single" w:sz="4" w:space="0" w:color="808080" w:themeColor="background1" w:themeShade="80"/>
              <w:right w:val="single" w:sz="4" w:space="0" w:color="808080" w:themeColor="background1" w:themeShade="80"/>
            </w:tcBorders>
            <w:vAlign w:val="center"/>
            <w:hideMark/>
          </w:tcPr>
          <w:p w14:paraId="4F1C692D"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100%</w:t>
            </w:r>
          </w:p>
        </w:tc>
      </w:tr>
      <w:tr w:rsidR="004921FF" w:rsidRPr="005C133F" w14:paraId="6B3FE3D7" w14:textId="77777777">
        <w:trPr>
          <w:trHeight w:val="288"/>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D1DDE2"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Monitoreo y Evaluación.</w:t>
            </w:r>
          </w:p>
        </w:tc>
        <w:tc>
          <w:tcPr>
            <w:tcW w:w="2244" w:type="pct"/>
            <w:tcBorders>
              <w:top w:val="nil"/>
              <w:left w:val="nil"/>
              <w:bottom w:val="single" w:sz="4" w:space="0" w:color="808080" w:themeColor="background1" w:themeShade="80"/>
              <w:right w:val="single" w:sz="4" w:space="0" w:color="808080" w:themeColor="background1" w:themeShade="80"/>
            </w:tcBorders>
            <w:vAlign w:val="center"/>
            <w:hideMark/>
          </w:tcPr>
          <w:p w14:paraId="363A0789" w14:textId="77777777" w:rsidR="007E24D8" w:rsidRPr="005C133F" w:rsidRDefault="007E24D8" w:rsidP="000D4D13">
            <w:pPr>
              <w:spacing w:after="0" w:line="240" w:lineRule="auto"/>
              <w:jc w:val="center"/>
              <w:rPr>
                <w:rFonts w:eastAsia="Times New Roman"/>
                <w:lang w:val="es-DO" w:eastAsia="es-DO"/>
              </w:rPr>
            </w:pPr>
            <w:r w:rsidRPr="005C133F">
              <w:rPr>
                <w:rFonts w:eastAsia="Times New Roman"/>
                <w:lang w:val="es-DO" w:eastAsia="es-DO"/>
              </w:rPr>
              <w:t>100%</w:t>
            </w:r>
          </w:p>
        </w:tc>
      </w:tr>
      <w:tr w:rsidR="00DB19D4" w:rsidRPr="005C133F" w14:paraId="31FCF2CC" w14:textId="77777777" w:rsidTr="005F5015">
        <w:trPr>
          <w:trHeight w:val="312"/>
          <w:jc w:val="center"/>
        </w:trPr>
        <w:tc>
          <w:tcPr>
            <w:tcW w:w="2756"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0D149D7A" w14:textId="77777777" w:rsidR="007E24D8" w:rsidRPr="005C133F" w:rsidRDefault="007E24D8" w:rsidP="000D4D13">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Promedio</w:t>
            </w:r>
          </w:p>
        </w:tc>
        <w:tc>
          <w:tcPr>
            <w:tcW w:w="2244" w:type="pct"/>
            <w:tcBorders>
              <w:top w:val="nil"/>
              <w:left w:val="nil"/>
              <w:bottom w:val="single" w:sz="4" w:space="0" w:color="808080" w:themeColor="background1" w:themeShade="80"/>
              <w:right w:val="single" w:sz="4" w:space="0" w:color="808080" w:themeColor="background1" w:themeShade="80"/>
            </w:tcBorders>
            <w:shd w:val="clear" w:color="auto" w:fill="011C50"/>
            <w:vAlign w:val="center"/>
            <w:hideMark/>
          </w:tcPr>
          <w:p w14:paraId="6AEA1A39" w14:textId="77777777" w:rsidR="007E24D8" w:rsidRPr="005C133F" w:rsidRDefault="007E24D8" w:rsidP="000D4D13">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100%</w:t>
            </w:r>
          </w:p>
        </w:tc>
      </w:tr>
    </w:tbl>
    <w:p w14:paraId="6D0EEE4E" w14:textId="1CB81582" w:rsidR="001A632C" w:rsidRPr="00291603" w:rsidRDefault="007E24D8" w:rsidP="000D4D13">
      <w:pPr>
        <w:spacing w:after="0" w:line="360" w:lineRule="auto"/>
        <w:jc w:val="center"/>
        <w:rPr>
          <w:b/>
          <w:bCs/>
          <w:iCs/>
          <w:sz w:val="18"/>
          <w:szCs w:val="18"/>
          <w:lang w:val="es-DO"/>
        </w:rPr>
      </w:pPr>
      <w:r w:rsidRPr="00291603">
        <w:rPr>
          <w:b/>
          <w:bCs/>
          <w:sz w:val="18"/>
          <w:szCs w:val="18"/>
          <w:lang w:val="es-DO"/>
        </w:rPr>
        <w:t>Fuente:</w:t>
      </w:r>
      <w:r w:rsidRPr="00291603">
        <w:rPr>
          <w:sz w:val="18"/>
          <w:szCs w:val="18"/>
          <w:lang w:val="es-DO"/>
        </w:rPr>
        <w:t xml:space="preserve"> Plataforma Normas Básicas de Control Interno.</w:t>
      </w:r>
    </w:p>
    <w:p w14:paraId="40427E57" w14:textId="77777777" w:rsidR="008C151A" w:rsidRDefault="008C151A" w:rsidP="008C151A">
      <w:pPr>
        <w:spacing w:after="0" w:line="360" w:lineRule="auto"/>
        <w:jc w:val="both"/>
        <w:rPr>
          <w:b/>
          <w:bCs/>
          <w:iCs/>
          <w:lang w:val="es-DO"/>
        </w:rPr>
      </w:pPr>
    </w:p>
    <w:p w14:paraId="73E44D93" w14:textId="393EFB7B" w:rsidR="007E24D8" w:rsidRPr="005C133F" w:rsidRDefault="007E24D8" w:rsidP="008C151A">
      <w:pPr>
        <w:spacing w:after="0" w:line="360" w:lineRule="auto"/>
        <w:jc w:val="both"/>
        <w:rPr>
          <w:b/>
          <w:bCs/>
          <w:iCs/>
          <w:lang w:val="es-DO"/>
        </w:rPr>
      </w:pPr>
      <w:r w:rsidRPr="005C133F">
        <w:rPr>
          <w:b/>
          <w:bCs/>
          <w:iCs/>
          <w:lang w:val="es-DO"/>
        </w:rPr>
        <w:t>Programación y Evaluación Física - Financiera</w:t>
      </w:r>
    </w:p>
    <w:p w14:paraId="1880E8C8" w14:textId="77777777" w:rsidR="007E24D8" w:rsidRPr="005C133F" w:rsidRDefault="007E24D8">
      <w:pPr>
        <w:pStyle w:val="Prrafodelista"/>
        <w:numPr>
          <w:ilvl w:val="0"/>
          <w:numId w:val="189"/>
        </w:numPr>
        <w:spacing w:before="120" w:after="0" w:line="360" w:lineRule="auto"/>
        <w:ind w:left="357" w:hanging="357"/>
        <w:contextualSpacing w:val="0"/>
        <w:jc w:val="both"/>
        <w:rPr>
          <w:rFonts w:eastAsia="Times New Roman"/>
          <w:lang w:val="es-DO" w:eastAsia="es-DO"/>
        </w:rPr>
      </w:pPr>
      <w:r w:rsidRPr="005C133F">
        <w:rPr>
          <w:rFonts w:eastAsia="Times New Roman"/>
          <w:lang w:val="es-DO" w:eastAsia="es-DO"/>
        </w:rPr>
        <w:t>Se elaboró la Programación Física Financiera 2025 la cual fue remitida oportunamente ala DIGEPRES.</w:t>
      </w:r>
    </w:p>
    <w:p w14:paraId="246EF52F" w14:textId="77777777" w:rsidR="007E24D8" w:rsidRPr="005C133F" w:rsidRDefault="007E24D8">
      <w:pPr>
        <w:pStyle w:val="Prrafodelista"/>
        <w:numPr>
          <w:ilvl w:val="0"/>
          <w:numId w:val="189"/>
        </w:numPr>
        <w:spacing w:before="120" w:after="0" w:line="360" w:lineRule="auto"/>
        <w:ind w:left="357" w:hanging="357"/>
        <w:contextualSpacing w:val="0"/>
        <w:jc w:val="both"/>
        <w:rPr>
          <w:rFonts w:eastAsia="Times New Roman"/>
          <w:lang w:val="es-DO" w:eastAsia="es-DO"/>
        </w:rPr>
      </w:pPr>
      <w:r w:rsidRPr="005C133F">
        <w:rPr>
          <w:rFonts w:eastAsia="Times New Roman"/>
          <w:lang w:val="es-DO" w:eastAsia="es-DO"/>
        </w:rPr>
        <w:t>Se realizó el reporte trimestral a la DIGEPRES sobre los avances obtenidos en la ejecución física del año 2025, garantizando el seguimiento y la transparencia en el cumplimiento de las metas institucionales.</w:t>
      </w:r>
    </w:p>
    <w:p w14:paraId="4FC0CC36" w14:textId="28E85280" w:rsidR="001A5129" w:rsidRDefault="007E24D8">
      <w:pPr>
        <w:pStyle w:val="Prrafodelista"/>
        <w:numPr>
          <w:ilvl w:val="0"/>
          <w:numId w:val="189"/>
        </w:numPr>
        <w:spacing w:before="120" w:after="0" w:line="360" w:lineRule="auto"/>
        <w:ind w:left="357" w:hanging="357"/>
        <w:contextualSpacing w:val="0"/>
        <w:jc w:val="both"/>
        <w:rPr>
          <w:rFonts w:eastAsia="Times New Roman"/>
          <w:lang w:val="es-DO" w:eastAsia="es-DO"/>
        </w:rPr>
      </w:pPr>
      <w:r w:rsidRPr="005C133F">
        <w:rPr>
          <w:rFonts w:eastAsia="Times New Roman"/>
          <w:lang w:val="es-DO" w:eastAsia="es-DO"/>
        </w:rPr>
        <w:t>Se elaboró y remitió a la DIGEPRES el Informe de Evaluación Física - Financiera correspondiente al ejercicio 2024, como parte de los mecanismos de evaluación y rendición de cuentas.</w:t>
      </w:r>
    </w:p>
    <w:p w14:paraId="3965B828" w14:textId="77777777" w:rsidR="00DD11E4" w:rsidRDefault="00DD11E4" w:rsidP="00DD11E4">
      <w:pPr>
        <w:rPr>
          <w:rFonts w:eastAsia="Times New Roman"/>
          <w:lang w:val="es-DO" w:eastAsia="es-DO"/>
        </w:rPr>
      </w:pPr>
    </w:p>
    <w:p w14:paraId="3267200A" w14:textId="3479A2C2" w:rsidR="007E24D8" w:rsidRPr="00DD11E4" w:rsidRDefault="007E24D8" w:rsidP="00DD11E4">
      <w:pPr>
        <w:rPr>
          <w:rFonts w:eastAsia="Times New Roman"/>
          <w:lang w:val="es-DO" w:eastAsia="es-DO"/>
        </w:rPr>
      </w:pPr>
      <w:r w:rsidRPr="005C133F">
        <w:rPr>
          <w:b/>
          <w:bCs/>
          <w:iCs/>
          <w:lang w:val="es-DO"/>
        </w:rPr>
        <w:t>Plan Operativo Anual 2026</w:t>
      </w:r>
    </w:p>
    <w:p w14:paraId="3944F31B" w14:textId="77777777" w:rsidR="007E24D8" w:rsidRPr="008C151A" w:rsidRDefault="007E24D8" w:rsidP="005C133F">
      <w:pPr>
        <w:pStyle w:val="Prrafodelista"/>
        <w:spacing w:after="0" w:line="360" w:lineRule="auto"/>
        <w:jc w:val="both"/>
        <w:rPr>
          <w:b/>
          <w:bCs/>
          <w:iCs/>
          <w:lang w:val="es-DO"/>
        </w:rPr>
      </w:pPr>
    </w:p>
    <w:p w14:paraId="252F13A0" w14:textId="77777777" w:rsidR="007E24D8" w:rsidRPr="008C151A" w:rsidRDefault="007E24D8">
      <w:pPr>
        <w:pStyle w:val="Prrafodelista"/>
        <w:numPr>
          <w:ilvl w:val="0"/>
          <w:numId w:val="190"/>
        </w:numPr>
        <w:spacing w:after="0" w:line="360" w:lineRule="auto"/>
        <w:jc w:val="both"/>
        <w:rPr>
          <w:b/>
          <w:bCs/>
          <w:iCs/>
          <w:lang w:val="es-DO"/>
        </w:rPr>
      </w:pPr>
      <w:r w:rsidRPr="008C151A">
        <w:rPr>
          <w:b/>
          <w:bCs/>
          <w:iCs/>
          <w:lang w:val="es-DO"/>
        </w:rPr>
        <w:t>Formulación</w:t>
      </w:r>
    </w:p>
    <w:p w14:paraId="1A10992D" w14:textId="77777777" w:rsidR="007E24D8" w:rsidRPr="005C133F" w:rsidRDefault="007E24D8" w:rsidP="005C133F">
      <w:pPr>
        <w:pStyle w:val="Prrafodelista"/>
        <w:spacing w:after="0" w:line="360" w:lineRule="auto"/>
        <w:jc w:val="both"/>
        <w:rPr>
          <w:iCs/>
          <w:lang w:val="es-DO"/>
        </w:rPr>
      </w:pPr>
    </w:p>
    <w:p w14:paraId="09D101BB" w14:textId="77777777" w:rsidR="007E24D8" w:rsidRDefault="007E24D8">
      <w:pPr>
        <w:pStyle w:val="Prrafodelista"/>
        <w:numPr>
          <w:ilvl w:val="0"/>
          <w:numId w:val="191"/>
        </w:numPr>
        <w:spacing w:before="120" w:after="0" w:line="360" w:lineRule="auto"/>
        <w:contextualSpacing w:val="0"/>
        <w:jc w:val="both"/>
        <w:rPr>
          <w:rFonts w:eastAsia="Times New Roman"/>
          <w:lang w:val="es-DO" w:eastAsia="es-DO"/>
        </w:rPr>
      </w:pPr>
      <w:r w:rsidRPr="005C133F">
        <w:rPr>
          <w:rFonts w:eastAsia="Times New Roman"/>
          <w:lang w:val="es-DO" w:eastAsia="es-DO"/>
        </w:rPr>
        <w:t>Se formuló el Plan Operativo Anual institucional correspondiente al año 2025, alineado con las prioridades estratégicas de la institución, el Plan Anual de Compras y Contrataciones (PACC) y el Presupuesto 2025.</w:t>
      </w:r>
    </w:p>
    <w:p w14:paraId="77830702" w14:textId="77777777" w:rsidR="008C151A" w:rsidRPr="008C151A" w:rsidRDefault="008C151A" w:rsidP="008C151A">
      <w:pPr>
        <w:pStyle w:val="Prrafodelista"/>
        <w:spacing w:before="120" w:after="0" w:line="360" w:lineRule="auto"/>
        <w:ind w:left="1080"/>
        <w:contextualSpacing w:val="0"/>
        <w:jc w:val="both"/>
        <w:rPr>
          <w:rFonts w:eastAsia="Times New Roman"/>
          <w:b/>
          <w:bCs/>
          <w:lang w:val="es-DO" w:eastAsia="es-DO"/>
        </w:rPr>
      </w:pPr>
    </w:p>
    <w:p w14:paraId="323C271F" w14:textId="77777777" w:rsidR="007E24D8" w:rsidRPr="008C151A" w:rsidRDefault="007E24D8">
      <w:pPr>
        <w:pStyle w:val="Prrafodelista"/>
        <w:numPr>
          <w:ilvl w:val="0"/>
          <w:numId w:val="190"/>
        </w:numPr>
        <w:spacing w:after="0" w:line="360" w:lineRule="auto"/>
        <w:jc w:val="both"/>
        <w:rPr>
          <w:b/>
          <w:bCs/>
          <w:iCs/>
          <w:lang w:val="es-DO"/>
        </w:rPr>
      </w:pPr>
      <w:r w:rsidRPr="008C151A">
        <w:rPr>
          <w:b/>
          <w:bCs/>
          <w:iCs/>
          <w:lang w:val="es-DO"/>
        </w:rPr>
        <w:t>Monitoreo y Evaluación</w:t>
      </w:r>
    </w:p>
    <w:p w14:paraId="48B58EFA" w14:textId="77777777" w:rsidR="007E24D8" w:rsidRPr="005C133F" w:rsidRDefault="007E24D8" w:rsidP="005C133F">
      <w:pPr>
        <w:pStyle w:val="Prrafodelista"/>
        <w:spacing w:after="0" w:line="360" w:lineRule="auto"/>
        <w:jc w:val="both"/>
        <w:rPr>
          <w:iCs/>
          <w:lang w:val="es-DO"/>
        </w:rPr>
      </w:pPr>
    </w:p>
    <w:p w14:paraId="739B5BAC" w14:textId="152B0FEB" w:rsidR="008C151A" w:rsidRPr="00CC53E1" w:rsidRDefault="007E24D8" w:rsidP="00CC53E1">
      <w:pPr>
        <w:pStyle w:val="Prrafodelista"/>
        <w:numPr>
          <w:ilvl w:val="0"/>
          <w:numId w:val="192"/>
        </w:numPr>
        <w:spacing w:after="0" w:line="360" w:lineRule="auto"/>
        <w:contextualSpacing w:val="0"/>
        <w:jc w:val="both"/>
        <w:rPr>
          <w:rFonts w:eastAsia="Times New Roman"/>
          <w:lang w:val="es-DO" w:eastAsia="es-DO"/>
        </w:rPr>
      </w:pPr>
      <w:r w:rsidRPr="005C133F">
        <w:rPr>
          <w:rFonts w:eastAsia="Times New Roman"/>
          <w:lang w:val="es-DO" w:eastAsia="es-DO"/>
        </w:rPr>
        <w:t>Se elaboraron y socializaron cuatro (4) Informes Trimestrales de Evaluación del Desempeño Institucional en los que se reflejan los niveles de cumplimiento y avances registrados durante la ejecución del POA 2025, fortaleciendo los procesos de seguimiento, control y toma de decisiones.</w:t>
      </w:r>
    </w:p>
    <w:p w14:paraId="1471A235" w14:textId="77777777" w:rsidR="008C151A" w:rsidRPr="005C133F" w:rsidRDefault="008C151A" w:rsidP="005C133F">
      <w:pPr>
        <w:pStyle w:val="Prrafodelista"/>
        <w:spacing w:after="0" w:line="360" w:lineRule="auto"/>
        <w:ind w:left="1080"/>
        <w:contextualSpacing w:val="0"/>
        <w:jc w:val="both"/>
        <w:rPr>
          <w:rFonts w:eastAsia="Times New Roman"/>
          <w:lang w:val="es-DO" w:eastAsia="es-DO"/>
        </w:rPr>
      </w:pPr>
    </w:p>
    <w:p w14:paraId="2530D8CA" w14:textId="5F5EC82D" w:rsidR="00442D85" w:rsidRPr="005C133F" w:rsidRDefault="007E24D8" w:rsidP="005C133F">
      <w:pPr>
        <w:spacing w:after="0" w:line="360" w:lineRule="auto"/>
        <w:jc w:val="both"/>
        <w:rPr>
          <w:b/>
          <w:bCs/>
          <w:iCs/>
          <w:lang w:val="es-DO"/>
        </w:rPr>
      </w:pPr>
      <w:r w:rsidRPr="005C133F">
        <w:rPr>
          <w:b/>
          <w:bCs/>
          <w:iCs/>
          <w:lang w:val="es-DO"/>
        </w:rPr>
        <w:t>Plan Estratégico Institucional 2025-2028</w:t>
      </w:r>
    </w:p>
    <w:p w14:paraId="4286F3C0" w14:textId="77777777" w:rsidR="00963D9C" w:rsidRPr="005C133F" w:rsidRDefault="00963D9C" w:rsidP="005C133F">
      <w:pPr>
        <w:spacing w:after="0" w:line="360" w:lineRule="auto"/>
        <w:jc w:val="both"/>
        <w:rPr>
          <w:b/>
          <w:bCs/>
          <w:iCs/>
          <w:lang w:val="es-DO"/>
        </w:rPr>
      </w:pPr>
    </w:p>
    <w:p w14:paraId="04A66094" w14:textId="3BEBD20F" w:rsidR="009A2820" w:rsidRPr="005C133F" w:rsidRDefault="007E24D8">
      <w:pPr>
        <w:pStyle w:val="Prrafodelista"/>
        <w:numPr>
          <w:ilvl w:val="0"/>
          <w:numId w:val="201"/>
        </w:numPr>
        <w:spacing w:after="0" w:line="360" w:lineRule="auto"/>
        <w:jc w:val="both"/>
        <w:rPr>
          <w:rFonts w:eastAsia="Times New Roman"/>
          <w:lang w:val="es-DO" w:eastAsia="es-DO"/>
        </w:rPr>
      </w:pPr>
      <w:r w:rsidRPr="005C133F">
        <w:rPr>
          <w:rFonts w:eastAsia="Times New Roman"/>
          <w:lang w:val="es-DO" w:eastAsia="es-DO"/>
        </w:rPr>
        <w:t>Se formuló el Plan Estratégico Institucional 2025-2028, estableciendo los objetivos estratégicos, resultados y metas institucionales que orientan la gestión de la SISALRIL en el mediano plazo, en coherencia con las prioridades nacionales y el marco normativo vigente.</w:t>
      </w:r>
    </w:p>
    <w:p w14:paraId="2DA858F7" w14:textId="77777777" w:rsidR="00DD11E4" w:rsidRDefault="00DD11E4" w:rsidP="00DD11E4">
      <w:pPr>
        <w:rPr>
          <w:rFonts w:eastAsia="Times New Roman"/>
          <w:lang w:val="es-DO" w:eastAsia="es-DO"/>
        </w:rPr>
      </w:pPr>
    </w:p>
    <w:p w14:paraId="3B5E3157" w14:textId="26C6A4AD" w:rsidR="0034471D" w:rsidRPr="00DD11E4" w:rsidRDefault="0034471D" w:rsidP="00DD11E4">
      <w:pPr>
        <w:rPr>
          <w:rFonts w:eastAsia="Times New Roman"/>
          <w:lang w:val="es-DO" w:eastAsia="es-DO"/>
        </w:rPr>
      </w:pPr>
      <w:r w:rsidRPr="005C133F">
        <w:rPr>
          <w:b/>
          <w:bCs/>
          <w:iCs/>
          <w:lang w:val="es-DO"/>
        </w:rPr>
        <w:t>Gestión de Acuerdos de Cooperación Internacional y Relaciones Interinstitucionales</w:t>
      </w:r>
    </w:p>
    <w:p w14:paraId="2797B0BF" w14:textId="77777777" w:rsidR="0034471D" w:rsidRPr="005C133F" w:rsidRDefault="0034471D" w:rsidP="005C133F">
      <w:pPr>
        <w:pStyle w:val="Prrafodelista"/>
        <w:spacing w:after="0" w:line="360" w:lineRule="auto"/>
        <w:ind w:left="1080"/>
        <w:jc w:val="both"/>
        <w:rPr>
          <w:highlight w:val="green"/>
          <w:lang w:val="es-DO"/>
        </w:rPr>
      </w:pPr>
    </w:p>
    <w:p w14:paraId="4EFA5593" w14:textId="70FECB88" w:rsidR="007E24D8" w:rsidRPr="005C133F" w:rsidRDefault="0034471D">
      <w:pPr>
        <w:pStyle w:val="Prrafodelista"/>
        <w:numPr>
          <w:ilvl w:val="0"/>
          <w:numId w:val="200"/>
        </w:numPr>
        <w:spacing w:after="0" w:line="360" w:lineRule="auto"/>
        <w:jc w:val="both"/>
        <w:rPr>
          <w:rFonts w:eastAsia="Calibri"/>
          <w:bCs/>
          <w:lang w:val="es-DO"/>
        </w:rPr>
      </w:pPr>
      <w:r w:rsidRPr="005C133F">
        <w:rPr>
          <w:rFonts w:eastAsia="Calibri"/>
          <w:bCs/>
          <w:lang w:val="es-DO"/>
        </w:rPr>
        <w:t xml:space="preserve">Se suscribieron acuerdos de interoperabilidad con entidades clave de la administración pública, como JCE, MESCYT, SNS, TSS y ONE, y se estableció la comunicación a través de la plataforma de interoperabilidad del estado X-ROAD, lo que permite la consulta en tiempo real de los datos que estas instituciones administran. </w:t>
      </w:r>
    </w:p>
    <w:p w14:paraId="676C4066" w14:textId="77777777" w:rsidR="00D11C32" w:rsidRPr="005C133F" w:rsidRDefault="00D11C32">
      <w:pPr>
        <w:pStyle w:val="Sinespaciado"/>
        <w:numPr>
          <w:ilvl w:val="0"/>
          <w:numId w:val="157"/>
        </w:numPr>
        <w:spacing w:line="360" w:lineRule="auto"/>
        <w:jc w:val="both"/>
        <w:rPr>
          <w:bCs/>
          <w:iCs/>
          <w:color w:val="767171"/>
          <w:lang w:val="es-ES"/>
        </w:rPr>
      </w:pPr>
      <w:r w:rsidRPr="005C133F">
        <w:rPr>
          <w:bCs/>
          <w:color w:val="767171"/>
          <w:lang w:val="es-DO"/>
        </w:rPr>
        <w:t>Se suscribió un acuerdo específico de interoperabilidad entre la Oficina Nacional de Estadística (ONE) y la</w:t>
      </w:r>
      <w:r w:rsidRPr="005C133F">
        <w:rPr>
          <w:bCs/>
          <w:iCs/>
          <w:color w:val="767171"/>
          <w:lang w:val="es-ES"/>
        </w:rPr>
        <w:t xml:space="preserve"> Superintendencia de Salud y Riesgos Laborales (SISALRIL) que permite intercambio de</w:t>
      </w:r>
      <w:r w:rsidRPr="005C133F">
        <w:rPr>
          <w:bCs/>
          <w:iCs/>
          <w:color w:val="767171"/>
          <w:lang w:val="es-DO"/>
        </w:rPr>
        <w:t xml:space="preserve"> datos en tiempo real entre ambas instituciones, a través de la </w:t>
      </w:r>
      <w:r w:rsidRPr="005C133F">
        <w:rPr>
          <w:bCs/>
          <w:iCs/>
          <w:color w:val="767171"/>
          <w:lang w:val="es-DO"/>
        </w:rPr>
        <w:lastRenderedPageBreak/>
        <w:t>plataforma de interoperabilidad del Estado X-ROAD. Por parte de la Superintendencia, se comparte información respecto a Afiliación al Seguro Familiar de Salud y Afiliación al Seguro de Riesgos Laborales, y desde la ONE, se comparte información respecto a la División territorial del país, Base de datos de Censos y Encuestas.</w:t>
      </w:r>
    </w:p>
    <w:p w14:paraId="3EEF7507" w14:textId="77777777" w:rsidR="00D11C32" w:rsidRPr="005C133F" w:rsidRDefault="00D11C32">
      <w:pPr>
        <w:pStyle w:val="Sinespaciado"/>
        <w:numPr>
          <w:ilvl w:val="0"/>
          <w:numId w:val="157"/>
        </w:numPr>
        <w:spacing w:line="360" w:lineRule="auto"/>
        <w:jc w:val="both"/>
        <w:rPr>
          <w:rFonts w:eastAsiaTheme="minorHAnsi"/>
          <w:color w:val="767171"/>
          <w:kern w:val="2"/>
          <w:lang w:val="es-ES"/>
          <w14:ligatures w14:val="standardContextual"/>
        </w:rPr>
      </w:pPr>
      <w:r w:rsidRPr="005C133F">
        <w:rPr>
          <w:rFonts w:eastAsiaTheme="minorHAnsi"/>
          <w:color w:val="767171"/>
          <w:kern w:val="2"/>
          <w:lang w:val="es-DO"/>
          <w14:ligatures w14:val="standardContextual"/>
        </w:rPr>
        <w:t>Se formalizó el c</w:t>
      </w:r>
      <w:r w:rsidRPr="005C133F">
        <w:rPr>
          <w:rFonts w:eastAsiaTheme="minorHAnsi"/>
          <w:color w:val="767171"/>
          <w:kern w:val="2"/>
          <w:lang w:val="es-ES"/>
          <w14:ligatures w14:val="standardContextual"/>
        </w:rPr>
        <w:t>convenio de cooperación técnica con el Instituto Nacional de Tránsito y Transporte Terrestre (INTRANT) orientado al fortalecimiento del sistema nacional de información sobre seguridad vial y contempla: (a) La conformación de un equipo técnico multisectorial responsable de la unificación de criterios metodológicos. (b) La participación de SISALRIL en la Mesa Gestora del Dato, para el intercambio de información sobre afiliados que recibieron atenciones médicas por accidentes de tránsito de origen no laboral.</w:t>
      </w:r>
    </w:p>
    <w:p w14:paraId="03695D92" w14:textId="77777777" w:rsidR="00D11C32" w:rsidRPr="005C133F" w:rsidRDefault="00D11C32">
      <w:pPr>
        <w:numPr>
          <w:ilvl w:val="0"/>
          <w:numId w:val="157"/>
        </w:numPr>
        <w:spacing w:after="0" w:line="360" w:lineRule="auto"/>
        <w:jc w:val="both"/>
        <w:rPr>
          <w:rFonts w:eastAsia="Calibri"/>
          <w:lang w:val="es-DO"/>
        </w:rPr>
      </w:pPr>
      <w:r w:rsidRPr="005C133F">
        <w:rPr>
          <w:rFonts w:eastAsia="Calibri"/>
          <w:lang w:val="es-DO"/>
        </w:rPr>
        <w:t xml:space="preserve">Se actualizó el convenio de cooperación interinstitucional entre el Sistema Único de Beneficiarios (SIUBEN) y la SISALRIL, con la finalidad de establecer mecanismos e instrumentos de interoperabilidad que permitan compartir información socioeconómica actualizada sobre la población, que sirva de base para el diseño e implementación de intervenciones de protección social efectivas, así como para optimizar y actualizar los registros institucionales a cargo de ambas partes, a través de un API. </w:t>
      </w:r>
    </w:p>
    <w:p w14:paraId="7C375D36" w14:textId="77777777" w:rsidR="00D11C32" w:rsidRPr="005C133F" w:rsidRDefault="00D11C32">
      <w:pPr>
        <w:numPr>
          <w:ilvl w:val="0"/>
          <w:numId w:val="157"/>
        </w:numPr>
        <w:spacing w:after="0" w:line="360" w:lineRule="auto"/>
        <w:jc w:val="both"/>
        <w:rPr>
          <w:rFonts w:eastAsia="Calibri"/>
          <w:lang w:val="es-DO"/>
        </w:rPr>
      </w:pPr>
      <w:r w:rsidRPr="005C133F">
        <w:rPr>
          <w:lang w:val="es-DO"/>
        </w:rPr>
        <w:t xml:space="preserve">Se estableció el convenio marco de cooperación entre el Instituto de Evaluación Tecnológica en Salud (IETS) de Colombia y la SISALRIL, para promover la cooperación entre ambas instituciones, en áreas de mutuo interés, fomentando y desarrollando conjuntamente actividades de carácter técnico, científico, docente, académico, de investigación, de extensión y de divulgación de conformidad a los objetivos y planes de cada </w:t>
      </w:r>
      <w:r w:rsidRPr="005C133F">
        <w:rPr>
          <w:lang w:val="es-DO"/>
        </w:rPr>
        <w:lastRenderedPageBreak/>
        <w:t>una de las partes, a fin de optimizar el uso de recursos técnicos y garantizar decisiones basadas en evidencia, equidad y pertinencia para el sistema de salud dominicano y colombiano.</w:t>
      </w:r>
    </w:p>
    <w:p w14:paraId="6231C2B1" w14:textId="079C55F4" w:rsidR="00543393" w:rsidRPr="005C133F" w:rsidRDefault="00D11C32">
      <w:pPr>
        <w:pStyle w:val="Prrafodelista"/>
        <w:numPr>
          <w:ilvl w:val="0"/>
          <w:numId w:val="157"/>
        </w:numPr>
        <w:spacing w:after="0" w:line="360" w:lineRule="auto"/>
        <w:jc w:val="both"/>
        <w:rPr>
          <w:rFonts w:eastAsia="Times New Roman"/>
          <w:lang w:val="es-ES_tradnl" w:eastAsia="es-ES"/>
        </w:rPr>
      </w:pPr>
      <w:r w:rsidRPr="005C133F">
        <w:rPr>
          <w:rFonts w:eastAsia="Calibri"/>
          <w:bCs/>
          <w:lang w:val="es-DO"/>
        </w:rPr>
        <w:t xml:space="preserve">Se firmó el acuerdo específico para la realización de la Encuesta Nacional de Hogares y Propósitos Múltiples (ENHOGAR-MICS 2025) bajo la metodología de la Ronda 7 de la MICS, por la Oficina Nacional de Estadísticas (ONE) y la Superintendencia de Salud y Riesgos Laborales (SISALRIL), con el objetivo de crear una alianza estratégica entre la ONE y la SISALRIL para la inclusión del módulo sobre afiliación al Seguro Familiar de Salud de la población dominicana </w:t>
      </w:r>
      <w:r w:rsidRPr="005C133F">
        <w:rPr>
          <w:rFonts w:eastAsia="Times New Roman"/>
          <w:lang w:val="es-ES_tradnl" w:eastAsia="es-ES"/>
        </w:rPr>
        <w:t xml:space="preserve">a nivel provincial </w:t>
      </w:r>
      <w:r w:rsidRPr="005C133F">
        <w:rPr>
          <w:rFonts w:eastAsia="Calibri"/>
          <w:bCs/>
          <w:lang w:val="es-DO"/>
        </w:rPr>
        <w:t>en la ENHOGAR-MICS 2025</w:t>
      </w:r>
      <w:r w:rsidRPr="005C133F">
        <w:rPr>
          <w:rFonts w:eastAsia="Times New Roman"/>
          <w:lang w:val="es-ES_tradnl" w:eastAsia="es-ES"/>
        </w:rPr>
        <w:t xml:space="preserve">. </w:t>
      </w:r>
      <w:r w:rsidRPr="005C133F">
        <w:rPr>
          <w:rFonts w:eastAsia="Times New Roman"/>
          <w:lang w:val="es-ES" w:eastAsia="es-ES"/>
        </w:rPr>
        <w:t>En el marco de este acuerdo, la SISALRIL capacitó a más de 150 colaboradoras vinculadas al levantamiento de la ENHOGAR-MICS 2025, en temas relacionados con los componentes, beneficiarios y prestaciones del Seguro Familiar de Salud, fortaleciendo la calidad y consistencia de la información recolectada.</w:t>
      </w:r>
    </w:p>
    <w:p w14:paraId="71206D8E" w14:textId="7F507252" w:rsidR="00543393" w:rsidRPr="005C133F" w:rsidRDefault="00543393">
      <w:pPr>
        <w:pStyle w:val="Prrafodelista"/>
        <w:numPr>
          <w:ilvl w:val="0"/>
          <w:numId w:val="157"/>
        </w:numPr>
        <w:spacing w:after="0" w:line="360" w:lineRule="auto"/>
        <w:jc w:val="both"/>
        <w:rPr>
          <w:rFonts w:eastAsia="Calibri"/>
          <w:noProof/>
          <w:lang w:val="es-DO"/>
        </w:rPr>
      </w:pPr>
      <w:r w:rsidRPr="005C133F">
        <w:rPr>
          <w:rFonts w:eastAsia="Calibri"/>
          <w:noProof/>
          <w:lang w:val="es-DO"/>
        </w:rPr>
        <w:t>SISALRIL obtuvo tres posiciones estratégicas en la Conferencia Interamericana de Seguridad Social (CISS):  Miembro en la Junta Directiva del Centro Interamericano de Estudios de Seguridad Social (CIESS), Vicepresidencia de la Comisión Americana Jurídico Social y Secretaría Técnica de la Comisión Americana Jurídico Social</w:t>
      </w:r>
      <w:r w:rsidR="00311655" w:rsidRPr="005C133F">
        <w:rPr>
          <w:rFonts w:eastAsia="Calibri"/>
          <w:noProof/>
          <w:lang w:val="es-DO"/>
        </w:rPr>
        <w:t xml:space="preserve">. </w:t>
      </w:r>
    </w:p>
    <w:p w14:paraId="2AF42D94" w14:textId="77777777" w:rsidR="00DD11E4" w:rsidRDefault="00DD11E4" w:rsidP="005C133F">
      <w:pPr>
        <w:spacing w:after="0" w:line="360" w:lineRule="auto"/>
        <w:jc w:val="both"/>
        <w:rPr>
          <w:b/>
          <w:bCs/>
          <w:iCs/>
          <w:lang w:val="es-DO"/>
        </w:rPr>
      </w:pPr>
    </w:p>
    <w:p w14:paraId="326AEA0B" w14:textId="2E69C696" w:rsidR="00DE4E0A" w:rsidRPr="005C133F" w:rsidRDefault="00DE4E0A" w:rsidP="005C133F">
      <w:pPr>
        <w:spacing w:after="0" w:line="360" w:lineRule="auto"/>
        <w:jc w:val="both"/>
        <w:rPr>
          <w:b/>
          <w:bCs/>
          <w:iCs/>
          <w:lang w:val="es-DO"/>
        </w:rPr>
      </w:pPr>
      <w:r w:rsidRPr="005C133F">
        <w:rPr>
          <w:b/>
          <w:bCs/>
          <w:iCs/>
          <w:lang w:val="es-DO"/>
        </w:rPr>
        <w:t>Transversalización del Enfoque de Equidad e Igualdad de Género</w:t>
      </w:r>
    </w:p>
    <w:p w14:paraId="26E20380" w14:textId="77777777" w:rsidR="004C4D73" w:rsidRPr="005C133F" w:rsidRDefault="004C4D73" w:rsidP="005C133F">
      <w:pPr>
        <w:spacing w:after="0" w:line="360" w:lineRule="auto"/>
        <w:jc w:val="both"/>
        <w:rPr>
          <w:b/>
          <w:bCs/>
          <w:iCs/>
          <w:lang w:val="es-DO"/>
        </w:rPr>
      </w:pPr>
    </w:p>
    <w:p w14:paraId="4AA17925" w14:textId="77777777" w:rsidR="00DE4E0A" w:rsidRPr="005C133F" w:rsidRDefault="00DE4E0A">
      <w:pPr>
        <w:pStyle w:val="Prrafodelista"/>
        <w:numPr>
          <w:ilvl w:val="0"/>
          <w:numId w:val="194"/>
        </w:numPr>
        <w:spacing w:after="0" w:line="360" w:lineRule="auto"/>
        <w:jc w:val="both"/>
        <w:rPr>
          <w:rFonts w:eastAsia="Times New Roman"/>
          <w:lang w:val="es-DO" w:eastAsia="es-DO"/>
        </w:rPr>
      </w:pPr>
      <w:r w:rsidRPr="005C133F">
        <w:rPr>
          <w:rFonts w:eastAsia="Times New Roman"/>
          <w:lang w:val="es-DO" w:eastAsia="es-DO"/>
        </w:rPr>
        <w:t xml:space="preserve">Mediante resolución administrativa interna núm. 010-2025 se creó el Comité Institucional de Transversalización de Genero de la Superintendencia de Salud y Riesgos Laborales, con el </w:t>
      </w:r>
      <w:r w:rsidRPr="005C133F">
        <w:rPr>
          <w:rFonts w:eastAsia="Times New Roman"/>
          <w:lang w:val="es-DO" w:eastAsia="es-DO"/>
        </w:rPr>
        <w:lastRenderedPageBreak/>
        <w:t xml:space="preserve">objetivo de impulsar la incorporación sistemática del enfoque de equidad e igualdad de género en la gestión institucional. </w:t>
      </w:r>
    </w:p>
    <w:p w14:paraId="2FB14F6B" w14:textId="77777777" w:rsidR="00DE4E0A" w:rsidRPr="005C133F" w:rsidRDefault="00DE4E0A">
      <w:pPr>
        <w:pStyle w:val="Prrafodelista"/>
        <w:numPr>
          <w:ilvl w:val="0"/>
          <w:numId w:val="194"/>
        </w:numPr>
        <w:spacing w:after="0" w:line="360" w:lineRule="auto"/>
        <w:jc w:val="both"/>
        <w:rPr>
          <w:rFonts w:eastAsia="Times New Roman"/>
          <w:lang w:val="es-DO" w:eastAsia="es-DO"/>
        </w:rPr>
      </w:pPr>
      <w:r w:rsidRPr="005C133F">
        <w:rPr>
          <w:rFonts w:eastAsia="Times New Roman"/>
          <w:lang w:val="es-DO" w:eastAsia="es-DO"/>
        </w:rPr>
        <w:t xml:space="preserve">En el marco de este proceso durante el año 2025 la SISALRIL realizo una serie actividades de sensibilización con las cuales se impactaron un total de 122 colaboradores capacitados en temas de género, de los cuales, 101 fueron mujeres y 21 hombres: </w:t>
      </w:r>
    </w:p>
    <w:p w14:paraId="40408095"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lang w:val="es-DO" w:eastAsia="es-DO"/>
        </w:rPr>
        <w:t xml:space="preserve">Charla sobre </w:t>
      </w:r>
      <w:r w:rsidRPr="005C133F">
        <w:rPr>
          <w:rFonts w:eastAsia="Times New Roman"/>
          <w:b/>
          <w:bCs/>
          <w:lang w:val="es-DO" w:eastAsia="es-DO"/>
        </w:rPr>
        <w:t>“Situación Actual de los Derechos de las mujeres”</w:t>
      </w:r>
      <w:r w:rsidRPr="005C133F">
        <w:rPr>
          <w:rFonts w:eastAsia="Times New Roman"/>
          <w:lang w:val="es-DO" w:eastAsia="es-DO"/>
        </w:rPr>
        <w:t xml:space="preserve"> en la misma tuvieron incidencia 26 mujeres y 8 hombres para un total de 34 colaboradores de la institución.</w:t>
      </w:r>
    </w:p>
    <w:p w14:paraId="05919D43"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lang w:val="es-DO" w:eastAsia="es-DO"/>
        </w:rPr>
        <w:t xml:space="preserve">Charla sobre </w:t>
      </w:r>
      <w:r w:rsidRPr="005C133F">
        <w:rPr>
          <w:rFonts w:eastAsia="Times New Roman"/>
          <w:b/>
          <w:bCs/>
          <w:lang w:val="es-DO" w:eastAsia="es-DO"/>
        </w:rPr>
        <w:t>“Principios Básicos de Género”</w:t>
      </w:r>
      <w:r w:rsidRPr="005C133F">
        <w:rPr>
          <w:rFonts w:eastAsia="Times New Roman"/>
          <w:lang w:val="es-DO" w:eastAsia="es-DO"/>
        </w:rPr>
        <w:t xml:space="preserve"> en la misma tuvieron incidencia 25 mujeres y 4 hombres para un total de 29 prestadores de servicios de la institución. </w:t>
      </w:r>
    </w:p>
    <w:p w14:paraId="3E4AD19B"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lang w:val="es-DO" w:eastAsia="es-DO"/>
        </w:rPr>
        <w:t xml:space="preserve">Charla virtual de </w:t>
      </w:r>
      <w:r w:rsidRPr="005C133F">
        <w:rPr>
          <w:rFonts w:eastAsia="Times New Roman"/>
          <w:b/>
          <w:bCs/>
          <w:lang w:val="es-DO" w:eastAsia="es-DO"/>
        </w:rPr>
        <w:t>“Perspectiva de Género”</w:t>
      </w:r>
      <w:r w:rsidRPr="005C133F">
        <w:rPr>
          <w:rFonts w:eastAsia="Times New Roman"/>
          <w:lang w:val="es-DO" w:eastAsia="es-DO"/>
        </w:rPr>
        <w:t xml:space="preserve"> en la cual participaron 50 mujeres y 9 hombres para un total de 59 colaboradores de la institución. </w:t>
      </w:r>
    </w:p>
    <w:p w14:paraId="5757FEF9"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lang w:val="es-DO" w:eastAsia="es-DO"/>
        </w:rPr>
        <w:t xml:space="preserve">Curso virtual Tutorizado: </w:t>
      </w:r>
      <w:r w:rsidRPr="005C133F">
        <w:rPr>
          <w:rFonts w:eastAsia="Times New Roman"/>
          <w:b/>
          <w:bCs/>
          <w:lang w:val="es-DO" w:eastAsia="es-DO"/>
        </w:rPr>
        <w:t>Fortalecimiento de la respuesta de los servicios de salud a la violencia contra las mujeres y niñas en Latinoamérica</w:t>
      </w:r>
      <w:r w:rsidRPr="005C133F">
        <w:rPr>
          <w:rFonts w:eastAsia="Times New Roman"/>
          <w:lang w:val="es-DO" w:eastAsia="es-DO"/>
        </w:rPr>
        <w:t>, con la participación de expositores internacionales y nacionales, realizado en el marco del día internacional de la Mujer por el Ministerio de Salud Pública y Asistencia Social (MISPA) y la Organización Panamericana de Salud.</w:t>
      </w:r>
    </w:p>
    <w:p w14:paraId="65DD843A"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b/>
          <w:bCs/>
          <w:lang w:val="es-DO" w:eastAsia="es-DO"/>
        </w:rPr>
        <w:t>1ra. Reunión de la Mesa de Género y VIH</w:t>
      </w:r>
      <w:r w:rsidRPr="005C133F">
        <w:rPr>
          <w:rFonts w:eastAsia="Times New Roman"/>
          <w:lang w:val="es-DO" w:eastAsia="es-DO"/>
        </w:rPr>
        <w:t>, para promover un dialogo intersectorial, articular y coordinar acciones estratégicas que contribuyan al cierre de la brecha de género y VIH.</w:t>
      </w:r>
    </w:p>
    <w:p w14:paraId="7E2682E1" w14:textId="77777777" w:rsidR="00DE4E0A" w:rsidRPr="005C133F" w:rsidRDefault="00DE4E0A">
      <w:pPr>
        <w:numPr>
          <w:ilvl w:val="0"/>
          <w:numId w:val="193"/>
        </w:numPr>
        <w:spacing w:after="0" w:line="360" w:lineRule="auto"/>
        <w:ind w:left="1843"/>
        <w:jc w:val="both"/>
        <w:rPr>
          <w:rFonts w:eastAsia="Times New Roman"/>
          <w:lang w:val="es-DO" w:eastAsia="es-DO"/>
        </w:rPr>
      </w:pPr>
      <w:r w:rsidRPr="005C133F">
        <w:rPr>
          <w:rFonts w:eastAsia="Times New Roman"/>
          <w:lang w:val="es-DO" w:eastAsia="es-DO"/>
        </w:rPr>
        <w:lastRenderedPageBreak/>
        <w:t xml:space="preserve">Participación en espacio de reflexión y consulta para la </w:t>
      </w:r>
      <w:r w:rsidRPr="005C133F">
        <w:rPr>
          <w:rFonts w:eastAsia="Times New Roman"/>
          <w:b/>
          <w:bCs/>
          <w:lang w:val="es-DO" w:eastAsia="es-DO"/>
        </w:rPr>
        <w:t>elaboración del diagnóstico institucional de género y el diseño de lineamientos para la política transversal de género</w:t>
      </w:r>
      <w:r w:rsidRPr="005C133F">
        <w:rPr>
          <w:rFonts w:eastAsia="Times New Roman"/>
          <w:lang w:val="es-DO" w:eastAsia="es-DO"/>
        </w:rPr>
        <w:t xml:space="preserve">, realizado por el Ministerio de Salud Pública y Asistencia Social, (MISPAS). </w:t>
      </w:r>
    </w:p>
    <w:p w14:paraId="3EFC32FD" w14:textId="77777777" w:rsidR="00543393" w:rsidRPr="005C133F" w:rsidRDefault="00543393" w:rsidP="005C133F">
      <w:pPr>
        <w:spacing w:after="0" w:line="360" w:lineRule="auto"/>
        <w:jc w:val="both"/>
        <w:rPr>
          <w:rFonts w:eastAsia="Times New Roman"/>
          <w:lang w:val="es-DO" w:eastAsia="es-DO"/>
        </w:rPr>
      </w:pPr>
    </w:p>
    <w:p w14:paraId="78AD8C0F" w14:textId="139A30A9" w:rsidR="005B7726" w:rsidRPr="005C133F" w:rsidRDefault="00081FD7" w:rsidP="005C133F">
      <w:pPr>
        <w:spacing w:after="0" w:line="360" w:lineRule="auto"/>
        <w:jc w:val="both"/>
        <w:rPr>
          <w:b/>
          <w:bCs/>
          <w:iCs/>
          <w:lang w:val="es-DO"/>
        </w:rPr>
      </w:pPr>
      <w:r w:rsidRPr="005C133F">
        <w:rPr>
          <w:b/>
          <w:bCs/>
          <w:iCs/>
          <w:lang w:val="es-DO"/>
        </w:rPr>
        <w:t xml:space="preserve">Plan Anual de Compras y Contratación (PACC) </w:t>
      </w:r>
    </w:p>
    <w:p w14:paraId="2EDA3312" w14:textId="77777777" w:rsidR="00543393" w:rsidRPr="005C133F" w:rsidRDefault="00543393" w:rsidP="005C133F">
      <w:pPr>
        <w:spacing w:after="0" w:line="360" w:lineRule="auto"/>
        <w:jc w:val="both"/>
        <w:rPr>
          <w:b/>
          <w:bCs/>
          <w:iCs/>
          <w:lang w:val="es-DO"/>
        </w:rPr>
      </w:pPr>
    </w:p>
    <w:p w14:paraId="497B8413" w14:textId="77777777" w:rsidR="00081FD7" w:rsidRPr="005C133F" w:rsidRDefault="00081FD7">
      <w:pPr>
        <w:pStyle w:val="Prrafodelista"/>
        <w:numPr>
          <w:ilvl w:val="0"/>
          <w:numId w:val="195"/>
        </w:numPr>
        <w:spacing w:after="0" w:line="360" w:lineRule="auto"/>
        <w:jc w:val="both"/>
        <w:rPr>
          <w:rFonts w:eastAsia="Times New Roman"/>
          <w:lang w:val="es-DO" w:eastAsia="es-DO"/>
        </w:rPr>
      </w:pPr>
      <w:r w:rsidRPr="005C133F">
        <w:rPr>
          <w:rFonts w:eastAsia="Times New Roman"/>
          <w:lang w:val="es-DO" w:eastAsia="es-DO"/>
        </w:rPr>
        <w:t>Se actualizó y publicó en el Portal de Transparencia el Plan Anual de Compras y Contrataciones (PACC) 2025; y se formuló el correspondiente a 2026, garantizando la planificación oportuna de los procesos de compras y contrataciones, en coherencia con el presupuesto institucional y los principios de transparencia y eficiencia en la gestión pública.</w:t>
      </w:r>
    </w:p>
    <w:p w14:paraId="2D7D49A1" w14:textId="77777777" w:rsidR="004D2630" w:rsidRDefault="004D2630" w:rsidP="00DD11E4">
      <w:pPr>
        <w:rPr>
          <w:rFonts w:eastAsia="Times New Roman"/>
          <w:lang w:val="es-DO" w:eastAsia="es-DO"/>
        </w:rPr>
      </w:pPr>
    </w:p>
    <w:p w14:paraId="22869C8E" w14:textId="1EF4B981" w:rsidR="00081FD7" w:rsidRPr="00DD11E4" w:rsidRDefault="00081FD7" w:rsidP="00DD11E4">
      <w:pPr>
        <w:rPr>
          <w:rFonts w:eastAsia="Times New Roman"/>
          <w:lang w:val="es-DO" w:eastAsia="es-DO"/>
        </w:rPr>
      </w:pPr>
      <w:r w:rsidRPr="005C133F">
        <w:rPr>
          <w:b/>
          <w:bCs/>
          <w:iCs/>
          <w:lang w:val="es-DO"/>
        </w:rPr>
        <w:t>Presupuesto anual 2026</w:t>
      </w:r>
    </w:p>
    <w:p w14:paraId="0575AAA6" w14:textId="77777777" w:rsidR="00543393" w:rsidRPr="005C133F" w:rsidRDefault="00543393" w:rsidP="005C133F">
      <w:pPr>
        <w:spacing w:after="0" w:line="360" w:lineRule="auto"/>
        <w:jc w:val="both"/>
        <w:rPr>
          <w:b/>
          <w:bCs/>
          <w:iCs/>
          <w:lang w:val="es-DO"/>
        </w:rPr>
      </w:pPr>
    </w:p>
    <w:p w14:paraId="2130AA49" w14:textId="77777777" w:rsidR="00081FD7" w:rsidRPr="005C133F" w:rsidRDefault="00081FD7">
      <w:pPr>
        <w:pStyle w:val="Prrafodelista"/>
        <w:numPr>
          <w:ilvl w:val="0"/>
          <w:numId w:val="196"/>
        </w:numPr>
        <w:spacing w:after="0" w:line="360" w:lineRule="auto"/>
        <w:jc w:val="both"/>
        <w:rPr>
          <w:rFonts w:eastAsia="Times New Roman"/>
          <w:lang w:val="es-DO" w:eastAsia="es-DO"/>
        </w:rPr>
      </w:pPr>
      <w:r w:rsidRPr="005C133F">
        <w:rPr>
          <w:rFonts w:eastAsia="Times New Roman"/>
          <w:lang w:val="es-DO" w:eastAsia="es-DO"/>
        </w:rPr>
        <w:t>Se formuló y registró ante la DIGEPRES el presupuesto anual 2026 con un tope de RD$ 1,358,263,707.00 asegurando su alineación con las prioridades institucionales, el Plan Operativo Anual y los lineamientos de la política presupuestaria vigente.</w:t>
      </w:r>
    </w:p>
    <w:p w14:paraId="0584ADEB" w14:textId="77777777" w:rsidR="00295364" w:rsidRPr="005C133F" w:rsidRDefault="00295364" w:rsidP="005C133F">
      <w:pPr>
        <w:pStyle w:val="Prrafodelista"/>
        <w:spacing w:after="0" w:line="360" w:lineRule="auto"/>
        <w:ind w:left="360"/>
        <w:jc w:val="both"/>
        <w:rPr>
          <w:rFonts w:eastAsia="Times New Roman"/>
          <w:lang w:val="es-DO" w:eastAsia="es-DO"/>
        </w:rPr>
      </w:pPr>
    </w:p>
    <w:p w14:paraId="7A8B6C94" w14:textId="078F2003" w:rsidR="00295364" w:rsidRPr="005C133F" w:rsidRDefault="00295364" w:rsidP="005C133F">
      <w:pPr>
        <w:spacing w:after="0" w:line="360" w:lineRule="auto"/>
        <w:jc w:val="both"/>
        <w:rPr>
          <w:rFonts w:eastAsia="Times New Roman"/>
          <w:b/>
          <w:bCs/>
          <w:lang w:val="es-DO" w:eastAsia="es-DO"/>
        </w:rPr>
      </w:pPr>
      <w:r w:rsidRPr="005C133F">
        <w:rPr>
          <w:rFonts w:eastAsia="Times New Roman"/>
          <w:b/>
          <w:bCs/>
          <w:lang w:val="es-DO" w:eastAsia="es-DO"/>
        </w:rPr>
        <w:t>Desempeño de los objetivos del Sistema de Gestión</w:t>
      </w:r>
    </w:p>
    <w:p w14:paraId="025DAF73" w14:textId="77777777" w:rsidR="00543393" w:rsidRPr="005C133F" w:rsidRDefault="00543393" w:rsidP="005C133F">
      <w:pPr>
        <w:spacing w:after="0" w:line="360" w:lineRule="auto"/>
        <w:jc w:val="both"/>
        <w:rPr>
          <w:rFonts w:eastAsia="Times New Roman"/>
          <w:b/>
          <w:bCs/>
          <w:lang w:val="es-DO" w:eastAsia="es-DO"/>
        </w:rPr>
      </w:pPr>
    </w:p>
    <w:p w14:paraId="12CBED80" w14:textId="77777777" w:rsidR="00B556DD" w:rsidRPr="005C133F" w:rsidRDefault="00B556DD" w:rsidP="005C133F">
      <w:pPr>
        <w:spacing w:after="0" w:line="360" w:lineRule="auto"/>
        <w:jc w:val="both"/>
        <w:rPr>
          <w:lang w:val="es-DO"/>
        </w:rPr>
      </w:pPr>
      <w:r w:rsidRPr="005C133F">
        <w:rPr>
          <w:lang w:val="es-DO"/>
        </w:rPr>
        <w:t>La gestión de los últimos años refleja un comportamiento estable y sostenido en los objetivos del Sistema de Gestión, evidenciando mejoras relevantes en la satisfacción de los usuarios, tiempos de respuesta, mitigación de eventos de seguridad y disponibilidad tecnológica.</w:t>
      </w:r>
    </w:p>
    <w:p w14:paraId="2B1ED17F" w14:textId="77777777" w:rsidR="004C4D73" w:rsidRPr="005C133F" w:rsidRDefault="004C4D73" w:rsidP="005C133F">
      <w:pPr>
        <w:spacing w:after="0" w:line="360" w:lineRule="auto"/>
        <w:jc w:val="both"/>
        <w:rPr>
          <w:lang w:val="es-DO"/>
        </w:rPr>
      </w:pPr>
    </w:p>
    <w:p w14:paraId="4B54C191" w14:textId="009D0D0B" w:rsidR="00543393" w:rsidRPr="005C133F" w:rsidRDefault="00B556DD" w:rsidP="005C133F">
      <w:pPr>
        <w:spacing w:after="0" w:line="360" w:lineRule="auto"/>
        <w:jc w:val="both"/>
        <w:rPr>
          <w:lang w:val="es-DO"/>
        </w:rPr>
      </w:pPr>
      <w:r w:rsidRPr="005C133F">
        <w:rPr>
          <w:lang w:val="es-DO"/>
        </w:rPr>
        <w:lastRenderedPageBreak/>
        <w:t>La siguiente tabla resume la evolución de estos indicadores entre 2022 y 2024, así como la proyección institucional para el cierre de 2025.</w:t>
      </w:r>
    </w:p>
    <w:p w14:paraId="3252BE15" w14:textId="77777777" w:rsidR="00CC53E1" w:rsidRDefault="00CC53E1" w:rsidP="000D4D13">
      <w:pPr>
        <w:pStyle w:val="Descripcin"/>
        <w:keepNext/>
        <w:spacing w:after="0"/>
        <w:jc w:val="center"/>
        <w:rPr>
          <w:b/>
          <w:bCs/>
          <w:i w:val="0"/>
          <w:iCs w:val="0"/>
          <w:color w:val="767171"/>
          <w:sz w:val="24"/>
          <w:szCs w:val="24"/>
          <w:lang w:val="es-DO"/>
        </w:rPr>
      </w:pPr>
      <w:bookmarkStart w:id="134" w:name="_Toc218784188"/>
    </w:p>
    <w:p w14:paraId="7E3900A5" w14:textId="0E187A29" w:rsidR="009A2820" w:rsidRPr="005C133F" w:rsidRDefault="009A2820" w:rsidP="000D4D13">
      <w:pPr>
        <w:pStyle w:val="Descripcin"/>
        <w:keepNext/>
        <w:spacing w:after="0"/>
        <w:jc w:val="center"/>
        <w:rPr>
          <w:b/>
          <w:bCs/>
          <w:i w:val="0"/>
          <w:iCs w:val="0"/>
          <w:color w:val="767171"/>
          <w:sz w:val="24"/>
          <w:szCs w:val="24"/>
          <w:lang w:val="es-DO"/>
        </w:rPr>
      </w:pPr>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56</w:t>
      </w:r>
      <w:r w:rsidRPr="005C133F">
        <w:rPr>
          <w:b/>
          <w:bCs/>
          <w:i w:val="0"/>
          <w:iCs w:val="0"/>
          <w:color w:val="767171"/>
          <w:sz w:val="24"/>
          <w:szCs w:val="24"/>
          <w:lang w:val="es-DO"/>
        </w:rPr>
        <w:fldChar w:fldCharType="end"/>
      </w:r>
      <w:r w:rsidRPr="005C133F">
        <w:rPr>
          <w:b/>
          <w:bCs/>
          <w:i w:val="0"/>
          <w:iCs w:val="0"/>
          <w:color w:val="767171"/>
          <w:sz w:val="24"/>
          <w:szCs w:val="24"/>
          <w:lang w:val="es-DO"/>
        </w:rPr>
        <w:t>. Resultados por año y proyección de los objetivos del Sistema de Gestión</w:t>
      </w:r>
      <w:bookmarkEnd w:id="134"/>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280"/>
        <w:gridCol w:w="4012"/>
        <w:gridCol w:w="715"/>
        <w:gridCol w:w="715"/>
        <w:gridCol w:w="715"/>
        <w:gridCol w:w="1473"/>
      </w:tblGrid>
      <w:tr w:rsidR="004C4D73" w:rsidRPr="005C133F" w14:paraId="780F0125" w14:textId="77777777" w:rsidTr="000D4D13">
        <w:trPr>
          <w:trHeight w:val="330"/>
          <w:tblHeader/>
          <w:jc w:val="center"/>
        </w:trPr>
        <w:tc>
          <w:tcPr>
            <w:tcW w:w="0" w:type="auto"/>
            <w:vMerge w:val="restart"/>
            <w:shd w:val="clear" w:color="auto" w:fill="011C50"/>
            <w:noWrap/>
            <w:vAlign w:val="center"/>
            <w:hideMark/>
          </w:tcPr>
          <w:p w14:paraId="5A5E8D0E"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w:t>
            </w:r>
          </w:p>
        </w:tc>
        <w:tc>
          <w:tcPr>
            <w:tcW w:w="0" w:type="auto"/>
            <w:vMerge w:val="restart"/>
            <w:shd w:val="clear" w:color="auto" w:fill="011C50"/>
            <w:noWrap/>
            <w:vAlign w:val="center"/>
            <w:hideMark/>
          </w:tcPr>
          <w:p w14:paraId="78563297"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Objetivos del SG</w:t>
            </w:r>
          </w:p>
        </w:tc>
        <w:tc>
          <w:tcPr>
            <w:tcW w:w="0" w:type="auto"/>
            <w:gridSpan w:val="3"/>
            <w:shd w:val="clear" w:color="auto" w:fill="011C50"/>
            <w:noWrap/>
            <w:vAlign w:val="center"/>
            <w:hideMark/>
          </w:tcPr>
          <w:p w14:paraId="1DDFC943"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Resultados por año</w:t>
            </w:r>
          </w:p>
        </w:tc>
        <w:tc>
          <w:tcPr>
            <w:tcW w:w="0" w:type="auto"/>
            <w:shd w:val="clear" w:color="auto" w:fill="011C50"/>
            <w:noWrap/>
            <w:vAlign w:val="center"/>
            <w:hideMark/>
          </w:tcPr>
          <w:p w14:paraId="2D38D34D"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 xml:space="preserve">Proyección </w:t>
            </w:r>
          </w:p>
        </w:tc>
      </w:tr>
      <w:tr w:rsidR="004C4D73" w:rsidRPr="005C133F" w14:paraId="0BA337AB" w14:textId="77777777" w:rsidTr="000D4D13">
        <w:trPr>
          <w:trHeight w:val="330"/>
          <w:tblHeader/>
          <w:jc w:val="center"/>
        </w:trPr>
        <w:tc>
          <w:tcPr>
            <w:tcW w:w="0" w:type="auto"/>
            <w:vMerge/>
            <w:shd w:val="clear" w:color="auto" w:fill="002060"/>
            <w:vAlign w:val="center"/>
            <w:hideMark/>
          </w:tcPr>
          <w:p w14:paraId="72ABCFEA" w14:textId="77777777" w:rsidR="00D219A8" w:rsidRPr="005C133F" w:rsidRDefault="00D219A8" w:rsidP="008C151A">
            <w:pPr>
              <w:spacing w:after="0" w:line="240" w:lineRule="auto"/>
              <w:jc w:val="center"/>
              <w:rPr>
                <w:rFonts w:eastAsia="Times New Roman"/>
                <w:b/>
                <w:bCs/>
                <w:color w:val="FFFFFF" w:themeColor="background1"/>
                <w:lang w:val="es-DO" w:eastAsia="es-DO"/>
              </w:rPr>
            </w:pPr>
          </w:p>
        </w:tc>
        <w:tc>
          <w:tcPr>
            <w:tcW w:w="0" w:type="auto"/>
            <w:vMerge/>
            <w:shd w:val="clear" w:color="auto" w:fill="002060"/>
            <w:vAlign w:val="center"/>
            <w:hideMark/>
          </w:tcPr>
          <w:p w14:paraId="44543E5E" w14:textId="77777777" w:rsidR="00D219A8" w:rsidRPr="005C133F" w:rsidRDefault="00D219A8" w:rsidP="008C151A">
            <w:pPr>
              <w:spacing w:after="0" w:line="240" w:lineRule="auto"/>
              <w:jc w:val="center"/>
              <w:rPr>
                <w:rFonts w:eastAsia="Times New Roman"/>
                <w:b/>
                <w:bCs/>
                <w:color w:val="FFFFFF" w:themeColor="background1"/>
                <w:lang w:val="es-DO" w:eastAsia="es-DO"/>
              </w:rPr>
            </w:pPr>
          </w:p>
        </w:tc>
        <w:tc>
          <w:tcPr>
            <w:tcW w:w="0" w:type="auto"/>
            <w:shd w:val="clear" w:color="auto" w:fill="011C50"/>
            <w:noWrap/>
            <w:vAlign w:val="center"/>
            <w:hideMark/>
          </w:tcPr>
          <w:p w14:paraId="6EE96773"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2022</w:t>
            </w:r>
          </w:p>
        </w:tc>
        <w:tc>
          <w:tcPr>
            <w:tcW w:w="0" w:type="auto"/>
            <w:shd w:val="clear" w:color="auto" w:fill="011C50"/>
            <w:noWrap/>
            <w:vAlign w:val="center"/>
            <w:hideMark/>
          </w:tcPr>
          <w:p w14:paraId="0B3295AD"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2023</w:t>
            </w:r>
          </w:p>
        </w:tc>
        <w:tc>
          <w:tcPr>
            <w:tcW w:w="0" w:type="auto"/>
            <w:shd w:val="clear" w:color="auto" w:fill="011C50"/>
            <w:noWrap/>
            <w:vAlign w:val="center"/>
            <w:hideMark/>
          </w:tcPr>
          <w:p w14:paraId="2EA4BABB"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2024</w:t>
            </w:r>
          </w:p>
        </w:tc>
        <w:tc>
          <w:tcPr>
            <w:tcW w:w="0" w:type="auto"/>
            <w:shd w:val="clear" w:color="auto" w:fill="011C50"/>
            <w:noWrap/>
            <w:vAlign w:val="center"/>
            <w:hideMark/>
          </w:tcPr>
          <w:p w14:paraId="009C6A36" w14:textId="77777777" w:rsidR="00D219A8" w:rsidRPr="005C133F" w:rsidRDefault="00D219A8" w:rsidP="008C151A">
            <w:pPr>
              <w:spacing w:after="0" w:line="240" w:lineRule="auto"/>
              <w:jc w:val="center"/>
              <w:rPr>
                <w:rFonts w:eastAsia="Times New Roman"/>
                <w:b/>
                <w:bCs/>
                <w:color w:val="FFFFFF" w:themeColor="background1"/>
                <w:lang w:val="es-DO" w:eastAsia="es-DO"/>
              </w:rPr>
            </w:pPr>
            <w:r w:rsidRPr="005C133F">
              <w:rPr>
                <w:rFonts w:eastAsia="Times New Roman"/>
                <w:b/>
                <w:bCs/>
                <w:color w:val="FFFFFF" w:themeColor="background1"/>
                <w:lang w:val="es-DO" w:eastAsia="es-DO"/>
              </w:rPr>
              <w:t>2025</w:t>
            </w:r>
          </w:p>
        </w:tc>
      </w:tr>
      <w:tr w:rsidR="004921FF" w:rsidRPr="005C133F" w14:paraId="634A8E46" w14:textId="77777777" w:rsidTr="000D4D13">
        <w:trPr>
          <w:trHeight w:val="660"/>
          <w:jc w:val="center"/>
        </w:trPr>
        <w:tc>
          <w:tcPr>
            <w:tcW w:w="0" w:type="auto"/>
            <w:noWrap/>
            <w:vAlign w:val="center"/>
            <w:hideMark/>
          </w:tcPr>
          <w:p w14:paraId="0F9B4862"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vAlign w:val="center"/>
            <w:hideMark/>
          </w:tcPr>
          <w:p w14:paraId="53348B7D"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Mantener por encima del 90% los tiempos de respuesta de los servicios entregados a usuarios externos a diciembre</w:t>
            </w:r>
          </w:p>
        </w:tc>
        <w:tc>
          <w:tcPr>
            <w:tcW w:w="0" w:type="auto"/>
            <w:noWrap/>
            <w:vAlign w:val="center"/>
            <w:hideMark/>
          </w:tcPr>
          <w:p w14:paraId="21D81F3A"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93%</w:t>
            </w:r>
          </w:p>
        </w:tc>
        <w:tc>
          <w:tcPr>
            <w:tcW w:w="0" w:type="auto"/>
            <w:noWrap/>
            <w:vAlign w:val="center"/>
            <w:hideMark/>
          </w:tcPr>
          <w:p w14:paraId="7B32C9EF"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97%</w:t>
            </w:r>
          </w:p>
        </w:tc>
        <w:tc>
          <w:tcPr>
            <w:tcW w:w="0" w:type="auto"/>
            <w:noWrap/>
            <w:vAlign w:val="center"/>
            <w:hideMark/>
          </w:tcPr>
          <w:p w14:paraId="6679DC2B"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97%</w:t>
            </w:r>
          </w:p>
        </w:tc>
        <w:tc>
          <w:tcPr>
            <w:tcW w:w="0" w:type="auto"/>
            <w:noWrap/>
            <w:vAlign w:val="center"/>
            <w:hideMark/>
          </w:tcPr>
          <w:p w14:paraId="6C0051AF"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90%</w:t>
            </w:r>
          </w:p>
        </w:tc>
      </w:tr>
      <w:tr w:rsidR="004921FF" w:rsidRPr="005C133F" w14:paraId="6A0162DF" w14:textId="77777777" w:rsidTr="000D4D13">
        <w:trPr>
          <w:trHeight w:val="990"/>
          <w:jc w:val="center"/>
        </w:trPr>
        <w:tc>
          <w:tcPr>
            <w:tcW w:w="0" w:type="auto"/>
            <w:noWrap/>
            <w:vAlign w:val="center"/>
            <w:hideMark/>
          </w:tcPr>
          <w:p w14:paraId="3E40FC41"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vAlign w:val="center"/>
            <w:hideMark/>
          </w:tcPr>
          <w:p w14:paraId="5E1A27DF"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Mantener por encima del 85% los tiempos de respuesta a los servicios entregados a las partes interesadas externas. (ARS, DIDA, IDOPRIL, PSS, Personas físicas, firmas) a diciembre</w:t>
            </w:r>
          </w:p>
        </w:tc>
        <w:tc>
          <w:tcPr>
            <w:tcW w:w="0" w:type="auto"/>
            <w:noWrap/>
            <w:vAlign w:val="center"/>
            <w:hideMark/>
          </w:tcPr>
          <w:p w14:paraId="2C78832F"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89%</w:t>
            </w:r>
          </w:p>
        </w:tc>
        <w:tc>
          <w:tcPr>
            <w:tcW w:w="0" w:type="auto"/>
            <w:noWrap/>
            <w:vAlign w:val="center"/>
            <w:hideMark/>
          </w:tcPr>
          <w:p w14:paraId="264D6E81"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96%</w:t>
            </w:r>
          </w:p>
        </w:tc>
        <w:tc>
          <w:tcPr>
            <w:tcW w:w="0" w:type="auto"/>
            <w:noWrap/>
            <w:vAlign w:val="center"/>
            <w:hideMark/>
          </w:tcPr>
          <w:p w14:paraId="039508D5"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95%</w:t>
            </w:r>
          </w:p>
        </w:tc>
        <w:tc>
          <w:tcPr>
            <w:tcW w:w="0" w:type="auto"/>
            <w:noWrap/>
            <w:vAlign w:val="center"/>
            <w:hideMark/>
          </w:tcPr>
          <w:p w14:paraId="07808F2D"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96%</w:t>
            </w:r>
          </w:p>
        </w:tc>
      </w:tr>
      <w:tr w:rsidR="004921FF" w:rsidRPr="005C133F" w14:paraId="0F12FFB8" w14:textId="77777777" w:rsidTr="000D4D13">
        <w:trPr>
          <w:trHeight w:val="660"/>
          <w:jc w:val="center"/>
        </w:trPr>
        <w:tc>
          <w:tcPr>
            <w:tcW w:w="0" w:type="auto"/>
            <w:noWrap/>
            <w:vAlign w:val="center"/>
            <w:hideMark/>
          </w:tcPr>
          <w:p w14:paraId="523B07B0"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vAlign w:val="center"/>
            <w:hideMark/>
          </w:tcPr>
          <w:p w14:paraId="3DA2BC63"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Mantener por encima del 90% la satisfacción de los usuarios y partes interesadas externas a diciembre.</w:t>
            </w:r>
          </w:p>
        </w:tc>
        <w:tc>
          <w:tcPr>
            <w:tcW w:w="0" w:type="auto"/>
            <w:noWrap/>
            <w:vAlign w:val="center"/>
            <w:hideMark/>
          </w:tcPr>
          <w:p w14:paraId="2721E673"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N/A</w:t>
            </w:r>
          </w:p>
        </w:tc>
        <w:tc>
          <w:tcPr>
            <w:tcW w:w="0" w:type="auto"/>
            <w:noWrap/>
            <w:vAlign w:val="center"/>
            <w:hideMark/>
          </w:tcPr>
          <w:p w14:paraId="5A92A45D"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96%</w:t>
            </w:r>
          </w:p>
        </w:tc>
        <w:tc>
          <w:tcPr>
            <w:tcW w:w="0" w:type="auto"/>
            <w:noWrap/>
            <w:vAlign w:val="center"/>
            <w:hideMark/>
          </w:tcPr>
          <w:p w14:paraId="46B874C7"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95%</w:t>
            </w:r>
          </w:p>
        </w:tc>
        <w:tc>
          <w:tcPr>
            <w:tcW w:w="0" w:type="auto"/>
            <w:noWrap/>
            <w:vAlign w:val="center"/>
            <w:hideMark/>
          </w:tcPr>
          <w:p w14:paraId="2D64CCD6"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95%</w:t>
            </w:r>
          </w:p>
        </w:tc>
      </w:tr>
      <w:tr w:rsidR="004921FF" w:rsidRPr="005C133F" w14:paraId="53E8DAB4" w14:textId="77777777" w:rsidTr="000D4D13">
        <w:trPr>
          <w:trHeight w:val="990"/>
          <w:jc w:val="center"/>
        </w:trPr>
        <w:tc>
          <w:tcPr>
            <w:tcW w:w="0" w:type="auto"/>
            <w:noWrap/>
            <w:vAlign w:val="center"/>
            <w:hideMark/>
          </w:tcPr>
          <w:p w14:paraId="66E8DE61"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6</w:t>
            </w:r>
          </w:p>
        </w:tc>
        <w:tc>
          <w:tcPr>
            <w:tcW w:w="0" w:type="auto"/>
            <w:vAlign w:val="center"/>
            <w:hideMark/>
          </w:tcPr>
          <w:p w14:paraId="0EA81359"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Ejecutar por encima del 90% las actividades formativas a los colaboradores internos a Diciembre de los Activos de Seguridad de la Información. NUEVO EN EL 2023.</w:t>
            </w:r>
          </w:p>
        </w:tc>
        <w:tc>
          <w:tcPr>
            <w:tcW w:w="0" w:type="auto"/>
            <w:noWrap/>
            <w:vAlign w:val="center"/>
            <w:hideMark/>
          </w:tcPr>
          <w:p w14:paraId="60FAE438"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N/A</w:t>
            </w:r>
          </w:p>
        </w:tc>
        <w:tc>
          <w:tcPr>
            <w:tcW w:w="0" w:type="auto"/>
            <w:noWrap/>
            <w:vAlign w:val="center"/>
            <w:hideMark/>
          </w:tcPr>
          <w:p w14:paraId="14121C9A"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96%</w:t>
            </w:r>
          </w:p>
        </w:tc>
        <w:tc>
          <w:tcPr>
            <w:tcW w:w="0" w:type="auto"/>
            <w:noWrap/>
            <w:vAlign w:val="center"/>
            <w:hideMark/>
          </w:tcPr>
          <w:p w14:paraId="15DFF4C6"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95%</w:t>
            </w:r>
          </w:p>
        </w:tc>
        <w:tc>
          <w:tcPr>
            <w:tcW w:w="0" w:type="auto"/>
            <w:noWrap/>
            <w:vAlign w:val="center"/>
            <w:hideMark/>
          </w:tcPr>
          <w:p w14:paraId="4BBE0594"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90%</w:t>
            </w:r>
          </w:p>
        </w:tc>
      </w:tr>
      <w:tr w:rsidR="004921FF" w:rsidRPr="005C133F" w14:paraId="6D1E70B5" w14:textId="77777777" w:rsidTr="000D4D13">
        <w:trPr>
          <w:trHeight w:val="660"/>
          <w:jc w:val="center"/>
        </w:trPr>
        <w:tc>
          <w:tcPr>
            <w:tcW w:w="0" w:type="auto"/>
            <w:noWrap/>
            <w:vAlign w:val="center"/>
            <w:hideMark/>
          </w:tcPr>
          <w:p w14:paraId="271B005C"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vAlign w:val="center"/>
            <w:hideMark/>
          </w:tcPr>
          <w:p w14:paraId="51E9A283"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Lograr la mitigación del 95% de los eventos de seguridad detectados a diciembre.</w:t>
            </w:r>
          </w:p>
        </w:tc>
        <w:tc>
          <w:tcPr>
            <w:tcW w:w="0" w:type="auto"/>
            <w:noWrap/>
            <w:vAlign w:val="center"/>
            <w:hideMark/>
          </w:tcPr>
          <w:p w14:paraId="0B0C544F"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noWrap/>
            <w:vAlign w:val="center"/>
            <w:hideMark/>
          </w:tcPr>
          <w:p w14:paraId="730B1092"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N/A</w:t>
            </w:r>
          </w:p>
        </w:tc>
        <w:tc>
          <w:tcPr>
            <w:tcW w:w="0" w:type="auto"/>
            <w:noWrap/>
            <w:vAlign w:val="center"/>
            <w:hideMark/>
          </w:tcPr>
          <w:p w14:paraId="0A87A1E2"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100%</w:t>
            </w:r>
          </w:p>
        </w:tc>
        <w:tc>
          <w:tcPr>
            <w:tcW w:w="0" w:type="auto"/>
            <w:noWrap/>
            <w:vAlign w:val="center"/>
            <w:hideMark/>
          </w:tcPr>
          <w:p w14:paraId="105A23DC"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100%</w:t>
            </w:r>
          </w:p>
        </w:tc>
      </w:tr>
      <w:tr w:rsidR="004921FF" w:rsidRPr="005C133F" w14:paraId="7FE400FE" w14:textId="77777777" w:rsidTr="000D4D13">
        <w:trPr>
          <w:trHeight w:val="990"/>
          <w:jc w:val="center"/>
        </w:trPr>
        <w:tc>
          <w:tcPr>
            <w:tcW w:w="0" w:type="auto"/>
            <w:noWrap/>
            <w:vAlign w:val="center"/>
            <w:hideMark/>
          </w:tcPr>
          <w:p w14:paraId="43D6BC06"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vAlign w:val="center"/>
            <w:hideMark/>
          </w:tcPr>
          <w:p w14:paraId="1FF81E27" w14:textId="77777777" w:rsidR="00D219A8" w:rsidRPr="005C133F" w:rsidRDefault="00D219A8" w:rsidP="008C151A">
            <w:pPr>
              <w:spacing w:after="0" w:line="240" w:lineRule="auto"/>
              <w:rPr>
                <w:rFonts w:eastAsia="Times New Roman"/>
                <w:spacing w:val="0"/>
                <w:lang w:val="es-DO" w:eastAsia="es-DO"/>
              </w:rPr>
            </w:pPr>
            <w:r w:rsidRPr="005C133F">
              <w:rPr>
                <w:rFonts w:eastAsia="Times New Roman"/>
                <w:spacing w:val="0"/>
                <w:lang w:val="es-DO" w:eastAsia="es-DO"/>
              </w:rPr>
              <w:t>Mantener la Disponibilidad de la Plataforma tecnológica por encima del 98% a Diciembre</w:t>
            </w:r>
          </w:p>
        </w:tc>
        <w:tc>
          <w:tcPr>
            <w:tcW w:w="0" w:type="auto"/>
            <w:noWrap/>
            <w:vAlign w:val="center"/>
            <w:hideMark/>
          </w:tcPr>
          <w:p w14:paraId="0CA98E32"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noWrap/>
            <w:vAlign w:val="center"/>
            <w:hideMark/>
          </w:tcPr>
          <w:p w14:paraId="5FC0C757"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noWrap/>
            <w:vAlign w:val="center"/>
            <w:hideMark/>
          </w:tcPr>
          <w:p w14:paraId="01AC30C5"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99%</w:t>
            </w:r>
          </w:p>
        </w:tc>
        <w:tc>
          <w:tcPr>
            <w:tcW w:w="0" w:type="auto"/>
            <w:noWrap/>
            <w:vAlign w:val="center"/>
            <w:hideMark/>
          </w:tcPr>
          <w:p w14:paraId="45D7B914" w14:textId="77777777" w:rsidR="00D219A8" w:rsidRPr="005C133F" w:rsidRDefault="00D219A8" w:rsidP="008C151A">
            <w:pPr>
              <w:spacing w:after="0" w:line="240" w:lineRule="auto"/>
              <w:jc w:val="center"/>
              <w:rPr>
                <w:rFonts w:eastAsia="Times New Roman"/>
                <w:spacing w:val="0"/>
                <w:lang w:val="es-DO" w:eastAsia="es-DO"/>
              </w:rPr>
            </w:pPr>
            <w:r w:rsidRPr="005C133F">
              <w:rPr>
                <w:rFonts w:eastAsia="Times New Roman"/>
                <w:spacing w:val="0"/>
                <w:lang w:val="es-DO" w:eastAsia="es-DO"/>
              </w:rPr>
              <w:t>100%</w:t>
            </w:r>
          </w:p>
        </w:tc>
      </w:tr>
    </w:tbl>
    <w:p w14:paraId="51F3EB76" w14:textId="1D150317" w:rsidR="00D219A8" w:rsidRPr="00291603" w:rsidRDefault="009E2F6E" w:rsidP="005C133F">
      <w:pPr>
        <w:spacing w:after="0" w:line="360" w:lineRule="auto"/>
        <w:jc w:val="both"/>
        <w:rPr>
          <w:rFonts w:eastAsia="Times New Roman"/>
          <w:sz w:val="18"/>
          <w:szCs w:val="18"/>
          <w:lang w:val="es-DO" w:eastAsia="es-DO"/>
        </w:rPr>
      </w:pPr>
      <w:r w:rsidRPr="00291603">
        <w:rPr>
          <w:rFonts w:eastAsia="Times New Roman"/>
          <w:sz w:val="18"/>
          <w:szCs w:val="18"/>
          <w:lang w:val="es-DO" w:eastAsia="es-DO"/>
        </w:rPr>
        <w:t xml:space="preserve">Fuente: Dirección </w:t>
      </w:r>
      <w:r w:rsidR="00346A2E" w:rsidRPr="00291603">
        <w:rPr>
          <w:rFonts w:eastAsia="Times New Roman"/>
          <w:sz w:val="18"/>
          <w:szCs w:val="18"/>
          <w:lang w:val="es-DO" w:eastAsia="es-DO"/>
        </w:rPr>
        <w:t xml:space="preserve">de Planificación y Desarrollo de la SISALRIL </w:t>
      </w:r>
    </w:p>
    <w:p w14:paraId="232419A8" w14:textId="77777777" w:rsidR="00401BA8" w:rsidRPr="005C133F" w:rsidRDefault="00401BA8" w:rsidP="005C133F">
      <w:pPr>
        <w:spacing w:after="0" w:line="360" w:lineRule="auto"/>
        <w:rPr>
          <w:b/>
          <w:lang w:val="es-DO"/>
        </w:rPr>
      </w:pPr>
    </w:p>
    <w:p w14:paraId="6B37A3FD" w14:textId="54282519" w:rsidR="0061071D" w:rsidRPr="005C133F" w:rsidRDefault="0061071D" w:rsidP="005C133F">
      <w:pPr>
        <w:spacing w:after="0" w:line="360" w:lineRule="auto"/>
        <w:rPr>
          <w:b/>
          <w:lang w:val="es-DO"/>
        </w:rPr>
      </w:pPr>
      <w:r w:rsidRPr="005C133F">
        <w:rPr>
          <w:b/>
          <w:bCs/>
          <w:lang w:val="es-DO"/>
        </w:rPr>
        <w:t>Auditoría Externa / Interna sobre ISO 9001 / ISO 27001.</w:t>
      </w:r>
    </w:p>
    <w:p w14:paraId="18245E25" w14:textId="77777777" w:rsidR="00920FC7" w:rsidRPr="005C133F" w:rsidRDefault="00920FC7">
      <w:pPr>
        <w:pStyle w:val="Prrafodelista"/>
        <w:numPr>
          <w:ilvl w:val="0"/>
          <w:numId w:val="195"/>
        </w:numPr>
        <w:spacing w:after="0" w:line="360" w:lineRule="auto"/>
        <w:jc w:val="both"/>
        <w:rPr>
          <w:rFonts w:eastAsia="Times New Roman"/>
          <w:lang w:val="es-DO" w:eastAsia="es-DO"/>
        </w:rPr>
      </w:pPr>
      <w:r w:rsidRPr="005C133F">
        <w:rPr>
          <w:rFonts w:eastAsia="Times New Roman"/>
          <w:lang w:val="es-DO" w:eastAsia="es-DO"/>
        </w:rPr>
        <w:t xml:space="preserve">Se realizó la auditoría externa sin detectar No conformidades y logrando recertificarnos en la ISO 9001:2015 y manteniendo la certificación de ISO/IEC 27001:2022. Este resultado positivo </w:t>
      </w:r>
      <w:r w:rsidRPr="005C133F">
        <w:rPr>
          <w:rFonts w:eastAsia="Times New Roman"/>
          <w:lang w:val="es-DO" w:eastAsia="es-DO"/>
        </w:rPr>
        <w:lastRenderedPageBreak/>
        <w:t>demuestra el cumplimiento continuo de los estándares de calidad y seguridad de la información.</w:t>
      </w:r>
    </w:p>
    <w:p w14:paraId="463C7434" w14:textId="77777777" w:rsidR="00920FC7" w:rsidRPr="005C133F" w:rsidRDefault="00920FC7">
      <w:pPr>
        <w:pStyle w:val="Prrafodelista"/>
        <w:numPr>
          <w:ilvl w:val="0"/>
          <w:numId w:val="195"/>
        </w:numPr>
        <w:spacing w:after="0" w:line="360" w:lineRule="auto"/>
        <w:jc w:val="both"/>
        <w:rPr>
          <w:rFonts w:eastAsia="Times New Roman"/>
          <w:lang w:val="es-DO" w:eastAsia="es-DO"/>
        </w:rPr>
      </w:pPr>
      <w:r w:rsidRPr="005C133F">
        <w:rPr>
          <w:rFonts w:eastAsia="Times New Roman"/>
          <w:lang w:val="es-DO" w:eastAsia="es-DO"/>
        </w:rPr>
        <w:t>Se recibió el informe de la auditoría externa, confirmando la conformidad con los requisitos de ambas normas.</w:t>
      </w:r>
    </w:p>
    <w:p w14:paraId="1842C2AA" w14:textId="77777777" w:rsidR="00920FC7" w:rsidRPr="005C133F" w:rsidRDefault="00920FC7">
      <w:pPr>
        <w:pStyle w:val="Prrafodelista"/>
        <w:numPr>
          <w:ilvl w:val="0"/>
          <w:numId w:val="195"/>
        </w:numPr>
        <w:spacing w:after="0" w:line="360" w:lineRule="auto"/>
        <w:jc w:val="both"/>
        <w:rPr>
          <w:rFonts w:eastAsia="Times New Roman"/>
          <w:lang w:val="es-DO" w:eastAsia="es-DO"/>
        </w:rPr>
      </w:pPr>
      <w:r w:rsidRPr="005C133F">
        <w:rPr>
          <w:rFonts w:eastAsia="Times New Roman"/>
          <w:lang w:val="es-DO" w:eastAsia="es-DO"/>
        </w:rPr>
        <w:t xml:space="preserve">En la actualidad como parte de nuestro compromiso y mantenernos certificado en ISO 9001 e ISO 27001, durante el último semestre del 2025 se ejecutó de manera exitosa la auditoría interna. </w:t>
      </w:r>
    </w:p>
    <w:p w14:paraId="5432AA14" w14:textId="77777777" w:rsidR="00920FC7" w:rsidRPr="005C133F" w:rsidRDefault="00920FC7">
      <w:pPr>
        <w:pStyle w:val="Prrafodelista"/>
        <w:numPr>
          <w:ilvl w:val="0"/>
          <w:numId w:val="195"/>
        </w:numPr>
        <w:spacing w:after="0" w:line="360" w:lineRule="auto"/>
        <w:jc w:val="both"/>
        <w:rPr>
          <w:rFonts w:eastAsia="Times New Roman"/>
          <w:lang w:val="es-DO" w:eastAsia="es-DO"/>
        </w:rPr>
      </w:pPr>
      <w:r w:rsidRPr="005C133F">
        <w:rPr>
          <w:rFonts w:eastAsia="Times New Roman"/>
          <w:lang w:val="es-DO" w:eastAsia="es-DO"/>
        </w:rPr>
        <w:t xml:space="preserve">Las evaluaciones externas de estas certificaciones se realizaron en marzo del presente año, bajo la responsabilidad de la firma </w:t>
      </w:r>
      <w:proofErr w:type="spellStart"/>
      <w:r w:rsidRPr="005C133F">
        <w:rPr>
          <w:rFonts w:eastAsia="Times New Roman"/>
          <w:lang w:val="es-DO" w:eastAsia="es-DO"/>
        </w:rPr>
        <w:t>Lloyd's</w:t>
      </w:r>
      <w:proofErr w:type="spellEnd"/>
      <w:r w:rsidRPr="005C133F">
        <w:rPr>
          <w:rFonts w:eastAsia="Times New Roman"/>
          <w:lang w:val="es-DO" w:eastAsia="es-DO"/>
        </w:rPr>
        <w:t xml:space="preserve"> Register </w:t>
      </w:r>
      <w:proofErr w:type="spellStart"/>
      <w:r w:rsidRPr="005C133F">
        <w:rPr>
          <w:rFonts w:eastAsia="Times New Roman"/>
          <w:lang w:val="es-DO" w:eastAsia="es-DO"/>
        </w:rPr>
        <w:t>Quality</w:t>
      </w:r>
      <w:proofErr w:type="spellEnd"/>
      <w:r w:rsidRPr="005C133F">
        <w:rPr>
          <w:rFonts w:eastAsia="Times New Roman"/>
          <w:lang w:val="es-DO" w:eastAsia="es-DO"/>
        </w:rPr>
        <w:t xml:space="preserve"> </w:t>
      </w:r>
      <w:proofErr w:type="spellStart"/>
      <w:r w:rsidRPr="005C133F">
        <w:rPr>
          <w:rFonts w:eastAsia="Times New Roman"/>
          <w:lang w:val="es-DO" w:eastAsia="es-DO"/>
        </w:rPr>
        <w:t>Assurance</w:t>
      </w:r>
      <w:proofErr w:type="spellEnd"/>
      <w:r w:rsidRPr="005C133F">
        <w:rPr>
          <w:rFonts w:eastAsia="Times New Roman"/>
          <w:lang w:val="es-DO" w:eastAsia="es-DO"/>
        </w:rPr>
        <w:t xml:space="preserve"> (LRQA), demostrando el compromiso de nuestra máxima autoridad con la calidad, la mejora continua de nuestros procesos y la seguridad de la información a través de la efectividad de los controles implementados en el sistema de gestión, los cuales aseguran la preservación de la confidencialidad, integridad y disponibilidad de las informaciones y los servicios otorgados a los ciudadanos.</w:t>
      </w:r>
    </w:p>
    <w:p w14:paraId="25772D31" w14:textId="77777777" w:rsidR="00C002D4" w:rsidRPr="005C133F" w:rsidRDefault="00C002D4" w:rsidP="005C133F">
      <w:pPr>
        <w:pStyle w:val="Prrafodelista"/>
        <w:spacing w:after="0" w:line="360" w:lineRule="auto"/>
        <w:ind w:left="360"/>
        <w:jc w:val="both"/>
        <w:rPr>
          <w:rFonts w:eastAsia="Times New Roman"/>
          <w:lang w:val="es-DO" w:eastAsia="es-DO"/>
        </w:rPr>
      </w:pPr>
    </w:p>
    <w:p w14:paraId="7A5AAEC3" w14:textId="77777777" w:rsidR="004D4A42" w:rsidRDefault="00C002D4" w:rsidP="005C133F">
      <w:pPr>
        <w:spacing w:after="0" w:line="360" w:lineRule="auto"/>
        <w:rPr>
          <w:b/>
          <w:lang w:val="es-DO"/>
        </w:rPr>
      </w:pPr>
      <w:r w:rsidRPr="005C133F">
        <w:rPr>
          <w:b/>
          <w:lang w:val="es-DO"/>
        </w:rPr>
        <w:t>Marco Común de Evaluación (CAF)</w:t>
      </w:r>
    </w:p>
    <w:p w14:paraId="106BD6E0" w14:textId="77777777" w:rsidR="008C151A" w:rsidRPr="005C133F" w:rsidRDefault="008C151A" w:rsidP="005C133F">
      <w:pPr>
        <w:spacing w:after="0" w:line="360" w:lineRule="auto"/>
        <w:rPr>
          <w:b/>
          <w:lang w:val="es-DO"/>
        </w:rPr>
      </w:pPr>
    </w:p>
    <w:p w14:paraId="7CFF19EE" w14:textId="77777777" w:rsidR="004D4A42" w:rsidRPr="005C133F" w:rsidRDefault="004D4A42" w:rsidP="005C133F">
      <w:pPr>
        <w:spacing w:after="0" w:line="360" w:lineRule="auto"/>
        <w:jc w:val="both"/>
        <w:rPr>
          <w:rFonts w:eastAsia="Times New Roman"/>
          <w:lang w:val="es-DO" w:eastAsia="es-DO"/>
        </w:rPr>
      </w:pPr>
      <w:r w:rsidRPr="005C133F">
        <w:rPr>
          <w:rFonts w:eastAsia="Times New Roman"/>
          <w:lang w:val="es-DO" w:eastAsia="es-DO"/>
        </w:rPr>
        <w:t xml:space="preserve">Como parte del proceso de mejora continua en las instituciones gubernamentales, el Ministerio de Administración Pública, como órgano rector, ha establecido estrategias para la implementación de la calidad en el sector público, dentro de las cuales se encuentra el compromiso de aplicación del Marco Común de Evaluación (CAF) contenido en el Decreto 211 -10. </w:t>
      </w:r>
    </w:p>
    <w:p w14:paraId="043FE503" w14:textId="77777777" w:rsidR="00543393" w:rsidRPr="005C133F" w:rsidRDefault="00543393" w:rsidP="005C133F">
      <w:pPr>
        <w:spacing w:after="0" w:line="360" w:lineRule="auto"/>
        <w:jc w:val="both"/>
        <w:rPr>
          <w:rFonts w:eastAsia="Times New Roman"/>
          <w:lang w:val="es-DO" w:eastAsia="es-DO"/>
        </w:rPr>
      </w:pPr>
    </w:p>
    <w:p w14:paraId="6192C129" w14:textId="77777777" w:rsidR="004D4A42" w:rsidRPr="005C133F" w:rsidRDefault="004D4A42" w:rsidP="005C133F">
      <w:pPr>
        <w:spacing w:after="0" w:line="360" w:lineRule="auto"/>
        <w:jc w:val="both"/>
        <w:rPr>
          <w:rFonts w:eastAsia="Times New Roman"/>
          <w:lang w:val="es-DO" w:eastAsia="es-DO"/>
        </w:rPr>
      </w:pPr>
      <w:r w:rsidRPr="005C133F">
        <w:rPr>
          <w:rFonts w:eastAsia="Times New Roman"/>
          <w:lang w:val="es-DO" w:eastAsia="es-DO"/>
        </w:rPr>
        <w:t xml:space="preserve">La SISALRIL, acogiendo lo indicado por el órgano rector, apoyando su sistema de gestión integrado y comprometida con la satisfacción de las necesidades de sus grupos de interés, realizó el proceso de autoevaluación con base en este modelo, el cual fue sometido al MAP </w:t>
      </w:r>
      <w:r w:rsidRPr="005C133F">
        <w:rPr>
          <w:rFonts w:eastAsia="Times New Roman"/>
          <w:lang w:val="es-DO" w:eastAsia="es-DO"/>
        </w:rPr>
        <w:lastRenderedPageBreak/>
        <w:t>para su validación y aprobación, lo cual permitió la participación de la institución en la entrega XXI del Premio Nacional a la Calidad del Sector Público Dominicano 2025.</w:t>
      </w:r>
    </w:p>
    <w:p w14:paraId="50771E25" w14:textId="77777777" w:rsidR="00543393" w:rsidRPr="005C133F" w:rsidRDefault="00543393" w:rsidP="005C133F">
      <w:pPr>
        <w:spacing w:after="0" w:line="360" w:lineRule="auto"/>
        <w:rPr>
          <w:b/>
          <w:bCs/>
          <w:iCs/>
          <w:lang w:val="es-DO"/>
        </w:rPr>
      </w:pPr>
    </w:p>
    <w:p w14:paraId="3F7F69A1" w14:textId="77777777" w:rsidR="007A652F" w:rsidRPr="005C133F" w:rsidRDefault="007A652F" w:rsidP="005C133F">
      <w:pPr>
        <w:spacing w:after="0" w:line="360" w:lineRule="auto"/>
        <w:rPr>
          <w:b/>
          <w:lang w:val="es-DO"/>
        </w:rPr>
      </w:pPr>
      <w:r w:rsidRPr="005C133F">
        <w:rPr>
          <w:b/>
          <w:lang w:val="es-DO"/>
        </w:rPr>
        <w:t>Catálogo de productos y servicios externos</w:t>
      </w:r>
    </w:p>
    <w:p w14:paraId="126237D1" w14:textId="77777777" w:rsidR="009A2820" w:rsidRPr="005C133F" w:rsidRDefault="009A2820" w:rsidP="005C133F">
      <w:pPr>
        <w:spacing w:after="0" w:line="360" w:lineRule="auto"/>
        <w:rPr>
          <w:b/>
          <w:bCs/>
          <w:iCs/>
          <w:lang w:val="es-DO"/>
        </w:rPr>
      </w:pPr>
    </w:p>
    <w:p w14:paraId="1F40DCE4" w14:textId="0911E9CB" w:rsidR="007A652F" w:rsidRPr="005C133F" w:rsidRDefault="00D2777D" w:rsidP="005C133F">
      <w:pPr>
        <w:spacing w:after="0" w:line="360" w:lineRule="auto"/>
        <w:jc w:val="both"/>
        <w:rPr>
          <w:rFonts w:eastAsia="Times New Roman"/>
          <w:lang w:val="es-DO" w:eastAsia="es-DO"/>
        </w:rPr>
      </w:pPr>
      <w:r w:rsidRPr="005C133F">
        <w:rPr>
          <w:rFonts w:eastAsia="Times New Roman"/>
          <w:lang w:val="es-DO" w:eastAsia="es-DO"/>
        </w:rPr>
        <w:t>Nuestra institución cuenta con un Catálogo de Productos y Servicios Externos, en el cual establecemos los compromisos y niveles de calidad de nuestros servicios. Contamos con 29 servicios ofrecidos a nuestras partes interesadas externas:</w:t>
      </w:r>
    </w:p>
    <w:p w14:paraId="1BAEE761" w14:textId="77777777" w:rsidR="004C4D73" w:rsidRPr="005C133F" w:rsidRDefault="004C4D73" w:rsidP="009B4ED1">
      <w:pPr>
        <w:spacing w:after="0" w:line="360" w:lineRule="auto"/>
        <w:jc w:val="center"/>
        <w:rPr>
          <w:rFonts w:eastAsia="Times New Roman"/>
          <w:lang w:val="es-DO" w:eastAsia="es-DO"/>
        </w:rPr>
      </w:pPr>
    </w:p>
    <w:p w14:paraId="10347743" w14:textId="16463E46" w:rsidR="00692D02" w:rsidRPr="005C133F" w:rsidRDefault="00692D02" w:rsidP="009B4ED1">
      <w:pPr>
        <w:spacing w:after="0" w:line="240" w:lineRule="auto"/>
        <w:jc w:val="center"/>
        <w:rPr>
          <w:b/>
          <w:bCs/>
          <w:lang w:val="es-DO"/>
        </w:rPr>
      </w:pPr>
      <w:bookmarkStart w:id="135" w:name="_Toc218784189"/>
      <w:r w:rsidRPr="005C133F">
        <w:rPr>
          <w:b/>
          <w:bCs/>
          <w:lang w:val="es-DO"/>
        </w:rPr>
        <w:t xml:space="preserve">Tabla </w:t>
      </w:r>
      <w:r w:rsidRPr="005C133F">
        <w:rPr>
          <w:b/>
          <w:bCs/>
          <w:lang w:val="es-DO"/>
        </w:rPr>
        <w:fldChar w:fldCharType="begin"/>
      </w:r>
      <w:r w:rsidRPr="005C133F">
        <w:rPr>
          <w:b/>
          <w:bCs/>
          <w:lang w:val="es-DO"/>
        </w:rPr>
        <w:instrText xml:space="preserve"> SEQ Tabla \* ARABIC </w:instrText>
      </w:r>
      <w:r w:rsidRPr="005C133F">
        <w:rPr>
          <w:b/>
          <w:bCs/>
          <w:lang w:val="es-DO"/>
        </w:rPr>
        <w:fldChar w:fldCharType="separate"/>
      </w:r>
      <w:r w:rsidR="00814341">
        <w:rPr>
          <w:b/>
          <w:bCs/>
          <w:noProof/>
          <w:lang w:val="es-DO"/>
        </w:rPr>
        <w:t>57</w:t>
      </w:r>
      <w:r w:rsidRPr="005C133F">
        <w:rPr>
          <w:b/>
          <w:bCs/>
          <w:lang w:val="es-DO"/>
        </w:rPr>
        <w:fldChar w:fldCharType="end"/>
      </w:r>
      <w:r w:rsidRPr="005C133F">
        <w:rPr>
          <w:b/>
          <w:bCs/>
          <w:lang w:val="es-DO"/>
        </w:rPr>
        <w:t>. Catálogo de Productos y Servicios Externos</w:t>
      </w:r>
      <w:bookmarkEnd w:id="135"/>
    </w:p>
    <w:tbl>
      <w:tblPr>
        <w:tblW w:w="0" w:type="auto"/>
        <w:jc w:val="center"/>
        <w:tblCellMar>
          <w:left w:w="70" w:type="dxa"/>
          <w:right w:w="70" w:type="dxa"/>
        </w:tblCellMar>
        <w:tblLook w:val="04A0" w:firstRow="1" w:lastRow="0" w:firstColumn="1" w:lastColumn="0" w:noHBand="0" w:noVBand="1"/>
      </w:tblPr>
      <w:tblGrid>
        <w:gridCol w:w="554"/>
        <w:gridCol w:w="7356"/>
      </w:tblGrid>
      <w:tr w:rsidR="004C4D73" w:rsidRPr="005C133F" w14:paraId="63423CAA" w14:textId="77777777" w:rsidTr="009B4ED1">
        <w:trPr>
          <w:trHeight w:val="312"/>
          <w:tblHeader/>
          <w:jc w:val="cent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vAlign w:val="center"/>
            <w:hideMark/>
          </w:tcPr>
          <w:p w14:paraId="2B76B9D4" w14:textId="77777777" w:rsidR="00AF72C7" w:rsidRPr="005C133F" w:rsidRDefault="00AF72C7" w:rsidP="008C151A">
            <w:pPr>
              <w:spacing w:after="0" w:line="240" w:lineRule="auto"/>
              <w:jc w:val="center"/>
              <w:rPr>
                <w:rFonts w:eastAsia="Times New Roman"/>
                <w:b/>
                <w:color w:val="FFFFFF" w:themeColor="background1"/>
                <w:lang w:val="es-DO" w:eastAsia="es-DO"/>
              </w:rPr>
            </w:pPr>
            <w:r w:rsidRPr="005C133F">
              <w:rPr>
                <w:rFonts w:eastAsia="Times New Roman"/>
                <w:b/>
                <w:color w:val="FFFFFF" w:themeColor="background1"/>
                <w:lang w:val="es-DO" w:eastAsia="es-DO"/>
              </w:rPr>
              <w:t>No.</w:t>
            </w:r>
          </w:p>
        </w:tc>
        <w:tc>
          <w:tcPr>
            <w:tcW w:w="0" w:type="auto"/>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011C50"/>
            <w:vAlign w:val="center"/>
            <w:hideMark/>
          </w:tcPr>
          <w:p w14:paraId="04C3B6A3" w14:textId="77777777" w:rsidR="00AF72C7" w:rsidRPr="005C133F" w:rsidRDefault="00AF72C7" w:rsidP="008C151A">
            <w:pPr>
              <w:spacing w:after="0" w:line="240" w:lineRule="auto"/>
              <w:jc w:val="center"/>
              <w:rPr>
                <w:rFonts w:eastAsia="Times New Roman"/>
                <w:b/>
                <w:color w:val="FFFFFF" w:themeColor="background1"/>
                <w:lang w:val="es-DO" w:eastAsia="es-DO"/>
              </w:rPr>
            </w:pPr>
            <w:r w:rsidRPr="005C133F">
              <w:rPr>
                <w:rFonts w:eastAsia="Times New Roman"/>
                <w:b/>
                <w:color w:val="FFFFFF" w:themeColor="background1"/>
                <w:lang w:val="es-DO" w:eastAsia="es-DO"/>
              </w:rPr>
              <w:t>Servicio</w:t>
            </w:r>
          </w:p>
        </w:tc>
      </w:tr>
      <w:tr w:rsidR="004921FF" w:rsidRPr="00CD02F5" w14:paraId="264947BC"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7F1E4176"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6C247CC"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Tramitación de certificaciones del grado de discapacidad emitidas por la CTD-SRL.</w:t>
            </w:r>
          </w:p>
        </w:tc>
      </w:tr>
      <w:tr w:rsidR="004921FF" w:rsidRPr="00CD02F5" w14:paraId="599853C4" w14:textId="77777777" w:rsidTr="009B4ED1">
        <w:trPr>
          <w:trHeight w:val="748"/>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6451BCFA"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ECBC02D"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Atención a Peticiones, Quejas, Reclamos y Sugerencias recibidos en forma directa por los afiliados.</w:t>
            </w:r>
          </w:p>
        </w:tc>
      </w:tr>
      <w:tr w:rsidR="004921FF" w:rsidRPr="00CD02F5" w14:paraId="4805F893"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43D262BD"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3</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922D302"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Gestión de afiliación y/o renuncias (novedades) al Plan Especial de Pensionados.</w:t>
            </w:r>
          </w:p>
        </w:tc>
      </w:tr>
      <w:tr w:rsidR="004921FF" w:rsidRPr="00CD02F5" w14:paraId="54C8C5B6"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281DFB31"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4</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13A4DD6"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Evaluación de Planes Alternativos de Salud para su comercialización por las ARS.</w:t>
            </w:r>
          </w:p>
        </w:tc>
      </w:tr>
      <w:tr w:rsidR="004921FF" w:rsidRPr="00CD02F5" w14:paraId="04AC06F9"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3555AF15"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5</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32A9BE9"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Certificación de los Reaseguradores y Contratos de Reaseguros sometidos por las ARS</w:t>
            </w:r>
          </w:p>
        </w:tc>
      </w:tr>
      <w:tr w:rsidR="004921FF" w:rsidRPr="00CD02F5" w14:paraId="152E2B2A"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56944351"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6</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0E7517F"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Pago de las solicitudes de Subsidios por Maternidad</w:t>
            </w:r>
          </w:p>
        </w:tc>
      </w:tr>
      <w:tr w:rsidR="004921FF" w:rsidRPr="00CD02F5" w14:paraId="15585590"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273A9C50"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7</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E8B696E"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Pago de las solicitudes de Subsidios Lactancia</w:t>
            </w:r>
          </w:p>
        </w:tc>
      </w:tr>
      <w:tr w:rsidR="004921FF" w:rsidRPr="00CD02F5" w14:paraId="4CA714D4" w14:textId="77777777" w:rsidTr="009B4ED1">
        <w:trPr>
          <w:trHeight w:val="330"/>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78D73C6B"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8</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435BD2B"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Pago de las solicitudes de Subsidios Enfermedad Común.</w:t>
            </w:r>
          </w:p>
        </w:tc>
      </w:tr>
      <w:tr w:rsidR="004921FF" w:rsidRPr="00CD02F5" w14:paraId="48BBF364"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40D6ECBF"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9</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0452C2A"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Certificaciones sobre solicitudes de subsidios.</w:t>
            </w:r>
          </w:p>
        </w:tc>
      </w:tr>
      <w:tr w:rsidR="004921FF" w:rsidRPr="00CD02F5" w14:paraId="53794D7A" w14:textId="77777777" w:rsidTr="009B4ED1">
        <w:trPr>
          <w:trHeight w:val="358"/>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6D751CA4"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10</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0D8AD33"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Acreditación y Registro de Firmas de auditores externos.</w:t>
            </w:r>
          </w:p>
        </w:tc>
      </w:tr>
      <w:tr w:rsidR="004921FF" w:rsidRPr="00CD02F5" w14:paraId="7AEE05BE" w14:textId="77777777" w:rsidTr="009B4ED1">
        <w:trPr>
          <w:trHeight w:val="421"/>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6F9E13E4"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11</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E6DF21D"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Acreditación de licencia de promotores de salud física</w:t>
            </w:r>
          </w:p>
        </w:tc>
      </w:tr>
      <w:tr w:rsidR="004921FF" w:rsidRPr="00CD02F5" w14:paraId="42182C3D" w14:textId="77777777" w:rsidTr="009B4ED1">
        <w:trPr>
          <w:trHeight w:val="36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85F479B"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12</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A4AC945"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Acreditación de licencia de promotores de salud Moral</w:t>
            </w:r>
          </w:p>
        </w:tc>
      </w:tr>
      <w:tr w:rsidR="004921FF" w:rsidRPr="00CD02F5" w14:paraId="2F871EFA" w14:textId="77777777" w:rsidTr="009B4ED1">
        <w:trPr>
          <w:trHeight w:val="423"/>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346607A3"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13</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93FCC22"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Renovación de licencia de promotores de salud Física</w:t>
            </w:r>
          </w:p>
        </w:tc>
      </w:tr>
      <w:tr w:rsidR="004921FF" w:rsidRPr="00CD02F5" w14:paraId="280FF80E"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6DBC2280"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14</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58485DA"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 xml:space="preserve">Renovación Licencia de promotores de salud Moral  </w:t>
            </w:r>
          </w:p>
        </w:tc>
      </w:tr>
      <w:tr w:rsidR="004921FF" w:rsidRPr="00CD02F5" w14:paraId="2C74ADD5"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07ABEE3B"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15</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9DF094D"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Cambio de licencia de promotores de salud físico a promotores de salud moral</w:t>
            </w:r>
          </w:p>
        </w:tc>
      </w:tr>
      <w:tr w:rsidR="004921FF" w:rsidRPr="00CD02F5" w14:paraId="18C00540"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33D9C93"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lastRenderedPageBreak/>
              <w:t>16</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DAC5EDC"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Cambio de licencia de promotores de salud moral a promotores de salud físico</w:t>
            </w:r>
          </w:p>
        </w:tc>
      </w:tr>
      <w:tr w:rsidR="004921FF" w:rsidRPr="005C133F" w14:paraId="76DECEE7"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9962E3C"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17</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178804D"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Cambio de Razón Social</w:t>
            </w:r>
          </w:p>
        </w:tc>
      </w:tr>
      <w:tr w:rsidR="004921FF" w:rsidRPr="00CD02F5" w14:paraId="36C9A5F6"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5CB47851"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18</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27893C5"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Reposición De Carnet A Promotores De Salud</w:t>
            </w:r>
          </w:p>
        </w:tc>
      </w:tr>
      <w:tr w:rsidR="004921FF" w:rsidRPr="00CD02F5" w14:paraId="5EC3B3D5"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70F0AD73"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19</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C3B01DF"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Solicitud de Usuario de Traspaso</w:t>
            </w:r>
          </w:p>
        </w:tc>
      </w:tr>
      <w:tr w:rsidR="004921FF" w:rsidRPr="00CD02F5" w14:paraId="3CAAE586" w14:textId="77777777" w:rsidTr="009B4ED1">
        <w:trPr>
          <w:trHeight w:val="18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4D6DAD5"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20</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195D8CD"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Actualización de datos en el padrón de la TSS (Cédula y NUI).</w:t>
            </w:r>
          </w:p>
        </w:tc>
      </w:tr>
      <w:tr w:rsidR="004921FF" w:rsidRPr="00CD02F5" w14:paraId="12251B9C" w14:textId="77777777" w:rsidTr="009B4ED1">
        <w:trPr>
          <w:trHeight w:val="240"/>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0334103D"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21</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F5F9D5E"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Investigación de Traspasos por Alto Costo y/o Cirugía pendiente.</w:t>
            </w:r>
          </w:p>
        </w:tc>
      </w:tr>
      <w:tr w:rsidR="004921FF" w:rsidRPr="00CD02F5" w14:paraId="5A1C7AA7"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34A0EED6"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22</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CF7664E"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 xml:space="preserve">Cambios de ARS por excepción </w:t>
            </w:r>
          </w:p>
        </w:tc>
      </w:tr>
      <w:tr w:rsidR="004921FF" w:rsidRPr="00CD02F5" w14:paraId="6542EC96"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19A3AFA"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23</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4D54848"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Respuesta a la solicitud de negación de cobertura.</w:t>
            </w:r>
          </w:p>
        </w:tc>
      </w:tr>
      <w:tr w:rsidR="004921FF" w:rsidRPr="00CD02F5" w14:paraId="31B3B7C9"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537B2F0D"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24</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7C8E987"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Investigación de afiliación y/o traspaso irregular.</w:t>
            </w:r>
          </w:p>
        </w:tc>
      </w:tr>
      <w:tr w:rsidR="004921FF" w:rsidRPr="00CD02F5" w14:paraId="28D5A757" w14:textId="77777777" w:rsidTr="009B4ED1">
        <w:trPr>
          <w:trHeight w:val="624"/>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569E6865"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25</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617C462"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Capacitación a empleadores y trabajadores afiliados al SDSS, PSS y ARS sobre SFS y SRL</w:t>
            </w:r>
          </w:p>
        </w:tc>
      </w:tr>
      <w:tr w:rsidR="004921FF" w:rsidRPr="00CD02F5" w14:paraId="418CCAFE" w14:textId="77777777" w:rsidTr="009B4ED1">
        <w:trPr>
          <w:trHeight w:val="936"/>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27816FE0"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26</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BADB1DA"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Peticiones, quejas y reclamaciones para la garantía de prestaciones amparadas por el Seguro de Riesgos Laborales (SRL).</w:t>
            </w:r>
          </w:p>
        </w:tc>
      </w:tr>
      <w:tr w:rsidR="004921FF" w:rsidRPr="00CD02F5" w14:paraId="7569EAB7" w14:textId="77777777" w:rsidTr="009B4ED1">
        <w:trPr>
          <w:trHeight w:val="283"/>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51544119"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27</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8523938"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Respuesta a las Solicitudes y Casos (Revisión de cuenta clínica).</w:t>
            </w:r>
          </w:p>
        </w:tc>
      </w:tr>
      <w:tr w:rsidR="004921FF" w:rsidRPr="00CD02F5" w14:paraId="164C2C8E" w14:textId="77777777" w:rsidTr="009B4ED1">
        <w:trPr>
          <w:trHeight w:val="417"/>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7B5E525B"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28</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C8A7234"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 xml:space="preserve">Atención de quejas y reclamos de usuarios al régimen subsidiado. </w:t>
            </w:r>
          </w:p>
        </w:tc>
      </w:tr>
      <w:tr w:rsidR="004921FF" w:rsidRPr="00CD02F5" w14:paraId="2837B7D9" w14:textId="77777777" w:rsidTr="009B4ED1">
        <w:trPr>
          <w:trHeight w:val="312"/>
          <w:jc w:val="center"/>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0355FA36" w14:textId="77777777" w:rsidR="00AF72C7" w:rsidRPr="005C133F" w:rsidRDefault="00AF72C7" w:rsidP="008C151A">
            <w:pPr>
              <w:spacing w:after="0" w:line="240" w:lineRule="auto"/>
              <w:jc w:val="center"/>
              <w:rPr>
                <w:rFonts w:eastAsia="Times New Roman"/>
                <w:lang w:val="es-DO" w:eastAsia="es-DO"/>
              </w:rPr>
            </w:pPr>
            <w:r w:rsidRPr="005C133F">
              <w:rPr>
                <w:rFonts w:eastAsia="Times New Roman"/>
                <w:lang w:val="es-DO" w:eastAsia="es-DO"/>
              </w:rPr>
              <w:t>29</w:t>
            </w:r>
          </w:p>
        </w:tc>
        <w:tc>
          <w:tcPr>
            <w:tcW w:w="0" w:type="auto"/>
            <w:tcBorders>
              <w:top w:val="nil"/>
              <w:left w:val="nil"/>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46CAD0E" w14:textId="77777777" w:rsidR="00AF72C7" w:rsidRPr="005C133F" w:rsidRDefault="00AF72C7" w:rsidP="008C151A">
            <w:pPr>
              <w:spacing w:after="0" w:line="240" w:lineRule="auto"/>
              <w:rPr>
                <w:rFonts w:eastAsia="Times New Roman"/>
                <w:lang w:val="es-DO" w:eastAsia="es-DO"/>
              </w:rPr>
            </w:pPr>
            <w:r w:rsidRPr="005C133F">
              <w:rPr>
                <w:rFonts w:eastAsia="Times New Roman"/>
                <w:lang w:val="es-DO" w:eastAsia="es-DO"/>
              </w:rPr>
              <w:t>Solicitud de Usuario Principal en la Oficina Virtual.</w:t>
            </w:r>
          </w:p>
        </w:tc>
      </w:tr>
    </w:tbl>
    <w:p w14:paraId="095CC9B0" w14:textId="77777777" w:rsidR="00C86EDD" w:rsidRPr="00291603" w:rsidRDefault="00C86EDD" w:rsidP="005C133F">
      <w:pPr>
        <w:spacing w:after="0" w:line="360" w:lineRule="auto"/>
        <w:jc w:val="both"/>
        <w:rPr>
          <w:rFonts w:eastAsia="Times New Roman"/>
          <w:sz w:val="18"/>
          <w:szCs w:val="18"/>
          <w:lang w:val="es-DO" w:eastAsia="es-DO"/>
        </w:rPr>
      </w:pPr>
      <w:r w:rsidRPr="00291603">
        <w:rPr>
          <w:rFonts w:eastAsia="Times New Roman"/>
          <w:sz w:val="18"/>
          <w:szCs w:val="18"/>
          <w:lang w:val="es-DO" w:eastAsia="es-DO"/>
        </w:rPr>
        <w:t>Fuente: Dirección de Planificación y Desarrollo, SISALRIL.</w:t>
      </w:r>
    </w:p>
    <w:p w14:paraId="7470F7FF" w14:textId="77777777" w:rsidR="00AF72C7" w:rsidRPr="005C133F" w:rsidRDefault="00AF72C7" w:rsidP="005C133F">
      <w:pPr>
        <w:spacing w:after="0" w:line="360" w:lineRule="auto"/>
        <w:rPr>
          <w:b/>
          <w:lang w:val="es-DO"/>
        </w:rPr>
      </w:pPr>
    </w:p>
    <w:p w14:paraId="7B9048A8" w14:textId="6DA7086F" w:rsidR="008441CD" w:rsidRPr="005C133F" w:rsidRDefault="008441CD" w:rsidP="005C133F">
      <w:pPr>
        <w:spacing w:after="0" w:line="360" w:lineRule="auto"/>
        <w:jc w:val="both"/>
        <w:rPr>
          <w:rFonts w:eastAsia="Times New Roman"/>
          <w:lang w:val="es-DO" w:eastAsia="es-DO"/>
        </w:rPr>
      </w:pPr>
      <w:r w:rsidRPr="005C133F">
        <w:rPr>
          <w:rFonts w:eastAsia="Times New Roman"/>
          <w:lang w:val="es-DO" w:eastAsia="es-DO"/>
        </w:rPr>
        <w:t>Se midieron los servicios de la institución en el marco de la Encuesta Nacional para la Calidad de los Servicios Públicos 2025, requerida por el Ministerio de Administración Pública (MAP) a las instituciones gubernamentales, obteniendo un nivel de satisfacción de un 87%. En su aplicación, se encuestaron un total de 448 usuarios de nuestros servicios, colocando las siguientes valoraciones:</w:t>
      </w:r>
    </w:p>
    <w:p w14:paraId="583B7A40" w14:textId="77777777" w:rsidR="000D4D13" w:rsidRDefault="000D4D13" w:rsidP="009B4ED1">
      <w:pPr>
        <w:pStyle w:val="Descripcin"/>
        <w:keepNext/>
        <w:spacing w:after="0"/>
        <w:jc w:val="center"/>
        <w:rPr>
          <w:rFonts w:eastAsia="Times New Roman"/>
          <w:b/>
          <w:bCs/>
          <w:i w:val="0"/>
          <w:iCs w:val="0"/>
          <w:color w:val="767171"/>
          <w:sz w:val="24"/>
          <w:szCs w:val="24"/>
          <w:lang w:val="es-DO" w:eastAsia="es-DO"/>
        </w:rPr>
      </w:pPr>
      <w:bookmarkStart w:id="136" w:name="_Toc218784190"/>
    </w:p>
    <w:p w14:paraId="2EB4B6E0" w14:textId="313DB68A" w:rsidR="00F926E2" w:rsidRPr="005C133F" w:rsidRDefault="00F926E2" w:rsidP="009B4ED1">
      <w:pPr>
        <w:pStyle w:val="Descripcin"/>
        <w:keepNext/>
        <w:spacing w:after="0"/>
        <w:jc w:val="center"/>
        <w:rPr>
          <w:rFonts w:eastAsia="Times New Roman"/>
          <w:b/>
          <w:bCs/>
          <w:i w:val="0"/>
          <w:iCs w:val="0"/>
          <w:color w:val="767171"/>
          <w:sz w:val="24"/>
          <w:szCs w:val="24"/>
          <w:lang w:val="es-DO" w:eastAsia="es-DO"/>
        </w:rPr>
      </w:pPr>
      <w:r w:rsidRPr="005C133F">
        <w:rPr>
          <w:rFonts w:eastAsia="Times New Roman"/>
          <w:b/>
          <w:bCs/>
          <w:i w:val="0"/>
          <w:iCs w:val="0"/>
          <w:color w:val="767171"/>
          <w:sz w:val="24"/>
          <w:szCs w:val="24"/>
          <w:lang w:val="es-DO" w:eastAsia="es-DO"/>
        </w:rPr>
        <w:t xml:space="preserve">Tabla </w:t>
      </w:r>
      <w:r w:rsidRPr="005C133F">
        <w:rPr>
          <w:rFonts w:eastAsia="Times New Roman"/>
          <w:b/>
          <w:bCs/>
          <w:i w:val="0"/>
          <w:iCs w:val="0"/>
          <w:color w:val="767171"/>
          <w:sz w:val="24"/>
          <w:szCs w:val="24"/>
          <w:lang w:val="es-DO" w:eastAsia="es-DO"/>
        </w:rPr>
        <w:fldChar w:fldCharType="begin"/>
      </w:r>
      <w:r w:rsidRPr="005C133F">
        <w:rPr>
          <w:rFonts w:eastAsia="Times New Roman"/>
          <w:b/>
          <w:bCs/>
          <w:i w:val="0"/>
          <w:iCs w:val="0"/>
          <w:color w:val="767171"/>
          <w:sz w:val="24"/>
          <w:szCs w:val="24"/>
          <w:lang w:val="es-DO" w:eastAsia="es-DO"/>
        </w:rPr>
        <w:instrText xml:space="preserve"> SEQ Tabla \* ARABIC </w:instrText>
      </w:r>
      <w:r w:rsidRPr="005C133F">
        <w:rPr>
          <w:rFonts w:eastAsia="Times New Roman"/>
          <w:b/>
          <w:bCs/>
          <w:i w:val="0"/>
          <w:iCs w:val="0"/>
          <w:color w:val="767171"/>
          <w:sz w:val="24"/>
          <w:szCs w:val="24"/>
          <w:lang w:val="es-DO" w:eastAsia="es-DO"/>
        </w:rPr>
        <w:fldChar w:fldCharType="separate"/>
      </w:r>
      <w:r w:rsidR="00814341">
        <w:rPr>
          <w:rFonts w:eastAsia="Times New Roman"/>
          <w:b/>
          <w:bCs/>
          <w:i w:val="0"/>
          <w:iCs w:val="0"/>
          <w:noProof/>
          <w:color w:val="767171"/>
          <w:sz w:val="24"/>
          <w:szCs w:val="24"/>
          <w:lang w:val="es-DO" w:eastAsia="es-DO"/>
        </w:rPr>
        <w:t>58</w:t>
      </w:r>
      <w:r w:rsidRPr="005C133F">
        <w:rPr>
          <w:rFonts w:eastAsia="Times New Roman"/>
          <w:b/>
          <w:bCs/>
          <w:i w:val="0"/>
          <w:iCs w:val="0"/>
          <w:color w:val="767171"/>
          <w:sz w:val="24"/>
          <w:szCs w:val="24"/>
          <w:lang w:val="es-DO" w:eastAsia="es-DO"/>
        </w:rPr>
        <w:fldChar w:fldCharType="end"/>
      </w:r>
      <w:r w:rsidRPr="005C133F">
        <w:rPr>
          <w:rFonts w:eastAsia="Times New Roman"/>
          <w:b/>
          <w:bCs/>
          <w:i w:val="0"/>
          <w:iCs w:val="0"/>
          <w:color w:val="767171"/>
          <w:sz w:val="24"/>
          <w:szCs w:val="24"/>
          <w:lang w:val="es-DO" w:eastAsia="es-DO"/>
        </w:rPr>
        <w:t>. Resumen de Resultados Encuesta de Satisfacción, 2025</w:t>
      </w:r>
      <w:bookmarkEnd w:id="136"/>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646"/>
        <w:gridCol w:w="1307"/>
        <w:gridCol w:w="1534"/>
        <w:gridCol w:w="1423"/>
      </w:tblGrid>
      <w:tr w:rsidR="004C4D73" w:rsidRPr="005C133F" w14:paraId="478FA22B" w14:textId="77777777" w:rsidTr="009B4ED1">
        <w:trPr>
          <w:tblHeader/>
          <w:jc w:val="center"/>
        </w:trPr>
        <w:tc>
          <w:tcPr>
            <w:tcW w:w="3781" w:type="dxa"/>
            <w:shd w:val="clear" w:color="auto" w:fill="011C50"/>
            <w:vAlign w:val="center"/>
          </w:tcPr>
          <w:p w14:paraId="694057EE" w14:textId="77777777" w:rsidR="008441CD" w:rsidRPr="005C133F" w:rsidRDefault="008441CD" w:rsidP="008C151A">
            <w:pPr>
              <w:rPr>
                <w:rFonts w:eastAsia="Times New Roman"/>
                <w:b/>
                <w:color w:val="FFFFFF" w:themeColor="background1"/>
                <w:lang w:val="es-DO" w:eastAsia="es-DO"/>
              </w:rPr>
            </w:pPr>
            <w:r w:rsidRPr="005C133F">
              <w:rPr>
                <w:rFonts w:eastAsia="Times New Roman"/>
                <w:b/>
                <w:bCs/>
                <w:color w:val="FFFFFF" w:themeColor="background1"/>
                <w:lang w:val="es-DO" w:eastAsia="es-DO"/>
              </w:rPr>
              <w:t>Tipo de Satisfacción</w:t>
            </w:r>
          </w:p>
        </w:tc>
        <w:tc>
          <w:tcPr>
            <w:tcW w:w="1335" w:type="dxa"/>
            <w:shd w:val="clear" w:color="auto" w:fill="011C50"/>
            <w:vAlign w:val="center"/>
            <w:hideMark/>
          </w:tcPr>
          <w:p w14:paraId="647A2BE3" w14:textId="77777777" w:rsidR="008441CD" w:rsidRPr="005C133F" w:rsidRDefault="008441CD" w:rsidP="008C151A">
            <w:pPr>
              <w:rPr>
                <w:rFonts w:eastAsia="Times New Roman"/>
                <w:b/>
                <w:color w:val="FFFFFF" w:themeColor="background1"/>
                <w:lang w:val="es-DO" w:eastAsia="es-DO"/>
              </w:rPr>
            </w:pPr>
            <w:r w:rsidRPr="005C133F">
              <w:rPr>
                <w:rFonts w:eastAsia="Times New Roman"/>
                <w:b/>
                <w:color w:val="FFFFFF" w:themeColor="background1"/>
                <w:lang w:val="es-DO" w:eastAsia="es-DO"/>
              </w:rPr>
              <w:t>Línea Base 2023</w:t>
            </w:r>
          </w:p>
        </w:tc>
        <w:tc>
          <w:tcPr>
            <w:tcW w:w="1542" w:type="dxa"/>
            <w:shd w:val="clear" w:color="auto" w:fill="011C50"/>
            <w:vAlign w:val="center"/>
            <w:hideMark/>
          </w:tcPr>
          <w:p w14:paraId="3DF288EB" w14:textId="77777777" w:rsidR="008441CD" w:rsidRPr="005C133F" w:rsidRDefault="008441CD" w:rsidP="008C151A">
            <w:pPr>
              <w:rPr>
                <w:rFonts w:eastAsia="Times New Roman"/>
                <w:b/>
                <w:color w:val="FFFFFF" w:themeColor="background1"/>
                <w:lang w:val="es-DO" w:eastAsia="es-DO"/>
              </w:rPr>
            </w:pPr>
            <w:r w:rsidRPr="005C133F">
              <w:rPr>
                <w:rFonts w:eastAsia="Times New Roman"/>
                <w:b/>
                <w:color w:val="FFFFFF" w:themeColor="background1"/>
                <w:lang w:val="es-DO" w:eastAsia="es-DO"/>
              </w:rPr>
              <w:t>Resultado 2024</w:t>
            </w:r>
          </w:p>
        </w:tc>
        <w:tc>
          <w:tcPr>
            <w:tcW w:w="1252" w:type="dxa"/>
            <w:shd w:val="clear" w:color="auto" w:fill="011C50"/>
          </w:tcPr>
          <w:p w14:paraId="1C7B76F7" w14:textId="77777777" w:rsidR="008441CD" w:rsidRPr="005C133F" w:rsidRDefault="008441CD" w:rsidP="008C151A">
            <w:pPr>
              <w:jc w:val="center"/>
              <w:rPr>
                <w:rFonts w:eastAsia="Times New Roman"/>
                <w:b/>
                <w:color w:val="FFFFFF" w:themeColor="background1"/>
                <w:lang w:val="es-DO" w:eastAsia="es-DO"/>
              </w:rPr>
            </w:pPr>
            <w:r w:rsidRPr="005C133F">
              <w:rPr>
                <w:rFonts w:eastAsia="Times New Roman"/>
                <w:b/>
                <w:color w:val="FFFFFF" w:themeColor="background1"/>
                <w:lang w:val="es-DO" w:eastAsia="es-DO"/>
              </w:rPr>
              <w:t>Resultado 2025</w:t>
            </w:r>
          </w:p>
        </w:tc>
      </w:tr>
      <w:tr w:rsidR="004921FF" w:rsidRPr="005C133F" w14:paraId="463B258C" w14:textId="77777777" w:rsidTr="00AE432B">
        <w:trPr>
          <w:trHeight w:val="733"/>
          <w:jc w:val="center"/>
        </w:trPr>
        <w:tc>
          <w:tcPr>
            <w:tcW w:w="3781" w:type="dxa"/>
            <w:vAlign w:val="center"/>
            <w:hideMark/>
          </w:tcPr>
          <w:p w14:paraId="6C4D2D8D" w14:textId="77777777" w:rsidR="008441CD" w:rsidRPr="005C133F" w:rsidRDefault="008441CD" w:rsidP="008C151A">
            <w:pPr>
              <w:jc w:val="both"/>
              <w:rPr>
                <w:rFonts w:eastAsia="Times New Roman"/>
                <w:lang w:val="es-DO" w:eastAsia="es-DO"/>
              </w:rPr>
            </w:pPr>
            <w:r w:rsidRPr="005C133F">
              <w:rPr>
                <w:rFonts w:eastAsia="Times New Roman"/>
                <w:lang w:val="es-DO" w:eastAsia="es-DO"/>
              </w:rPr>
              <w:t>Promedio de satisfacción con los servicios presenciales.</w:t>
            </w:r>
          </w:p>
        </w:tc>
        <w:tc>
          <w:tcPr>
            <w:tcW w:w="1335" w:type="dxa"/>
            <w:vAlign w:val="center"/>
            <w:hideMark/>
          </w:tcPr>
          <w:p w14:paraId="67D96392" w14:textId="77777777" w:rsidR="008441CD" w:rsidRPr="005C133F" w:rsidRDefault="008441CD" w:rsidP="00AE432B">
            <w:pPr>
              <w:jc w:val="center"/>
              <w:rPr>
                <w:rFonts w:eastAsia="Times New Roman"/>
                <w:lang w:val="es-DO" w:eastAsia="es-DO"/>
              </w:rPr>
            </w:pPr>
            <w:r w:rsidRPr="005C133F">
              <w:rPr>
                <w:rFonts w:eastAsia="Times New Roman"/>
                <w:lang w:val="es-DO" w:eastAsia="es-DO"/>
              </w:rPr>
              <w:t>99%</w:t>
            </w:r>
          </w:p>
        </w:tc>
        <w:tc>
          <w:tcPr>
            <w:tcW w:w="1542" w:type="dxa"/>
            <w:vAlign w:val="center"/>
            <w:hideMark/>
          </w:tcPr>
          <w:p w14:paraId="19CDC0DE" w14:textId="77777777" w:rsidR="008441CD" w:rsidRPr="005C133F" w:rsidRDefault="008441CD" w:rsidP="00AE432B">
            <w:pPr>
              <w:jc w:val="center"/>
              <w:rPr>
                <w:rFonts w:eastAsia="Times New Roman"/>
                <w:lang w:val="es-DO" w:eastAsia="es-DO"/>
              </w:rPr>
            </w:pPr>
            <w:r w:rsidRPr="005C133F">
              <w:rPr>
                <w:rFonts w:eastAsia="Times New Roman"/>
                <w:lang w:val="es-DO" w:eastAsia="es-DO"/>
              </w:rPr>
              <w:t>99%</w:t>
            </w:r>
          </w:p>
        </w:tc>
        <w:tc>
          <w:tcPr>
            <w:tcW w:w="1252" w:type="dxa"/>
          </w:tcPr>
          <w:p w14:paraId="056CBC8D" w14:textId="77777777" w:rsidR="008441CD" w:rsidRPr="005C133F" w:rsidRDefault="008441CD" w:rsidP="00AE432B">
            <w:pPr>
              <w:jc w:val="center"/>
              <w:rPr>
                <w:rFonts w:eastAsia="Times New Roman"/>
                <w:lang w:val="es-DO" w:eastAsia="es-DO"/>
              </w:rPr>
            </w:pPr>
          </w:p>
          <w:p w14:paraId="378A0DAB" w14:textId="77777777" w:rsidR="008441CD" w:rsidRPr="005C133F" w:rsidRDefault="008441CD" w:rsidP="00AE432B">
            <w:pPr>
              <w:jc w:val="center"/>
              <w:rPr>
                <w:rFonts w:eastAsia="Times New Roman"/>
                <w:lang w:val="es-DO" w:eastAsia="es-DO"/>
              </w:rPr>
            </w:pPr>
            <w:r w:rsidRPr="005C133F">
              <w:rPr>
                <w:rFonts w:eastAsia="Times New Roman"/>
                <w:lang w:val="es-DO" w:eastAsia="es-DO"/>
              </w:rPr>
              <w:t>88.54%</w:t>
            </w:r>
          </w:p>
        </w:tc>
      </w:tr>
      <w:tr w:rsidR="004921FF" w:rsidRPr="005C133F" w14:paraId="134E86A0" w14:textId="77777777" w:rsidTr="009B4ED1">
        <w:trPr>
          <w:jc w:val="center"/>
        </w:trPr>
        <w:tc>
          <w:tcPr>
            <w:tcW w:w="3781" w:type="dxa"/>
            <w:vAlign w:val="center"/>
            <w:hideMark/>
          </w:tcPr>
          <w:p w14:paraId="661C5030" w14:textId="77777777" w:rsidR="008441CD" w:rsidRPr="005C133F" w:rsidRDefault="008441CD" w:rsidP="008C151A">
            <w:pPr>
              <w:jc w:val="both"/>
              <w:rPr>
                <w:rFonts w:eastAsia="Times New Roman"/>
                <w:lang w:val="es-DO" w:eastAsia="es-DO"/>
              </w:rPr>
            </w:pPr>
            <w:r w:rsidRPr="005C133F">
              <w:rPr>
                <w:rFonts w:eastAsia="Times New Roman"/>
                <w:lang w:val="es-DO" w:eastAsia="es-DO"/>
              </w:rPr>
              <w:lastRenderedPageBreak/>
              <w:t>Promedio Satisfacción de los Servicios por nuestras Partes Interesadas Externas.</w:t>
            </w:r>
          </w:p>
        </w:tc>
        <w:tc>
          <w:tcPr>
            <w:tcW w:w="1335" w:type="dxa"/>
            <w:vAlign w:val="center"/>
            <w:hideMark/>
          </w:tcPr>
          <w:p w14:paraId="673D2397" w14:textId="77777777" w:rsidR="008441CD" w:rsidRPr="005C133F" w:rsidRDefault="008441CD" w:rsidP="00AE432B">
            <w:pPr>
              <w:jc w:val="center"/>
              <w:rPr>
                <w:rFonts w:eastAsia="Times New Roman"/>
                <w:lang w:val="es-DO" w:eastAsia="es-DO"/>
              </w:rPr>
            </w:pPr>
            <w:r w:rsidRPr="005C133F">
              <w:rPr>
                <w:rFonts w:eastAsia="Times New Roman"/>
                <w:lang w:val="es-DO" w:eastAsia="es-DO"/>
              </w:rPr>
              <w:t>92%</w:t>
            </w:r>
          </w:p>
        </w:tc>
        <w:tc>
          <w:tcPr>
            <w:tcW w:w="1542" w:type="dxa"/>
            <w:vAlign w:val="center"/>
            <w:hideMark/>
          </w:tcPr>
          <w:p w14:paraId="2F8B561C" w14:textId="77777777" w:rsidR="008441CD" w:rsidRPr="005C133F" w:rsidRDefault="008441CD" w:rsidP="00AE432B">
            <w:pPr>
              <w:jc w:val="center"/>
              <w:rPr>
                <w:rFonts w:eastAsia="Times New Roman"/>
                <w:lang w:val="es-DO" w:eastAsia="es-DO"/>
              </w:rPr>
            </w:pPr>
            <w:r w:rsidRPr="005C133F">
              <w:rPr>
                <w:rFonts w:eastAsia="Times New Roman"/>
                <w:lang w:val="es-DO" w:eastAsia="es-DO"/>
              </w:rPr>
              <w:t>88%</w:t>
            </w:r>
          </w:p>
        </w:tc>
        <w:tc>
          <w:tcPr>
            <w:tcW w:w="1252" w:type="dxa"/>
          </w:tcPr>
          <w:p w14:paraId="0F734C7D" w14:textId="77777777" w:rsidR="008441CD" w:rsidRPr="005C133F" w:rsidRDefault="008441CD" w:rsidP="00AE432B">
            <w:pPr>
              <w:jc w:val="center"/>
              <w:rPr>
                <w:rFonts w:eastAsia="Times New Roman"/>
                <w:lang w:val="es-DO" w:eastAsia="es-DO"/>
              </w:rPr>
            </w:pPr>
          </w:p>
          <w:p w14:paraId="554A027E" w14:textId="77777777" w:rsidR="008441CD" w:rsidRPr="005C133F" w:rsidRDefault="008441CD" w:rsidP="00AE432B">
            <w:pPr>
              <w:jc w:val="center"/>
              <w:rPr>
                <w:rFonts w:eastAsia="Times New Roman"/>
                <w:lang w:val="es-DO" w:eastAsia="es-DO"/>
              </w:rPr>
            </w:pPr>
            <w:r w:rsidRPr="005C133F">
              <w:rPr>
                <w:rFonts w:eastAsia="Times New Roman"/>
                <w:lang w:val="es-DO" w:eastAsia="es-DO"/>
              </w:rPr>
              <w:t>68.8%</w:t>
            </w:r>
          </w:p>
        </w:tc>
      </w:tr>
      <w:tr w:rsidR="004921FF" w:rsidRPr="005C133F" w14:paraId="280377A4" w14:textId="77777777" w:rsidTr="009B4ED1">
        <w:trPr>
          <w:jc w:val="center"/>
        </w:trPr>
        <w:tc>
          <w:tcPr>
            <w:tcW w:w="3781" w:type="dxa"/>
            <w:vAlign w:val="center"/>
            <w:hideMark/>
          </w:tcPr>
          <w:p w14:paraId="468F5C5A" w14:textId="77777777" w:rsidR="008441CD" w:rsidRPr="005C133F" w:rsidRDefault="008441CD" w:rsidP="008C151A">
            <w:pPr>
              <w:jc w:val="both"/>
              <w:rPr>
                <w:rFonts w:eastAsia="Times New Roman"/>
                <w:lang w:val="es-DO" w:eastAsia="es-DO"/>
              </w:rPr>
            </w:pPr>
            <w:r w:rsidRPr="005C133F">
              <w:rPr>
                <w:rFonts w:eastAsia="Times New Roman"/>
                <w:lang w:val="es-DO" w:eastAsia="es-DO"/>
              </w:rPr>
              <w:t>Promedio de Satisfacción con nuestros servicios en línea (Oficina Virtual).</w:t>
            </w:r>
          </w:p>
        </w:tc>
        <w:tc>
          <w:tcPr>
            <w:tcW w:w="1335" w:type="dxa"/>
            <w:vAlign w:val="center"/>
            <w:hideMark/>
          </w:tcPr>
          <w:p w14:paraId="04D6B354" w14:textId="77777777" w:rsidR="008441CD" w:rsidRPr="005C133F" w:rsidRDefault="008441CD" w:rsidP="00AE432B">
            <w:pPr>
              <w:jc w:val="center"/>
              <w:rPr>
                <w:rFonts w:eastAsia="Times New Roman"/>
                <w:lang w:val="es-DO" w:eastAsia="es-DO"/>
              </w:rPr>
            </w:pPr>
            <w:r w:rsidRPr="005C133F">
              <w:rPr>
                <w:rFonts w:eastAsia="Times New Roman"/>
                <w:lang w:val="es-DO" w:eastAsia="es-DO"/>
              </w:rPr>
              <w:t>91%</w:t>
            </w:r>
          </w:p>
        </w:tc>
        <w:tc>
          <w:tcPr>
            <w:tcW w:w="1542" w:type="dxa"/>
            <w:vAlign w:val="center"/>
            <w:hideMark/>
          </w:tcPr>
          <w:p w14:paraId="3BAA4DB2" w14:textId="77777777" w:rsidR="008441CD" w:rsidRPr="005C133F" w:rsidRDefault="008441CD" w:rsidP="00AE432B">
            <w:pPr>
              <w:jc w:val="center"/>
              <w:rPr>
                <w:rFonts w:eastAsia="Times New Roman"/>
                <w:lang w:val="es-DO" w:eastAsia="es-DO"/>
              </w:rPr>
            </w:pPr>
            <w:r w:rsidRPr="005C133F">
              <w:rPr>
                <w:rFonts w:eastAsia="Times New Roman"/>
                <w:lang w:val="es-DO" w:eastAsia="es-DO"/>
              </w:rPr>
              <w:t>89%</w:t>
            </w:r>
          </w:p>
        </w:tc>
        <w:tc>
          <w:tcPr>
            <w:tcW w:w="1252" w:type="dxa"/>
          </w:tcPr>
          <w:p w14:paraId="0F7377A4" w14:textId="77777777" w:rsidR="008441CD" w:rsidRPr="005C133F" w:rsidRDefault="008441CD" w:rsidP="00AE432B">
            <w:pPr>
              <w:jc w:val="center"/>
              <w:rPr>
                <w:rFonts w:eastAsia="Times New Roman"/>
                <w:lang w:val="es-DO" w:eastAsia="es-DO"/>
              </w:rPr>
            </w:pPr>
          </w:p>
          <w:p w14:paraId="5BC1771D" w14:textId="77777777" w:rsidR="008441CD" w:rsidRPr="005C133F" w:rsidRDefault="008441CD" w:rsidP="00AE432B">
            <w:pPr>
              <w:jc w:val="center"/>
              <w:rPr>
                <w:rFonts w:eastAsia="Times New Roman"/>
                <w:lang w:val="es-DO" w:eastAsia="es-DO"/>
              </w:rPr>
            </w:pPr>
            <w:r w:rsidRPr="005C133F">
              <w:rPr>
                <w:rFonts w:eastAsia="Times New Roman"/>
                <w:lang w:val="es-DO" w:eastAsia="es-DO"/>
              </w:rPr>
              <w:t>76.44%</w:t>
            </w:r>
          </w:p>
        </w:tc>
      </w:tr>
    </w:tbl>
    <w:p w14:paraId="4355611E" w14:textId="26B18E39" w:rsidR="00920FC7" w:rsidRPr="00291603" w:rsidRDefault="008441CD" w:rsidP="000D4D13">
      <w:pPr>
        <w:spacing w:after="0" w:line="360" w:lineRule="auto"/>
        <w:jc w:val="center"/>
        <w:rPr>
          <w:sz w:val="18"/>
          <w:szCs w:val="18"/>
          <w:lang w:val="es-DO"/>
        </w:rPr>
      </w:pPr>
      <w:r w:rsidRPr="00291603">
        <w:rPr>
          <w:rFonts w:eastAsia="Times New Roman"/>
          <w:sz w:val="18"/>
          <w:szCs w:val="18"/>
          <w:lang w:val="es-DO" w:eastAsia="es-DO"/>
        </w:rPr>
        <w:t>Fuente: Dirección de Planificación y Desarrollo, SISALRIL.</w:t>
      </w:r>
    </w:p>
    <w:p w14:paraId="38DEC2CF" w14:textId="77777777" w:rsidR="00DE4E0A" w:rsidRDefault="00DE4E0A" w:rsidP="005C133F">
      <w:pPr>
        <w:spacing w:after="0" w:line="360" w:lineRule="auto"/>
        <w:jc w:val="both"/>
        <w:rPr>
          <w:lang w:val="es-DO"/>
        </w:rPr>
      </w:pPr>
    </w:p>
    <w:p w14:paraId="78AECC69" w14:textId="13B05411" w:rsidR="005F26EE" w:rsidRPr="005C133F" w:rsidRDefault="00A31520" w:rsidP="005C133F">
      <w:pPr>
        <w:pStyle w:val="SUBTITULITO"/>
        <w:spacing w:after="0"/>
        <w:rPr>
          <w:rFonts w:eastAsia="Calibri"/>
          <w:noProof/>
        </w:rPr>
      </w:pPr>
      <w:bookmarkStart w:id="137" w:name="_Toc219121857"/>
      <w:r w:rsidRPr="005C133F">
        <w:rPr>
          <w:rFonts w:eastAsia="Calibri"/>
          <w:noProof/>
        </w:rPr>
        <w:t>4.6 Desempeño del Área Comunicaciones</w:t>
      </w:r>
      <w:bookmarkEnd w:id="137"/>
    </w:p>
    <w:p w14:paraId="10B74AD0" w14:textId="77777777" w:rsidR="00C50BD6" w:rsidRPr="005C133F" w:rsidRDefault="00C50BD6" w:rsidP="005C133F">
      <w:pPr>
        <w:spacing w:after="0" w:line="360" w:lineRule="auto"/>
        <w:rPr>
          <w:noProof/>
          <w:lang w:val="es-DO"/>
        </w:rPr>
      </w:pPr>
    </w:p>
    <w:p w14:paraId="12F5AE63" w14:textId="6A519285" w:rsidR="0081199B" w:rsidRPr="005C133F" w:rsidRDefault="00A859F9" w:rsidP="005C133F">
      <w:pPr>
        <w:spacing w:after="0" w:line="360" w:lineRule="auto"/>
        <w:jc w:val="both"/>
        <w:rPr>
          <w:lang w:val="es-DO"/>
        </w:rPr>
      </w:pPr>
      <w:r w:rsidRPr="005C133F">
        <w:rPr>
          <w:lang w:val="es-DO"/>
        </w:rPr>
        <w:t>Durante el año 2025, se desarrollaron diversas estrategias orientadas a fortalecer la visibilidad institucional, mejorar el acceso a la información pública y acercar la entidad a la población afiliada. </w:t>
      </w:r>
      <w:r w:rsidRPr="005C133F">
        <w:rPr>
          <w:lang w:val="es-DO"/>
        </w:rPr>
        <w:br/>
        <w:t>Todas las acciones ejecutadas se enmarcan en el Plan de Comunicaciones Institucional, con el objetivo de consolidar la transparencia, la confianza y la efectividad en la comunicación entre la institución, los medios de comunicación y la ciudadanía. </w:t>
      </w:r>
    </w:p>
    <w:p w14:paraId="148F010B" w14:textId="77777777" w:rsidR="004C4D73" w:rsidRPr="005C133F" w:rsidRDefault="004C4D73" w:rsidP="005C133F">
      <w:pPr>
        <w:spacing w:after="0" w:line="360" w:lineRule="auto"/>
        <w:jc w:val="both"/>
        <w:rPr>
          <w:lang w:val="es-DO"/>
        </w:rPr>
      </w:pPr>
    </w:p>
    <w:p w14:paraId="664F35F9" w14:textId="75D5D42A" w:rsidR="005C448E" w:rsidRPr="005C133F" w:rsidRDefault="005C448E">
      <w:pPr>
        <w:pStyle w:val="Prrafodelista"/>
        <w:numPr>
          <w:ilvl w:val="0"/>
          <w:numId w:val="197"/>
        </w:numPr>
        <w:spacing w:after="0" w:line="360" w:lineRule="auto"/>
        <w:rPr>
          <w:b/>
        </w:rPr>
      </w:pPr>
      <w:proofErr w:type="spellStart"/>
      <w:r w:rsidRPr="005C133F">
        <w:rPr>
          <w:b/>
        </w:rPr>
        <w:t>Campañas</w:t>
      </w:r>
      <w:proofErr w:type="spellEnd"/>
      <w:r w:rsidRPr="005C133F">
        <w:rPr>
          <w:b/>
        </w:rPr>
        <w:t> </w:t>
      </w:r>
      <w:proofErr w:type="spellStart"/>
      <w:r w:rsidRPr="005C133F">
        <w:rPr>
          <w:b/>
        </w:rPr>
        <w:t>institucionales</w:t>
      </w:r>
      <w:proofErr w:type="spellEnd"/>
      <w:r w:rsidRPr="005C133F">
        <w:rPr>
          <w:b/>
        </w:rPr>
        <w:t> </w:t>
      </w:r>
    </w:p>
    <w:p w14:paraId="0419E4BF" w14:textId="77777777" w:rsidR="00D75225" w:rsidRPr="005C133F" w:rsidRDefault="00D75225" w:rsidP="005C133F">
      <w:pPr>
        <w:pStyle w:val="Prrafodelista"/>
        <w:spacing w:after="0" w:line="360" w:lineRule="auto"/>
        <w:rPr>
          <w:b/>
          <w:bCs/>
        </w:rPr>
      </w:pPr>
    </w:p>
    <w:p w14:paraId="44071BBF" w14:textId="77777777" w:rsidR="00B6043B" w:rsidRDefault="00B6043B" w:rsidP="005C133F">
      <w:pPr>
        <w:spacing w:after="0" w:line="360" w:lineRule="auto"/>
        <w:rPr>
          <w:noProof/>
          <w:lang w:val="es-DO"/>
        </w:rPr>
      </w:pPr>
      <w:r w:rsidRPr="005C133F">
        <w:rPr>
          <w:b/>
          <w:bCs/>
          <w:noProof/>
          <w:lang w:val="es-DO"/>
        </w:rPr>
        <w:t>SISALRIL PARA TI</w:t>
      </w:r>
      <w:r w:rsidRPr="005C133F">
        <w:rPr>
          <w:noProof/>
          <w:lang w:val="es-DO"/>
        </w:rPr>
        <w:t> </w:t>
      </w:r>
    </w:p>
    <w:p w14:paraId="23FE4D7F" w14:textId="77777777" w:rsidR="008C151A" w:rsidRPr="005C133F" w:rsidRDefault="008C151A" w:rsidP="005C133F">
      <w:pPr>
        <w:spacing w:after="0" w:line="360" w:lineRule="auto"/>
        <w:rPr>
          <w:noProof/>
          <w:lang w:val="es-DO"/>
        </w:rPr>
      </w:pPr>
    </w:p>
    <w:p w14:paraId="5FC0387D" w14:textId="77777777" w:rsidR="00B6043B" w:rsidRDefault="00B6043B" w:rsidP="008C151A">
      <w:pPr>
        <w:spacing w:after="0" w:line="360" w:lineRule="auto"/>
        <w:jc w:val="both"/>
        <w:rPr>
          <w:noProof/>
          <w:lang w:val="es-DO"/>
        </w:rPr>
      </w:pPr>
      <w:r w:rsidRPr="005C133F">
        <w:rPr>
          <w:noProof/>
          <w:lang w:val="es-DO"/>
        </w:rPr>
        <w:t>Se implementó la campaña general “SISALRIL PARA TI”, diseñada con un enfoque institucional, informativo y educativo para ampliar la visibilidad de la institución, para que el ciudadano comprendiera las funciones y servicios de la SISALRIL, con un lenguaje entendible y atractivo. </w:t>
      </w:r>
    </w:p>
    <w:p w14:paraId="5FF53C8B" w14:textId="77777777" w:rsidR="008C151A" w:rsidRPr="005C133F" w:rsidRDefault="008C151A" w:rsidP="008C151A">
      <w:pPr>
        <w:spacing w:after="0" w:line="360" w:lineRule="auto"/>
        <w:jc w:val="both"/>
        <w:rPr>
          <w:noProof/>
          <w:lang w:val="es-DO"/>
        </w:rPr>
      </w:pPr>
    </w:p>
    <w:p w14:paraId="6C4405E6" w14:textId="77777777" w:rsidR="00B6043B" w:rsidRPr="005C133F" w:rsidRDefault="00B6043B" w:rsidP="008C151A">
      <w:pPr>
        <w:spacing w:after="0" w:line="360" w:lineRule="auto"/>
        <w:jc w:val="both"/>
        <w:rPr>
          <w:noProof/>
          <w:lang w:val="es-DO"/>
        </w:rPr>
      </w:pPr>
      <w:r w:rsidRPr="005C133F">
        <w:rPr>
          <w:noProof/>
          <w:lang w:val="es-DO"/>
        </w:rPr>
        <w:lastRenderedPageBreak/>
        <w:t>Esta campaña se difundió a nivel nacional a través de la radio, televisión, medios digitales, redes sociales, periódicos y revistas, logrando un mayor alcance y conexión con los distintos públicos, y actores del Sistema Dominicano de Seguridad Social (SDSS). </w:t>
      </w:r>
    </w:p>
    <w:p w14:paraId="064E201E" w14:textId="77777777" w:rsidR="004C4D73" w:rsidRPr="005C133F" w:rsidRDefault="004C4D73" w:rsidP="005C133F">
      <w:pPr>
        <w:spacing w:after="0" w:line="360" w:lineRule="auto"/>
        <w:jc w:val="both"/>
        <w:rPr>
          <w:noProof/>
          <w:lang w:val="es-DO"/>
        </w:rPr>
      </w:pPr>
    </w:p>
    <w:p w14:paraId="08A33761" w14:textId="77777777" w:rsidR="00B6043B" w:rsidRDefault="00B6043B" w:rsidP="005C133F">
      <w:pPr>
        <w:spacing w:after="0" w:line="360" w:lineRule="auto"/>
        <w:jc w:val="both"/>
        <w:rPr>
          <w:b/>
          <w:lang w:val="es-DO"/>
        </w:rPr>
      </w:pPr>
      <w:r w:rsidRPr="005C133F">
        <w:rPr>
          <w:b/>
          <w:lang w:val="es-DO"/>
        </w:rPr>
        <w:t>SISALRIL AL DIA</w:t>
      </w:r>
    </w:p>
    <w:p w14:paraId="219FE94F" w14:textId="77777777" w:rsidR="008C151A" w:rsidRPr="005C133F" w:rsidRDefault="008C151A" w:rsidP="005C133F">
      <w:pPr>
        <w:spacing w:after="0" w:line="360" w:lineRule="auto"/>
        <w:jc w:val="both"/>
        <w:rPr>
          <w:b/>
          <w:lang w:val="es-DO"/>
        </w:rPr>
      </w:pPr>
    </w:p>
    <w:p w14:paraId="4DB0D06E" w14:textId="788C9D1D" w:rsidR="00B6043B" w:rsidRPr="005C133F" w:rsidRDefault="00B6043B" w:rsidP="005C133F">
      <w:pPr>
        <w:spacing w:after="0" w:line="360" w:lineRule="auto"/>
        <w:jc w:val="both"/>
        <w:rPr>
          <w:noProof/>
          <w:lang w:val="es-DO"/>
        </w:rPr>
      </w:pPr>
      <w:r w:rsidRPr="005C133F">
        <w:rPr>
          <w:noProof/>
          <w:lang w:val="es-DO"/>
        </w:rPr>
        <w:t>Se creo la revista institucional “SISALRIL AL DIA”, con el propósito de promover informaciones inéditas, los derechos de los afiliados, las funciones de la institución y las acciones orientadas a garantizar una cobertura equitativa y sostenible en el sistema, entre otros importantes temas en el Seguro Familiar de Salud y de Riesgos Laborales. </w:t>
      </w:r>
    </w:p>
    <w:p w14:paraId="7EDA3D40" w14:textId="77777777" w:rsidR="004C4D73" w:rsidRPr="005C133F" w:rsidRDefault="004C4D73" w:rsidP="005C133F">
      <w:pPr>
        <w:spacing w:after="0" w:line="360" w:lineRule="auto"/>
        <w:jc w:val="both"/>
        <w:rPr>
          <w:noProof/>
          <w:lang w:val="es-DO"/>
        </w:rPr>
      </w:pPr>
    </w:p>
    <w:p w14:paraId="1338F264" w14:textId="64AB5C3D" w:rsidR="00B6043B" w:rsidRPr="004D2630" w:rsidRDefault="00B6043B" w:rsidP="004D2630">
      <w:pPr>
        <w:rPr>
          <w:b/>
          <w:bCs/>
          <w:noProof/>
          <w:lang w:val="es-DO"/>
        </w:rPr>
      </w:pPr>
      <w:r w:rsidRPr="005C133F">
        <w:rPr>
          <w:b/>
          <w:bCs/>
          <w:noProof/>
          <w:lang w:val="es-DO"/>
        </w:rPr>
        <w:t>“No Caigas en Gancho”</w:t>
      </w:r>
      <w:r w:rsidRPr="005C133F">
        <w:rPr>
          <w:noProof/>
          <w:lang w:val="es-DO"/>
        </w:rPr>
        <w:t> </w:t>
      </w:r>
    </w:p>
    <w:p w14:paraId="69146914" w14:textId="77777777" w:rsidR="008C151A" w:rsidRPr="005C133F" w:rsidRDefault="008C151A" w:rsidP="005C133F">
      <w:pPr>
        <w:spacing w:after="0" w:line="360" w:lineRule="auto"/>
        <w:jc w:val="both"/>
        <w:rPr>
          <w:noProof/>
          <w:lang w:val="es-DO"/>
        </w:rPr>
      </w:pPr>
    </w:p>
    <w:p w14:paraId="0AB7A56C" w14:textId="77777777" w:rsidR="00B6043B" w:rsidRDefault="00B6043B" w:rsidP="008C151A">
      <w:pPr>
        <w:spacing w:after="0" w:line="360" w:lineRule="auto"/>
        <w:jc w:val="both"/>
        <w:rPr>
          <w:noProof/>
          <w:lang w:val="es-DO"/>
        </w:rPr>
      </w:pPr>
      <w:r w:rsidRPr="005C133F">
        <w:rPr>
          <w:noProof/>
          <w:lang w:val="es-DO"/>
        </w:rPr>
        <w:t>Se diseñó e implementó la campaña “No Caigas en Gancho”, sin costo para la institución, para alertar a los afiliados del Seguro Familiar de Salud (SFS) sobre malas prácticas detectadas en los procesos de traspasos entre Administradoras de Riesgos de Salud (ARS). </w:t>
      </w:r>
    </w:p>
    <w:p w14:paraId="388AAA52" w14:textId="77777777" w:rsidR="008C151A" w:rsidRPr="005C133F" w:rsidRDefault="008C151A" w:rsidP="008C151A">
      <w:pPr>
        <w:spacing w:after="0" w:line="360" w:lineRule="auto"/>
        <w:jc w:val="both"/>
        <w:rPr>
          <w:noProof/>
          <w:lang w:val="es-DO"/>
        </w:rPr>
      </w:pPr>
    </w:p>
    <w:p w14:paraId="4251D176" w14:textId="77777777" w:rsidR="00B6043B" w:rsidRDefault="00B6043B" w:rsidP="008C151A">
      <w:pPr>
        <w:spacing w:after="0" w:line="360" w:lineRule="auto"/>
        <w:jc w:val="both"/>
        <w:rPr>
          <w:noProof/>
          <w:lang w:val="es-DO"/>
        </w:rPr>
      </w:pPr>
      <w:r w:rsidRPr="005C133F">
        <w:rPr>
          <w:noProof/>
          <w:lang w:val="es-DO"/>
        </w:rPr>
        <w:t>La iniciativa se caracterizó por un enfoque preventivo y educativo, orientado a empoderar a los usuarios mediante información clara sobre sus derechos y los procedimientos formales de traspaso. </w:t>
      </w:r>
    </w:p>
    <w:p w14:paraId="4605C3C0" w14:textId="77777777" w:rsidR="008C151A" w:rsidRPr="005C133F" w:rsidRDefault="008C151A" w:rsidP="008C151A">
      <w:pPr>
        <w:spacing w:after="0" w:line="360" w:lineRule="auto"/>
        <w:jc w:val="both"/>
        <w:rPr>
          <w:noProof/>
          <w:lang w:val="es-DO"/>
        </w:rPr>
      </w:pPr>
    </w:p>
    <w:p w14:paraId="57DD82AB" w14:textId="77777777" w:rsidR="00B6043B" w:rsidRPr="005C133F" w:rsidRDefault="00B6043B" w:rsidP="008C151A">
      <w:pPr>
        <w:spacing w:after="0" w:line="360" w:lineRule="auto"/>
        <w:jc w:val="both"/>
        <w:rPr>
          <w:noProof/>
          <w:lang w:val="es-DO"/>
        </w:rPr>
      </w:pPr>
      <w:r w:rsidRPr="005C133F">
        <w:rPr>
          <w:noProof/>
          <w:lang w:val="es-DO"/>
        </w:rPr>
        <w:t>Para esta campaña se realizaron audiovisuales, diseños gráficos especiales y contenido para redes para dotar al afiliado de información valiosa en diferentes formatos. </w:t>
      </w:r>
    </w:p>
    <w:p w14:paraId="6F6A42B2" w14:textId="77777777" w:rsidR="00E73B36" w:rsidRPr="005C133F" w:rsidRDefault="00E73B36" w:rsidP="005C133F">
      <w:pPr>
        <w:spacing w:after="0" w:line="360" w:lineRule="auto"/>
        <w:rPr>
          <w:noProof/>
          <w:lang w:val="es-DO"/>
        </w:rPr>
      </w:pPr>
    </w:p>
    <w:p w14:paraId="6A62CF12" w14:textId="77777777" w:rsidR="004D2630" w:rsidRDefault="004D2630">
      <w:pPr>
        <w:rPr>
          <w:b/>
          <w:lang w:val="es-DO"/>
        </w:rPr>
      </w:pPr>
      <w:r>
        <w:rPr>
          <w:b/>
          <w:lang w:val="es-DO"/>
        </w:rPr>
        <w:br w:type="page"/>
      </w:r>
    </w:p>
    <w:p w14:paraId="7A3FFBF0" w14:textId="1CFE7F35" w:rsidR="007941E6" w:rsidRPr="005C133F" w:rsidRDefault="007941E6">
      <w:pPr>
        <w:pStyle w:val="Prrafodelista"/>
        <w:numPr>
          <w:ilvl w:val="0"/>
          <w:numId w:val="197"/>
        </w:numPr>
        <w:spacing w:after="0" w:line="360" w:lineRule="auto"/>
        <w:rPr>
          <w:b/>
          <w:lang w:val="es-DO"/>
        </w:rPr>
      </w:pPr>
      <w:r w:rsidRPr="005C133F">
        <w:rPr>
          <w:b/>
          <w:lang w:val="es-DO"/>
        </w:rPr>
        <w:lastRenderedPageBreak/>
        <w:t>Fortalecimiento del contenido digital y alcance  </w:t>
      </w:r>
    </w:p>
    <w:p w14:paraId="1F348980" w14:textId="77777777" w:rsidR="00C50BD6" w:rsidRPr="005C133F" w:rsidRDefault="00C50BD6" w:rsidP="005C133F">
      <w:pPr>
        <w:spacing w:after="0" w:line="360" w:lineRule="auto"/>
        <w:rPr>
          <w:noProof/>
          <w:lang w:val="es-DO"/>
        </w:rPr>
      </w:pPr>
    </w:p>
    <w:p w14:paraId="5FAF8CA5" w14:textId="77777777" w:rsidR="008C151A" w:rsidRDefault="00547510" w:rsidP="008C151A">
      <w:pPr>
        <w:spacing w:after="0" w:line="360" w:lineRule="auto"/>
        <w:jc w:val="both"/>
        <w:rPr>
          <w:noProof/>
          <w:lang w:val="es-DO"/>
        </w:rPr>
      </w:pPr>
      <w:r w:rsidRPr="005C133F">
        <w:rPr>
          <w:noProof/>
          <w:lang w:val="es-DO"/>
        </w:rPr>
        <w:t>Durante el 2025, se potenció la creación de contenido digital de valor en las plataformas oficiales de la SISALRIL, logrando un incremento significativo en el alcance y la interacción con los usuarios. </w:t>
      </w:r>
    </w:p>
    <w:p w14:paraId="2B50CF7D" w14:textId="663378D6" w:rsidR="00547510" w:rsidRPr="005C133F" w:rsidRDefault="00547510" w:rsidP="008C151A">
      <w:pPr>
        <w:spacing w:after="0" w:line="360" w:lineRule="auto"/>
        <w:jc w:val="both"/>
        <w:rPr>
          <w:noProof/>
          <w:lang w:val="es-DO"/>
        </w:rPr>
      </w:pPr>
      <w:r w:rsidRPr="005C133F">
        <w:rPr>
          <w:noProof/>
          <w:lang w:val="es-DO"/>
        </w:rPr>
        <w:br/>
        <w:t>Gracias a esta gestión, influenciadores y comunicadores digitales replicaron los mensajes institucionales de manera orgánica y gratuita, contribuyendo al posicionamiento positivo de la SISALRIL en la sociedad. </w:t>
      </w:r>
    </w:p>
    <w:p w14:paraId="471DC378" w14:textId="467E61D8" w:rsidR="00EA6763" w:rsidRDefault="00547510" w:rsidP="008C151A">
      <w:pPr>
        <w:spacing w:after="0" w:line="360" w:lineRule="auto"/>
        <w:jc w:val="both"/>
        <w:rPr>
          <w:noProof/>
          <w:lang w:val="es-DO"/>
        </w:rPr>
      </w:pPr>
      <w:r w:rsidRPr="005C133F">
        <w:rPr>
          <w:noProof/>
          <w:lang w:val="es-DO"/>
        </w:rPr>
        <w:t>Además, se fortaleció la atención al ciudadano a través de las redes sociales, implementando respuestas estratégicas y personalizadas a los usuarios que interactúan con la institución, lo que permitió mejorar la percepción pública y el nivel de confianza. </w:t>
      </w:r>
    </w:p>
    <w:p w14:paraId="3F3AEAA2" w14:textId="77777777" w:rsidR="008C151A" w:rsidRPr="005C133F" w:rsidRDefault="008C151A" w:rsidP="005C133F">
      <w:pPr>
        <w:spacing w:after="0" w:line="360" w:lineRule="auto"/>
        <w:jc w:val="both"/>
        <w:rPr>
          <w:noProof/>
          <w:lang w:val="es-DO"/>
        </w:rPr>
      </w:pPr>
    </w:p>
    <w:tbl>
      <w:tblPr>
        <w:tblpPr w:leftFromText="141" w:rightFromText="141" w:vertAnchor="text" w:horzAnchor="margin" w:tblpXSpec="center" w:tblpY="384"/>
        <w:tblW w:w="0" w:type="auto"/>
        <w:tblCellMar>
          <w:left w:w="70" w:type="dxa"/>
          <w:right w:w="70" w:type="dxa"/>
        </w:tblCellMar>
        <w:tblLook w:val="04A0" w:firstRow="1" w:lastRow="0" w:firstColumn="1" w:lastColumn="0" w:noHBand="0" w:noVBand="1"/>
      </w:tblPr>
      <w:tblGrid>
        <w:gridCol w:w="1340"/>
        <w:gridCol w:w="1420"/>
        <w:gridCol w:w="1714"/>
        <w:gridCol w:w="1769"/>
        <w:gridCol w:w="1667"/>
      </w:tblGrid>
      <w:tr w:rsidR="004921FF" w:rsidRPr="005C133F" w14:paraId="16050306" w14:textId="77777777" w:rsidTr="000D4D13">
        <w:trPr>
          <w:trHeight w:val="936"/>
          <w:tblHeader/>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15BF7E71" w14:textId="77777777" w:rsidR="00760B16" w:rsidRPr="005C133F" w:rsidRDefault="00760B16" w:rsidP="008C151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Red Social</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6E6270EA" w14:textId="77777777" w:rsidR="00760B16" w:rsidRPr="005C133F" w:rsidRDefault="00760B16" w:rsidP="008C151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Seguidores/</w:t>
            </w:r>
            <w:r w:rsidRPr="005C133F">
              <w:rPr>
                <w:rFonts w:eastAsia="Times New Roman"/>
                <w:b/>
                <w:bCs/>
                <w:color w:val="FFFFFF" w:themeColor="background1"/>
                <w:spacing w:val="0"/>
                <w:lang w:val="es-DO" w:eastAsia="es-DO"/>
              </w:rPr>
              <w:br/>
              <w:t>Suscriptores</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5192C63B" w14:textId="77777777" w:rsidR="00760B16" w:rsidRPr="005C133F" w:rsidRDefault="00760B16" w:rsidP="008C151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Visualizaciones</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06CB9DC7" w14:textId="77777777" w:rsidR="00760B16" w:rsidRPr="005C133F" w:rsidRDefault="00760B16" w:rsidP="008C151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Comentarios recibidos en el FEED</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4C7094B0" w14:textId="77777777" w:rsidR="00760B16" w:rsidRPr="005C133F" w:rsidRDefault="00760B16" w:rsidP="008C151A">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Publicaciones en redes</w:t>
            </w:r>
          </w:p>
        </w:tc>
      </w:tr>
      <w:tr w:rsidR="004921FF" w:rsidRPr="005C133F" w14:paraId="74910B7D" w14:textId="77777777" w:rsidTr="000D4D13">
        <w:trPr>
          <w:trHeight w:val="312"/>
        </w:trPr>
        <w:tc>
          <w:tcPr>
            <w:tcW w:w="0" w:type="auto"/>
            <w:tcBorders>
              <w:top w:val="nil"/>
              <w:left w:val="single" w:sz="4" w:space="0" w:color="808080"/>
              <w:bottom w:val="single" w:sz="4" w:space="0" w:color="808080"/>
              <w:right w:val="single" w:sz="4" w:space="0" w:color="808080"/>
            </w:tcBorders>
            <w:noWrap/>
            <w:vAlign w:val="center"/>
            <w:hideMark/>
          </w:tcPr>
          <w:p w14:paraId="5951C3E9" w14:textId="77777777" w:rsidR="00760B16" w:rsidRPr="005C133F" w:rsidRDefault="00760B16" w:rsidP="008C151A">
            <w:pPr>
              <w:spacing w:after="0" w:line="240" w:lineRule="auto"/>
              <w:ind w:firstLineChars="100" w:firstLine="240"/>
              <w:rPr>
                <w:rFonts w:eastAsia="Times New Roman"/>
                <w:spacing w:val="0"/>
                <w:lang w:val="es-DO" w:eastAsia="es-DO"/>
              </w:rPr>
            </w:pPr>
            <w:r w:rsidRPr="005C133F">
              <w:rPr>
                <w:rFonts w:eastAsia="Times New Roman"/>
                <w:spacing w:val="0"/>
                <w:lang w:val="es-DO" w:eastAsia="es-DO"/>
              </w:rPr>
              <w:t>Instagram</w:t>
            </w:r>
          </w:p>
        </w:tc>
        <w:tc>
          <w:tcPr>
            <w:tcW w:w="0" w:type="auto"/>
            <w:tcBorders>
              <w:top w:val="nil"/>
              <w:left w:val="nil"/>
              <w:bottom w:val="single" w:sz="4" w:space="0" w:color="808080"/>
              <w:right w:val="single" w:sz="4" w:space="0" w:color="808080"/>
            </w:tcBorders>
            <w:noWrap/>
            <w:vAlign w:val="center"/>
            <w:hideMark/>
          </w:tcPr>
          <w:p w14:paraId="30D5AD78"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90,449</w:t>
            </w:r>
          </w:p>
        </w:tc>
        <w:tc>
          <w:tcPr>
            <w:tcW w:w="0" w:type="auto"/>
            <w:tcBorders>
              <w:top w:val="nil"/>
              <w:left w:val="nil"/>
              <w:bottom w:val="single" w:sz="4" w:space="0" w:color="808080"/>
              <w:right w:val="single" w:sz="4" w:space="0" w:color="808080"/>
            </w:tcBorders>
            <w:noWrap/>
            <w:vAlign w:val="center"/>
            <w:hideMark/>
          </w:tcPr>
          <w:p w14:paraId="106C96AF"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3,253,357</w:t>
            </w:r>
          </w:p>
        </w:tc>
        <w:tc>
          <w:tcPr>
            <w:tcW w:w="0" w:type="auto"/>
            <w:tcBorders>
              <w:top w:val="nil"/>
              <w:left w:val="nil"/>
              <w:bottom w:val="single" w:sz="4" w:space="0" w:color="808080"/>
              <w:right w:val="single" w:sz="4" w:space="0" w:color="808080"/>
            </w:tcBorders>
            <w:noWrap/>
            <w:vAlign w:val="center"/>
            <w:hideMark/>
          </w:tcPr>
          <w:p w14:paraId="30DD72FE"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1,064</w:t>
            </w:r>
          </w:p>
        </w:tc>
        <w:tc>
          <w:tcPr>
            <w:tcW w:w="0" w:type="auto"/>
            <w:tcBorders>
              <w:top w:val="nil"/>
              <w:left w:val="nil"/>
              <w:bottom w:val="single" w:sz="4" w:space="0" w:color="808080"/>
              <w:right w:val="single" w:sz="4" w:space="0" w:color="808080"/>
            </w:tcBorders>
            <w:noWrap/>
            <w:vAlign w:val="center"/>
            <w:hideMark/>
          </w:tcPr>
          <w:p w14:paraId="3A9155B0"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762</w:t>
            </w:r>
          </w:p>
        </w:tc>
      </w:tr>
      <w:tr w:rsidR="004921FF" w:rsidRPr="005C133F" w14:paraId="5B6E9F00" w14:textId="77777777" w:rsidTr="000D4D13">
        <w:trPr>
          <w:trHeight w:val="312"/>
        </w:trPr>
        <w:tc>
          <w:tcPr>
            <w:tcW w:w="0" w:type="auto"/>
            <w:tcBorders>
              <w:top w:val="nil"/>
              <w:left w:val="single" w:sz="4" w:space="0" w:color="808080"/>
              <w:bottom w:val="single" w:sz="4" w:space="0" w:color="808080"/>
              <w:right w:val="single" w:sz="4" w:space="0" w:color="808080"/>
            </w:tcBorders>
            <w:noWrap/>
            <w:vAlign w:val="center"/>
            <w:hideMark/>
          </w:tcPr>
          <w:p w14:paraId="7B72B058" w14:textId="77777777" w:rsidR="00760B16" w:rsidRPr="005C133F" w:rsidRDefault="00760B16" w:rsidP="008C151A">
            <w:pPr>
              <w:spacing w:after="0" w:line="240" w:lineRule="auto"/>
              <w:ind w:firstLineChars="100" w:firstLine="240"/>
              <w:rPr>
                <w:rFonts w:eastAsia="Times New Roman"/>
                <w:spacing w:val="0"/>
                <w:lang w:val="es-DO" w:eastAsia="es-DO"/>
              </w:rPr>
            </w:pPr>
            <w:r w:rsidRPr="005C133F">
              <w:rPr>
                <w:rFonts w:eastAsia="Times New Roman"/>
                <w:spacing w:val="0"/>
                <w:lang w:val="es-DO" w:eastAsia="es-DO"/>
              </w:rPr>
              <w:t>Facebook</w:t>
            </w:r>
          </w:p>
        </w:tc>
        <w:tc>
          <w:tcPr>
            <w:tcW w:w="0" w:type="auto"/>
            <w:tcBorders>
              <w:top w:val="nil"/>
              <w:left w:val="nil"/>
              <w:bottom w:val="single" w:sz="4" w:space="0" w:color="808080"/>
              <w:right w:val="single" w:sz="4" w:space="0" w:color="808080"/>
            </w:tcBorders>
            <w:noWrap/>
            <w:vAlign w:val="center"/>
            <w:hideMark/>
          </w:tcPr>
          <w:p w14:paraId="79E41C92"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13,490</w:t>
            </w:r>
          </w:p>
        </w:tc>
        <w:tc>
          <w:tcPr>
            <w:tcW w:w="0" w:type="auto"/>
            <w:tcBorders>
              <w:top w:val="nil"/>
              <w:left w:val="nil"/>
              <w:bottom w:val="single" w:sz="4" w:space="0" w:color="808080"/>
              <w:right w:val="single" w:sz="4" w:space="0" w:color="808080"/>
            </w:tcBorders>
            <w:noWrap/>
            <w:vAlign w:val="center"/>
            <w:hideMark/>
          </w:tcPr>
          <w:p w14:paraId="3F290FF0"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268,775</w:t>
            </w:r>
          </w:p>
        </w:tc>
        <w:tc>
          <w:tcPr>
            <w:tcW w:w="0" w:type="auto"/>
            <w:tcBorders>
              <w:top w:val="nil"/>
              <w:left w:val="nil"/>
              <w:bottom w:val="single" w:sz="4" w:space="0" w:color="808080"/>
              <w:right w:val="single" w:sz="4" w:space="0" w:color="808080"/>
            </w:tcBorders>
            <w:noWrap/>
            <w:vAlign w:val="center"/>
            <w:hideMark/>
          </w:tcPr>
          <w:p w14:paraId="2555509E"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20</w:t>
            </w:r>
          </w:p>
        </w:tc>
        <w:tc>
          <w:tcPr>
            <w:tcW w:w="0" w:type="auto"/>
            <w:tcBorders>
              <w:top w:val="nil"/>
              <w:left w:val="nil"/>
              <w:bottom w:val="single" w:sz="4" w:space="0" w:color="808080"/>
              <w:right w:val="single" w:sz="4" w:space="0" w:color="808080"/>
            </w:tcBorders>
            <w:noWrap/>
            <w:vAlign w:val="center"/>
            <w:hideMark/>
          </w:tcPr>
          <w:p w14:paraId="55027C7D"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205</w:t>
            </w:r>
          </w:p>
        </w:tc>
      </w:tr>
      <w:tr w:rsidR="004921FF" w:rsidRPr="005C133F" w14:paraId="330316A5" w14:textId="77777777" w:rsidTr="000D4D13">
        <w:trPr>
          <w:trHeight w:val="312"/>
        </w:trPr>
        <w:tc>
          <w:tcPr>
            <w:tcW w:w="0" w:type="auto"/>
            <w:tcBorders>
              <w:top w:val="nil"/>
              <w:left w:val="single" w:sz="4" w:space="0" w:color="808080"/>
              <w:bottom w:val="single" w:sz="4" w:space="0" w:color="808080"/>
              <w:right w:val="single" w:sz="4" w:space="0" w:color="808080"/>
            </w:tcBorders>
            <w:noWrap/>
            <w:vAlign w:val="center"/>
            <w:hideMark/>
          </w:tcPr>
          <w:p w14:paraId="3DD6A9CD" w14:textId="77777777" w:rsidR="00760B16" w:rsidRPr="005C133F" w:rsidRDefault="00760B16" w:rsidP="008C151A">
            <w:pPr>
              <w:spacing w:after="0" w:line="240" w:lineRule="auto"/>
              <w:ind w:firstLineChars="100" w:firstLine="240"/>
              <w:rPr>
                <w:rFonts w:eastAsia="Times New Roman"/>
                <w:spacing w:val="0"/>
                <w:lang w:val="es-DO" w:eastAsia="es-DO"/>
              </w:rPr>
            </w:pPr>
            <w:r w:rsidRPr="005C133F">
              <w:rPr>
                <w:rFonts w:eastAsia="Times New Roman"/>
                <w:spacing w:val="0"/>
                <w:lang w:val="es-DO" w:eastAsia="es-DO"/>
              </w:rPr>
              <w:t>X</w:t>
            </w:r>
          </w:p>
        </w:tc>
        <w:tc>
          <w:tcPr>
            <w:tcW w:w="0" w:type="auto"/>
            <w:tcBorders>
              <w:top w:val="nil"/>
              <w:left w:val="nil"/>
              <w:bottom w:val="single" w:sz="4" w:space="0" w:color="808080"/>
              <w:right w:val="single" w:sz="4" w:space="0" w:color="808080"/>
            </w:tcBorders>
            <w:noWrap/>
            <w:vAlign w:val="center"/>
            <w:hideMark/>
          </w:tcPr>
          <w:p w14:paraId="6F3CFF67"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10,381</w:t>
            </w:r>
          </w:p>
        </w:tc>
        <w:tc>
          <w:tcPr>
            <w:tcW w:w="0" w:type="auto"/>
            <w:tcBorders>
              <w:top w:val="nil"/>
              <w:left w:val="nil"/>
              <w:bottom w:val="single" w:sz="4" w:space="0" w:color="808080"/>
              <w:right w:val="single" w:sz="4" w:space="0" w:color="808080"/>
            </w:tcBorders>
            <w:noWrap/>
            <w:vAlign w:val="center"/>
            <w:hideMark/>
          </w:tcPr>
          <w:p w14:paraId="121EFBC5"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26,511</w:t>
            </w:r>
          </w:p>
        </w:tc>
        <w:tc>
          <w:tcPr>
            <w:tcW w:w="0" w:type="auto"/>
            <w:tcBorders>
              <w:top w:val="nil"/>
              <w:left w:val="nil"/>
              <w:bottom w:val="single" w:sz="4" w:space="0" w:color="808080"/>
              <w:right w:val="single" w:sz="4" w:space="0" w:color="808080"/>
            </w:tcBorders>
            <w:noWrap/>
            <w:vAlign w:val="center"/>
            <w:hideMark/>
          </w:tcPr>
          <w:p w14:paraId="49AD7707"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nil"/>
              <w:left w:val="nil"/>
              <w:bottom w:val="single" w:sz="4" w:space="0" w:color="808080"/>
              <w:right w:val="single" w:sz="4" w:space="0" w:color="808080"/>
            </w:tcBorders>
            <w:noWrap/>
            <w:vAlign w:val="center"/>
            <w:hideMark/>
          </w:tcPr>
          <w:p w14:paraId="1EBC25CE"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250</w:t>
            </w:r>
          </w:p>
        </w:tc>
      </w:tr>
      <w:tr w:rsidR="004921FF" w:rsidRPr="005C133F" w14:paraId="1D4BE2C8" w14:textId="77777777" w:rsidTr="000D4D13">
        <w:trPr>
          <w:trHeight w:val="312"/>
        </w:trPr>
        <w:tc>
          <w:tcPr>
            <w:tcW w:w="0" w:type="auto"/>
            <w:tcBorders>
              <w:top w:val="nil"/>
              <w:left w:val="single" w:sz="4" w:space="0" w:color="808080"/>
              <w:bottom w:val="single" w:sz="4" w:space="0" w:color="808080"/>
              <w:right w:val="single" w:sz="4" w:space="0" w:color="808080"/>
            </w:tcBorders>
            <w:noWrap/>
            <w:vAlign w:val="center"/>
            <w:hideMark/>
          </w:tcPr>
          <w:p w14:paraId="1888845F" w14:textId="77777777" w:rsidR="00760B16" w:rsidRPr="005C133F" w:rsidRDefault="00760B16" w:rsidP="008C151A">
            <w:pPr>
              <w:spacing w:after="0" w:line="240" w:lineRule="auto"/>
              <w:ind w:firstLineChars="100" w:firstLine="240"/>
              <w:rPr>
                <w:rFonts w:eastAsia="Times New Roman"/>
                <w:spacing w:val="0"/>
                <w:lang w:val="es-DO" w:eastAsia="es-DO"/>
              </w:rPr>
            </w:pPr>
            <w:proofErr w:type="spellStart"/>
            <w:r w:rsidRPr="005C133F">
              <w:rPr>
                <w:rFonts w:eastAsia="Times New Roman"/>
                <w:spacing w:val="0"/>
                <w:lang w:val="es-DO" w:eastAsia="es-DO"/>
              </w:rPr>
              <w:t>Youtube</w:t>
            </w:r>
            <w:proofErr w:type="spellEnd"/>
          </w:p>
        </w:tc>
        <w:tc>
          <w:tcPr>
            <w:tcW w:w="0" w:type="auto"/>
            <w:tcBorders>
              <w:top w:val="nil"/>
              <w:left w:val="nil"/>
              <w:bottom w:val="single" w:sz="4" w:space="0" w:color="808080"/>
              <w:right w:val="single" w:sz="4" w:space="0" w:color="808080"/>
            </w:tcBorders>
            <w:noWrap/>
            <w:vAlign w:val="center"/>
            <w:hideMark/>
          </w:tcPr>
          <w:p w14:paraId="484AEE7A"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1,272</w:t>
            </w:r>
          </w:p>
        </w:tc>
        <w:tc>
          <w:tcPr>
            <w:tcW w:w="0" w:type="auto"/>
            <w:tcBorders>
              <w:top w:val="nil"/>
              <w:left w:val="nil"/>
              <w:bottom w:val="single" w:sz="4" w:space="0" w:color="808080"/>
              <w:right w:val="single" w:sz="4" w:space="0" w:color="808080"/>
            </w:tcBorders>
            <w:noWrap/>
            <w:vAlign w:val="center"/>
            <w:hideMark/>
          </w:tcPr>
          <w:p w14:paraId="7DABA079"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23,324</w:t>
            </w:r>
          </w:p>
        </w:tc>
        <w:tc>
          <w:tcPr>
            <w:tcW w:w="0" w:type="auto"/>
            <w:tcBorders>
              <w:top w:val="nil"/>
              <w:left w:val="nil"/>
              <w:bottom w:val="single" w:sz="4" w:space="0" w:color="808080"/>
              <w:right w:val="single" w:sz="4" w:space="0" w:color="808080"/>
            </w:tcBorders>
            <w:noWrap/>
            <w:vAlign w:val="center"/>
            <w:hideMark/>
          </w:tcPr>
          <w:p w14:paraId="3C384036"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20</w:t>
            </w:r>
          </w:p>
        </w:tc>
        <w:tc>
          <w:tcPr>
            <w:tcW w:w="0" w:type="auto"/>
            <w:tcBorders>
              <w:top w:val="nil"/>
              <w:left w:val="nil"/>
              <w:bottom w:val="single" w:sz="4" w:space="0" w:color="808080"/>
              <w:right w:val="single" w:sz="4" w:space="0" w:color="808080"/>
            </w:tcBorders>
            <w:noWrap/>
            <w:vAlign w:val="center"/>
            <w:hideMark/>
          </w:tcPr>
          <w:p w14:paraId="55043401" w14:textId="77777777" w:rsidR="00760B16" w:rsidRPr="005C133F" w:rsidRDefault="00760B16" w:rsidP="008C151A">
            <w:pPr>
              <w:spacing w:after="0" w:line="240" w:lineRule="auto"/>
              <w:jc w:val="center"/>
              <w:rPr>
                <w:rFonts w:eastAsia="Times New Roman"/>
                <w:spacing w:val="0"/>
                <w:lang w:val="es-DO" w:eastAsia="es-DO"/>
              </w:rPr>
            </w:pPr>
            <w:r w:rsidRPr="005C133F">
              <w:rPr>
                <w:rFonts w:eastAsia="Times New Roman"/>
                <w:spacing w:val="0"/>
                <w:lang w:val="es-DO" w:eastAsia="es-DO"/>
              </w:rPr>
              <w:t>61</w:t>
            </w:r>
          </w:p>
        </w:tc>
      </w:tr>
      <w:tr w:rsidR="004C4D73" w:rsidRPr="005C133F" w14:paraId="4C942AB1" w14:textId="77777777" w:rsidTr="000D4D13">
        <w:trPr>
          <w:trHeight w:val="312"/>
        </w:trPr>
        <w:tc>
          <w:tcPr>
            <w:tcW w:w="0" w:type="auto"/>
            <w:tcBorders>
              <w:top w:val="nil"/>
              <w:left w:val="single" w:sz="4" w:space="0" w:color="808080"/>
              <w:bottom w:val="single" w:sz="4" w:space="0" w:color="808080"/>
              <w:right w:val="single" w:sz="4" w:space="0" w:color="808080"/>
            </w:tcBorders>
            <w:shd w:val="clear" w:color="auto" w:fill="011C50"/>
            <w:vAlign w:val="center"/>
            <w:hideMark/>
          </w:tcPr>
          <w:p w14:paraId="0347D306" w14:textId="77777777" w:rsidR="00760B16" w:rsidRPr="005C133F" w:rsidRDefault="00760B16" w:rsidP="008C151A">
            <w:pPr>
              <w:shd w:val="clear" w:color="auto" w:fill="002060"/>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Total</w:t>
            </w:r>
          </w:p>
        </w:tc>
        <w:tc>
          <w:tcPr>
            <w:tcW w:w="0" w:type="auto"/>
            <w:tcBorders>
              <w:top w:val="nil"/>
              <w:left w:val="nil"/>
              <w:bottom w:val="single" w:sz="4" w:space="0" w:color="808080"/>
              <w:right w:val="single" w:sz="4" w:space="0" w:color="808080"/>
            </w:tcBorders>
            <w:shd w:val="clear" w:color="auto" w:fill="011C50"/>
            <w:vAlign w:val="center"/>
            <w:hideMark/>
          </w:tcPr>
          <w:p w14:paraId="757741C7" w14:textId="77777777" w:rsidR="00760B16" w:rsidRPr="005C133F" w:rsidRDefault="00760B16" w:rsidP="008C151A">
            <w:pPr>
              <w:shd w:val="clear" w:color="auto" w:fill="002060"/>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115,592</w:t>
            </w:r>
          </w:p>
        </w:tc>
        <w:tc>
          <w:tcPr>
            <w:tcW w:w="0" w:type="auto"/>
            <w:tcBorders>
              <w:top w:val="nil"/>
              <w:left w:val="nil"/>
              <w:bottom w:val="single" w:sz="4" w:space="0" w:color="808080"/>
              <w:right w:val="single" w:sz="4" w:space="0" w:color="808080"/>
            </w:tcBorders>
            <w:shd w:val="clear" w:color="auto" w:fill="011C50"/>
            <w:vAlign w:val="center"/>
            <w:hideMark/>
          </w:tcPr>
          <w:p w14:paraId="7B235CC3" w14:textId="77777777" w:rsidR="00760B16" w:rsidRPr="005C133F" w:rsidRDefault="00760B16" w:rsidP="008C151A">
            <w:pPr>
              <w:shd w:val="clear" w:color="auto" w:fill="002060"/>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3,571,967</w:t>
            </w:r>
          </w:p>
        </w:tc>
        <w:tc>
          <w:tcPr>
            <w:tcW w:w="0" w:type="auto"/>
            <w:tcBorders>
              <w:top w:val="nil"/>
              <w:left w:val="nil"/>
              <w:bottom w:val="single" w:sz="4" w:space="0" w:color="808080"/>
              <w:right w:val="single" w:sz="4" w:space="0" w:color="808080"/>
            </w:tcBorders>
            <w:shd w:val="clear" w:color="auto" w:fill="011C50"/>
            <w:vAlign w:val="center"/>
            <w:hideMark/>
          </w:tcPr>
          <w:p w14:paraId="16AAA425" w14:textId="77777777" w:rsidR="00760B16" w:rsidRPr="005C133F" w:rsidRDefault="00760B16" w:rsidP="008C151A">
            <w:pPr>
              <w:shd w:val="clear" w:color="auto" w:fill="002060"/>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1,104</w:t>
            </w:r>
          </w:p>
        </w:tc>
        <w:tc>
          <w:tcPr>
            <w:tcW w:w="0" w:type="auto"/>
            <w:tcBorders>
              <w:top w:val="nil"/>
              <w:left w:val="nil"/>
              <w:bottom w:val="single" w:sz="4" w:space="0" w:color="808080"/>
              <w:right w:val="single" w:sz="4" w:space="0" w:color="808080"/>
            </w:tcBorders>
            <w:shd w:val="clear" w:color="auto" w:fill="011C50"/>
            <w:vAlign w:val="center"/>
            <w:hideMark/>
          </w:tcPr>
          <w:p w14:paraId="2B67EA4C" w14:textId="77777777" w:rsidR="00760B16" w:rsidRPr="005C133F" w:rsidRDefault="00760B16" w:rsidP="008C151A">
            <w:pPr>
              <w:shd w:val="clear" w:color="auto" w:fill="002060"/>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1,278</w:t>
            </w:r>
          </w:p>
        </w:tc>
      </w:tr>
    </w:tbl>
    <w:p w14:paraId="5E6326EA" w14:textId="0AAFC1C5" w:rsidR="00760B16" w:rsidRPr="005C133F" w:rsidRDefault="00EA6763" w:rsidP="009B4ED1">
      <w:pPr>
        <w:spacing w:after="0" w:line="240" w:lineRule="auto"/>
        <w:jc w:val="center"/>
        <w:rPr>
          <w:b/>
          <w:bCs/>
          <w:noProof/>
          <w:lang w:val="es-DO"/>
        </w:rPr>
      </w:pPr>
      <w:bookmarkStart w:id="138" w:name="_Toc218784191"/>
      <w:r w:rsidRPr="005C133F">
        <w:rPr>
          <w:b/>
          <w:bCs/>
          <w:noProof/>
          <w:lang w:val="es-DO"/>
        </w:rPr>
        <w:t xml:space="preserve">Tabla </w:t>
      </w:r>
      <w:r w:rsidRPr="005C133F">
        <w:rPr>
          <w:b/>
          <w:bCs/>
          <w:noProof/>
          <w:lang w:val="es-DO"/>
        </w:rPr>
        <w:fldChar w:fldCharType="begin"/>
      </w:r>
      <w:r w:rsidRPr="005C133F">
        <w:rPr>
          <w:b/>
          <w:bCs/>
          <w:noProof/>
          <w:lang w:val="es-DO"/>
        </w:rPr>
        <w:instrText xml:space="preserve"> SEQ Tabla \* ARABIC </w:instrText>
      </w:r>
      <w:r w:rsidRPr="005C133F">
        <w:rPr>
          <w:b/>
          <w:bCs/>
          <w:noProof/>
          <w:lang w:val="es-DO"/>
        </w:rPr>
        <w:fldChar w:fldCharType="separate"/>
      </w:r>
      <w:r w:rsidR="00814341">
        <w:rPr>
          <w:b/>
          <w:bCs/>
          <w:noProof/>
          <w:lang w:val="es-DO"/>
        </w:rPr>
        <w:t>59</w:t>
      </w:r>
      <w:r w:rsidRPr="005C133F">
        <w:rPr>
          <w:b/>
          <w:bCs/>
          <w:noProof/>
          <w:lang w:val="es-DO"/>
        </w:rPr>
        <w:fldChar w:fldCharType="end"/>
      </w:r>
      <w:r w:rsidRPr="005C133F">
        <w:rPr>
          <w:b/>
          <w:bCs/>
          <w:noProof/>
          <w:lang w:val="es-DO"/>
        </w:rPr>
        <w:t>. Resumen de actividades en redes sociales, 2025</w:t>
      </w:r>
      <w:bookmarkEnd w:id="138"/>
    </w:p>
    <w:p w14:paraId="4C52FCEF" w14:textId="02F91643" w:rsidR="00872788" w:rsidRPr="00291603" w:rsidRDefault="002449F8" w:rsidP="005C133F">
      <w:pPr>
        <w:spacing w:after="0" w:line="360" w:lineRule="auto"/>
        <w:jc w:val="both"/>
        <w:rPr>
          <w:noProof/>
          <w:sz w:val="18"/>
          <w:szCs w:val="18"/>
          <w:lang w:val="es-DO"/>
        </w:rPr>
      </w:pPr>
      <w:r w:rsidRPr="00291603">
        <w:rPr>
          <w:noProof/>
          <w:sz w:val="18"/>
          <w:szCs w:val="18"/>
          <w:lang w:val="es-DO"/>
        </w:rPr>
        <w:t>Fuente: Dirección de Comunicaciones, SISALRIL.</w:t>
      </w:r>
    </w:p>
    <w:p w14:paraId="393DDB32" w14:textId="77777777" w:rsidR="004C4D73" w:rsidRPr="005C133F" w:rsidRDefault="004C4D73" w:rsidP="005C133F">
      <w:pPr>
        <w:spacing w:after="0" w:line="360" w:lineRule="auto"/>
        <w:jc w:val="both"/>
        <w:rPr>
          <w:noProof/>
          <w:lang w:val="es-DO"/>
        </w:rPr>
      </w:pPr>
    </w:p>
    <w:p w14:paraId="3FC4FC92" w14:textId="14F019EE" w:rsidR="00872788" w:rsidRPr="005C133F" w:rsidRDefault="00297349" w:rsidP="005C133F">
      <w:pPr>
        <w:spacing w:after="0" w:line="360" w:lineRule="auto"/>
        <w:jc w:val="both"/>
        <w:rPr>
          <w:noProof/>
          <w:lang w:val="es-DO"/>
        </w:rPr>
      </w:pPr>
      <w:r w:rsidRPr="005C133F">
        <w:rPr>
          <w:noProof/>
          <w:lang w:val="es-DO"/>
        </w:rPr>
        <w:t>Se elaboraron alrededor de 145 notas de prensa, que se difundieron en distintos medios de comunicación, en la página web institucional y compartidas internamente a través de la plataforma Intranet, asegurando así que la información relevante llegara tanto al público externo como a los colaboradores de la institución. </w:t>
      </w:r>
    </w:p>
    <w:p w14:paraId="03741F7B" w14:textId="77777777" w:rsidR="004C4D73" w:rsidRPr="005C133F" w:rsidRDefault="004C4D73" w:rsidP="005C133F">
      <w:pPr>
        <w:spacing w:after="0" w:line="360" w:lineRule="auto"/>
        <w:jc w:val="both"/>
        <w:rPr>
          <w:noProof/>
          <w:lang w:val="es-DO"/>
        </w:rPr>
      </w:pPr>
    </w:p>
    <w:p w14:paraId="53E6A58B" w14:textId="77777777" w:rsidR="00297349" w:rsidRPr="005C133F" w:rsidRDefault="00297349">
      <w:pPr>
        <w:pStyle w:val="Prrafodelista"/>
        <w:numPr>
          <w:ilvl w:val="0"/>
          <w:numId w:val="197"/>
        </w:numPr>
        <w:spacing w:after="0" w:line="360" w:lineRule="auto"/>
        <w:rPr>
          <w:b/>
          <w:lang w:val="es-DO"/>
        </w:rPr>
      </w:pPr>
      <w:r w:rsidRPr="005C133F">
        <w:rPr>
          <w:b/>
          <w:lang w:val="es-DO"/>
        </w:rPr>
        <w:lastRenderedPageBreak/>
        <w:t>Producción audiovisual y diseño gráfico </w:t>
      </w:r>
    </w:p>
    <w:p w14:paraId="1202ECD4" w14:textId="77777777" w:rsidR="00872788" w:rsidRPr="005C133F" w:rsidRDefault="00872788" w:rsidP="005C133F">
      <w:pPr>
        <w:pStyle w:val="Prrafodelista"/>
        <w:spacing w:after="0" w:line="360" w:lineRule="auto"/>
        <w:rPr>
          <w:b/>
          <w:lang w:val="es-DO"/>
        </w:rPr>
      </w:pPr>
    </w:p>
    <w:p w14:paraId="5269AC99" w14:textId="77777777" w:rsidR="00297349" w:rsidRPr="005C133F" w:rsidRDefault="00297349" w:rsidP="005C133F">
      <w:pPr>
        <w:spacing w:after="0" w:line="360" w:lineRule="auto"/>
        <w:jc w:val="both"/>
        <w:rPr>
          <w:noProof/>
          <w:lang w:val="es-DO"/>
        </w:rPr>
      </w:pPr>
      <w:r w:rsidRPr="005C133F">
        <w:rPr>
          <w:noProof/>
          <w:lang w:val="es-DO"/>
        </w:rPr>
        <w:t>Se produjeron más de 730 piezas gráficas para publicaciones y eventos, y brindó soporte fotográfico y audiovisual en más de 241 actividades, lo que representa el doble de las registradas en 2024. </w:t>
      </w:r>
    </w:p>
    <w:p w14:paraId="3B0F4106" w14:textId="77777777" w:rsidR="00297349" w:rsidRPr="005C133F" w:rsidRDefault="00297349" w:rsidP="005C133F">
      <w:pPr>
        <w:spacing w:after="0" w:line="360" w:lineRule="auto"/>
        <w:jc w:val="both"/>
        <w:rPr>
          <w:noProof/>
          <w:lang w:val="es-DO"/>
        </w:rPr>
      </w:pPr>
      <w:r w:rsidRPr="005C133F">
        <w:rPr>
          <w:noProof/>
          <w:lang w:val="es-DO"/>
        </w:rPr>
        <w:t>Estos materiales contribuyeron a una comunicación institucional más visual, dinámica y accesible, reforzando la identidad y coherencia de la imagen de la SISALRIL. </w:t>
      </w:r>
    </w:p>
    <w:p w14:paraId="4B5B59D9" w14:textId="77777777" w:rsidR="006D02CB" w:rsidRPr="005C133F" w:rsidRDefault="006D02CB" w:rsidP="005C133F">
      <w:pPr>
        <w:spacing w:after="0" w:line="360" w:lineRule="auto"/>
        <w:rPr>
          <w:noProof/>
          <w:lang w:val="es-DO"/>
        </w:rPr>
      </w:pPr>
    </w:p>
    <w:p w14:paraId="3AE144A9" w14:textId="77777777" w:rsidR="004C4D73" w:rsidRDefault="004C4D73" w:rsidP="005C133F">
      <w:pPr>
        <w:spacing w:after="0" w:line="360" w:lineRule="auto"/>
        <w:rPr>
          <w:noProof/>
          <w:lang w:val="es-DO"/>
        </w:rPr>
      </w:pPr>
    </w:p>
    <w:p w14:paraId="29E90B12" w14:textId="77777777" w:rsidR="00CC53E1" w:rsidRDefault="00CC53E1" w:rsidP="005C133F">
      <w:pPr>
        <w:spacing w:after="0" w:line="360" w:lineRule="auto"/>
        <w:rPr>
          <w:noProof/>
          <w:lang w:val="es-DO"/>
        </w:rPr>
      </w:pPr>
    </w:p>
    <w:p w14:paraId="38ADEE71" w14:textId="77777777" w:rsidR="00CC53E1" w:rsidRDefault="00CC53E1" w:rsidP="005C133F">
      <w:pPr>
        <w:spacing w:after="0" w:line="360" w:lineRule="auto"/>
        <w:rPr>
          <w:noProof/>
          <w:lang w:val="es-DO"/>
        </w:rPr>
      </w:pPr>
    </w:p>
    <w:p w14:paraId="5936422F" w14:textId="77777777" w:rsidR="00CC53E1" w:rsidRDefault="00CC53E1" w:rsidP="005C133F">
      <w:pPr>
        <w:spacing w:after="0" w:line="360" w:lineRule="auto"/>
        <w:rPr>
          <w:noProof/>
          <w:lang w:val="es-DO"/>
        </w:rPr>
      </w:pPr>
    </w:p>
    <w:p w14:paraId="3F58D460" w14:textId="77777777" w:rsidR="00CC53E1" w:rsidRDefault="00CC53E1" w:rsidP="005C133F">
      <w:pPr>
        <w:spacing w:after="0" w:line="360" w:lineRule="auto"/>
        <w:rPr>
          <w:noProof/>
          <w:lang w:val="es-DO"/>
        </w:rPr>
      </w:pPr>
    </w:p>
    <w:p w14:paraId="7CEC9600" w14:textId="6BAED5EE" w:rsidR="004D2630" w:rsidRDefault="004D2630">
      <w:pPr>
        <w:rPr>
          <w:noProof/>
          <w:lang w:val="es-DO"/>
        </w:rPr>
      </w:pPr>
      <w:r>
        <w:rPr>
          <w:noProof/>
          <w:lang w:val="es-DO"/>
        </w:rPr>
        <w:br w:type="page"/>
      </w:r>
    </w:p>
    <w:p w14:paraId="1ED34C96" w14:textId="2C2C93B0" w:rsidR="00DB79DC" w:rsidRPr="00291603" w:rsidRDefault="000D4D13">
      <w:pPr>
        <w:pStyle w:val="Ttulo1"/>
        <w:numPr>
          <w:ilvl w:val="0"/>
          <w:numId w:val="206"/>
        </w:numPr>
        <w:ind w:left="0" w:firstLine="0"/>
        <w:rPr>
          <w:rFonts w:cs="Times New Roman"/>
          <w:color w:val="767171"/>
          <w:szCs w:val="28"/>
          <w:lang w:val="es-DO"/>
        </w:rPr>
      </w:pPr>
      <w:r>
        <w:rPr>
          <w:rFonts w:cs="Times New Roman"/>
          <w:color w:val="767171"/>
          <w:szCs w:val="28"/>
          <w:lang w:val="es-DO"/>
        </w:rPr>
        <w:lastRenderedPageBreak/>
        <w:t xml:space="preserve"> </w:t>
      </w:r>
      <w:bookmarkStart w:id="139" w:name="_Toc219121858"/>
      <w:r w:rsidR="00DB79DC" w:rsidRPr="00291603">
        <w:rPr>
          <w:rFonts w:cs="Times New Roman"/>
          <w:color w:val="767171"/>
          <w:szCs w:val="28"/>
          <w:lang w:val="es-DO"/>
        </w:rPr>
        <w:t>SERVICIO AL CIUDADANO Y TRANSPARENCIA INSTITUCIONAL</w:t>
      </w:r>
      <w:bookmarkEnd w:id="139"/>
    </w:p>
    <w:p w14:paraId="25C15F8E" w14:textId="50CCAC6C" w:rsidR="004C4D73" w:rsidRPr="005C133F" w:rsidRDefault="004C4D73" w:rsidP="005C133F">
      <w:pPr>
        <w:spacing w:after="0" w:line="360" w:lineRule="auto"/>
        <w:rPr>
          <w:rFonts w:eastAsia="Calibri"/>
          <w:b/>
          <w:bCs/>
          <w:noProof/>
          <w:lang w:val="es-DO"/>
        </w:rPr>
      </w:pPr>
      <w:r w:rsidRPr="005C133F">
        <w:rPr>
          <w:rFonts w:eastAsia="Calibri"/>
          <w:noProof/>
          <w:lang w:val="es-DO" w:eastAsia="es-DO"/>
        </w:rPr>
        <mc:AlternateContent>
          <mc:Choice Requires="wps">
            <w:drawing>
              <wp:anchor distT="0" distB="0" distL="114300" distR="114300" simplePos="0" relativeHeight="251658245" behindDoc="0" locked="0" layoutInCell="1" allowOverlap="1" wp14:anchorId="4B912A9E" wp14:editId="56FF90E9">
                <wp:simplePos x="0" y="0"/>
                <wp:positionH relativeFrom="margin">
                  <wp:align>center</wp:align>
                </wp:positionH>
                <wp:positionV relativeFrom="paragraph">
                  <wp:posOffset>35944</wp:posOffset>
                </wp:positionV>
                <wp:extent cx="463550" cy="0"/>
                <wp:effectExtent l="0" t="19050" r="31750" b="19050"/>
                <wp:wrapNone/>
                <wp:docPr id="104634990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4407" id="Straight Connector 8" o:spid="_x0000_s1026" style="position:absolute;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" strokecolor="#ee2a24" strokeweight="2.25pt">
                <v:stroke joinstyle="miter"/>
                <w10:wrap anchorx="margin"/>
              </v:line>
            </w:pict>
          </mc:Fallback>
        </mc:AlternateContent>
      </w:r>
    </w:p>
    <w:p w14:paraId="7CCDCBB4" w14:textId="77777777" w:rsidR="000D4D13" w:rsidRPr="005C133F" w:rsidRDefault="000D4D13" w:rsidP="000D4D13">
      <w:pPr>
        <w:spacing w:after="0" w:line="360" w:lineRule="auto"/>
        <w:jc w:val="center"/>
        <w:rPr>
          <w:lang w:val="es-DO"/>
        </w:rPr>
      </w:pPr>
      <w:r w:rsidRPr="005C133F">
        <w:rPr>
          <w:lang w:val="es-DO"/>
        </w:rPr>
        <w:t>Memoria Institucional 2025</w:t>
      </w:r>
    </w:p>
    <w:p w14:paraId="4DF68E2C" w14:textId="76E881E9" w:rsidR="00E56318" w:rsidRPr="005C133F" w:rsidRDefault="00E56318" w:rsidP="005C133F">
      <w:pPr>
        <w:spacing w:after="0" w:line="360" w:lineRule="auto"/>
        <w:rPr>
          <w:rFonts w:eastAsia="Calibri"/>
          <w:b/>
          <w:bCs/>
          <w:noProof/>
          <w:lang w:val="es-DO"/>
        </w:rPr>
      </w:pPr>
    </w:p>
    <w:p w14:paraId="1CEE6259" w14:textId="06BD3D75" w:rsidR="00DB1B87" w:rsidRPr="005C133F" w:rsidRDefault="00DB1B87">
      <w:pPr>
        <w:pStyle w:val="SUBTITULITO"/>
        <w:numPr>
          <w:ilvl w:val="1"/>
          <w:numId w:val="51"/>
        </w:numPr>
        <w:spacing w:before="0" w:after="0"/>
        <w:rPr>
          <w:rFonts w:eastAsia="Calibri"/>
          <w:noProof/>
        </w:rPr>
      </w:pPr>
      <w:bookmarkStart w:id="140" w:name="_Toc219121859"/>
      <w:r w:rsidRPr="005C133F">
        <w:rPr>
          <w:rFonts w:eastAsia="Calibri"/>
          <w:noProof/>
        </w:rPr>
        <w:t>Nivel de la satisfacción con el servicio</w:t>
      </w:r>
      <w:bookmarkEnd w:id="140"/>
    </w:p>
    <w:p w14:paraId="1CAF28CF" w14:textId="2205FC88" w:rsidR="00223A8D" w:rsidRPr="005C133F" w:rsidRDefault="00223A8D" w:rsidP="005C133F">
      <w:pPr>
        <w:spacing w:after="0" w:line="360" w:lineRule="auto"/>
        <w:rPr>
          <w:rFonts w:eastAsia="Calibri"/>
          <w:noProof/>
          <w:lang w:val="es-DO"/>
        </w:rPr>
      </w:pPr>
    </w:p>
    <w:p w14:paraId="29F2BCE5" w14:textId="77777777" w:rsidR="0091477D" w:rsidRPr="005C133F" w:rsidRDefault="0091477D" w:rsidP="005C133F">
      <w:pPr>
        <w:spacing w:after="0" w:line="360" w:lineRule="auto"/>
        <w:rPr>
          <w:b/>
          <w:lang w:val="es-DO"/>
        </w:rPr>
      </w:pPr>
      <w:r w:rsidRPr="005C133F">
        <w:rPr>
          <w:b/>
          <w:lang w:val="es-DO"/>
        </w:rPr>
        <w:t>Retroalimentación de los Usuarios en el Buzón de Sugerencias y Quejas</w:t>
      </w:r>
    </w:p>
    <w:p w14:paraId="074F692C" w14:textId="0A89910C" w:rsidR="00C249AA" w:rsidRPr="005C133F" w:rsidRDefault="0091477D" w:rsidP="005C133F">
      <w:pPr>
        <w:spacing w:before="120" w:after="0" w:line="360" w:lineRule="auto"/>
        <w:jc w:val="both"/>
        <w:rPr>
          <w:rFonts w:eastAsia="Calibri"/>
          <w:lang w:val="es-DO"/>
        </w:rPr>
      </w:pPr>
      <w:r w:rsidRPr="005C133F">
        <w:rPr>
          <w:rFonts w:eastAsia="Calibri"/>
          <w:lang w:val="es-DO"/>
        </w:rPr>
        <w:t xml:space="preserve">Al cierre del periodo enero – </w:t>
      </w:r>
      <w:r w:rsidR="00D840B9">
        <w:rPr>
          <w:rFonts w:eastAsia="Calibri"/>
          <w:lang w:val="es-DO"/>
        </w:rPr>
        <w:t>diciembre</w:t>
      </w:r>
      <w:r w:rsidRPr="005C133F">
        <w:rPr>
          <w:rFonts w:eastAsia="Calibri"/>
          <w:lang w:val="es-DO"/>
        </w:rPr>
        <w:t xml:space="preserve"> 2025 se recibieron un total de </w:t>
      </w:r>
      <w:r w:rsidR="009F415D">
        <w:rPr>
          <w:rFonts w:eastAsia="Times New Roman"/>
          <w:lang w:val="es-DO" w:eastAsia="es-DO"/>
        </w:rPr>
        <w:t>930</w:t>
      </w:r>
      <w:r w:rsidRPr="005C133F">
        <w:rPr>
          <w:rFonts w:eastAsia="Calibri"/>
          <w:lang w:val="es-DO"/>
        </w:rPr>
        <w:t xml:space="preserve"> registros de buzones de quejas y sugerencias, depositados por los usuarios que visitaron nuestras oficinas de atención, en los cuales valoraron nuestros servicios y la atención brindada durante su estancia en nuestras instalaciones. Estos reportes fueron atendidos y canalizados por el Departamento de Calidad en la Gestión en un tiempo menor a </w:t>
      </w:r>
      <w:r w:rsidRPr="005C133F">
        <w:rPr>
          <w:rFonts w:eastAsia="Times New Roman"/>
          <w:lang w:val="es-DO" w:eastAsia="es-DO"/>
        </w:rPr>
        <w:t>1.</w:t>
      </w:r>
      <w:r w:rsidR="009F415D">
        <w:rPr>
          <w:rFonts w:eastAsia="Times New Roman"/>
          <w:lang w:val="es-DO" w:eastAsia="es-DO"/>
        </w:rPr>
        <w:t>24</w:t>
      </w:r>
      <w:r w:rsidRPr="005C133F">
        <w:rPr>
          <w:rFonts w:eastAsia="Calibri"/>
          <w:lang w:val="es-DO"/>
        </w:rPr>
        <w:t xml:space="preserve"> días laborables.</w:t>
      </w:r>
    </w:p>
    <w:p w14:paraId="3485B110" w14:textId="77777777" w:rsidR="006E364F" w:rsidRPr="005C133F" w:rsidRDefault="006E364F" w:rsidP="005C133F">
      <w:pPr>
        <w:spacing w:before="120" w:after="0" w:line="360" w:lineRule="auto"/>
        <w:jc w:val="both"/>
        <w:rPr>
          <w:rFonts w:eastAsia="Calibri"/>
          <w:lang w:val="es-DO"/>
        </w:rPr>
      </w:pPr>
    </w:p>
    <w:p w14:paraId="5E579B92" w14:textId="77777777" w:rsidR="00C249AA" w:rsidRPr="005C133F" w:rsidRDefault="00C249AA" w:rsidP="005C133F">
      <w:pPr>
        <w:spacing w:after="0" w:line="360" w:lineRule="auto"/>
        <w:rPr>
          <w:b/>
          <w:lang w:val="es-DO"/>
        </w:rPr>
      </w:pPr>
      <w:r w:rsidRPr="005C133F">
        <w:rPr>
          <w:b/>
          <w:lang w:val="es-DO"/>
        </w:rPr>
        <w:t>Monitoreo de la Carta Compromiso al Ciudadano</w:t>
      </w:r>
    </w:p>
    <w:p w14:paraId="61F8205B" w14:textId="77777777" w:rsidR="00C249AA" w:rsidRPr="005C133F" w:rsidRDefault="00C249AA" w:rsidP="005C133F">
      <w:pPr>
        <w:spacing w:before="120" w:after="0" w:line="360" w:lineRule="auto"/>
        <w:jc w:val="both"/>
        <w:rPr>
          <w:rFonts w:eastAsia="Calibri"/>
          <w:lang w:val="es-DO"/>
        </w:rPr>
      </w:pPr>
      <w:r w:rsidRPr="005C133F">
        <w:rPr>
          <w:rFonts w:eastAsia="Calibri"/>
          <w:lang w:val="es-DO"/>
        </w:rPr>
        <w:t>A continuación, se presenta el resultado del monitoreo de la Carta Compromiso durante el año.</w:t>
      </w:r>
    </w:p>
    <w:p w14:paraId="120E7EB8" w14:textId="77777777" w:rsidR="009A3752" w:rsidRPr="005C133F" w:rsidRDefault="009A3752" w:rsidP="00D840B9">
      <w:pPr>
        <w:pStyle w:val="Descripcin"/>
        <w:keepNext/>
        <w:spacing w:after="0"/>
        <w:rPr>
          <w:b/>
          <w:i w:val="0"/>
          <w:color w:val="767171"/>
          <w:sz w:val="24"/>
          <w:szCs w:val="24"/>
          <w:lang w:val="es-DO"/>
        </w:rPr>
      </w:pPr>
      <w:bookmarkStart w:id="141" w:name="_Toc185284156"/>
    </w:p>
    <w:p w14:paraId="2AE88EF3" w14:textId="13CBACE1" w:rsidR="009F27A8" w:rsidRDefault="009F27A8" w:rsidP="00D840B9">
      <w:pPr>
        <w:pStyle w:val="Descripcin"/>
        <w:keepNext/>
        <w:spacing w:after="0"/>
        <w:jc w:val="center"/>
        <w:rPr>
          <w:b/>
          <w:i w:val="0"/>
          <w:iCs w:val="0"/>
          <w:color w:val="767171"/>
          <w:sz w:val="24"/>
          <w:szCs w:val="24"/>
          <w:lang w:val="es-DO"/>
        </w:rPr>
      </w:pPr>
      <w:bookmarkStart w:id="142" w:name="_Toc218784192"/>
      <w:bookmarkEnd w:id="141"/>
      <w:r w:rsidRPr="005C133F">
        <w:rPr>
          <w:b/>
          <w:i w:val="0"/>
          <w:iCs w:val="0"/>
          <w:color w:val="767171"/>
          <w:sz w:val="24"/>
          <w:szCs w:val="24"/>
          <w:lang w:val="es-DO"/>
        </w:rPr>
        <w:t xml:space="preserve">Tabla </w:t>
      </w:r>
      <w:r w:rsidRPr="005C133F">
        <w:rPr>
          <w:b/>
          <w:i w:val="0"/>
          <w:iCs w:val="0"/>
          <w:color w:val="767171"/>
          <w:sz w:val="24"/>
          <w:szCs w:val="24"/>
          <w:lang w:val="es-DO"/>
        </w:rPr>
        <w:fldChar w:fldCharType="begin"/>
      </w:r>
      <w:r w:rsidRPr="005C133F">
        <w:rPr>
          <w:b/>
          <w:i w:val="0"/>
          <w:iCs w:val="0"/>
          <w:color w:val="767171"/>
          <w:sz w:val="24"/>
          <w:szCs w:val="24"/>
          <w:lang w:val="es-DO"/>
        </w:rPr>
        <w:instrText xml:space="preserve"> SEQ Tabla \* ARABIC </w:instrText>
      </w:r>
      <w:r w:rsidRPr="005C133F">
        <w:rPr>
          <w:b/>
          <w:i w:val="0"/>
          <w:iCs w:val="0"/>
          <w:color w:val="767171"/>
          <w:sz w:val="24"/>
          <w:szCs w:val="24"/>
          <w:lang w:val="es-DO"/>
        </w:rPr>
        <w:fldChar w:fldCharType="separate"/>
      </w:r>
      <w:r w:rsidR="00814341">
        <w:rPr>
          <w:b/>
          <w:i w:val="0"/>
          <w:iCs w:val="0"/>
          <w:noProof/>
          <w:color w:val="767171"/>
          <w:sz w:val="24"/>
          <w:szCs w:val="24"/>
          <w:lang w:val="es-DO"/>
        </w:rPr>
        <w:t>60</w:t>
      </w:r>
      <w:r w:rsidRPr="005C133F">
        <w:rPr>
          <w:b/>
          <w:i w:val="0"/>
          <w:iCs w:val="0"/>
          <w:color w:val="767171"/>
          <w:sz w:val="24"/>
          <w:szCs w:val="24"/>
          <w:lang w:val="es-DO"/>
        </w:rPr>
        <w:fldChar w:fldCharType="end"/>
      </w:r>
      <w:r w:rsidRPr="005C133F">
        <w:rPr>
          <w:b/>
          <w:i w:val="0"/>
          <w:iCs w:val="0"/>
          <w:color w:val="767171"/>
          <w:sz w:val="24"/>
          <w:szCs w:val="24"/>
          <w:lang w:val="es-DO"/>
        </w:rPr>
        <w:t>. Resultado del monitoreo de la carta compromiso al ciudadano, 2025</w:t>
      </w:r>
      <w:bookmarkEnd w:id="142"/>
    </w:p>
    <w:tbl>
      <w:tblPr>
        <w:tblW w:w="0" w:type="auto"/>
        <w:tblCellMar>
          <w:left w:w="70" w:type="dxa"/>
          <w:right w:w="70" w:type="dxa"/>
        </w:tblCellMar>
        <w:tblLook w:val="04A0" w:firstRow="1" w:lastRow="0" w:firstColumn="1" w:lastColumn="0" w:noHBand="0" w:noVBand="1"/>
      </w:tblPr>
      <w:tblGrid>
        <w:gridCol w:w="2129"/>
        <w:gridCol w:w="1403"/>
        <w:gridCol w:w="1669"/>
        <w:gridCol w:w="893"/>
        <w:gridCol w:w="600"/>
        <w:gridCol w:w="609"/>
        <w:gridCol w:w="607"/>
      </w:tblGrid>
      <w:tr w:rsidR="00D840B9" w:rsidRPr="00D840B9" w14:paraId="189E37FC" w14:textId="77777777" w:rsidTr="00D840B9">
        <w:trPr>
          <w:trHeight w:val="312"/>
          <w:tblHead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74A93AED" w14:textId="77777777" w:rsidR="00D840B9" w:rsidRPr="00D840B9" w:rsidRDefault="00D840B9" w:rsidP="00D840B9">
            <w:pPr>
              <w:spacing w:after="0" w:line="240" w:lineRule="auto"/>
              <w:rPr>
                <w:rFonts w:eastAsia="Times New Roman"/>
                <w:b/>
                <w:bCs/>
                <w:color w:val="FFFFFF"/>
                <w:spacing w:val="0"/>
                <w:lang w:val="es-DO" w:eastAsia="es-DO"/>
              </w:rPr>
            </w:pPr>
            <w:r w:rsidRPr="00D840B9">
              <w:rPr>
                <w:rFonts w:eastAsia="Times New Roman"/>
                <w:b/>
                <w:bCs/>
                <w:color w:val="FFFFFF"/>
                <w:spacing w:val="0"/>
                <w:lang w:val="es-DO" w:eastAsia="es-DO"/>
              </w:rPr>
              <w:t>Servicios Comprometidos</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1B469D7F" w14:textId="77777777" w:rsidR="00D840B9" w:rsidRPr="00D840B9" w:rsidRDefault="00D840B9" w:rsidP="00D840B9">
            <w:pPr>
              <w:spacing w:after="0" w:line="240" w:lineRule="auto"/>
              <w:rPr>
                <w:rFonts w:eastAsia="Times New Roman"/>
                <w:b/>
                <w:bCs/>
                <w:color w:val="FFFFFF"/>
                <w:spacing w:val="0"/>
                <w:lang w:val="es-DO" w:eastAsia="es-DO"/>
              </w:rPr>
            </w:pPr>
            <w:r w:rsidRPr="00D840B9">
              <w:rPr>
                <w:rFonts w:eastAsia="Times New Roman"/>
                <w:b/>
                <w:bCs/>
                <w:color w:val="FFFFFF"/>
                <w:spacing w:val="0"/>
                <w:lang w:val="es-DO" w:eastAsia="es-DO"/>
              </w:rPr>
              <w:t>Satisfacción esperada</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F14CD4D" w14:textId="77777777" w:rsidR="00D840B9" w:rsidRPr="00D840B9" w:rsidRDefault="00D840B9" w:rsidP="00D840B9">
            <w:pPr>
              <w:spacing w:after="0" w:line="240" w:lineRule="auto"/>
              <w:rPr>
                <w:rFonts w:eastAsia="Times New Roman"/>
                <w:b/>
                <w:bCs/>
                <w:color w:val="FFFFFF"/>
                <w:spacing w:val="0"/>
                <w:lang w:val="es-DO" w:eastAsia="es-DO"/>
              </w:rPr>
            </w:pPr>
            <w:r w:rsidRPr="00D840B9">
              <w:rPr>
                <w:rFonts w:eastAsia="Times New Roman"/>
                <w:b/>
                <w:bCs/>
                <w:color w:val="FFFFFF"/>
                <w:spacing w:val="0"/>
                <w:lang w:val="es-DO" w:eastAsia="es-DO"/>
              </w:rPr>
              <w:t>Nivel de Satisfacción</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5C14FDB4" w14:textId="77777777" w:rsidR="00D840B9" w:rsidRPr="00D840B9" w:rsidRDefault="00D840B9" w:rsidP="00D840B9">
            <w:pPr>
              <w:spacing w:after="0" w:line="240" w:lineRule="auto"/>
              <w:rPr>
                <w:rFonts w:eastAsia="Times New Roman"/>
                <w:b/>
                <w:bCs/>
                <w:color w:val="FFFFFF"/>
                <w:spacing w:val="0"/>
                <w:lang w:val="es-DO" w:eastAsia="es-DO"/>
              </w:rPr>
            </w:pPr>
            <w:r w:rsidRPr="00D840B9">
              <w:rPr>
                <w:rFonts w:eastAsia="Times New Roman"/>
                <w:b/>
                <w:bCs/>
                <w:color w:val="FFFFFF"/>
                <w:spacing w:val="0"/>
                <w:lang w:val="es-DO" w:eastAsia="es-DO"/>
              </w:rPr>
              <w:t>Ene – Mar</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2C55D09D" w14:textId="77777777" w:rsidR="00D840B9" w:rsidRPr="00D840B9" w:rsidRDefault="00D840B9" w:rsidP="00D840B9">
            <w:pPr>
              <w:spacing w:after="0" w:line="240" w:lineRule="auto"/>
              <w:rPr>
                <w:rFonts w:eastAsia="Times New Roman"/>
                <w:b/>
                <w:bCs/>
                <w:color w:val="FFFFFF"/>
                <w:spacing w:val="0"/>
                <w:lang w:val="es-DO" w:eastAsia="es-DO"/>
              </w:rPr>
            </w:pPr>
            <w:r w:rsidRPr="00D840B9">
              <w:rPr>
                <w:rFonts w:eastAsia="Times New Roman"/>
                <w:b/>
                <w:bCs/>
                <w:color w:val="FFFFFF"/>
                <w:spacing w:val="0"/>
                <w:lang w:val="es-DO" w:eastAsia="es-DO"/>
              </w:rPr>
              <w:t>Abr - Jun</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330D1ED" w14:textId="77777777" w:rsidR="00D840B9" w:rsidRPr="00D840B9" w:rsidRDefault="00D840B9" w:rsidP="00D840B9">
            <w:pPr>
              <w:spacing w:after="0" w:line="240" w:lineRule="auto"/>
              <w:jc w:val="center"/>
              <w:rPr>
                <w:rFonts w:eastAsia="Times New Roman"/>
                <w:b/>
                <w:bCs/>
                <w:color w:val="FFFFFF"/>
                <w:spacing w:val="0"/>
                <w:lang w:val="es-DO" w:eastAsia="es-DO"/>
              </w:rPr>
            </w:pPr>
            <w:r w:rsidRPr="00D840B9">
              <w:rPr>
                <w:rFonts w:eastAsia="Times New Roman"/>
                <w:b/>
                <w:bCs/>
                <w:color w:val="FFFFFF"/>
                <w:spacing w:val="0"/>
                <w:lang w:val="es-DO" w:eastAsia="es-DO"/>
              </w:rPr>
              <w:t>Jul-Sept</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32F26876" w14:textId="77777777" w:rsidR="00D840B9" w:rsidRPr="00D840B9" w:rsidRDefault="00D840B9" w:rsidP="00D840B9">
            <w:pPr>
              <w:spacing w:after="0" w:line="240" w:lineRule="auto"/>
              <w:jc w:val="center"/>
              <w:rPr>
                <w:rFonts w:eastAsia="Times New Roman"/>
                <w:b/>
                <w:bCs/>
                <w:color w:val="FFFFFF"/>
                <w:spacing w:val="0"/>
                <w:lang w:val="es-DO" w:eastAsia="es-DO"/>
              </w:rPr>
            </w:pPr>
            <w:r w:rsidRPr="00D840B9">
              <w:rPr>
                <w:rFonts w:eastAsia="Times New Roman"/>
                <w:b/>
                <w:bCs/>
                <w:color w:val="FFFFFF"/>
                <w:spacing w:val="0"/>
                <w:lang w:val="es-DO" w:eastAsia="es-DO"/>
              </w:rPr>
              <w:t>Oct-Dic</w:t>
            </w:r>
          </w:p>
        </w:tc>
      </w:tr>
      <w:tr w:rsidR="00D840B9" w:rsidRPr="00D840B9" w14:paraId="0FE104FA" w14:textId="77777777" w:rsidTr="00D840B9">
        <w:trPr>
          <w:trHeight w:val="540"/>
        </w:trPr>
        <w:tc>
          <w:tcPr>
            <w:tcW w:w="0" w:type="auto"/>
            <w:vMerge w:val="restart"/>
            <w:tcBorders>
              <w:top w:val="nil"/>
              <w:left w:val="single" w:sz="4" w:space="0" w:color="767171"/>
              <w:bottom w:val="single" w:sz="4" w:space="0" w:color="767171"/>
              <w:right w:val="single" w:sz="4" w:space="0" w:color="767171"/>
            </w:tcBorders>
            <w:vAlign w:val="center"/>
            <w:hideMark/>
          </w:tcPr>
          <w:p w14:paraId="08D66C1B"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Acreditación, renovación y gestión de los promotores de salud.</w:t>
            </w:r>
          </w:p>
        </w:tc>
        <w:tc>
          <w:tcPr>
            <w:tcW w:w="0" w:type="auto"/>
            <w:vMerge w:val="restart"/>
            <w:tcBorders>
              <w:top w:val="nil"/>
              <w:left w:val="single" w:sz="4" w:space="0" w:color="767171"/>
              <w:bottom w:val="single" w:sz="4" w:space="0" w:color="767171"/>
              <w:right w:val="single" w:sz="4" w:space="0" w:color="767171"/>
            </w:tcBorders>
            <w:vAlign w:val="center"/>
            <w:hideMark/>
          </w:tcPr>
          <w:p w14:paraId="24FE0C12"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4121D439"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Amabilidad</w:t>
            </w:r>
          </w:p>
        </w:tc>
        <w:tc>
          <w:tcPr>
            <w:tcW w:w="0" w:type="auto"/>
            <w:tcBorders>
              <w:top w:val="nil"/>
              <w:left w:val="nil"/>
              <w:bottom w:val="single" w:sz="4" w:space="0" w:color="767171"/>
              <w:right w:val="single" w:sz="4" w:space="0" w:color="767171"/>
            </w:tcBorders>
            <w:vAlign w:val="center"/>
            <w:hideMark/>
          </w:tcPr>
          <w:p w14:paraId="49D765B3"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67655972"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93%</w:t>
            </w:r>
          </w:p>
        </w:tc>
        <w:tc>
          <w:tcPr>
            <w:tcW w:w="0" w:type="auto"/>
            <w:tcBorders>
              <w:top w:val="nil"/>
              <w:left w:val="nil"/>
              <w:bottom w:val="single" w:sz="4" w:space="0" w:color="767171"/>
              <w:right w:val="single" w:sz="4" w:space="0" w:color="767171"/>
            </w:tcBorders>
            <w:vAlign w:val="center"/>
            <w:hideMark/>
          </w:tcPr>
          <w:p w14:paraId="362546F4"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96%</w:t>
            </w:r>
          </w:p>
        </w:tc>
        <w:tc>
          <w:tcPr>
            <w:tcW w:w="0" w:type="auto"/>
            <w:tcBorders>
              <w:top w:val="nil"/>
              <w:left w:val="nil"/>
              <w:bottom w:val="single" w:sz="4" w:space="0" w:color="767171"/>
              <w:right w:val="single" w:sz="4" w:space="0" w:color="767171"/>
            </w:tcBorders>
            <w:vAlign w:val="center"/>
            <w:hideMark/>
          </w:tcPr>
          <w:p w14:paraId="4F1FBEA1"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91%</w:t>
            </w:r>
          </w:p>
        </w:tc>
      </w:tr>
      <w:tr w:rsidR="00D840B9" w:rsidRPr="00D840B9" w14:paraId="670AAF0A" w14:textId="77777777" w:rsidTr="00D840B9">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4688A02B" w14:textId="77777777" w:rsidR="00D840B9" w:rsidRPr="00D840B9" w:rsidRDefault="00D840B9" w:rsidP="00D840B9">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275780D" w14:textId="77777777" w:rsidR="00D840B9" w:rsidRPr="00D840B9" w:rsidRDefault="00D840B9" w:rsidP="00D840B9">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6F8B49CF"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Fiabilidad</w:t>
            </w:r>
          </w:p>
        </w:tc>
        <w:tc>
          <w:tcPr>
            <w:tcW w:w="0" w:type="auto"/>
            <w:tcBorders>
              <w:top w:val="nil"/>
              <w:left w:val="nil"/>
              <w:bottom w:val="single" w:sz="4" w:space="0" w:color="767171"/>
              <w:right w:val="single" w:sz="4" w:space="0" w:color="767171"/>
            </w:tcBorders>
            <w:vAlign w:val="center"/>
            <w:hideMark/>
          </w:tcPr>
          <w:p w14:paraId="4D9B8828"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62C33DF9"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91%</w:t>
            </w:r>
          </w:p>
        </w:tc>
        <w:tc>
          <w:tcPr>
            <w:tcW w:w="0" w:type="auto"/>
            <w:tcBorders>
              <w:top w:val="nil"/>
              <w:left w:val="nil"/>
              <w:bottom w:val="single" w:sz="4" w:space="0" w:color="767171"/>
              <w:right w:val="single" w:sz="4" w:space="0" w:color="767171"/>
            </w:tcBorders>
            <w:vAlign w:val="center"/>
            <w:hideMark/>
          </w:tcPr>
          <w:p w14:paraId="772D5252"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94%</w:t>
            </w:r>
          </w:p>
        </w:tc>
        <w:tc>
          <w:tcPr>
            <w:tcW w:w="0" w:type="auto"/>
            <w:tcBorders>
              <w:top w:val="nil"/>
              <w:left w:val="nil"/>
              <w:bottom w:val="single" w:sz="4" w:space="0" w:color="767171"/>
              <w:right w:val="single" w:sz="4" w:space="0" w:color="767171"/>
            </w:tcBorders>
            <w:vAlign w:val="center"/>
            <w:hideMark/>
          </w:tcPr>
          <w:p w14:paraId="20BBFDF7"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94%</w:t>
            </w:r>
          </w:p>
        </w:tc>
      </w:tr>
      <w:tr w:rsidR="00D840B9" w:rsidRPr="00D840B9" w14:paraId="356EA877" w14:textId="77777777" w:rsidTr="00D840B9">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1FEA0952" w14:textId="77777777" w:rsidR="00D840B9" w:rsidRPr="00D840B9" w:rsidRDefault="00D840B9" w:rsidP="00D840B9">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0745DD6" w14:textId="77777777" w:rsidR="00D840B9" w:rsidRPr="00D840B9" w:rsidRDefault="00D840B9" w:rsidP="00D840B9">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3B40CCC9"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Accesibilidad</w:t>
            </w:r>
          </w:p>
        </w:tc>
        <w:tc>
          <w:tcPr>
            <w:tcW w:w="0" w:type="auto"/>
            <w:tcBorders>
              <w:top w:val="nil"/>
              <w:left w:val="nil"/>
              <w:bottom w:val="single" w:sz="4" w:space="0" w:color="767171"/>
              <w:right w:val="single" w:sz="4" w:space="0" w:color="767171"/>
            </w:tcBorders>
            <w:vAlign w:val="center"/>
            <w:hideMark/>
          </w:tcPr>
          <w:p w14:paraId="3FFD002E"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95%</w:t>
            </w:r>
          </w:p>
        </w:tc>
        <w:tc>
          <w:tcPr>
            <w:tcW w:w="0" w:type="auto"/>
            <w:tcBorders>
              <w:top w:val="nil"/>
              <w:left w:val="nil"/>
              <w:bottom w:val="single" w:sz="4" w:space="0" w:color="767171"/>
              <w:right w:val="single" w:sz="4" w:space="0" w:color="767171"/>
            </w:tcBorders>
            <w:vAlign w:val="center"/>
            <w:hideMark/>
          </w:tcPr>
          <w:p w14:paraId="67FCB149"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91%</w:t>
            </w:r>
          </w:p>
        </w:tc>
        <w:tc>
          <w:tcPr>
            <w:tcW w:w="0" w:type="auto"/>
            <w:tcBorders>
              <w:top w:val="nil"/>
              <w:left w:val="nil"/>
              <w:bottom w:val="single" w:sz="4" w:space="0" w:color="767171"/>
              <w:right w:val="single" w:sz="4" w:space="0" w:color="767171"/>
            </w:tcBorders>
            <w:vAlign w:val="center"/>
            <w:hideMark/>
          </w:tcPr>
          <w:p w14:paraId="642A2FC9"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95%</w:t>
            </w:r>
          </w:p>
        </w:tc>
        <w:tc>
          <w:tcPr>
            <w:tcW w:w="0" w:type="auto"/>
            <w:tcBorders>
              <w:top w:val="nil"/>
              <w:left w:val="nil"/>
              <w:bottom w:val="single" w:sz="4" w:space="0" w:color="767171"/>
              <w:right w:val="single" w:sz="4" w:space="0" w:color="767171"/>
            </w:tcBorders>
            <w:vAlign w:val="center"/>
            <w:hideMark/>
          </w:tcPr>
          <w:p w14:paraId="41780BEF"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91%</w:t>
            </w:r>
          </w:p>
        </w:tc>
      </w:tr>
      <w:tr w:rsidR="00D840B9" w:rsidRPr="00D840B9" w14:paraId="35BEB527" w14:textId="77777777" w:rsidTr="00D840B9">
        <w:trPr>
          <w:trHeight w:val="312"/>
        </w:trPr>
        <w:tc>
          <w:tcPr>
            <w:tcW w:w="0" w:type="auto"/>
            <w:vMerge w:val="restart"/>
            <w:tcBorders>
              <w:top w:val="nil"/>
              <w:left w:val="single" w:sz="4" w:space="0" w:color="767171"/>
              <w:bottom w:val="single" w:sz="4" w:space="0" w:color="767171"/>
              <w:right w:val="single" w:sz="4" w:space="0" w:color="767171"/>
            </w:tcBorders>
            <w:vAlign w:val="center"/>
            <w:hideMark/>
          </w:tcPr>
          <w:p w14:paraId="7141B27F"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 xml:space="preserve">Capacitación a empleadores, líderes </w:t>
            </w:r>
            <w:r w:rsidRPr="00D840B9">
              <w:rPr>
                <w:rFonts w:eastAsia="Times New Roman"/>
                <w:spacing w:val="0"/>
                <w:lang w:val="es-DO" w:eastAsia="es-DO"/>
              </w:rPr>
              <w:lastRenderedPageBreak/>
              <w:t>sociales, y los trabajadores afiliados al SDSS, PSS y ARS sobre SFS y SRL.</w:t>
            </w:r>
          </w:p>
        </w:tc>
        <w:tc>
          <w:tcPr>
            <w:tcW w:w="0" w:type="auto"/>
            <w:vMerge w:val="restart"/>
            <w:tcBorders>
              <w:top w:val="nil"/>
              <w:left w:val="single" w:sz="4" w:space="0" w:color="767171"/>
              <w:bottom w:val="single" w:sz="4" w:space="0" w:color="767171"/>
              <w:right w:val="single" w:sz="4" w:space="0" w:color="767171"/>
            </w:tcBorders>
            <w:vAlign w:val="center"/>
            <w:hideMark/>
          </w:tcPr>
          <w:p w14:paraId="0069A71B"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lastRenderedPageBreak/>
              <w:t>85%</w:t>
            </w:r>
          </w:p>
        </w:tc>
        <w:tc>
          <w:tcPr>
            <w:tcW w:w="0" w:type="auto"/>
            <w:tcBorders>
              <w:top w:val="nil"/>
              <w:left w:val="nil"/>
              <w:bottom w:val="single" w:sz="4" w:space="0" w:color="767171"/>
              <w:right w:val="single" w:sz="4" w:space="0" w:color="767171"/>
            </w:tcBorders>
            <w:vAlign w:val="center"/>
            <w:hideMark/>
          </w:tcPr>
          <w:p w14:paraId="703C58C0"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Amabilidad</w:t>
            </w:r>
          </w:p>
        </w:tc>
        <w:tc>
          <w:tcPr>
            <w:tcW w:w="0" w:type="auto"/>
            <w:tcBorders>
              <w:top w:val="nil"/>
              <w:left w:val="nil"/>
              <w:bottom w:val="single" w:sz="4" w:space="0" w:color="767171"/>
              <w:right w:val="single" w:sz="4" w:space="0" w:color="767171"/>
            </w:tcBorders>
            <w:vAlign w:val="center"/>
            <w:hideMark/>
          </w:tcPr>
          <w:p w14:paraId="5625A274"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98.50%</w:t>
            </w:r>
          </w:p>
        </w:tc>
        <w:tc>
          <w:tcPr>
            <w:tcW w:w="0" w:type="auto"/>
            <w:tcBorders>
              <w:top w:val="nil"/>
              <w:left w:val="nil"/>
              <w:bottom w:val="single" w:sz="4" w:space="0" w:color="767171"/>
              <w:right w:val="single" w:sz="4" w:space="0" w:color="767171"/>
            </w:tcBorders>
            <w:vAlign w:val="center"/>
            <w:hideMark/>
          </w:tcPr>
          <w:p w14:paraId="7CD62928"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97%</w:t>
            </w:r>
          </w:p>
        </w:tc>
        <w:tc>
          <w:tcPr>
            <w:tcW w:w="0" w:type="auto"/>
            <w:tcBorders>
              <w:top w:val="nil"/>
              <w:left w:val="nil"/>
              <w:bottom w:val="single" w:sz="4" w:space="0" w:color="767171"/>
              <w:right w:val="single" w:sz="4" w:space="0" w:color="767171"/>
            </w:tcBorders>
            <w:vAlign w:val="center"/>
            <w:hideMark/>
          </w:tcPr>
          <w:p w14:paraId="3EF5EEC0"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97%</w:t>
            </w:r>
          </w:p>
        </w:tc>
        <w:tc>
          <w:tcPr>
            <w:tcW w:w="0" w:type="auto"/>
            <w:tcBorders>
              <w:top w:val="nil"/>
              <w:left w:val="nil"/>
              <w:bottom w:val="single" w:sz="4" w:space="0" w:color="767171"/>
              <w:right w:val="single" w:sz="4" w:space="0" w:color="767171"/>
            </w:tcBorders>
            <w:vAlign w:val="center"/>
            <w:hideMark/>
          </w:tcPr>
          <w:p w14:paraId="7BD5021B"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97%</w:t>
            </w:r>
          </w:p>
        </w:tc>
      </w:tr>
      <w:tr w:rsidR="00D840B9" w:rsidRPr="00D840B9" w14:paraId="11AF255A" w14:textId="77777777" w:rsidTr="00D840B9">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70387002" w14:textId="77777777" w:rsidR="00D840B9" w:rsidRPr="00D840B9" w:rsidRDefault="00D840B9" w:rsidP="00D840B9">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02DEA92" w14:textId="77777777" w:rsidR="00D840B9" w:rsidRPr="00D840B9" w:rsidRDefault="00D840B9" w:rsidP="00D840B9">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3C8CC7F8"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Profesionalidad</w:t>
            </w:r>
          </w:p>
        </w:tc>
        <w:tc>
          <w:tcPr>
            <w:tcW w:w="0" w:type="auto"/>
            <w:tcBorders>
              <w:top w:val="nil"/>
              <w:left w:val="nil"/>
              <w:bottom w:val="single" w:sz="4" w:space="0" w:color="767171"/>
              <w:right w:val="single" w:sz="4" w:space="0" w:color="767171"/>
            </w:tcBorders>
            <w:vAlign w:val="center"/>
            <w:hideMark/>
          </w:tcPr>
          <w:p w14:paraId="7FE04244"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595B2E5A"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97%</w:t>
            </w:r>
          </w:p>
        </w:tc>
        <w:tc>
          <w:tcPr>
            <w:tcW w:w="0" w:type="auto"/>
            <w:tcBorders>
              <w:top w:val="nil"/>
              <w:left w:val="nil"/>
              <w:bottom w:val="single" w:sz="4" w:space="0" w:color="767171"/>
              <w:right w:val="single" w:sz="4" w:space="0" w:color="767171"/>
            </w:tcBorders>
            <w:vAlign w:val="center"/>
            <w:hideMark/>
          </w:tcPr>
          <w:p w14:paraId="1A0E1215"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28D86BDF"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97%</w:t>
            </w:r>
          </w:p>
        </w:tc>
      </w:tr>
      <w:tr w:rsidR="00D840B9" w:rsidRPr="00D840B9" w14:paraId="177C347C" w14:textId="77777777" w:rsidTr="00D840B9">
        <w:trPr>
          <w:trHeight w:val="312"/>
        </w:trPr>
        <w:tc>
          <w:tcPr>
            <w:tcW w:w="0" w:type="auto"/>
            <w:vMerge/>
            <w:tcBorders>
              <w:top w:val="nil"/>
              <w:left w:val="single" w:sz="4" w:space="0" w:color="767171"/>
              <w:bottom w:val="single" w:sz="4" w:space="0" w:color="767171"/>
              <w:right w:val="single" w:sz="4" w:space="0" w:color="767171"/>
            </w:tcBorders>
            <w:vAlign w:val="center"/>
            <w:hideMark/>
          </w:tcPr>
          <w:p w14:paraId="0738B149" w14:textId="77777777" w:rsidR="00D840B9" w:rsidRPr="00D840B9" w:rsidRDefault="00D840B9" w:rsidP="00D840B9">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4F5EADA" w14:textId="77777777" w:rsidR="00D840B9" w:rsidRPr="00D840B9" w:rsidRDefault="00D840B9" w:rsidP="00D840B9">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093F82EB" w14:textId="77777777" w:rsidR="00D840B9" w:rsidRPr="00D840B9" w:rsidRDefault="00D840B9" w:rsidP="00D840B9">
            <w:pPr>
              <w:spacing w:after="0" w:line="240" w:lineRule="auto"/>
              <w:rPr>
                <w:rFonts w:eastAsia="Times New Roman"/>
                <w:spacing w:val="0"/>
                <w:lang w:val="es-DO" w:eastAsia="es-DO"/>
              </w:rPr>
            </w:pPr>
            <w:r w:rsidRPr="00D840B9">
              <w:rPr>
                <w:rFonts w:eastAsia="Times New Roman"/>
                <w:spacing w:val="0"/>
                <w:lang w:val="es-DO" w:eastAsia="es-DO"/>
              </w:rPr>
              <w:t>Fiabilidad</w:t>
            </w:r>
          </w:p>
        </w:tc>
        <w:tc>
          <w:tcPr>
            <w:tcW w:w="0" w:type="auto"/>
            <w:tcBorders>
              <w:top w:val="nil"/>
              <w:left w:val="nil"/>
              <w:bottom w:val="single" w:sz="4" w:space="0" w:color="767171"/>
              <w:right w:val="single" w:sz="4" w:space="0" w:color="767171"/>
            </w:tcBorders>
            <w:vAlign w:val="center"/>
            <w:hideMark/>
          </w:tcPr>
          <w:p w14:paraId="648E1D0D"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3AFD77F4"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96%</w:t>
            </w:r>
          </w:p>
        </w:tc>
        <w:tc>
          <w:tcPr>
            <w:tcW w:w="0" w:type="auto"/>
            <w:tcBorders>
              <w:top w:val="nil"/>
              <w:left w:val="nil"/>
              <w:bottom w:val="single" w:sz="4" w:space="0" w:color="767171"/>
              <w:right w:val="single" w:sz="4" w:space="0" w:color="767171"/>
            </w:tcBorders>
            <w:vAlign w:val="center"/>
            <w:hideMark/>
          </w:tcPr>
          <w:p w14:paraId="28EFABA0"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96%</w:t>
            </w:r>
          </w:p>
        </w:tc>
        <w:tc>
          <w:tcPr>
            <w:tcW w:w="0" w:type="auto"/>
            <w:tcBorders>
              <w:top w:val="nil"/>
              <w:left w:val="nil"/>
              <w:bottom w:val="single" w:sz="4" w:space="0" w:color="767171"/>
              <w:right w:val="single" w:sz="4" w:space="0" w:color="767171"/>
            </w:tcBorders>
            <w:vAlign w:val="center"/>
            <w:hideMark/>
          </w:tcPr>
          <w:p w14:paraId="0D97E6C1" w14:textId="77777777" w:rsidR="00D840B9" w:rsidRPr="00D840B9" w:rsidRDefault="00D840B9" w:rsidP="00D840B9">
            <w:pPr>
              <w:spacing w:after="0" w:line="240" w:lineRule="auto"/>
              <w:jc w:val="center"/>
              <w:rPr>
                <w:rFonts w:eastAsia="Times New Roman"/>
                <w:spacing w:val="0"/>
                <w:lang w:val="es-DO" w:eastAsia="es-DO"/>
              </w:rPr>
            </w:pPr>
            <w:r w:rsidRPr="00D840B9">
              <w:rPr>
                <w:rFonts w:eastAsia="Times New Roman"/>
                <w:spacing w:val="0"/>
                <w:lang w:val="es-DO" w:eastAsia="es-DO"/>
              </w:rPr>
              <w:t>96%</w:t>
            </w:r>
          </w:p>
        </w:tc>
      </w:tr>
    </w:tbl>
    <w:p w14:paraId="761E66E3" w14:textId="77777777" w:rsidR="00A3592E" w:rsidRPr="00291603" w:rsidRDefault="00A3592E" w:rsidP="005C133F">
      <w:pPr>
        <w:spacing w:after="0" w:line="360" w:lineRule="auto"/>
        <w:jc w:val="both"/>
        <w:rPr>
          <w:rFonts w:eastAsia="Times New Roman"/>
          <w:bCs/>
          <w:sz w:val="18"/>
          <w:szCs w:val="18"/>
          <w:lang w:val="es-DO" w:eastAsia="es-DO"/>
        </w:rPr>
      </w:pPr>
      <w:bookmarkStart w:id="143" w:name="_Hlk216941789"/>
      <w:r w:rsidRPr="00291603">
        <w:rPr>
          <w:rFonts w:eastAsia="Times New Roman"/>
          <w:bCs/>
          <w:sz w:val="18"/>
          <w:szCs w:val="18"/>
          <w:lang w:val="es-DO" w:eastAsia="es-DO"/>
        </w:rPr>
        <w:t>Fuente: Dirección de Planificación y Desarrollo, SISALRIL</w:t>
      </w:r>
      <w:bookmarkEnd w:id="143"/>
      <w:r w:rsidRPr="00291603">
        <w:rPr>
          <w:rFonts w:eastAsia="Times New Roman"/>
          <w:bCs/>
          <w:sz w:val="18"/>
          <w:szCs w:val="18"/>
          <w:lang w:val="es-DO" w:eastAsia="es-DO"/>
        </w:rPr>
        <w:t>.</w:t>
      </w:r>
    </w:p>
    <w:p w14:paraId="61D91B20" w14:textId="77777777" w:rsidR="004C4D73" w:rsidRPr="005C133F" w:rsidRDefault="004C4D73" w:rsidP="005C133F">
      <w:pPr>
        <w:spacing w:after="0" w:line="360" w:lineRule="auto"/>
        <w:rPr>
          <w:rFonts w:eastAsia="Calibri"/>
          <w:lang w:val="es-DO"/>
        </w:rPr>
      </w:pPr>
    </w:p>
    <w:p w14:paraId="003F9EDE" w14:textId="77777777" w:rsidR="00DB1B87" w:rsidRPr="005C133F" w:rsidRDefault="00DB1B87" w:rsidP="005C133F">
      <w:pPr>
        <w:pStyle w:val="SUBTITULITO"/>
        <w:spacing w:before="0" w:after="0"/>
        <w:rPr>
          <w:rFonts w:eastAsia="Calibri"/>
          <w:noProof/>
        </w:rPr>
      </w:pPr>
      <w:bookmarkStart w:id="144" w:name="_Toc219121860"/>
      <w:r w:rsidRPr="005C133F">
        <w:rPr>
          <w:rFonts w:eastAsia="Calibri"/>
          <w:noProof/>
        </w:rPr>
        <w:t>5.2 Nivel de cumplimiento de la  Ley de Acceso a la Información</w:t>
      </w:r>
      <w:bookmarkEnd w:id="144"/>
    </w:p>
    <w:p w14:paraId="5A6C9F94" w14:textId="77777777" w:rsidR="006337A2" w:rsidRPr="005C133F" w:rsidRDefault="006337A2" w:rsidP="005C133F">
      <w:pPr>
        <w:spacing w:after="0" w:line="360" w:lineRule="auto"/>
        <w:jc w:val="both"/>
        <w:rPr>
          <w:lang w:val="es-MX"/>
        </w:rPr>
      </w:pPr>
    </w:p>
    <w:p w14:paraId="713B5BF0" w14:textId="22F29647" w:rsidR="00D11C32" w:rsidRPr="005C133F" w:rsidRDefault="0057033E" w:rsidP="005C133F">
      <w:pPr>
        <w:spacing w:after="0" w:line="360" w:lineRule="auto"/>
        <w:jc w:val="both"/>
        <w:rPr>
          <w:lang w:val="es-MX"/>
        </w:rPr>
      </w:pPr>
      <w:r w:rsidRPr="005C133F">
        <w:rPr>
          <w:lang w:val="es-MX"/>
        </w:rPr>
        <w:t>La SISALRIL mantiene un compromiso permanente con la transparencia institucional, asegurando que la información publicada en su portal se actualice de manera constante, oportuna y conforme a lo dispuesto en la Ley General de Libre Acceso a la Información Pública No. 200-04. Este proceso garantiza que la ciudadanía disponga de datos veraces y accesibles sobre la gestión de la institución.</w:t>
      </w:r>
    </w:p>
    <w:p w14:paraId="095A4EB5" w14:textId="34A4A370" w:rsidR="00633CBA" w:rsidRPr="005C133F" w:rsidRDefault="00633CBA" w:rsidP="005C133F">
      <w:pPr>
        <w:spacing w:after="0" w:line="360" w:lineRule="auto"/>
        <w:ind w:left="-5" w:right="-10"/>
        <w:jc w:val="both"/>
        <w:rPr>
          <w:lang w:val="es-MX"/>
        </w:rPr>
      </w:pPr>
      <w:r w:rsidRPr="005C133F">
        <w:rPr>
          <w:lang w:val="es-MX"/>
        </w:rPr>
        <w:t xml:space="preserve">Durante el período </w:t>
      </w:r>
      <w:r w:rsidR="00B5644D" w:rsidRPr="005C133F">
        <w:rPr>
          <w:lang w:val="es-MX"/>
        </w:rPr>
        <w:t>e</w:t>
      </w:r>
      <w:r w:rsidRPr="005C133F">
        <w:rPr>
          <w:lang w:val="es-MX"/>
        </w:rPr>
        <w:t xml:space="preserve">nero – </w:t>
      </w:r>
      <w:r w:rsidR="00B5644D" w:rsidRPr="005C133F">
        <w:rPr>
          <w:lang w:val="es-MX"/>
        </w:rPr>
        <w:t>diciembre</w:t>
      </w:r>
      <w:r w:rsidRPr="005C133F">
        <w:rPr>
          <w:lang w:val="es-MX"/>
        </w:rPr>
        <w:t xml:space="preserve"> de 2025, la Oficina de Acceso a la Información tramitó solicitudes a través de los diferentes canales oficiales, respondiendo la totalidad de los requerimientos dentro de los plazos legales establecidos. Este desempeño reafirma la responsabilidad institucional de asegurar el acceso oportuno a la información pública y fortalecer la confianza ciudadana en los procesos de rendición de cuentas.</w:t>
      </w:r>
    </w:p>
    <w:p w14:paraId="02EC0BC0" w14:textId="77777777" w:rsidR="00707DEB" w:rsidRPr="005C133F" w:rsidRDefault="00707DEB" w:rsidP="005C133F">
      <w:pPr>
        <w:spacing w:after="0" w:line="360" w:lineRule="auto"/>
        <w:ind w:left="-5" w:right="-10"/>
        <w:jc w:val="both"/>
        <w:rPr>
          <w:lang w:val="es-MX"/>
        </w:rPr>
      </w:pPr>
    </w:p>
    <w:p w14:paraId="688A29AD" w14:textId="77777777" w:rsidR="00633CBA" w:rsidRPr="005C133F" w:rsidRDefault="00633CBA" w:rsidP="005C133F">
      <w:pPr>
        <w:spacing w:after="0" w:line="360" w:lineRule="auto"/>
        <w:ind w:left="-5" w:right="-10"/>
        <w:jc w:val="both"/>
        <w:rPr>
          <w:lang w:val="es-MX"/>
        </w:rPr>
      </w:pPr>
      <w:r w:rsidRPr="005C133F">
        <w:rPr>
          <w:lang w:val="es-MX"/>
        </w:rPr>
        <w:t>A continuación, se presentan las estadísticas correspondientes al período evaluado:</w:t>
      </w:r>
    </w:p>
    <w:p w14:paraId="7081BAD6" w14:textId="77777777" w:rsidR="002031A7" w:rsidRDefault="002031A7" w:rsidP="009B4ED1">
      <w:pPr>
        <w:spacing w:after="0" w:line="360" w:lineRule="auto"/>
        <w:jc w:val="center"/>
        <w:rPr>
          <w:lang w:val="es-MX"/>
        </w:rPr>
      </w:pPr>
    </w:p>
    <w:p w14:paraId="3D998611" w14:textId="77777777" w:rsidR="00CC53E1" w:rsidRDefault="00CC53E1" w:rsidP="009B4ED1">
      <w:pPr>
        <w:spacing w:after="0" w:line="360" w:lineRule="auto"/>
        <w:jc w:val="center"/>
        <w:rPr>
          <w:lang w:val="es-MX"/>
        </w:rPr>
      </w:pPr>
    </w:p>
    <w:p w14:paraId="6A41581A" w14:textId="77777777" w:rsidR="00CC53E1" w:rsidRPr="005C133F" w:rsidRDefault="00CC53E1" w:rsidP="009B4ED1">
      <w:pPr>
        <w:spacing w:after="0" w:line="360" w:lineRule="auto"/>
        <w:jc w:val="center"/>
        <w:rPr>
          <w:lang w:val="es-MX"/>
        </w:rPr>
      </w:pPr>
    </w:p>
    <w:p w14:paraId="4B83E422" w14:textId="718710FC" w:rsidR="00B976D8" w:rsidRPr="005C133F" w:rsidRDefault="00B976D8" w:rsidP="009B4ED1">
      <w:pPr>
        <w:spacing w:after="0" w:line="360" w:lineRule="auto"/>
        <w:jc w:val="center"/>
        <w:rPr>
          <w:b/>
          <w:bCs/>
          <w:lang w:val="es-DO"/>
        </w:rPr>
      </w:pPr>
      <w:bookmarkStart w:id="145" w:name="_Toc218784193"/>
      <w:r w:rsidRPr="005C133F">
        <w:rPr>
          <w:b/>
          <w:bCs/>
          <w:lang w:val="es-DO"/>
        </w:rPr>
        <w:lastRenderedPageBreak/>
        <w:t xml:space="preserve">Tabla </w:t>
      </w:r>
      <w:r w:rsidRPr="005C133F">
        <w:rPr>
          <w:b/>
          <w:bCs/>
          <w:lang w:val="es-DO"/>
        </w:rPr>
        <w:fldChar w:fldCharType="begin"/>
      </w:r>
      <w:r w:rsidRPr="005C133F">
        <w:rPr>
          <w:b/>
          <w:bCs/>
          <w:lang w:val="es-DO"/>
        </w:rPr>
        <w:instrText xml:space="preserve"> SEQ Tabla \* ARABIC </w:instrText>
      </w:r>
      <w:r w:rsidRPr="005C133F">
        <w:rPr>
          <w:b/>
          <w:bCs/>
          <w:lang w:val="es-DO"/>
        </w:rPr>
        <w:fldChar w:fldCharType="separate"/>
      </w:r>
      <w:r w:rsidR="00814341">
        <w:rPr>
          <w:b/>
          <w:bCs/>
          <w:noProof/>
          <w:lang w:val="es-DO"/>
        </w:rPr>
        <w:t>61</w:t>
      </w:r>
      <w:r w:rsidRPr="005C133F">
        <w:rPr>
          <w:b/>
          <w:bCs/>
          <w:lang w:val="es-DO"/>
        </w:rPr>
        <w:fldChar w:fldCharType="end"/>
      </w:r>
      <w:r w:rsidRPr="005C133F">
        <w:rPr>
          <w:b/>
          <w:bCs/>
          <w:lang w:val="es-DO"/>
        </w:rPr>
        <w:t>. Estadísticas de solicitudes de acceso a la información</w:t>
      </w:r>
      <w:r w:rsidR="004C4D73" w:rsidRPr="005C133F">
        <w:rPr>
          <w:b/>
          <w:bCs/>
          <w:lang w:val="es-DO"/>
        </w:rPr>
        <w:t xml:space="preserve"> </w:t>
      </w:r>
      <w:r w:rsidRPr="005C133F">
        <w:rPr>
          <w:b/>
          <w:bCs/>
          <w:lang w:val="es-DO"/>
        </w:rPr>
        <w:t xml:space="preserve"> atendidas, Enero - Diciembre 2025</w:t>
      </w:r>
      <w:bookmarkEnd w:id="145"/>
    </w:p>
    <w:tbl>
      <w:tblPr>
        <w:tblStyle w:val="TableGrid"/>
        <w:tblpPr w:leftFromText="141" w:rightFromText="141" w:vertAnchor="text" w:horzAnchor="margin" w:tblpXSpec="center" w:tblpY="-28"/>
        <w:tblW w:w="7910" w:type="dxa"/>
        <w:tblInd w:w="0" w:type="dxa"/>
        <w:tblCellMar>
          <w:top w:w="38" w:type="dxa"/>
          <w:left w:w="115" w:type="dxa"/>
          <w:right w:w="115" w:type="dxa"/>
        </w:tblCellMar>
        <w:tblLook w:val="04A0" w:firstRow="1" w:lastRow="0" w:firstColumn="1" w:lastColumn="0" w:noHBand="0" w:noVBand="1"/>
      </w:tblPr>
      <w:tblGrid>
        <w:gridCol w:w="1951"/>
        <w:gridCol w:w="1337"/>
        <w:gridCol w:w="1337"/>
        <w:gridCol w:w="1337"/>
        <w:gridCol w:w="1948"/>
      </w:tblGrid>
      <w:tr w:rsidR="004C4D73" w:rsidRPr="005C133F" w14:paraId="586C7875" w14:textId="77777777" w:rsidTr="009B4ED1">
        <w:trPr>
          <w:trHeight w:val="848"/>
          <w:tblHeader/>
        </w:trPr>
        <w:tc>
          <w:tcPr>
            <w:tcW w:w="1951"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3FE2E747"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Período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7ECF70B9"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SAIP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7724528E"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311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477FFA69"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Correo OAI </w:t>
            </w:r>
          </w:p>
        </w:tc>
        <w:tc>
          <w:tcPr>
            <w:tcW w:w="1948"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13B66C7B"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Cartas/físicas  </w:t>
            </w:r>
          </w:p>
        </w:tc>
      </w:tr>
      <w:tr w:rsidR="004921FF" w:rsidRPr="005C133F" w14:paraId="33AA0077" w14:textId="77777777" w:rsidTr="009B4ED1">
        <w:trPr>
          <w:trHeight w:val="335"/>
        </w:trPr>
        <w:tc>
          <w:tcPr>
            <w:tcW w:w="1951" w:type="dxa"/>
            <w:tcBorders>
              <w:top w:val="single" w:sz="4" w:space="0" w:color="767171"/>
              <w:left w:val="single" w:sz="4" w:space="0" w:color="767171"/>
              <w:bottom w:val="single" w:sz="4" w:space="0" w:color="767171"/>
              <w:right w:val="single" w:sz="4" w:space="0" w:color="767171"/>
            </w:tcBorders>
          </w:tcPr>
          <w:p w14:paraId="54560F2C"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Enero </w:t>
            </w:r>
          </w:p>
        </w:tc>
        <w:tc>
          <w:tcPr>
            <w:tcW w:w="1337" w:type="dxa"/>
            <w:tcBorders>
              <w:top w:val="single" w:sz="4" w:space="0" w:color="767171"/>
              <w:left w:val="single" w:sz="4" w:space="0" w:color="767171"/>
              <w:bottom w:val="single" w:sz="4" w:space="0" w:color="767171"/>
              <w:right w:val="single" w:sz="4" w:space="0" w:color="767171"/>
            </w:tcBorders>
          </w:tcPr>
          <w:p w14:paraId="0490EFB1"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12 </w:t>
            </w:r>
          </w:p>
        </w:tc>
        <w:tc>
          <w:tcPr>
            <w:tcW w:w="1337" w:type="dxa"/>
            <w:tcBorders>
              <w:top w:val="single" w:sz="4" w:space="0" w:color="767171"/>
              <w:left w:val="single" w:sz="4" w:space="0" w:color="767171"/>
              <w:bottom w:val="single" w:sz="4" w:space="0" w:color="767171"/>
              <w:right w:val="single" w:sz="4" w:space="0" w:color="767171"/>
            </w:tcBorders>
          </w:tcPr>
          <w:p w14:paraId="4748119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 </w:t>
            </w:r>
          </w:p>
        </w:tc>
        <w:tc>
          <w:tcPr>
            <w:tcW w:w="1337" w:type="dxa"/>
            <w:tcBorders>
              <w:top w:val="single" w:sz="4" w:space="0" w:color="767171"/>
              <w:left w:val="single" w:sz="4" w:space="0" w:color="767171"/>
              <w:bottom w:val="single" w:sz="4" w:space="0" w:color="767171"/>
              <w:right w:val="single" w:sz="4" w:space="0" w:color="767171"/>
            </w:tcBorders>
          </w:tcPr>
          <w:p w14:paraId="32D6F7B0"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290 </w:t>
            </w:r>
          </w:p>
        </w:tc>
        <w:tc>
          <w:tcPr>
            <w:tcW w:w="1948" w:type="dxa"/>
            <w:tcBorders>
              <w:top w:val="single" w:sz="4" w:space="0" w:color="767171"/>
              <w:left w:val="single" w:sz="4" w:space="0" w:color="767171"/>
              <w:bottom w:val="single" w:sz="4" w:space="0" w:color="767171"/>
              <w:right w:val="single" w:sz="4" w:space="0" w:color="767171"/>
            </w:tcBorders>
          </w:tcPr>
          <w:p w14:paraId="7BE8F91E"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0</w:t>
            </w:r>
          </w:p>
        </w:tc>
      </w:tr>
      <w:tr w:rsidR="004921FF" w:rsidRPr="005C133F" w14:paraId="2BA2D859"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1BE0A5C8"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Febrero </w:t>
            </w:r>
          </w:p>
        </w:tc>
        <w:tc>
          <w:tcPr>
            <w:tcW w:w="1337" w:type="dxa"/>
            <w:tcBorders>
              <w:top w:val="single" w:sz="4" w:space="0" w:color="767171"/>
              <w:left w:val="single" w:sz="4" w:space="0" w:color="767171"/>
              <w:bottom w:val="single" w:sz="4" w:space="0" w:color="767171"/>
              <w:right w:val="single" w:sz="4" w:space="0" w:color="767171"/>
            </w:tcBorders>
          </w:tcPr>
          <w:p w14:paraId="1444A740"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3</w:t>
            </w:r>
          </w:p>
        </w:tc>
        <w:tc>
          <w:tcPr>
            <w:tcW w:w="1337" w:type="dxa"/>
            <w:tcBorders>
              <w:top w:val="single" w:sz="4" w:space="0" w:color="767171"/>
              <w:left w:val="single" w:sz="4" w:space="0" w:color="767171"/>
              <w:bottom w:val="single" w:sz="4" w:space="0" w:color="767171"/>
              <w:right w:val="single" w:sz="4" w:space="0" w:color="767171"/>
            </w:tcBorders>
          </w:tcPr>
          <w:p w14:paraId="28D10191"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c>
          <w:tcPr>
            <w:tcW w:w="1337" w:type="dxa"/>
            <w:tcBorders>
              <w:top w:val="single" w:sz="4" w:space="0" w:color="767171"/>
              <w:left w:val="single" w:sz="4" w:space="0" w:color="767171"/>
              <w:bottom w:val="single" w:sz="4" w:space="0" w:color="767171"/>
              <w:right w:val="single" w:sz="4" w:space="0" w:color="767171"/>
            </w:tcBorders>
          </w:tcPr>
          <w:p w14:paraId="7535DDCE"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226</w:t>
            </w:r>
          </w:p>
        </w:tc>
        <w:tc>
          <w:tcPr>
            <w:tcW w:w="1948" w:type="dxa"/>
            <w:tcBorders>
              <w:top w:val="single" w:sz="4" w:space="0" w:color="767171"/>
              <w:left w:val="single" w:sz="4" w:space="0" w:color="767171"/>
              <w:bottom w:val="single" w:sz="4" w:space="0" w:color="767171"/>
              <w:right w:val="single" w:sz="4" w:space="0" w:color="767171"/>
            </w:tcBorders>
          </w:tcPr>
          <w:p w14:paraId="2E8B28A4"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r>
      <w:tr w:rsidR="004921FF" w:rsidRPr="005C133F" w14:paraId="0F47B3C5"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21528DB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Marzo </w:t>
            </w:r>
          </w:p>
        </w:tc>
        <w:tc>
          <w:tcPr>
            <w:tcW w:w="1337" w:type="dxa"/>
            <w:tcBorders>
              <w:top w:val="single" w:sz="4" w:space="0" w:color="767171"/>
              <w:left w:val="single" w:sz="4" w:space="0" w:color="767171"/>
              <w:bottom w:val="single" w:sz="4" w:space="0" w:color="767171"/>
              <w:right w:val="single" w:sz="4" w:space="0" w:color="767171"/>
            </w:tcBorders>
          </w:tcPr>
          <w:p w14:paraId="7713BF4E"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6 </w:t>
            </w:r>
          </w:p>
        </w:tc>
        <w:tc>
          <w:tcPr>
            <w:tcW w:w="1337" w:type="dxa"/>
            <w:tcBorders>
              <w:top w:val="single" w:sz="4" w:space="0" w:color="767171"/>
              <w:left w:val="single" w:sz="4" w:space="0" w:color="767171"/>
              <w:bottom w:val="single" w:sz="4" w:space="0" w:color="767171"/>
              <w:right w:val="single" w:sz="4" w:space="0" w:color="767171"/>
            </w:tcBorders>
          </w:tcPr>
          <w:p w14:paraId="4B9F1004"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3 </w:t>
            </w:r>
          </w:p>
        </w:tc>
        <w:tc>
          <w:tcPr>
            <w:tcW w:w="1337" w:type="dxa"/>
            <w:tcBorders>
              <w:top w:val="single" w:sz="4" w:space="0" w:color="767171"/>
              <w:left w:val="single" w:sz="4" w:space="0" w:color="767171"/>
              <w:bottom w:val="single" w:sz="4" w:space="0" w:color="767171"/>
              <w:right w:val="single" w:sz="4" w:space="0" w:color="767171"/>
            </w:tcBorders>
          </w:tcPr>
          <w:p w14:paraId="30364CE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260 </w:t>
            </w:r>
          </w:p>
        </w:tc>
        <w:tc>
          <w:tcPr>
            <w:tcW w:w="1948" w:type="dxa"/>
            <w:tcBorders>
              <w:top w:val="single" w:sz="4" w:space="0" w:color="767171"/>
              <w:left w:val="single" w:sz="4" w:space="0" w:color="767171"/>
              <w:bottom w:val="single" w:sz="4" w:space="0" w:color="767171"/>
              <w:right w:val="single" w:sz="4" w:space="0" w:color="767171"/>
            </w:tcBorders>
          </w:tcPr>
          <w:p w14:paraId="2E30555E"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r>
      <w:tr w:rsidR="004921FF" w:rsidRPr="005C133F" w14:paraId="317844B7"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4CC83E05"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Abril </w:t>
            </w:r>
          </w:p>
        </w:tc>
        <w:tc>
          <w:tcPr>
            <w:tcW w:w="1337" w:type="dxa"/>
            <w:tcBorders>
              <w:top w:val="single" w:sz="4" w:space="0" w:color="767171"/>
              <w:left w:val="single" w:sz="4" w:space="0" w:color="767171"/>
              <w:bottom w:val="single" w:sz="4" w:space="0" w:color="767171"/>
              <w:right w:val="single" w:sz="4" w:space="0" w:color="767171"/>
            </w:tcBorders>
          </w:tcPr>
          <w:p w14:paraId="39001B2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c>
          <w:tcPr>
            <w:tcW w:w="1337" w:type="dxa"/>
            <w:tcBorders>
              <w:top w:val="single" w:sz="4" w:space="0" w:color="767171"/>
              <w:left w:val="single" w:sz="4" w:space="0" w:color="767171"/>
              <w:bottom w:val="single" w:sz="4" w:space="0" w:color="767171"/>
              <w:right w:val="single" w:sz="4" w:space="0" w:color="767171"/>
            </w:tcBorders>
          </w:tcPr>
          <w:p w14:paraId="541EC976"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c>
          <w:tcPr>
            <w:tcW w:w="1337" w:type="dxa"/>
            <w:tcBorders>
              <w:top w:val="single" w:sz="4" w:space="0" w:color="767171"/>
              <w:left w:val="single" w:sz="4" w:space="0" w:color="767171"/>
              <w:bottom w:val="single" w:sz="4" w:space="0" w:color="767171"/>
              <w:right w:val="single" w:sz="4" w:space="0" w:color="767171"/>
            </w:tcBorders>
          </w:tcPr>
          <w:p w14:paraId="3C239E57"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205</w:t>
            </w:r>
          </w:p>
        </w:tc>
        <w:tc>
          <w:tcPr>
            <w:tcW w:w="1948" w:type="dxa"/>
            <w:tcBorders>
              <w:top w:val="single" w:sz="4" w:space="0" w:color="767171"/>
              <w:left w:val="single" w:sz="4" w:space="0" w:color="767171"/>
              <w:bottom w:val="single" w:sz="4" w:space="0" w:color="767171"/>
              <w:right w:val="single" w:sz="4" w:space="0" w:color="767171"/>
            </w:tcBorders>
          </w:tcPr>
          <w:p w14:paraId="3D7E4DB7"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r>
      <w:tr w:rsidR="004921FF" w:rsidRPr="005C133F" w14:paraId="12C03295" w14:textId="77777777" w:rsidTr="009B4ED1">
        <w:trPr>
          <w:trHeight w:val="336"/>
        </w:trPr>
        <w:tc>
          <w:tcPr>
            <w:tcW w:w="1951" w:type="dxa"/>
            <w:tcBorders>
              <w:top w:val="single" w:sz="4" w:space="0" w:color="767171"/>
              <w:left w:val="single" w:sz="4" w:space="0" w:color="767171"/>
              <w:bottom w:val="single" w:sz="4" w:space="0" w:color="767171"/>
              <w:right w:val="single" w:sz="4" w:space="0" w:color="767171"/>
            </w:tcBorders>
          </w:tcPr>
          <w:p w14:paraId="6DF0F526"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Mayo </w:t>
            </w:r>
          </w:p>
        </w:tc>
        <w:tc>
          <w:tcPr>
            <w:tcW w:w="1337" w:type="dxa"/>
            <w:tcBorders>
              <w:top w:val="single" w:sz="4" w:space="0" w:color="767171"/>
              <w:left w:val="single" w:sz="4" w:space="0" w:color="767171"/>
              <w:bottom w:val="single" w:sz="4" w:space="0" w:color="767171"/>
              <w:right w:val="single" w:sz="4" w:space="0" w:color="767171"/>
            </w:tcBorders>
          </w:tcPr>
          <w:p w14:paraId="4FF9966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5 </w:t>
            </w:r>
          </w:p>
        </w:tc>
        <w:tc>
          <w:tcPr>
            <w:tcW w:w="1337" w:type="dxa"/>
            <w:tcBorders>
              <w:top w:val="single" w:sz="4" w:space="0" w:color="767171"/>
              <w:left w:val="single" w:sz="4" w:space="0" w:color="767171"/>
              <w:bottom w:val="single" w:sz="4" w:space="0" w:color="767171"/>
              <w:right w:val="single" w:sz="4" w:space="0" w:color="767171"/>
            </w:tcBorders>
          </w:tcPr>
          <w:p w14:paraId="350B16E0"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c>
          <w:tcPr>
            <w:tcW w:w="1337" w:type="dxa"/>
            <w:tcBorders>
              <w:top w:val="single" w:sz="4" w:space="0" w:color="767171"/>
              <w:left w:val="single" w:sz="4" w:space="0" w:color="767171"/>
              <w:bottom w:val="single" w:sz="4" w:space="0" w:color="767171"/>
              <w:right w:val="single" w:sz="4" w:space="0" w:color="767171"/>
            </w:tcBorders>
          </w:tcPr>
          <w:p w14:paraId="05797116"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214 </w:t>
            </w:r>
          </w:p>
        </w:tc>
        <w:tc>
          <w:tcPr>
            <w:tcW w:w="1948" w:type="dxa"/>
            <w:tcBorders>
              <w:top w:val="single" w:sz="4" w:space="0" w:color="767171"/>
              <w:left w:val="single" w:sz="4" w:space="0" w:color="767171"/>
              <w:bottom w:val="single" w:sz="4" w:space="0" w:color="767171"/>
              <w:right w:val="single" w:sz="4" w:space="0" w:color="767171"/>
            </w:tcBorders>
          </w:tcPr>
          <w:p w14:paraId="1EF40713"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r>
      <w:tr w:rsidR="004921FF" w:rsidRPr="005C133F" w14:paraId="0B6598CA"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726126F6"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Junio </w:t>
            </w:r>
          </w:p>
        </w:tc>
        <w:tc>
          <w:tcPr>
            <w:tcW w:w="1337" w:type="dxa"/>
            <w:tcBorders>
              <w:top w:val="single" w:sz="4" w:space="0" w:color="767171"/>
              <w:left w:val="single" w:sz="4" w:space="0" w:color="767171"/>
              <w:bottom w:val="single" w:sz="4" w:space="0" w:color="767171"/>
              <w:right w:val="single" w:sz="4" w:space="0" w:color="767171"/>
            </w:tcBorders>
          </w:tcPr>
          <w:p w14:paraId="1420AB5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10 </w:t>
            </w:r>
          </w:p>
        </w:tc>
        <w:tc>
          <w:tcPr>
            <w:tcW w:w="1337" w:type="dxa"/>
            <w:tcBorders>
              <w:top w:val="single" w:sz="4" w:space="0" w:color="767171"/>
              <w:left w:val="single" w:sz="4" w:space="0" w:color="767171"/>
              <w:bottom w:val="single" w:sz="4" w:space="0" w:color="767171"/>
              <w:right w:val="single" w:sz="4" w:space="0" w:color="767171"/>
            </w:tcBorders>
          </w:tcPr>
          <w:p w14:paraId="445A321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 </w:t>
            </w:r>
          </w:p>
        </w:tc>
        <w:tc>
          <w:tcPr>
            <w:tcW w:w="1337" w:type="dxa"/>
            <w:tcBorders>
              <w:top w:val="single" w:sz="4" w:space="0" w:color="767171"/>
              <w:left w:val="single" w:sz="4" w:space="0" w:color="767171"/>
              <w:bottom w:val="single" w:sz="4" w:space="0" w:color="767171"/>
              <w:right w:val="single" w:sz="4" w:space="0" w:color="767171"/>
            </w:tcBorders>
          </w:tcPr>
          <w:p w14:paraId="5340CED5"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215 </w:t>
            </w:r>
          </w:p>
        </w:tc>
        <w:tc>
          <w:tcPr>
            <w:tcW w:w="1948" w:type="dxa"/>
            <w:tcBorders>
              <w:top w:val="single" w:sz="4" w:space="0" w:color="767171"/>
              <w:left w:val="single" w:sz="4" w:space="0" w:color="767171"/>
              <w:bottom w:val="single" w:sz="4" w:space="0" w:color="767171"/>
              <w:right w:val="single" w:sz="4" w:space="0" w:color="767171"/>
            </w:tcBorders>
          </w:tcPr>
          <w:p w14:paraId="784BB4D7"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r>
      <w:tr w:rsidR="004921FF" w:rsidRPr="005C133F" w14:paraId="67FB34B3"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53A33A73"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Julio </w:t>
            </w:r>
          </w:p>
        </w:tc>
        <w:tc>
          <w:tcPr>
            <w:tcW w:w="1337" w:type="dxa"/>
            <w:tcBorders>
              <w:top w:val="single" w:sz="4" w:space="0" w:color="767171"/>
              <w:left w:val="single" w:sz="4" w:space="0" w:color="767171"/>
              <w:bottom w:val="single" w:sz="4" w:space="0" w:color="767171"/>
              <w:right w:val="single" w:sz="4" w:space="0" w:color="767171"/>
            </w:tcBorders>
          </w:tcPr>
          <w:p w14:paraId="3806290A"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10</w:t>
            </w:r>
          </w:p>
        </w:tc>
        <w:tc>
          <w:tcPr>
            <w:tcW w:w="1337" w:type="dxa"/>
            <w:tcBorders>
              <w:top w:val="single" w:sz="4" w:space="0" w:color="767171"/>
              <w:left w:val="single" w:sz="4" w:space="0" w:color="767171"/>
              <w:bottom w:val="single" w:sz="4" w:space="0" w:color="767171"/>
              <w:right w:val="single" w:sz="4" w:space="0" w:color="767171"/>
            </w:tcBorders>
          </w:tcPr>
          <w:p w14:paraId="5F61479D"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3 </w:t>
            </w:r>
          </w:p>
        </w:tc>
        <w:tc>
          <w:tcPr>
            <w:tcW w:w="1337" w:type="dxa"/>
            <w:tcBorders>
              <w:top w:val="single" w:sz="4" w:space="0" w:color="767171"/>
              <w:left w:val="single" w:sz="4" w:space="0" w:color="767171"/>
              <w:bottom w:val="single" w:sz="4" w:space="0" w:color="767171"/>
              <w:right w:val="single" w:sz="4" w:space="0" w:color="767171"/>
            </w:tcBorders>
          </w:tcPr>
          <w:p w14:paraId="320529DA"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236</w:t>
            </w:r>
          </w:p>
        </w:tc>
        <w:tc>
          <w:tcPr>
            <w:tcW w:w="1948" w:type="dxa"/>
            <w:tcBorders>
              <w:top w:val="single" w:sz="4" w:space="0" w:color="767171"/>
              <w:left w:val="single" w:sz="4" w:space="0" w:color="767171"/>
              <w:bottom w:val="single" w:sz="4" w:space="0" w:color="767171"/>
              <w:right w:val="single" w:sz="4" w:space="0" w:color="767171"/>
            </w:tcBorders>
          </w:tcPr>
          <w:p w14:paraId="0B23658B"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r>
      <w:tr w:rsidR="004921FF" w:rsidRPr="005C133F" w14:paraId="0F641FC3"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2B21A181"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Agosto </w:t>
            </w:r>
          </w:p>
        </w:tc>
        <w:tc>
          <w:tcPr>
            <w:tcW w:w="1337" w:type="dxa"/>
            <w:tcBorders>
              <w:top w:val="single" w:sz="4" w:space="0" w:color="767171"/>
              <w:left w:val="single" w:sz="4" w:space="0" w:color="767171"/>
              <w:bottom w:val="single" w:sz="4" w:space="0" w:color="767171"/>
              <w:right w:val="single" w:sz="4" w:space="0" w:color="767171"/>
            </w:tcBorders>
          </w:tcPr>
          <w:p w14:paraId="443D899C"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6 </w:t>
            </w:r>
          </w:p>
        </w:tc>
        <w:tc>
          <w:tcPr>
            <w:tcW w:w="1337" w:type="dxa"/>
            <w:tcBorders>
              <w:top w:val="single" w:sz="4" w:space="0" w:color="767171"/>
              <w:left w:val="single" w:sz="4" w:space="0" w:color="767171"/>
              <w:bottom w:val="single" w:sz="4" w:space="0" w:color="767171"/>
              <w:right w:val="single" w:sz="4" w:space="0" w:color="767171"/>
            </w:tcBorders>
          </w:tcPr>
          <w:p w14:paraId="07D504E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 </w:t>
            </w:r>
          </w:p>
        </w:tc>
        <w:tc>
          <w:tcPr>
            <w:tcW w:w="1337" w:type="dxa"/>
            <w:tcBorders>
              <w:top w:val="single" w:sz="4" w:space="0" w:color="767171"/>
              <w:left w:val="single" w:sz="4" w:space="0" w:color="767171"/>
              <w:bottom w:val="single" w:sz="4" w:space="0" w:color="767171"/>
              <w:right w:val="single" w:sz="4" w:space="0" w:color="767171"/>
            </w:tcBorders>
          </w:tcPr>
          <w:p w14:paraId="122A0CF4"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240 </w:t>
            </w:r>
          </w:p>
        </w:tc>
        <w:tc>
          <w:tcPr>
            <w:tcW w:w="1948" w:type="dxa"/>
            <w:tcBorders>
              <w:top w:val="single" w:sz="4" w:space="0" w:color="767171"/>
              <w:left w:val="single" w:sz="4" w:space="0" w:color="767171"/>
              <w:bottom w:val="single" w:sz="4" w:space="0" w:color="767171"/>
              <w:right w:val="single" w:sz="4" w:space="0" w:color="767171"/>
            </w:tcBorders>
          </w:tcPr>
          <w:p w14:paraId="723FA9DB"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r>
      <w:tr w:rsidR="004921FF" w:rsidRPr="005C133F" w14:paraId="568761DF"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0F233038"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Septiembre </w:t>
            </w:r>
          </w:p>
        </w:tc>
        <w:tc>
          <w:tcPr>
            <w:tcW w:w="1337" w:type="dxa"/>
            <w:tcBorders>
              <w:top w:val="single" w:sz="4" w:space="0" w:color="767171"/>
              <w:left w:val="single" w:sz="4" w:space="0" w:color="767171"/>
              <w:bottom w:val="single" w:sz="4" w:space="0" w:color="767171"/>
              <w:right w:val="single" w:sz="4" w:space="0" w:color="767171"/>
            </w:tcBorders>
          </w:tcPr>
          <w:p w14:paraId="53FD868B"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c>
          <w:tcPr>
            <w:tcW w:w="1337" w:type="dxa"/>
            <w:tcBorders>
              <w:top w:val="single" w:sz="4" w:space="0" w:color="767171"/>
              <w:left w:val="single" w:sz="4" w:space="0" w:color="767171"/>
              <w:bottom w:val="single" w:sz="4" w:space="0" w:color="767171"/>
              <w:right w:val="single" w:sz="4" w:space="0" w:color="767171"/>
            </w:tcBorders>
          </w:tcPr>
          <w:p w14:paraId="401F772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1 </w:t>
            </w:r>
          </w:p>
        </w:tc>
        <w:tc>
          <w:tcPr>
            <w:tcW w:w="1337" w:type="dxa"/>
            <w:tcBorders>
              <w:top w:val="single" w:sz="4" w:space="0" w:color="767171"/>
              <w:left w:val="single" w:sz="4" w:space="0" w:color="767171"/>
              <w:bottom w:val="single" w:sz="4" w:space="0" w:color="767171"/>
              <w:right w:val="single" w:sz="4" w:space="0" w:color="767171"/>
            </w:tcBorders>
          </w:tcPr>
          <w:p w14:paraId="122B329E"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90</w:t>
            </w:r>
          </w:p>
        </w:tc>
        <w:tc>
          <w:tcPr>
            <w:tcW w:w="1948" w:type="dxa"/>
            <w:tcBorders>
              <w:top w:val="single" w:sz="4" w:space="0" w:color="767171"/>
              <w:left w:val="single" w:sz="4" w:space="0" w:color="767171"/>
              <w:bottom w:val="single" w:sz="4" w:space="0" w:color="767171"/>
              <w:right w:val="single" w:sz="4" w:space="0" w:color="767171"/>
            </w:tcBorders>
          </w:tcPr>
          <w:p w14:paraId="1E419F4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 xml:space="preserve">0 </w:t>
            </w:r>
          </w:p>
        </w:tc>
      </w:tr>
      <w:tr w:rsidR="004921FF" w:rsidRPr="005C133F" w14:paraId="1FD36CDE"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22C27903"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Octubre</w:t>
            </w:r>
          </w:p>
        </w:tc>
        <w:tc>
          <w:tcPr>
            <w:tcW w:w="1337" w:type="dxa"/>
            <w:tcBorders>
              <w:top w:val="single" w:sz="4" w:space="0" w:color="767171"/>
              <w:left w:val="single" w:sz="4" w:space="0" w:color="767171"/>
              <w:bottom w:val="single" w:sz="4" w:space="0" w:color="767171"/>
              <w:right w:val="single" w:sz="4" w:space="0" w:color="767171"/>
            </w:tcBorders>
          </w:tcPr>
          <w:p w14:paraId="19A92921"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8</w:t>
            </w:r>
          </w:p>
        </w:tc>
        <w:tc>
          <w:tcPr>
            <w:tcW w:w="1337" w:type="dxa"/>
            <w:tcBorders>
              <w:top w:val="single" w:sz="4" w:space="0" w:color="767171"/>
              <w:left w:val="single" w:sz="4" w:space="0" w:color="767171"/>
              <w:bottom w:val="single" w:sz="4" w:space="0" w:color="767171"/>
              <w:right w:val="single" w:sz="4" w:space="0" w:color="767171"/>
            </w:tcBorders>
          </w:tcPr>
          <w:p w14:paraId="099BA3F1"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3</w:t>
            </w:r>
          </w:p>
        </w:tc>
        <w:tc>
          <w:tcPr>
            <w:tcW w:w="1337" w:type="dxa"/>
            <w:tcBorders>
              <w:top w:val="single" w:sz="4" w:space="0" w:color="767171"/>
              <w:left w:val="single" w:sz="4" w:space="0" w:color="767171"/>
              <w:bottom w:val="single" w:sz="4" w:space="0" w:color="767171"/>
              <w:right w:val="single" w:sz="4" w:space="0" w:color="767171"/>
            </w:tcBorders>
          </w:tcPr>
          <w:p w14:paraId="32ED1CEF"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215</w:t>
            </w:r>
          </w:p>
        </w:tc>
        <w:tc>
          <w:tcPr>
            <w:tcW w:w="1948" w:type="dxa"/>
            <w:tcBorders>
              <w:top w:val="single" w:sz="4" w:space="0" w:color="767171"/>
              <w:left w:val="single" w:sz="4" w:space="0" w:color="767171"/>
              <w:bottom w:val="single" w:sz="4" w:space="0" w:color="767171"/>
              <w:right w:val="single" w:sz="4" w:space="0" w:color="767171"/>
            </w:tcBorders>
          </w:tcPr>
          <w:p w14:paraId="4D7BC22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w:t>
            </w:r>
          </w:p>
        </w:tc>
      </w:tr>
      <w:tr w:rsidR="004921FF" w:rsidRPr="005C133F" w14:paraId="12D69451"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0D044450"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Noviembre</w:t>
            </w:r>
          </w:p>
        </w:tc>
        <w:tc>
          <w:tcPr>
            <w:tcW w:w="1337" w:type="dxa"/>
            <w:tcBorders>
              <w:top w:val="single" w:sz="4" w:space="0" w:color="767171"/>
              <w:left w:val="single" w:sz="4" w:space="0" w:color="767171"/>
              <w:bottom w:val="single" w:sz="4" w:space="0" w:color="767171"/>
              <w:right w:val="single" w:sz="4" w:space="0" w:color="767171"/>
            </w:tcBorders>
          </w:tcPr>
          <w:p w14:paraId="77BD655C"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8</w:t>
            </w:r>
          </w:p>
        </w:tc>
        <w:tc>
          <w:tcPr>
            <w:tcW w:w="1337" w:type="dxa"/>
            <w:tcBorders>
              <w:top w:val="single" w:sz="4" w:space="0" w:color="767171"/>
              <w:left w:val="single" w:sz="4" w:space="0" w:color="767171"/>
              <w:bottom w:val="single" w:sz="4" w:space="0" w:color="767171"/>
              <w:right w:val="single" w:sz="4" w:space="0" w:color="767171"/>
            </w:tcBorders>
          </w:tcPr>
          <w:p w14:paraId="37E67262"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w:t>
            </w:r>
          </w:p>
        </w:tc>
        <w:tc>
          <w:tcPr>
            <w:tcW w:w="1337" w:type="dxa"/>
            <w:tcBorders>
              <w:top w:val="single" w:sz="4" w:space="0" w:color="767171"/>
              <w:left w:val="single" w:sz="4" w:space="0" w:color="767171"/>
              <w:bottom w:val="single" w:sz="4" w:space="0" w:color="767171"/>
              <w:right w:val="single" w:sz="4" w:space="0" w:color="767171"/>
            </w:tcBorders>
          </w:tcPr>
          <w:p w14:paraId="1EBEEC1A"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220</w:t>
            </w:r>
          </w:p>
        </w:tc>
        <w:tc>
          <w:tcPr>
            <w:tcW w:w="1948" w:type="dxa"/>
            <w:tcBorders>
              <w:top w:val="single" w:sz="4" w:space="0" w:color="767171"/>
              <w:left w:val="single" w:sz="4" w:space="0" w:color="767171"/>
              <w:bottom w:val="single" w:sz="4" w:space="0" w:color="767171"/>
              <w:right w:val="single" w:sz="4" w:space="0" w:color="767171"/>
            </w:tcBorders>
          </w:tcPr>
          <w:p w14:paraId="1D745466"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1</w:t>
            </w:r>
          </w:p>
        </w:tc>
      </w:tr>
      <w:tr w:rsidR="004921FF" w:rsidRPr="005C133F" w14:paraId="5F451E2C" w14:textId="77777777" w:rsidTr="009B4ED1">
        <w:trPr>
          <w:trHeight w:val="334"/>
        </w:trPr>
        <w:tc>
          <w:tcPr>
            <w:tcW w:w="1951" w:type="dxa"/>
            <w:tcBorders>
              <w:top w:val="single" w:sz="4" w:space="0" w:color="767171"/>
              <w:left w:val="single" w:sz="4" w:space="0" w:color="767171"/>
              <w:bottom w:val="single" w:sz="4" w:space="0" w:color="767171"/>
              <w:right w:val="single" w:sz="4" w:space="0" w:color="767171"/>
            </w:tcBorders>
          </w:tcPr>
          <w:p w14:paraId="4D0490F0"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Diciembre</w:t>
            </w:r>
          </w:p>
        </w:tc>
        <w:tc>
          <w:tcPr>
            <w:tcW w:w="1337" w:type="dxa"/>
            <w:tcBorders>
              <w:top w:val="single" w:sz="4" w:space="0" w:color="767171"/>
              <w:left w:val="single" w:sz="4" w:space="0" w:color="767171"/>
              <w:bottom w:val="single" w:sz="4" w:space="0" w:color="767171"/>
              <w:right w:val="single" w:sz="4" w:space="0" w:color="767171"/>
            </w:tcBorders>
          </w:tcPr>
          <w:p w14:paraId="433912CA"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10</w:t>
            </w:r>
          </w:p>
        </w:tc>
        <w:tc>
          <w:tcPr>
            <w:tcW w:w="1337" w:type="dxa"/>
            <w:tcBorders>
              <w:top w:val="single" w:sz="4" w:space="0" w:color="767171"/>
              <w:left w:val="single" w:sz="4" w:space="0" w:color="767171"/>
              <w:bottom w:val="single" w:sz="4" w:space="0" w:color="767171"/>
              <w:right w:val="single" w:sz="4" w:space="0" w:color="767171"/>
            </w:tcBorders>
          </w:tcPr>
          <w:p w14:paraId="7F92B3C8"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w:t>
            </w:r>
          </w:p>
        </w:tc>
        <w:tc>
          <w:tcPr>
            <w:tcW w:w="1337" w:type="dxa"/>
            <w:tcBorders>
              <w:top w:val="single" w:sz="4" w:space="0" w:color="767171"/>
              <w:left w:val="single" w:sz="4" w:space="0" w:color="767171"/>
              <w:bottom w:val="single" w:sz="4" w:space="0" w:color="767171"/>
              <w:right w:val="single" w:sz="4" w:space="0" w:color="767171"/>
            </w:tcBorders>
          </w:tcPr>
          <w:p w14:paraId="3A080F25"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227</w:t>
            </w:r>
          </w:p>
        </w:tc>
        <w:tc>
          <w:tcPr>
            <w:tcW w:w="1948" w:type="dxa"/>
            <w:tcBorders>
              <w:top w:val="single" w:sz="4" w:space="0" w:color="767171"/>
              <w:left w:val="single" w:sz="4" w:space="0" w:color="767171"/>
              <w:bottom w:val="single" w:sz="4" w:space="0" w:color="767171"/>
              <w:right w:val="single" w:sz="4" w:space="0" w:color="767171"/>
            </w:tcBorders>
          </w:tcPr>
          <w:p w14:paraId="6239D249" w14:textId="77777777" w:rsidR="00D11C32" w:rsidRPr="005C133F" w:rsidRDefault="00D11C32" w:rsidP="00545051">
            <w:pPr>
              <w:jc w:val="center"/>
              <w:rPr>
                <w:rFonts w:ascii="Times New Roman" w:eastAsiaTheme="minorHAnsi" w:hAnsi="Times New Roman" w:cs="Times New Roman"/>
                <w:bCs/>
                <w:color w:val="767171"/>
                <w:spacing w:val="20"/>
                <w:kern w:val="0"/>
                <w:lang w:eastAsia="en-US"/>
                <w14:ligatures w14:val="none"/>
              </w:rPr>
            </w:pPr>
            <w:r w:rsidRPr="005C133F">
              <w:rPr>
                <w:rFonts w:ascii="Times New Roman" w:eastAsiaTheme="minorHAnsi" w:hAnsi="Times New Roman" w:cs="Times New Roman"/>
                <w:bCs/>
                <w:color w:val="767171"/>
                <w:spacing w:val="20"/>
                <w:kern w:val="0"/>
                <w:lang w:eastAsia="en-US"/>
                <w14:ligatures w14:val="none"/>
              </w:rPr>
              <w:t>1</w:t>
            </w:r>
          </w:p>
        </w:tc>
      </w:tr>
      <w:tr w:rsidR="004921FF" w:rsidRPr="005C133F" w14:paraId="798CD947" w14:textId="77777777" w:rsidTr="009B4ED1">
        <w:trPr>
          <w:trHeight w:val="332"/>
        </w:trPr>
        <w:tc>
          <w:tcPr>
            <w:tcW w:w="1951" w:type="dxa"/>
            <w:tcBorders>
              <w:top w:val="single" w:sz="4" w:space="0" w:color="767171"/>
              <w:left w:val="single" w:sz="4" w:space="0" w:color="767171"/>
              <w:bottom w:val="single" w:sz="4" w:space="0" w:color="767171"/>
              <w:right w:val="single" w:sz="4" w:space="0" w:color="767171"/>
            </w:tcBorders>
            <w:shd w:val="clear" w:color="auto" w:fill="011C50"/>
          </w:tcPr>
          <w:p w14:paraId="79A36E26"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Total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tcPr>
          <w:p w14:paraId="0DC5A4CA"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79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tcPr>
          <w:p w14:paraId="724F8BF5"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220 </w:t>
            </w:r>
          </w:p>
        </w:tc>
        <w:tc>
          <w:tcPr>
            <w:tcW w:w="1337" w:type="dxa"/>
            <w:tcBorders>
              <w:top w:val="single" w:sz="4" w:space="0" w:color="767171"/>
              <w:left w:val="single" w:sz="4" w:space="0" w:color="767171"/>
              <w:bottom w:val="single" w:sz="4" w:space="0" w:color="767171"/>
              <w:right w:val="single" w:sz="4" w:space="0" w:color="767171"/>
            </w:tcBorders>
            <w:shd w:val="clear" w:color="auto" w:fill="011C50"/>
          </w:tcPr>
          <w:p w14:paraId="70B92725"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2638</w:t>
            </w:r>
          </w:p>
        </w:tc>
        <w:tc>
          <w:tcPr>
            <w:tcW w:w="1948" w:type="dxa"/>
            <w:tcBorders>
              <w:top w:val="single" w:sz="4" w:space="0" w:color="767171"/>
              <w:left w:val="single" w:sz="4" w:space="0" w:color="767171"/>
              <w:bottom w:val="single" w:sz="4" w:space="0" w:color="767171"/>
              <w:right w:val="single" w:sz="4" w:space="0" w:color="767171"/>
            </w:tcBorders>
            <w:shd w:val="clear" w:color="auto" w:fill="011C50"/>
          </w:tcPr>
          <w:p w14:paraId="0A1F9B13" w14:textId="77777777" w:rsidR="00D11C32" w:rsidRPr="005C133F" w:rsidRDefault="00D11C32" w:rsidP="00545051">
            <w:pPr>
              <w:jc w:val="center"/>
              <w:rPr>
                <w:rFonts w:ascii="Times New Roman" w:eastAsiaTheme="minorHAnsi" w:hAnsi="Times New Roman" w:cs="Times New Roman"/>
                <w:b/>
                <w:color w:val="FFFFFF" w:themeColor="background1"/>
                <w:spacing w:val="20"/>
                <w:kern w:val="0"/>
                <w:lang w:eastAsia="en-US"/>
                <w14:ligatures w14:val="none"/>
              </w:rPr>
            </w:pPr>
            <w:r w:rsidRPr="005C133F">
              <w:rPr>
                <w:rFonts w:ascii="Times New Roman" w:eastAsiaTheme="minorHAnsi" w:hAnsi="Times New Roman" w:cs="Times New Roman"/>
                <w:b/>
                <w:color w:val="FFFFFF" w:themeColor="background1"/>
                <w:spacing w:val="20"/>
                <w:kern w:val="0"/>
                <w:lang w:eastAsia="en-US"/>
                <w14:ligatures w14:val="none"/>
              </w:rPr>
              <w:t xml:space="preserve">7 </w:t>
            </w:r>
          </w:p>
        </w:tc>
      </w:tr>
    </w:tbl>
    <w:p w14:paraId="3CD461FC" w14:textId="39FAFA42" w:rsidR="00865254" w:rsidRPr="00291603" w:rsidRDefault="00865254" w:rsidP="005C133F">
      <w:pPr>
        <w:spacing w:after="0" w:line="360" w:lineRule="auto"/>
        <w:rPr>
          <w:sz w:val="18"/>
          <w:szCs w:val="18"/>
          <w:lang w:val="es-DO"/>
        </w:rPr>
      </w:pPr>
      <w:r w:rsidRPr="00291603">
        <w:rPr>
          <w:b/>
          <w:sz w:val="18"/>
          <w:szCs w:val="18"/>
          <w:lang w:val="es-DO"/>
        </w:rPr>
        <w:t>Fuente:</w:t>
      </w:r>
      <w:r w:rsidRPr="00291603">
        <w:rPr>
          <w:sz w:val="18"/>
          <w:szCs w:val="18"/>
          <w:lang w:val="es-DO"/>
        </w:rPr>
        <w:t xml:space="preserve"> Oficina de Acceso a la Información, SISALRIL. </w:t>
      </w:r>
    </w:p>
    <w:p w14:paraId="53901E0B" w14:textId="77777777" w:rsidR="00291603" w:rsidRPr="005C133F" w:rsidRDefault="00291603" w:rsidP="005C133F">
      <w:pPr>
        <w:spacing w:after="0" w:line="360" w:lineRule="auto"/>
        <w:rPr>
          <w:lang w:val="es-DO"/>
        </w:rPr>
      </w:pPr>
    </w:p>
    <w:p w14:paraId="45CE0B8B" w14:textId="529CC593" w:rsidR="00E47401" w:rsidRPr="005C133F" w:rsidRDefault="00E47401" w:rsidP="005C133F">
      <w:pPr>
        <w:spacing w:after="0" w:line="360" w:lineRule="auto"/>
        <w:ind w:left="-5" w:right="-10"/>
        <w:jc w:val="both"/>
        <w:rPr>
          <w:lang w:val="es-DO"/>
        </w:rPr>
      </w:pPr>
      <w:r w:rsidRPr="005C133F">
        <w:rPr>
          <w:lang w:val="es-DO"/>
        </w:rPr>
        <w:t xml:space="preserve">Las solicitudes de información fueron gestionadas y respondidas dentro de los plazos establecidos por la Ley General de Libre Acceso a la Información Pública No. 200-04, garantizando el cumplimiento del período máximo de 15 días hábiles previsto por la normativa. En los casos que lo requirieron por la naturaleza o volumen de la información solicitada, se aplicó la prórroga adicional de 10 días hábiles, conforme a lo estipulado en el artículo 8 de dicha ley. </w:t>
      </w:r>
    </w:p>
    <w:p w14:paraId="36D5ECFE" w14:textId="77777777" w:rsidR="004C4D73" w:rsidRPr="005C133F" w:rsidRDefault="004C4D73" w:rsidP="005C133F">
      <w:pPr>
        <w:spacing w:after="0" w:line="360" w:lineRule="auto"/>
        <w:ind w:left="-5" w:right="-10"/>
        <w:jc w:val="both"/>
        <w:rPr>
          <w:lang w:val="es-DO"/>
        </w:rPr>
      </w:pPr>
    </w:p>
    <w:p w14:paraId="088F27F3" w14:textId="4A44E3C7" w:rsidR="00E47401" w:rsidRPr="005C133F" w:rsidRDefault="00E47401" w:rsidP="005C133F">
      <w:pPr>
        <w:spacing w:after="0" w:line="360" w:lineRule="auto"/>
        <w:ind w:left="-5" w:right="-10"/>
        <w:jc w:val="both"/>
        <w:rPr>
          <w:lang w:val="es-DO"/>
        </w:rPr>
      </w:pPr>
      <w:r w:rsidRPr="005C133F">
        <w:rPr>
          <w:lang w:val="es-DO"/>
        </w:rPr>
        <w:t xml:space="preserve">Este nivel de cumplimiento reafirma el </w:t>
      </w:r>
      <w:r w:rsidR="008C452D" w:rsidRPr="005C133F">
        <w:rPr>
          <w:lang w:val="es-DO"/>
        </w:rPr>
        <w:t>compromiso</w:t>
      </w:r>
      <w:r w:rsidRPr="005C133F">
        <w:rPr>
          <w:lang w:val="es-DO"/>
        </w:rPr>
        <w:t xml:space="preserve"> institucional con la transparencia y la entrega oportuna de información pública. </w:t>
      </w:r>
    </w:p>
    <w:p w14:paraId="5805B09E" w14:textId="770EBA8A" w:rsidR="00DB1B87" w:rsidRPr="005C133F" w:rsidRDefault="00DB1B87" w:rsidP="005C133F">
      <w:pPr>
        <w:pStyle w:val="SUBTITULITO"/>
        <w:spacing w:after="0"/>
        <w:rPr>
          <w:rFonts w:eastAsia="Calibri"/>
          <w:noProof/>
        </w:rPr>
      </w:pPr>
      <w:bookmarkStart w:id="146" w:name="_Toc219121861"/>
      <w:r w:rsidRPr="005C133F">
        <w:rPr>
          <w:rFonts w:eastAsia="Calibri"/>
          <w:noProof/>
        </w:rPr>
        <w:lastRenderedPageBreak/>
        <w:t>5.3 Resultados de Sistema de Quejas, Reclamos y Sugerencias</w:t>
      </w:r>
      <w:bookmarkEnd w:id="146"/>
    </w:p>
    <w:p w14:paraId="3109F1FC" w14:textId="77777777" w:rsidR="007355CF" w:rsidRPr="005C133F" w:rsidRDefault="007355CF" w:rsidP="005C133F">
      <w:pPr>
        <w:spacing w:after="0" w:line="360" w:lineRule="auto"/>
        <w:jc w:val="both"/>
        <w:rPr>
          <w:lang w:val="es-MX"/>
        </w:rPr>
      </w:pPr>
    </w:p>
    <w:p w14:paraId="15221E96" w14:textId="6B688EEA" w:rsidR="000A1F74" w:rsidRPr="005C133F" w:rsidRDefault="00573ACB" w:rsidP="005C133F">
      <w:pPr>
        <w:spacing w:after="0" w:line="360" w:lineRule="auto"/>
        <w:jc w:val="both"/>
        <w:rPr>
          <w:lang w:val="es-MX"/>
        </w:rPr>
      </w:pPr>
      <w:r w:rsidRPr="005C133F">
        <w:rPr>
          <w:lang w:val="es-MX"/>
        </w:rPr>
        <w:t xml:space="preserve">A diciembre de 2025, </w:t>
      </w:r>
      <w:r w:rsidR="007B3D68" w:rsidRPr="005C133F">
        <w:rPr>
          <w:lang w:val="es-MX"/>
        </w:rPr>
        <w:t xml:space="preserve">se </w:t>
      </w:r>
      <w:r w:rsidR="00EE2D7C" w:rsidRPr="005C133F">
        <w:rPr>
          <w:lang w:val="es-MX"/>
        </w:rPr>
        <w:t xml:space="preserve">registraron </w:t>
      </w:r>
      <w:r w:rsidR="001835C5" w:rsidRPr="005C133F">
        <w:rPr>
          <w:lang w:val="es-MX"/>
        </w:rPr>
        <w:t>un total de</w:t>
      </w:r>
      <w:r w:rsidR="00EF46F7" w:rsidRPr="005C133F">
        <w:rPr>
          <w:lang w:val="es-MX"/>
        </w:rPr>
        <w:t xml:space="preserve"> 3</w:t>
      </w:r>
      <w:r w:rsidR="00634469" w:rsidRPr="005C133F">
        <w:rPr>
          <w:lang w:val="es-MX"/>
        </w:rPr>
        <w:t>65</w:t>
      </w:r>
      <w:r w:rsidR="00EF46F7" w:rsidRPr="005C133F">
        <w:rPr>
          <w:lang w:val="es-MX"/>
        </w:rPr>
        <w:t>,</w:t>
      </w:r>
      <w:r w:rsidR="00634469" w:rsidRPr="005C133F">
        <w:rPr>
          <w:lang w:val="es-MX"/>
        </w:rPr>
        <w:t>03</w:t>
      </w:r>
      <w:r w:rsidR="00EF46F7" w:rsidRPr="005C133F">
        <w:rPr>
          <w:lang w:val="es-MX"/>
        </w:rPr>
        <w:t>5</w:t>
      </w:r>
      <w:r w:rsidR="00C0657E" w:rsidRPr="005C133F">
        <w:rPr>
          <w:lang w:val="es-MX"/>
        </w:rPr>
        <w:t xml:space="preserve"> atenciones y respuestas a usuarios a través de los canales habilitado</w:t>
      </w:r>
      <w:r w:rsidR="005852D8" w:rsidRPr="005C133F">
        <w:rPr>
          <w:lang w:val="es-MX"/>
        </w:rPr>
        <w:t>s</w:t>
      </w:r>
      <w:r w:rsidR="004A72BC" w:rsidRPr="005C133F">
        <w:rPr>
          <w:lang w:val="es-MX"/>
        </w:rPr>
        <w:t xml:space="preserve">, distribuidos en </w:t>
      </w:r>
      <w:r w:rsidR="00634469" w:rsidRPr="005C133F">
        <w:rPr>
          <w:lang w:val="es-MX"/>
        </w:rPr>
        <w:t>46,699</w:t>
      </w:r>
      <w:r w:rsidR="004A72BC" w:rsidRPr="005C133F">
        <w:rPr>
          <w:lang w:val="es-MX"/>
        </w:rPr>
        <w:t xml:space="preserve"> de manera presencial y </w:t>
      </w:r>
      <w:r w:rsidR="00E40FDE" w:rsidRPr="005C133F">
        <w:rPr>
          <w:lang w:val="es-MX"/>
        </w:rPr>
        <w:t>318,33</w:t>
      </w:r>
      <w:r w:rsidR="00CA3503" w:rsidRPr="005C133F">
        <w:rPr>
          <w:lang w:val="es-MX"/>
        </w:rPr>
        <w:t>6</w:t>
      </w:r>
      <w:r w:rsidR="00E40FDE" w:rsidRPr="005C133F">
        <w:rPr>
          <w:lang w:val="es-MX"/>
        </w:rPr>
        <w:t xml:space="preserve"> </w:t>
      </w:r>
      <w:r w:rsidR="00335AE0" w:rsidRPr="005C133F">
        <w:rPr>
          <w:lang w:val="es-MX"/>
        </w:rPr>
        <w:t xml:space="preserve">en canales alternos: </w:t>
      </w:r>
    </w:p>
    <w:p w14:paraId="2432EBFB" w14:textId="77777777" w:rsidR="002D37B3" w:rsidRPr="005C133F" w:rsidRDefault="002D37B3" w:rsidP="005C133F">
      <w:pPr>
        <w:spacing w:after="0" w:line="360" w:lineRule="auto"/>
        <w:jc w:val="both"/>
        <w:rPr>
          <w:rFonts w:eastAsia="Times New Roman"/>
          <w:b/>
          <w:bCs/>
          <w:spacing w:val="0"/>
          <w:lang w:val="es-DO" w:eastAsia="es-DO"/>
        </w:rPr>
      </w:pPr>
    </w:p>
    <w:p w14:paraId="720D52D2" w14:textId="74272C84" w:rsidR="002F1575" w:rsidRPr="005C133F" w:rsidRDefault="002F1575" w:rsidP="005C133F">
      <w:pPr>
        <w:pStyle w:val="Descripcin"/>
        <w:keepNext/>
        <w:spacing w:after="0" w:line="360" w:lineRule="auto"/>
        <w:jc w:val="center"/>
        <w:rPr>
          <w:b/>
          <w:bCs/>
          <w:i w:val="0"/>
          <w:iCs w:val="0"/>
          <w:color w:val="767171"/>
          <w:sz w:val="24"/>
          <w:szCs w:val="24"/>
          <w:lang w:val="es-MX"/>
        </w:rPr>
      </w:pPr>
      <w:bookmarkStart w:id="147" w:name="_Toc218784194"/>
      <w:r w:rsidRPr="005C133F">
        <w:rPr>
          <w:b/>
          <w:bCs/>
          <w:i w:val="0"/>
          <w:iCs w:val="0"/>
          <w:color w:val="767171"/>
          <w:sz w:val="24"/>
          <w:szCs w:val="24"/>
          <w:lang w:val="es-MX"/>
        </w:rPr>
        <w:t xml:space="preserve">Tabla </w:t>
      </w:r>
      <w:r w:rsidRPr="005C133F">
        <w:rPr>
          <w:b/>
          <w:bCs/>
          <w:i w:val="0"/>
          <w:iCs w:val="0"/>
          <w:color w:val="767171"/>
          <w:sz w:val="24"/>
          <w:szCs w:val="24"/>
          <w:lang w:val="es-MX"/>
        </w:rPr>
        <w:fldChar w:fldCharType="begin"/>
      </w:r>
      <w:r w:rsidRPr="005C133F">
        <w:rPr>
          <w:b/>
          <w:bCs/>
          <w:i w:val="0"/>
          <w:iCs w:val="0"/>
          <w:color w:val="767171"/>
          <w:sz w:val="24"/>
          <w:szCs w:val="24"/>
          <w:lang w:val="es-MX"/>
        </w:rPr>
        <w:instrText xml:space="preserve"> SEQ Tabla \* ARABIC </w:instrText>
      </w:r>
      <w:r w:rsidRPr="005C133F">
        <w:rPr>
          <w:b/>
          <w:bCs/>
          <w:i w:val="0"/>
          <w:iCs w:val="0"/>
          <w:color w:val="767171"/>
          <w:sz w:val="24"/>
          <w:szCs w:val="24"/>
          <w:lang w:val="es-MX"/>
        </w:rPr>
        <w:fldChar w:fldCharType="separate"/>
      </w:r>
      <w:r w:rsidR="00814341">
        <w:rPr>
          <w:b/>
          <w:bCs/>
          <w:i w:val="0"/>
          <w:iCs w:val="0"/>
          <w:noProof/>
          <w:color w:val="767171"/>
          <w:sz w:val="24"/>
          <w:szCs w:val="24"/>
          <w:lang w:val="es-MX"/>
        </w:rPr>
        <w:t>62</w:t>
      </w:r>
      <w:r w:rsidRPr="005C133F">
        <w:rPr>
          <w:b/>
          <w:bCs/>
          <w:i w:val="0"/>
          <w:iCs w:val="0"/>
          <w:color w:val="767171"/>
          <w:sz w:val="24"/>
          <w:szCs w:val="24"/>
          <w:lang w:val="es-MX"/>
        </w:rPr>
        <w:fldChar w:fldCharType="end"/>
      </w:r>
      <w:r w:rsidR="00B82330" w:rsidRPr="005C133F">
        <w:rPr>
          <w:b/>
          <w:bCs/>
          <w:i w:val="0"/>
          <w:iCs w:val="0"/>
          <w:color w:val="767171"/>
          <w:sz w:val="24"/>
          <w:szCs w:val="24"/>
          <w:lang w:val="es-MX"/>
        </w:rPr>
        <w:t xml:space="preserve">. </w:t>
      </w:r>
      <w:r w:rsidRPr="005C133F">
        <w:rPr>
          <w:b/>
          <w:bCs/>
          <w:i w:val="0"/>
          <w:iCs w:val="0"/>
          <w:color w:val="767171"/>
          <w:sz w:val="24"/>
          <w:szCs w:val="24"/>
          <w:lang w:val="es-MX"/>
        </w:rPr>
        <w:t>Atención y Respuesta Al Usuario vía Canales Habilitados</w:t>
      </w:r>
      <w:bookmarkEnd w:id="147"/>
    </w:p>
    <w:tbl>
      <w:tblPr>
        <w:tblW w:w="8460" w:type="dxa"/>
        <w:jc w:val="center"/>
        <w:tblCellMar>
          <w:left w:w="0" w:type="dxa"/>
          <w:right w:w="0" w:type="dxa"/>
        </w:tblCellMar>
        <w:tblLook w:val="04A0" w:firstRow="1" w:lastRow="0" w:firstColumn="1" w:lastColumn="0" w:noHBand="0" w:noVBand="1"/>
      </w:tblPr>
      <w:tblGrid>
        <w:gridCol w:w="1338"/>
        <w:gridCol w:w="1652"/>
        <w:gridCol w:w="1542"/>
        <w:gridCol w:w="1235"/>
        <w:gridCol w:w="790"/>
        <w:gridCol w:w="949"/>
        <w:gridCol w:w="954"/>
      </w:tblGrid>
      <w:tr w:rsidR="004C4D73" w:rsidRPr="005C133F" w14:paraId="3ECCF732" w14:textId="77777777" w:rsidTr="00D11C32">
        <w:trPr>
          <w:trHeight w:val="431"/>
          <w:tblHeader/>
          <w:jc w:val="center"/>
        </w:trPr>
        <w:tc>
          <w:tcPr>
            <w:tcW w:w="4526" w:type="dxa"/>
            <w:gridSpan w:val="3"/>
            <w:tcBorders>
              <w:top w:val="single" w:sz="8" w:space="0" w:color="A6A6A6"/>
              <w:left w:val="single" w:sz="8" w:space="0" w:color="A6A6A6"/>
              <w:bottom w:val="single" w:sz="8" w:space="0" w:color="A6A6A6"/>
              <w:right w:val="single" w:sz="8" w:space="0" w:color="A6A6A6"/>
            </w:tcBorders>
            <w:shd w:val="clear" w:color="auto" w:fill="011C50"/>
            <w:vAlign w:val="center"/>
            <w:hideMark/>
          </w:tcPr>
          <w:p w14:paraId="18C15D95" w14:textId="0561345A" w:rsidR="00E755BE" w:rsidRPr="005C133F" w:rsidRDefault="00E755BE" w:rsidP="00545051">
            <w:pPr>
              <w:spacing w:after="0" w:line="240" w:lineRule="auto"/>
              <w:jc w:val="center"/>
              <w:rPr>
                <w:b/>
                <w:color w:val="FFFFFF" w:themeColor="background1"/>
              </w:rPr>
            </w:pPr>
            <w:proofErr w:type="spellStart"/>
            <w:r w:rsidRPr="005C133F">
              <w:rPr>
                <w:b/>
                <w:color w:val="FFFFFF" w:themeColor="background1"/>
              </w:rPr>
              <w:t>Presencial</w:t>
            </w:r>
            <w:proofErr w:type="spellEnd"/>
          </w:p>
        </w:tc>
        <w:tc>
          <w:tcPr>
            <w:tcW w:w="3934" w:type="dxa"/>
            <w:gridSpan w:val="4"/>
            <w:tcBorders>
              <w:top w:val="single" w:sz="8" w:space="0" w:color="A6A6A6"/>
              <w:left w:val="nil"/>
              <w:bottom w:val="single" w:sz="8" w:space="0" w:color="A6A6A6"/>
              <w:right w:val="single" w:sz="8" w:space="0" w:color="A6A6A6"/>
            </w:tcBorders>
            <w:shd w:val="clear" w:color="auto" w:fill="011C50"/>
            <w:vAlign w:val="center"/>
            <w:hideMark/>
          </w:tcPr>
          <w:p w14:paraId="4D2FD360"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 xml:space="preserve">Canales </w:t>
            </w:r>
            <w:proofErr w:type="spellStart"/>
            <w:r w:rsidRPr="005C133F">
              <w:rPr>
                <w:b/>
                <w:color w:val="FFFFFF" w:themeColor="background1"/>
              </w:rPr>
              <w:t>alternos</w:t>
            </w:r>
            <w:proofErr w:type="spellEnd"/>
          </w:p>
        </w:tc>
      </w:tr>
      <w:tr w:rsidR="004C4D73" w:rsidRPr="005C133F" w14:paraId="5F00C5F3" w14:textId="77777777" w:rsidTr="00D11C32">
        <w:trPr>
          <w:trHeight w:val="1171"/>
          <w:tblHeader/>
          <w:jc w:val="center"/>
        </w:trPr>
        <w:tc>
          <w:tcPr>
            <w:tcW w:w="0" w:type="auto"/>
            <w:tcBorders>
              <w:top w:val="nil"/>
              <w:left w:val="single" w:sz="8" w:space="0" w:color="A6A6A6"/>
              <w:bottom w:val="single" w:sz="8" w:space="0" w:color="A6A6A6"/>
              <w:right w:val="single" w:sz="8" w:space="0" w:color="A6A6A6"/>
            </w:tcBorders>
            <w:shd w:val="clear" w:color="auto" w:fill="011C50"/>
            <w:vAlign w:val="center"/>
            <w:hideMark/>
          </w:tcPr>
          <w:p w14:paraId="58341387"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Mes</w:t>
            </w:r>
          </w:p>
        </w:tc>
        <w:tc>
          <w:tcPr>
            <w:tcW w:w="0" w:type="auto"/>
            <w:tcBorders>
              <w:top w:val="nil"/>
              <w:left w:val="nil"/>
              <w:bottom w:val="single" w:sz="8" w:space="0" w:color="A6A6A6"/>
              <w:right w:val="single" w:sz="8" w:space="0" w:color="A6A6A6"/>
            </w:tcBorders>
            <w:shd w:val="clear" w:color="auto" w:fill="011C50"/>
            <w:vAlign w:val="center"/>
            <w:hideMark/>
          </w:tcPr>
          <w:p w14:paraId="60DDFE21" w14:textId="77777777" w:rsidR="00E755BE" w:rsidRPr="005C133F" w:rsidRDefault="00E755BE" w:rsidP="00545051">
            <w:pPr>
              <w:spacing w:after="0" w:line="240" w:lineRule="auto"/>
              <w:jc w:val="center"/>
              <w:rPr>
                <w:b/>
                <w:color w:val="FFFFFF" w:themeColor="background1"/>
                <w:lang w:val="es-DO"/>
              </w:rPr>
            </w:pPr>
            <w:r w:rsidRPr="005C133F">
              <w:rPr>
                <w:b/>
                <w:color w:val="FFFFFF" w:themeColor="background1"/>
                <w:lang w:val="es-DO"/>
              </w:rPr>
              <w:t>Solicitudes atendidas a través de regionales</w:t>
            </w:r>
          </w:p>
        </w:tc>
        <w:tc>
          <w:tcPr>
            <w:tcW w:w="1542" w:type="dxa"/>
            <w:tcBorders>
              <w:top w:val="nil"/>
              <w:left w:val="nil"/>
              <w:bottom w:val="single" w:sz="8" w:space="0" w:color="A6A6A6"/>
              <w:right w:val="single" w:sz="8" w:space="0" w:color="A6A6A6"/>
            </w:tcBorders>
            <w:shd w:val="clear" w:color="auto" w:fill="011C50"/>
            <w:vAlign w:val="center"/>
            <w:hideMark/>
          </w:tcPr>
          <w:p w14:paraId="3F6B1AE5" w14:textId="77777777" w:rsidR="00E755BE" w:rsidRPr="005C133F" w:rsidRDefault="00E755BE" w:rsidP="00545051">
            <w:pPr>
              <w:spacing w:after="0" w:line="240" w:lineRule="auto"/>
              <w:jc w:val="center"/>
              <w:rPr>
                <w:b/>
                <w:color w:val="FFFFFF" w:themeColor="background1"/>
                <w:lang w:val="es-DO"/>
              </w:rPr>
            </w:pPr>
            <w:r w:rsidRPr="005C133F">
              <w:rPr>
                <w:b/>
                <w:color w:val="FFFFFF" w:themeColor="background1"/>
                <w:lang w:val="es-DO"/>
              </w:rPr>
              <w:t>Visitas presenciales recibidas a través de Puntos GOB</w:t>
            </w:r>
          </w:p>
        </w:tc>
        <w:tc>
          <w:tcPr>
            <w:tcW w:w="1235" w:type="dxa"/>
            <w:tcBorders>
              <w:top w:val="nil"/>
              <w:left w:val="nil"/>
              <w:bottom w:val="single" w:sz="8" w:space="0" w:color="A6A6A6"/>
              <w:right w:val="single" w:sz="8" w:space="0" w:color="A6A6A6"/>
            </w:tcBorders>
            <w:shd w:val="clear" w:color="auto" w:fill="011C50"/>
            <w:vAlign w:val="center"/>
            <w:hideMark/>
          </w:tcPr>
          <w:p w14:paraId="0AF3940B"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Correo</w:t>
            </w:r>
          </w:p>
        </w:tc>
        <w:tc>
          <w:tcPr>
            <w:tcW w:w="0" w:type="auto"/>
            <w:tcBorders>
              <w:top w:val="nil"/>
              <w:left w:val="nil"/>
              <w:bottom w:val="single" w:sz="8" w:space="0" w:color="A6A6A6"/>
              <w:right w:val="single" w:sz="8" w:space="0" w:color="A6A6A6"/>
            </w:tcBorders>
            <w:shd w:val="clear" w:color="auto" w:fill="011C50"/>
            <w:vAlign w:val="center"/>
            <w:hideMark/>
          </w:tcPr>
          <w:p w14:paraId="3D831D19"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DM</w:t>
            </w:r>
          </w:p>
        </w:tc>
        <w:tc>
          <w:tcPr>
            <w:tcW w:w="0" w:type="auto"/>
            <w:tcBorders>
              <w:top w:val="nil"/>
              <w:left w:val="nil"/>
              <w:bottom w:val="single" w:sz="8" w:space="0" w:color="A6A6A6"/>
              <w:right w:val="single" w:sz="8" w:space="0" w:color="A6A6A6"/>
            </w:tcBorders>
            <w:shd w:val="clear" w:color="auto" w:fill="011C50"/>
            <w:vAlign w:val="center"/>
            <w:hideMark/>
          </w:tcPr>
          <w:p w14:paraId="6A001D46" w14:textId="7D221D16" w:rsidR="00E755BE" w:rsidRPr="005C133F" w:rsidRDefault="00E755BE" w:rsidP="00545051">
            <w:pPr>
              <w:spacing w:after="0" w:line="240" w:lineRule="auto"/>
              <w:jc w:val="center"/>
              <w:rPr>
                <w:b/>
                <w:color w:val="FFFFFF" w:themeColor="background1"/>
              </w:rPr>
            </w:pPr>
            <w:r w:rsidRPr="005C133F">
              <w:rPr>
                <w:b/>
                <w:color w:val="FFFFFF" w:themeColor="background1"/>
              </w:rPr>
              <w:t>Call Center</w:t>
            </w:r>
          </w:p>
        </w:tc>
        <w:tc>
          <w:tcPr>
            <w:tcW w:w="0" w:type="auto"/>
            <w:tcBorders>
              <w:top w:val="nil"/>
              <w:left w:val="nil"/>
              <w:bottom w:val="single" w:sz="8" w:space="0" w:color="A6A6A6"/>
              <w:right w:val="single" w:sz="8" w:space="0" w:color="A6A6A6"/>
            </w:tcBorders>
            <w:shd w:val="clear" w:color="auto" w:fill="011C50"/>
            <w:vAlign w:val="center"/>
            <w:hideMark/>
          </w:tcPr>
          <w:p w14:paraId="216FF46D" w14:textId="20C2BE45" w:rsidR="00E755BE" w:rsidRPr="005C133F" w:rsidRDefault="00E755BE" w:rsidP="00545051">
            <w:pPr>
              <w:spacing w:after="0" w:line="240" w:lineRule="auto"/>
              <w:jc w:val="center"/>
              <w:rPr>
                <w:b/>
                <w:color w:val="FFFFFF" w:themeColor="background1"/>
              </w:rPr>
            </w:pPr>
            <w:proofErr w:type="spellStart"/>
            <w:r w:rsidRPr="005C133F">
              <w:rPr>
                <w:b/>
                <w:color w:val="FFFFFF" w:themeColor="background1"/>
              </w:rPr>
              <w:t>Oficina</w:t>
            </w:r>
            <w:proofErr w:type="spellEnd"/>
            <w:r w:rsidRPr="005C133F">
              <w:rPr>
                <w:b/>
                <w:color w:val="FFFFFF" w:themeColor="background1"/>
              </w:rPr>
              <w:t xml:space="preserve"> virtual</w:t>
            </w:r>
          </w:p>
        </w:tc>
      </w:tr>
      <w:tr w:rsidR="004921FF" w:rsidRPr="005C133F" w14:paraId="5407228C"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3BB6D8A3" w14:textId="77777777" w:rsidR="00E755BE" w:rsidRPr="000D4D13" w:rsidRDefault="00E755BE" w:rsidP="00545051">
            <w:pPr>
              <w:spacing w:after="0" w:line="240" w:lineRule="auto"/>
              <w:rPr>
                <w:bCs/>
              </w:rPr>
            </w:pPr>
            <w:proofErr w:type="spellStart"/>
            <w:r w:rsidRPr="000D4D13">
              <w:rPr>
                <w:bCs/>
              </w:rPr>
              <w:t>Enero</w:t>
            </w:r>
            <w:proofErr w:type="spellEnd"/>
          </w:p>
        </w:tc>
        <w:tc>
          <w:tcPr>
            <w:tcW w:w="0" w:type="auto"/>
            <w:tcBorders>
              <w:top w:val="nil"/>
              <w:left w:val="nil"/>
              <w:bottom w:val="single" w:sz="8" w:space="0" w:color="A6A6A6"/>
              <w:right w:val="single" w:sz="8" w:space="0" w:color="A6A6A6"/>
            </w:tcBorders>
            <w:noWrap/>
            <w:vAlign w:val="center"/>
            <w:hideMark/>
          </w:tcPr>
          <w:p w14:paraId="70A1CB7D" w14:textId="77777777" w:rsidR="00E755BE" w:rsidRPr="005C133F" w:rsidRDefault="00E755BE" w:rsidP="00545051">
            <w:pPr>
              <w:spacing w:after="0" w:line="240" w:lineRule="auto"/>
              <w:jc w:val="center"/>
            </w:pPr>
            <w:r w:rsidRPr="005C133F">
              <w:t>3,170</w:t>
            </w:r>
          </w:p>
        </w:tc>
        <w:tc>
          <w:tcPr>
            <w:tcW w:w="1542" w:type="dxa"/>
            <w:tcBorders>
              <w:top w:val="nil"/>
              <w:left w:val="nil"/>
              <w:bottom w:val="single" w:sz="8" w:space="0" w:color="A6A6A6"/>
              <w:right w:val="single" w:sz="8" w:space="0" w:color="A6A6A6"/>
            </w:tcBorders>
            <w:noWrap/>
            <w:vAlign w:val="center"/>
            <w:hideMark/>
          </w:tcPr>
          <w:p w14:paraId="0A08784B" w14:textId="77777777" w:rsidR="00E755BE" w:rsidRPr="005C133F" w:rsidRDefault="00E755BE" w:rsidP="00545051">
            <w:pPr>
              <w:spacing w:after="0" w:line="240" w:lineRule="auto"/>
              <w:jc w:val="center"/>
            </w:pPr>
            <w:r w:rsidRPr="005C133F">
              <w:t>967</w:t>
            </w:r>
          </w:p>
        </w:tc>
        <w:tc>
          <w:tcPr>
            <w:tcW w:w="1235" w:type="dxa"/>
            <w:tcBorders>
              <w:top w:val="nil"/>
              <w:left w:val="nil"/>
              <w:bottom w:val="single" w:sz="8" w:space="0" w:color="A6A6A6"/>
              <w:right w:val="single" w:sz="8" w:space="0" w:color="A6A6A6"/>
            </w:tcBorders>
            <w:noWrap/>
            <w:vAlign w:val="center"/>
            <w:hideMark/>
          </w:tcPr>
          <w:p w14:paraId="01FB8EB8" w14:textId="77777777" w:rsidR="00E755BE" w:rsidRPr="005C133F" w:rsidRDefault="00E755BE" w:rsidP="00545051">
            <w:pPr>
              <w:spacing w:after="0" w:line="240" w:lineRule="auto"/>
              <w:jc w:val="center"/>
            </w:pPr>
            <w:r w:rsidRPr="005C133F">
              <w:t>970</w:t>
            </w:r>
          </w:p>
        </w:tc>
        <w:tc>
          <w:tcPr>
            <w:tcW w:w="0" w:type="auto"/>
            <w:tcBorders>
              <w:top w:val="nil"/>
              <w:left w:val="nil"/>
              <w:bottom w:val="single" w:sz="8" w:space="0" w:color="A6A6A6"/>
              <w:right w:val="single" w:sz="8" w:space="0" w:color="A6A6A6"/>
            </w:tcBorders>
            <w:noWrap/>
            <w:vAlign w:val="center"/>
            <w:hideMark/>
          </w:tcPr>
          <w:p w14:paraId="2A9EE889" w14:textId="77777777" w:rsidR="00E755BE" w:rsidRPr="005C133F" w:rsidRDefault="00E755BE" w:rsidP="00545051">
            <w:pPr>
              <w:spacing w:after="0" w:line="240" w:lineRule="auto"/>
              <w:jc w:val="center"/>
            </w:pPr>
            <w:r w:rsidRPr="005C133F">
              <w:t>1,740</w:t>
            </w:r>
          </w:p>
        </w:tc>
        <w:tc>
          <w:tcPr>
            <w:tcW w:w="0" w:type="auto"/>
            <w:tcBorders>
              <w:top w:val="nil"/>
              <w:left w:val="nil"/>
              <w:bottom w:val="single" w:sz="8" w:space="0" w:color="A6A6A6"/>
              <w:right w:val="single" w:sz="8" w:space="0" w:color="A6A6A6"/>
            </w:tcBorders>
            <w:noWrap/>
            <w:vAlign w:val="center"/>
            <w:hideMark/>
          </w:tcPr>
          <w:p w14:paraId="2D4B9262" w14:textId="77777777" w:rsidR="00E755BE" w:rsidRPr="005C133F" w:rsidRDefault="00E755BE" w:rsidP="00545051">
            <w:pPr>
              <w:spacing w:after="0" w:line="240" w:lineRule="auto"/>
              <w:jc w:val="center"/>
            </w:pPr>
            <w:r w:rsidRPr="005C133F">
              <w:t>22,776</w:t>
            </w:r>
          </w:p>
        </w:tc>
        <w:tc>
          <w:tcPr>
            <w:tcW w:w="0" w:type="auto"/>
            <w:tcBorders>
              <w:top w:val="nil"/>
              <w:left w:val="nil"/>
              <w:bottom w:val="single" w:sz="8" w:space="0" w:color="A6A6A6"/>
              <w:right w:val="single" w:sz="8" w:space="0" w:color="A6A6A6"/>
            </w:tcBorders>
            <w:noWrap/>
            <w:vAlign w:val="center"/>
            <w:hideMark/>
          </w:tcPr>
          <w:p w14:paraId="473B9670" w14:textId="77777777" w:rsidR="00E755BE" w:rsidRPr="005C133F" w:rsidRDefault="00E755BE" w:rsidP="00545051">
            <w:pPr>
              <w:spacing w:after="0" w:line="240" w:lineRule="auto"/>
              <w:jc w:val="center"/>
            </w:pPr>
            <w:r w:rsidRPr="005C133F">
              <w:t>1,795</w:t>
            </w:r>
          </w:p>
        </w:tc>
      </w:tr>
      <w:tr w:rsidR="004921FF" w:rsidRPr="005C133F" w14:paraId="03B35DDF"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30C54939" w14:textId="77777777" w:rsidR="00E755BE" w:rsidRPr="000D4D13" w:rsidRDefault="00E755BE" w:rsidP="00545051">
            <w:pPr>
              <w:spacing w:after="0" w:line="240" w:lineRule="auto"/>
              <w:rPr>
                <w:bCs/>
              </w:rPr>
            </w:pPr>
            <w:proofErr w:type="spellStart"/>
            <w:r w:rsidRPr="000D4D13">
              <w:rPr>
                <w:bCs/>
              </w:rPr>
              <w:t>Febrero</w:t>
            </w:r>
            <w:proofErr w:type="spellEnd"/>
          </w:p>
        </w:tc>
        <w:tc>
          <w:tcPr>
            <w:tcW w:w="0" w:type="auto"/>
            <w:tcBorders>
              <w:top w:val="nil"/>
              <w:left w:val="nil"/>
              <w:bottom w:val="single" w:sz="8" w:space="0" w:color="A6A6A6"/>
              <w:right w:val="single" w:sz="8" w:space="0" w:color="A6A6A6"/>
            </w:tcBorders>
            <w:noWrap/>
            <w:vAlign w:val="center"/>
            <w:hideMark/>
          </w:tcPr>
          <w:p w14:paraId="1B96ECEC" w14:textId="77777777" w:rsidR="00E755BE" w:rsidRPr="005C133F" w:rsidRDefault="00E755BE" w:rsidP="00545051">
            <w:pPr>
              <w:spacing w:after="0" w:line="240" w:lineRule="auto"/>
              <w:jc w:val="center"/>
            </w:pPr>
            <w:r w:rsidRPr="005C133F">
              <w:t>2,853</w:t>
            </w:r>
          </w:p>
        </w:tc>
        <w:tc>
          <w:tcPr>
            <w:tcW w:w="1542" w:type="dxa"/>
            <w:tcBorders>
              <w:top w:val="nil"/>
              <w:left w:val="nil"/>
              <w:bottom w:val="single" w:sz="8" w:space="0" w:color="A6A6A6"/>
              <w:right w:val="single" w:sz="8" w:space="0" w:color="A6A6A6"/>
            </w:tcBorders>
            <w:noWrap/>
            <w:vAlign w:val="center"/>
            <w:hideMark/>
          </w:tcPr>
          <w:p w14:paraId="080BCBB7" w14:textId="77777777" w:rsidR="00E755BE" w:rsidRPr="005C133F" w:rsidRDefault="00E755BE" w:rsidP="00545051">
            <w:pPr>
              <w:spacing w:after="0" w:line="240" w:lineRule="auto"/>
              <w:jc w:val="center"/>
            </w:pPr>
            <w:r w:rsidRPr="005C133F">
              <w:t>936</w:t>
            </w:r>
          </w:p>
        </w:tc>
        <w:tc>
          <w:tcPr>
            <w:tcW w:w="1235" w:type="dxa"/>
            <w:tcBorders>
              <w:top w:val="nil"/>
              <w:left w:val="nil"/>
              <w:bottom w:val="single" w:sz="8" w:space="0" w:color="A6A6A6"/>
              <w:right w:val="single" w:sz="8" w:space="0" w:color="A6A6A6"/>
            </w:tcBorders>
            <w:noWrap/>
            <w:vAlign w:val="center"/>
            <w:hideMark/>
          </w:tcPr>
          <w:p w14:paraId="4792E4E0" w14:textId="77777777" w:rsidR="00E755BE" w:rsidRPr="005C133F" w:rsidRDefault="00E755BE" w:rsidP="00545051">
            <w:pPr>
              <w:spacing w:after="0" w:line="240" w:lineRule="auto"/>
              <w:jc w:val="center"/>
            </w:pPr>
            <w:r w:rsidRPr="005C133F">
              <w:t>953</w:t>
            </w:r>
          </w:p>
        </w:tc>
        <w:tc>
          <w:tcPr>
            <w:tcW w:w="0" w:type="auto"/>
            <w:tcBorders>
              <w:top w:val="nil"/>
              <w:left w:val="nil"/>
              <w:bottom w:val="single" w:sz="8" w:space="0" w:color="A6A6A6"/>
              <w:right w:val="single" w:sz="8" w:space="0" w:color="A6A6A6"/>
            </w:tcBorders>
            <w:noWrap/>
            <w:vAlign w:val="center"/>
            <w:hideMark/>
          </w:tcPr>
          <w:p w14:paraId="69634475" w14:textId="77777777" w:rsidR="00E755BE" w:rsidRPr="005C133F" w:rsidRDefault="00E755BE" w:rsidP="00545051">
            <w:pPr>
              <w:spacing w:after="0" w:line="240" w:lineRule="auto"/>
              <w:jc w:val="center"/>
            </w:pPr>
            <w:r w:rsidRPr="005C133F">
              <w:t>1,387</w:t>
            </w:r>
          </w:p>
        </w:tc>
        <w:tc>
          <w:tcPr>
            <w:tcW w:w="0" w:type="auto"/>
            <w:tcBorders>
              <w:top w:val="nil"/>
              <w:left w:val="nil"/>
              <w:bottom w:val="single" w:sz="8" w:space="0" w:color="A6A6A6"/>
              <w:right w:val="single" w:sz="8" w:space="0" w:color="A6A6A6"/>
            </w:tcBorders>
            <w:noWrap/>
            <w:vAlign w:val="center"/>
            <w:hideMark/>
          </w:tcPr>
          <w:p w14:paraId="2046299A" w14:textId="77777777" w:rsidR="00E755BE" w:rsidRPr="005C133F" w:rsidRDefault="00E755BE" w:rsidP="00545051">
            <w:pPr>
              <w:spacing w:after="0" w:line="240" w:lineRule="auto"/>
              <w:jc w:val="center"/>
            </w:pPr>
            <w:r w:rsidRPr="005C133F">
              <w:t>21,222</w:t>
            </w:r>
          </w:p>
        </w:tc>
        <w:tc>
          <w:tcPr>
            <w:tcW w:w="0" w:type="auto"/>
            <w:tcBorders>
              <w:top w:val="nil"/>
              <w:left w:val="nil"/>
              <w:bottom w:val="single" w:sz="8" w:space="0" w:color="A6A6A6"/>
              <w:right w:val="single" w:sz="8" w:space="0" w:color="A6A6A6"/>
            </w:tcBorders>
            <w:noWrap/>
            <w:vAlign w:val="center"/>
            <w:hideMark/>
          </w:tcPr>
          <w:p w14:paraId="3EB6BE67" w14:textId="77777777" w:rsidR="00E755BE" w:rsidRPr="005C133F" w:rsidRDefault="00E755BE" w:rsidP="00545051">
            <w:pPr>
              <w:spacing w:after="0" w:line="240" w:lineRule="auto"/>
              <w:jc w:val="center"/>
            </w:pPr>
            <w:r w:rsidRPr="005C133F">
              <w:t>1,826</w:t>
            </w:r>
          </w:p>
        </w:tc>
      </w:tr>
      <w:tr w:rsidR="004921FF" w:rsidRPr="005C133F" w14:paraId="2DFCF7EA"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1324EF6F" w14:textId="77777777" w:rsidR="00E755BE" w:rsidRPr="000D4D13" w:rsidRDefault="00E755BE" w:rsidP="00545051">
            <w:pPr>
              <w:spacing w:after="0" w:line="240" w:lineRule="auto"/>
              <w:rPr>
                <w:bCs/>
              </w:rPr>
            </w:pPr>
            <w:r w:rsidRPr="000D4D13">
              <w:rPr>
                <w:bCs/>
              </w:rPr>
              <w:t>Marzo</w:t>
            </w:r>
          </w:p>
        </w:tc>
        <w:tc>
          <w:tcPr>
            <w:tcW w:w="0" w:type="auto"/>
            <w:tcBorders>
              <w:top w:val="nil"/>
              <w:left w:val="nil"/>
              <w:bottom w:val="single" w:sz="8" w:space="0" w:color="A6A6A6"/>
              <w:right w:val="single" w:sz="8" w:space="0" w:color="A6A6A6"/>
            </w:tcBorders>
            <w:noWrap/>
            <w:vAlign w:val="center"/>
            <w:hideMark/>
          </w:tcPr>
          <w:p w14:paraId="0B022A61" w14:textId="77777777" w:rsidR="00E755BE" w:rsidRPr="005C133F" w:rsidRDefault="00E755BE" w:rsidP="00545051">
            <w:pPr>
              <w:spacing w:after="0" w:line="240" w:lineRule="auto"/>
              <w:jc w:val="center"/>
            </w:pPr>
            <w:r w:rsidRPr="005C133F">
              <w:t>3,514</w:t>
            </w:r>
          </w:p>
        </w:tc>
        <w:tc>
          <w:tcPr>
            <w:tcW w:w="1542" w:type="dxa"/>
            <w:tcBorders>
              <w:top w:val="nil"/>
              <w:left w:val="nil"/>
              <w:bottom w:val="single" w:sz="8" w:space="0" w:color="A6A6A6"/>
              <w:right w:val="single" w:sz="8" w:space="0" w:color="A6A6A6"/>
            </w:tcBorders>
            <w:noWrap/>
            <w:vAlign w:val="center"/>
            <w:hideMark/>
          </w:tcPr>
          <w:p w14:paraId="6D206F6D" w14:textId="77777777" w:rsidR="00E755BE" w:rsidRPr="005C133F" w:rsidRDefault="00E755BE" w:rsidP="00545051">
            <w:pPr>
              <w:spacing w:after="0" w:line="240" w:lineRule="auto"/>
              <w:jc w:val="center"/>
            </w:pPr>
            <w:r w:rsidRPr="005C133F">
              <w:t>1,096</w:t>
            </w:r>
          </w:p>
        </w:tc>
        <w:tc>
          <w:tcPr>
            <w:tcW w:w="1235" w:type="dxa"/>
            <w:tcBorders>
              <w:top w:val="nil"/>
              <w:left w:val="nil"/>
              <w:bottom w:val="single" w:sz="8" w:space="0" w:color="A6A6A6"/>
              <w:right w:val="single" w:sz="8" w:space="0" w:color="A6A6A6"/>
            </w:tcBorders>
            <w:noWrap/>
            <w:vAlign w:val="center"/>
            <w:hideMark/>
          </w:tcPr>
          <w:p w14:paraId="105F9E8A" w14:textId="77777777" w:rsidR="00E755BE" w:rsidRPr="005C133F" w:rsidRDefault="00E755BE" w:rsidP="00545051">
            <w:pPr>
              <w:spacing w:after="0" w:line="240" w:lineRule="auto"/>
              <w:jc w:val="center"/>
            </w:pPr>
            <w:r w:rsidRPr="005C133F">
              <w:t>481</w:t>
            </w:r>
          </w:p>
        </w:tc>
        <w:tc>
          <w:tcPr>
            <w:tcW w:w="0" w:type="auto"/>
            <w:tcBorders>
              <w:top w:val="nil"/>
              <w:left w:val="nil"/>
              <w:bottom w:val="single" w:sz="8" w:space="0" w:color="A6A6A6"/>
              <w:right w:val="single" w:sz="8" w:space="0" w:color="A6A6A6"/>
            </w:tcBorders>
            <w:noWrap/>
            <w:vAlign w:val="center"/>
            <w:hideMark/>
          </w:tcPr>
          <w:p w14:paraId="3F51C403" w14:textId="77777777" w:rsidR="00E755BE" w:rsidRPr="005C133F" w:rsidRDefault="00E755BE" w:rsidP="00545051">
            <w:pPr>
              <w:spacing w:after="0" w:line="240" w:lineRule="auto"/>
              <w:jc w:val="center"/>
            </w:pPr>
            <w:r w:rsidRPr="005C133F">
              <w:t>1,929</w:t>
            </w:r>
          </w:p>
        </w:tc>
        <w:tc>
          <w:tcPr>
            <w:tcW w:w="0" w:type="auto"/>
            <w:tcBorders>
              <w:top w:val="nil"/>
              <w:left w:val="nil"/>
              <w:bottom w:val="single" w:sz="8" w:space="0" w:color="A6A6A6"/>
              <w:right w:val="single" w:sz="8" w:space="0" w:color="A6A6A6"/>
            </w:tcBorders>
            <w:noWrap/>
            <w:vAlign w:val="center"/>
            <w:hideMark/>
          </w:tcPr>
          <w:p w14:paraId="3ED9838D" w14:textId="77777777" w:rsidR="00E755BE" w:rsidRPr="005C133F" w:rsidRDefault="00E755BE" w:rsidP="00545051">
            <w:pPr>
              <w:spacing w:after="0" w:line="240" w:lineRule="auto"/>
              <w:jc w:val="center"/>
            </w:pPr>
            <w:r w:rsidRPr="005C133F">
              <w:t>24,080</w:t>
            </w:r>
          </w:p>
        </w:tc>
        <w:tc>
          <w:tcPr>
            <w:tcW w:w="0" w:type="auto"/>
            <w:tcBorders>
              <w:top w:val="nil"/>
              <w:left w:val="nil"/>
              <w:bottom w:val="single" w:sz="8" w:space="0" w:color="A6A6A6"/>
              <w:right w:val="single" w:sz="8" w:space="0" w:color="A6A6A6"/>
            </w:tcBorders>
            <w:noWrap/>
            <w:vAlign w:val="center"/>
            <w:hideMark/>
          </w:tcPr>
          <w:p w14:paraId="3998979B" w14:textId="77777777" w:rsidR="00E755BE" w:rsidRPr="005C133F" w:rsidRDefault="00E755BE" w:rsidP="00545051">
            <w:pPr>
              <w:spacing w:after="0" w:line="240" w:lineRule="auto"/>
              <w:jc w:val="center"/>
            </w:pPr>
            <w:r w:rsidRPr="005C133F">
              <w:t>1,860</w:t>
            </w:r>
          </w:p>
        </w:tc>
      </w:tr>
      <w:tr w:rsidR="004921FF" w:rsidRPr="005C133F" w14:paraId="12D98B82"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5CBFA758" w14:textId="77777777" w:rsidR="00E755BE" w:rsidRPr="000D4D13" w:rsidRDefault="00E755BE" w:rsidP="00545051">
            <w:pPr>
              <w:spacing w:after="0" w:line="240" w:lineRule="auto"/>
              <w:rPr>
                <w:bCs/>
              </w:rPr>
            </w:pPr>
            <w:r w:rsidRPr="000D4D13">
              <w:rPr>
                <w:bCs/>
              </w:rPr>
              <w:t>Abril</w:t>
            </w:r>
          </w:p>
        </w:tc>
        <w:tc>
          <w:tcPr>
            <w:tcW w:w="0" w:type="auto"/>
            <w:tcBorders>
              <w:top w:val="nil"/>
              <w:left w:val="nil"/>
              <w:bottom w:val="single" w:sz="8" w:space="0" w:color="A6A6A6"/>
              <w:right w:val="single" w:sz="8" w:space="0" w:color="A6A6A6"/>
            </w:tcBorders>
            <w:noWrap/>
            <w:vAlign w:val="center"/>
            <w:hideMark/>
          </w:tcPr>
          <w:p w14:paraId="3F83C4EB" w14:textId="77777777" w:rsidR="00E755BE" w:rsidRPr="005C133F" w:rsidRDefault="00E755BE" w:rsidP="00545051">
            <w:pPr>
              <w:spacing w:after="0" w:line="240" w:lineRule="auto"/>
              <w:jc w:val="center"/>
            </w:pPr>
            <w:r w:rsidRPr="005C133F">
              <w:t>2,600</w:t>
            </w:r>
          </w:p>
        </w:tc>
        <w:tc>
          <w:tcPr>
            <w:tcW w:w="1542" w:type="dxa"/>
            <w:tcBorders>
              <w:top w:val="nil"/>
              <w:left w:val="nil"/>
              <w:bottom w:val="single" w:sz="8" w:space="0" w:color="A6A6A6"/>
              <w:right w:val="single" w:sz="8" w:space="0" w:color="A6A6A6"/>
            </w:tcBorders>
            <w:noWrap/>
            <w:vAlign w:val="center"/>
            <w:hideMark/>
          </w:tcPr>
          <w:p w14:paraId="3D263F11" w14:textId="77777777" w:rsidR="00E755BE" w:rsidRPr="005C133F" w:rsidRDefault="00E755BE" w:rsidP="00545051">
            <w:pPr>
              <w:spacing w:after="0" w:line="240" w:lineRule="auto"/>
              <w:jc w:val="center"/>
            </w:pPr>
            <w:r w:rsidRPr="005C133F">
              <w:t>979</w:t>
            </w:r>
          </w:p>
        </w:tc>
        <w:tc>
          <w:tcPr>
            <w:tcW w:w="1235" w:type="dxa"/>
            <w:tcBorders>
              <w:top w:val="nil"/>
              <w:left w:val="nil"/>
              <w:bottom w:val="single" w:sz="8" w:space="0" w:color="A6A6A6"/>
              <w:right w:val="single" w:sz="8" w:space="0" w:color="A6A6A6"/>
            </w:tcBorders>
            <w:noWrap/>
            <w:vAlign w:val="center"/>
            <w:hideMark/>
          </w:tcPr>
          <w:p w14:paraId="7F4E44E4" w14:textId="77777777" w:rsidR="00E755BE" w:rsidRPr="005C133F" w:rsidRDefault="00E755BE" w:rsidP="00545051">
            <w:pPr>
              <w:spacing w:after="0" w:line="240" w:lineRule="auto"/>
              <w:jc w:val="center"/>
            </w:pPr>
            <w:r w:rsidRPr="005C133F">
              <w:t>1,031</w:t>
            </w:r>
          </w:p>
        </w:tc>
        <w:tc>
          <w:tcPr>
            <w:tcW w:w="0" w:type="auto"/>
            <w:tcBorders>
              <w:top w:val="nil"/>
              <w:left w:val="nil"/>
              <w:bottom w:val="single" w:sz="8" w:space="0" w:color="A6A6A6"/>
              <w:right w:val="single" w:sz="8" w:space="0" w:color="A6A6A6"/>
            </w:tcBorders>
            <w:noWrap/>
            <w:vAlign w:val="center"/>
            <w:hideMark/>
          </w:tcPr>
          <w:p w14:paraId="78B5D73C" w14:textId="77777777" w:rsidR="00E755BE" w:rsidRPr="005C133F" w:rsidRDefault="00E755BE" w:rsidP="00545051">
            <w:pPr>
              <w:spacing w:after="0" w:line="240" w:lineRule="auto"/>
              <w:jc w:val="center"/>
            </w:pPr>
            <w:r w:rsidRPr="005C133F">
              <w:t>1,558</w:t>
            </w:r>
          </w:p>
        </w:tc>
        <w:tc>
          <w:tcPr>
            <w:tcW w:w="0" w:type="auto"/>
            <w:tcBorders>
              <w:top w:val="nil"/>
              <w:left w:val="nil"/>
              <w:bottom w:val="single" w:sz="8" w:space="0" w:color="A6A6A6"/>
              <w:right w:val="single" w:sz="8" w:space="0" w:color="A6A6A6"/>
            </w:tcBorders>
            <w:noWrap/>
            <w:vAlign w:val="center"/>
            <w:hideMark/>
          </w:tcPr>
          <w:p w14:paraId="730F151A" w14:textId="77777777" w:rsidR="00E755BE" w:rsidRPr="005C133F" w:rsidRDefault="00E755BE" w:rsidP="00545051">
            <w:pPr>
              <w:spacing w:after="0" w:line="240" w:lineRule="auto"/>
              <w:jc w:val="center"/>
            </w:pPr>
            <w:r w:rsidRPr="005C133F">
              <w:t>22,085</w:t>
            </w:r>
          </w:p>
        </w:tc>
        <w:tc>
          <w:tcPr>
            <w:tcW w:w="0" w:type="auto"/>
            <w:tcBorders>
              <w:top w:val="nil"/>
              <w:left w:val="nil"/>
              <w:bottom w:val="single" w:sz="8" w:space="0" w:color="A6A6A6"/>
              <w:right w:val="single" w:sz="8" w:space="0" w:color="A6A6A6"/>
            </w:tcBorders>
            <w:noWrap/>
            <w:vAlign w:val="center"/>
            <w:hideMark/>
          </w:tcPr>
          <w:p w14:paraId="24A96D79" w14:textId="77777777" w:rsidR="00E755BE" w:rsidRPr="005C133F" w:rsidRDefault="00E755BE" w:rsidP="00545051">
            <w:pPr>
              <w:spacing w:after="0" w:line="240" w:lineRule="auto"/>
              <w:jc w:val="center"/>
            </w:pPr>
            <w:r w:rsidRPr="005C133F">
              <w:t>1,628</w:t>
            </w:r>
          </w:p>
        </w:tc>
      </w:tr>
      <w:tr w:rsidR="004921FF" w:rsidRPr="005C133F" w14:paraId="5CE9DD71"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3EC9B7D1" w14:textId="77777777" w:rsidR="00E755BE" w:rsidRPr="000D4D13" w:rsidRDefault="00E755BE" w:rsidP="00545051">
            <w:pPr>
              <w:spacing w:after="0" w:line="240" w:lineRule="auto"/>
              <w:rPr>
                <w:bCs/>
              </w:rPr>
            </w:pPr>
            <w:r w:rsidRPr="000D4D13">
              <w:rPr>
                <w:bCs/>
              </w:rPr>
              <w:t>Mayo</w:t>
            </w:r>
          </w:p>
        </w:tc>
        <w:tc>
          <w:tcPr>
            <w:tcW w:w="0" w:type="auto"/>
            <w:tcBorders>
              <w:top w:val="nil"/>
              <w:left w:val="nil"/>
              <w:bottom w:val="single" w:sz="8" w:space="0" w:color="A6A6A6"/>
              <w:right w:val="single" w:sz="8" w:space="0" w:color="A6A6A6"/>
            </w:tcBorders>
            <w:noWrap/>
            <w:vAlign w:val="center"/>
            <w:hideMark/>
          </w:tcPr>
          <w:p w14:paraId="5B9DB29A" w14:textId="77777777" w:rsidR="00E755BE" w:rsidRPr="005C133F" w:rsidRDefault="00E755BE" w:rsidP="00545051">
            <w:pPr>
              <w:spacing w:after="0" w:line="240" w:lineRule="auto"/>
              <w:jc w:val="center"/>
            </w:pPr>
            <w:r w:rsidRPr="005C133F">
              <w:t>2,625</w:t>
            </w:r>
          </w:p>
        </w:tc>
        <w:tc>
          <w:tcPr>
            <w:tcW w:w="1542" w:type="dxa"/>
            <w:tcBorders>
              <w:top w:val="nil"/>
              <w:left w:val="nil"/>
              <w:bottom w:val="single" w:sz="8" w:space="0" w:color="A6A6A6"/>
              <w:right w:val="single" w:sz="8" w:space="0" w:color="A6A6A6"/>
            </w:tcBorders>
            <w:noWrap/>
            <w:vAlign w:val="center"/>
            <w:hideMark/>
          </w:tcPr>
          <w:p w14:paraId="4BD9AA71" w14:textId="77777777" w:rsidR="00E755BE" w:rsidRPr="005C133F" w:rsidRDefault="00E755BE" w:rsidP="00545051">
            <w:pPr>
              <w:spacing w:after="0" w:line="240" w:lineRule="auto"/>
              <w:jc w:val="center"/>
            </w:pPr>
            <w:r w:rsidRPr="005C133F">
              <w:t>1,148</w:t>
            </w:r>
          </w:p>
        </w:tc>
        <w:tc>
          <w:tcPr>
            <w:tcW w:w="1235" w:type="dxa"/>
            <w:tcBorders>
              <w:top w:val="nil"/>
              <w:left w:val="nil"/>
              <w:bottom w:val="single" w:sz="8" w:space="0" w:color="A6A6A6"/>
              <w:right w:val="single" w:sz="8" w:space="0" w:color="A6A6A6"/>
            </w:tcBorders>
            <w:noWrap/>
            <w:vAlign w:val="center"/>
            <w:hideMark/>
          </w:tcPr>
          <w:p w14:paraId="786C8B7C" w14:textId="77777777" w:rsidR="00E755BE" w:rsidRPr="005C133F" w:rsidRDefault="00E755BE" w:rsidP="00545051">
            <w:pPr>
              <w:spacing w:after="0" w:line="240" w:lineRule="auto"/>
              <w:jc w:val="center"/>
            </w:pPr>
            <w:r w:rsidRPr="005C133F">
              <w:t>1,008</w:t>
            </w:r>
          </w:p>
        </w:tc>
        <w:tc>
          <w:tcPr>
            <w:tcW w:w="0" w:type="auto"/>
            <w:tcBorders>
              <w:top w:val="nil"/>
              <w:left w:val="nil"/>
              <w:bottom w:val="single" w:sz="8" w:space="0" w:color="A6A6A6"/>
              <w:right w:val="single" w:sz="8" w:space="0" w:color="A6A6A6"/>
            </w:tcBorders>
            <w:noWrap/>
            <w:vAlign w:val="center"/>
            <w:hideMark/>
          </w:tcPr>
          <w:p w14:paraId="77301D76" w14:textId="77777777" w:rsidR="00E755BE" w:rsidRPr="005C133F" w:rsidRDefault="00E755BE" w:rsidP="00545051">
            <w:pPr>
              <w:spacing w:after="0" w:line="240" w:lineRule="auto"/>
              <w:jc w:val="center"/>
            </w:pPr>
            <w:r w:rsidRPr="005C133F">
              <w:t>2,200</w:t>
            </w:r>
          </w:p>
        </w:tc>
        <w:tc>
          <w:tcPr>
            <w:tcW w:w="0" w:type="auto"/>
            <w:tcBorders>
              <w:top w:val="nil"/>
              <w:left w:val="nil"/>
              <w:bottom w:val="single" w:sz="8" w:space="0" w:color="A6A6A6"/>
              <w:right w:val="single" w:sz="8" w:space="0" w:color="A6A6A6"/>
            </w:tcBorders>
            <w:noWrap/>
            <w:vAlign w:val="center"/>
            <w:hideMark/>
          </w:tcPr>
          <w:p w14:paraId="0BE73D2B" w14:textId="77777777" w:rsidR="00E755BE" w:rsidRPr="005C133F" w:rsidRDefault="00E755BE" w:rsidP="00545051">
            <w:pPr>
              <w:spacing w:after="0" w:line="240" w:lineRule="auto"/>
              <w:jc w:val="center"/>
            </w:pPr>
            <w:r w:rsidRPr="005C133F">
              <w:t>25,288</w:t>
            </w:r>
          </w:p>
        </w:tc>
        <w:tc>
          <w:tcPr>
            <w:tcW w:w="0" w:type="auto"/>
            <w:tcBorders>
              <w:top w:val="nil"/>
              <w:left w:val="nil"/>
              <w:bottom w:val="single" w:sz="8" w:space="0" w:color="A6A6A6"/>
              <w:right w:val="single" w:sz="8" w:space="0" w:color="A6A6A6"/>
            </w:tcBorders>
            <w:noWrap/>
            <w:vAlign w:val="center"/>
            <w:hideMark/>
          </w:tcPr>
          <w:p w14:paraId="4122537E" w14:textId="77777777" w:rsidR="00E755BE" w:rsidRPr="005C133F" w:rsidRDefault="00E755BE" w:rsidP="00545051">
            <w:pPr>
              <w:spacing w:after="0" w:line="240" w:lineRule="auto"/>
              <w:jc w:val="center"/>
            </w:pPr>
            <w:r w:rsidRPr="005C133F">
              <w:t>1,925</w:t>
            </w:r>
          </w:p>
        </w:tc>
      </w:tr>
      <w:tr w:rsidR="004921FF" w:rsidRPr="005C133F" w14:paraId="6EE1D12F"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12E11BA2" w14:textId="77777777" w:rsidR="00E755BE" w:rsidRPr="000D4D13" w:rsidRDefault="00E755BE" w:rsidP="00545051">
            <w:pPr>
              <w:spacing w:after="0" w:line="240" w:lineRule="auto"/>
              <w:rPr>
                <w:bCs/>
              </w:rPr>
            </w:pPr>
            <w:r w:rsidRPr="000D4D13">
              <w:rPr>
                <w:bCs/>
              </w:rPr>
              <w:t>Junio</w:t>
            </w:r>
          </w:p>
        </w:tc>
        <w:tc>
          <w:tcPr>
            <w:tcW w:w="0" w:type="auto"/>
            <w:tcBorders>
              <w:top w:val="nil"/>
              <w:left w:val="nil"/>
              <w:bottom w:val="single" w:sz="8" w:space="0" w:color="A6A6A6"/>
              <w:right w:val="single" w:sz="8" w:space="0" w:color="A6A6A6"/>
            </w:tcBorders>
            <w:noWrap/>
            <w:vAlign w:val="center"/>
            <w:hideMark/>
          </w:tcPr>
          <w:p w14:paraId="60EDD8B0" w14:textId="77777777" w:rsidR="00E755BE" w:rsidRPr="005C133F" w:rsidRDefault="00E755BE" w:rsidP="00545051">
            <w:pPr>
              <w:spacing w:after="0" w:line="240" w:lineRule="auto"/>
              <w:jc w:val="center"/>
            </w:pPr>
            <w:r w:rsidRPr="005C133F">
              <w:t>2,569</w:t>
            </w:r>
          </w:p>
        </w:tc>
        <w:tc>
          <w:tcPr>
            <w:tcW w:w="1542" w:type="dxa"/>
            <w:tcBorders>
              <w:top w:val="nil"/>
              <w:left w:val="nil"/>
              <w:bottom w:val="single" w:sz="8" w:space="0" w:color="A6A6A6"/>
              <w:right w:val="single" w:sz="8" w:space="0" w:color="A6A6A6"/>
            </w:tcBorders>
            <w:noWrap/>
            <w:vAlign w:val="center"/>
            <w:hideMark/>
          </w:tcPr>
          <w:p w14:paraId="1F9EB2AE" w14:textId="77777777" w:rsidR="00E755BE" w:rsidRPr="005C133F" w:rsidRDefault="00E755BE" w:rsidP="00545051">
            <w:pPr>
              <w:spacing w:after="0" w:line="240" w:lineRule="auto"/>
              <w:jc w:val="center"/>
            </w:pPr>
            <w:r w:rsidRPr="005C133F">
              <w:t>1,060</w:t>
            </w:r>
          </w:p>
        </w:tc>
        <w:tc>
          <w:tcPr>
            <w:tcW w:w="1235" w:type="dxa"/>
            <w:tcBorders>
              <w:top w:val="nil"/>
              <w:left w:val="nil"/>
              <w:bottom w:val="single" w:sz="8" w:space="0" w:color="A6A6A6"/>
              <w:right w:val="single" w:sz="8" w:space="0" w:color="A6A6A6"/>
            </w:tcBorders>
            <w:noWrap/>
            <w:vAlign w:val="center"/>
            <w:hideMark/>
          </w:tcPr>
          <w:p w14:paraId="26396F6A" w14:textId="77777777" w:rsidR="00E755BE" w:rsidRPr="005C133F" w:rsidRDefault="00E755BE" w:rsidP="00545051">
            <w:pPr>
              <w:spacing w:after="0" w:line="240" w:lineRule="auto"/>
              <w:jc w:val="center"/>
            </w:pPr>
            <w:r w:rsidRPr="005C133F">
              <w:t>1,203</w:t>
            </w:r>
          </w:p>
        </w:tc>
        <w:tc>
          <w:tcPr>
            <w:tcW w:w="0" w:type="auto"/>
            <w:tcBorders>
              <w:top w:val="nil"/>
              <w:left w:val="nil"/>
              <w:bottom w:val="single" w:sz="8" w:space="0" w:color="A6A6A6"/>
              <w:right w:val="single" w:sz="8" w:space="0" w:color="A6A6A6"/>
            </w:tcBorders>
            <w:noWrap/>
            <w:vAlign w:val="center"/>
            <w:hideMark/>
          </w:tcPr>
          <w:p w14:paraId="047403D0" w14:textId="77777777" w:rsidR="00E755BE" w:rsidRPr="005C133F" w:rsidRDefault="00E755BE" w:rsidP="00545051">
            <w:pPr>
              <w:spacing w:after="0" w:line="240" w:lineRule="auto"/>
              <w:jc w:val="center"/>
            </w:pPr>
            <w:r w:rsidRPr="005C133F">
              <w:t>1,847</w:t>
            </w:r>
          </w:p>
        </w:tc>
        <w:tc>
          <w:tcPr>
            <w:tcW w:w="0" w:type="auto"/>
            <w:tcBorders>
              <w:top w:val="nil"/>
              <w:left w:val="nil"/>
              <w:bottom w:val="single" w:sz="8" w:space="0" w:color="A6A6A6"/>
              <w:right w:val="single" w:sz="8" w:space="0" w:color="A6A6A6"/>
            </w:tcBorders>
            <w:noWrap/>
            <w:vAlign w:val="center"/>
            <w:hideMark/>
          </w:tcPr>
          <w:p w14:paraId="71C2EEEB" w14:textId="77777777" w:rsidR="00E755BE" w:rsidRPr="005C133F" w:rsidRDefault="00E755BE" w:rsidP="00545051">
            <w:pPr>
              <w:spacing w:after="0" w:line="240" w:lineRule="auto"/>
              <w:jc w:val="center"/>
            </w:pPr>
            <w:r w:rsidRPr="005C133F">
              <w:t>22,577</w:t>
            </w:r>
          </w:p>
        </w:tc>
        <w:tc>
          <w:tcPr>
            <w:tcW w:w="0" w:type="auto"/>
            <w:tcBorders>
              <w:top w:val="nil"/>
              <w:left w:val="nil"/>
              <w:bottom w:val="single" w:sz="8" w:space="0" w:color="A6A6A6"/>
              <w:right w:val="single" w:sz="8" w:space="0" w:color="A6A6A6"/>
            </w:tcBorders>
            <w:noWrap/>
            <w:vAlign w:val="center"/>
            <w:hideMark/>
          </w:tcPr>
          <w:p w14:paraId="5E549B97" w14:textId="77777777" w:rsidR="00E755BE" w:rsidRPr="005C133F" w:rsidRDefault="00E755BE" w:rsidP="00545051">
            <w:pPr>
              <w:spacing w:after="0" w:line="240" w:lineRule="auto"/>
              <w:jc w:val="center"/>
            </w:pPr>
            <w:r w:rsidRPr="005C133F">
              <w:t>1,830</w:t>
            </w:r>
          </w:p>
        </w:tc>
      </w:tr>
      <w:tr w:rsidR="004921FF" w:rsidRPr="005C133F" w14:paraId="5390F155"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6822F667" w14:textId="77777777" w:rsidR="00E755BE" w:rsidRPr="000D4D13" w:rsidRDefault="00E755BE" w:rsidP="00545051">
            <w:pPr>
              <w:spacing w:after="0" w:line="240" w:lineRule="auto"/>
              <w:rPr>
                <w:bCs/>
              </w:rPr>
            </w:pPr>
            <w:r w:rsidRPr="000D4D13">
              <w:rPr>
                <w:bCs/>
              </w:rPr>
              <w:t>Julio</w:t>
            </w:r>
          </w:p>
        </w:tc>
        <w:tc>
          <w:tcPr>
            <w:tcW w:w="0" w:type="auto"/>
            <w:tcBorders>
              <w:top w:val="nil"/>
              <w:left w:val="nil"/>
              <w:bottom w:val="single" w:sz="8" w:space="0" w:color="A6A6A6"/>
              <w:right w:val="single" w:sz="8" w:space="0" w:color="A6A6A6"/>
            </w:tcBorders>
            <w:noWrap/>
            <w:vAlign w:val="center"/>
            <w:hideMark/>
          </w:tcPr>
          <w:p w14:paraId="2053B0DA" w14:textId="77777777" w:rsidR="00E755BE" w:rsidRPr="005C133F" w:rsidRDefault="00E755BE" w:rsidP="00545051">
            <w:pPr>
              <w:spacing w:after="0" w:line="240" w:lineRule="auto"/>
              <w:jc w:val="center"/>
            </w:pPr>
            <w:r w:rsidRPr="005C133F">
              <w:t>3,190</w:t>
            </w:r>
          </w:p>
        </w:tc>
        <w:tc>
          <w:tcPr>
            <w:tcW w:w="1542" w:type="dxa"/>
            <w:tcBorders>
              <w:top w:val="nil"/>
              <w:left w:val="nil"/>
              <w:bottom w:val="single" w:sz="8" w:space="0" w:color="A6A6A6"/>
              <w:right w:val="single" w:sz="8" w:space="0" w:color="A6A6A6"/>
            </w:tcBorders>
            <w:noWrap/>
            <w:vAlign w:val="center"/>
            <w:hideMark/>
          </w:tcPr>
          <w:p w14:paraId="45B45018" w14:textId="77777777" w:rsidR="00E755BE" w:rsidRPr="005C133F" w:rsidRDefault="00E755BE" w:rsidP="00545051">
            <w:pPr>
              <w:spacing w:after="0" w:line="240" w:lineRule="auto"/>
              <w:jc w:val="center"/>
            </w:pPr>
            <w:r w:rsidRPr="005C133F">
              <w:t>1,154</w:t>
            </w:r>
          </w:p>
        </w:tc>
        <w:tc>
          <w:tcPr>
            <w:tcW w:w="1235" w:type="dxa"/>
            <w:tcBorders>
              <w:top w:val="nil"/>
              <w:left w:val="nil"/>
              <w:bottom w:val="single" w:sz="8" w:space="0" w:color="A6A6A6"/>
              <w:right w:val="single" w:sz="8" w:space="0" w:color="A6A6A6"/>
            </w:tcBorders>
            <w:noWrap/>
            <w:vAlign w:val="center"/>
            <w:hideMark/>
          </w:tcPr>
          <w:p w14:paraId="31718BB3" w14:textId="77777777" w:rsidR="00E755BE" w:rsidRPr="005C133F" w:rsidRDefault="00E755BE" w:rsidP="00545051">
            <w:pPr>
              <w:spacing w:after="0" w:line="240" w:lineRule="auto"/>
              <w:jc w:val="center"/>
            </w:pPr>
            <w:r w:rsidRPr="005C133F">
              <w:t>1,107</w:t>
            </w:r>
          </w:p>
        </w:tc>
        <w:tc>
          <w:tcPr>
            <w:tcW w:w="0" w:type="auto"/>
            <w:tcBorders>
              <w:top w:val="nil"/>
              <w:left w:val="nil"/>
              <w:bottom w:val="single" w:sz="8" w:space="0" w:color="A6A6A6"/>
              <w:right w:val="single" w:sz="8" w:space="0" w:color="A6A6A6"/>
            </w:tcBorders>
            <w:noWrap/>
            <w:vAlign w:val="center"/>
            <w:hideMark/>
          </w:tcPr>
          <w:p w14:paraId="6C0929D7" w14:textId="77777777" w:rsidR="00E755BE" w:rsidRPr="005C133F" w:rsidRDefault="00E755BE" w:rsidP="00545051">
            <w:pPr>
              <w:spacing w:after="0" w:line="240" w:lineRule="auto"/>
              <w:jc w:val="center"/>
            </w:pPr>
            <w:r w:rsidRPr="005C133F">
              <w:t>1,549</w:t>
            </w:r>
          </w:p>
        </w:tc>
        <w:tc>
          <w:tcPr>
            <w:tcW w:w="0" w:type="auto"/>
            <w:tcBorders>
              <w:top w:val="nil"/>
              <w:left w:val="nil"/>
              <w:bottom w:val="single" w:sz="8" w:space="0" w:color="A6A6A6"/>
              <w:right w:val="single" w:sz="8" w:space="0" w:color="A6A6A6"/>
            </w:tcBorders>
            <w:noWrap/>
            <w:vAlign w:val="center"/>
            <w:hideMark/>
          </w:tcPr>
          <w:p w14:paraId="369718D0" w14:textId="77777777" w:rsidR="00E755BE" w:rsidRPr="005C133F" w:rsidRDefault="00E755BE" w:rsidP="00545051">
            <w:pPr>
              <w:spacing w:after="0" w:line="240" w:lineRule="auto"/>
              <w:jc w:val="center"/>
            </w:pPr>
            <w:r w:rsidRPr="005C133F">
              <w:t>24,358</w:t>
            </w:r>
          </w:p>
        </w:tc>
        <w:tc>
          <w:tcPr>
            <w:tcW w:w="0" w:type="auto"/>
            <w:tcBorders>
              <w:top w:val="nil"/>
              <w:left w:val="nil"/>
              <w:bottom w:val="single" w:sz="8" w:space="0" w:color="A6A6A6"/>
              <w:right w:val="single" w:sz="8" w:space="0" w:color="A6A6A6"/>
            </w:tcBorders>
            <w:noWrap/>
            <w:vAlign w:val="center"/>
            <w:hideMark/>
          </w:tcPr>
          <w:p w14:paraId="5D9FB934" w14:textId="77777777" w:rsidR="00E755BE" w:rsidRPr="005C133F" w:rsidRDefault="00E755BE" w:rsidP="00545051">
            <w:pPr>
              <w:spacing w:after="0" w:line="240" w:lineRule="auto"/>
              <w:jc w:val="center"/>
            </w:pPr>
            <w:r w:rsidRPr="005C133F">
              <w:t>1,878</w:t>
            </w:r>
          </w:p>
        </w:tc>
      </w:tr>
      <w:tr w:rsidR="004921FF" w:rsidRPr="005C133F" w14:paraId="052B3D5A"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7A8723DD" w14:textId="77777777" w:rsidR="00E755BE" w:rsidRPr="000D4D13" w:rsidRDefault="00E755BE" w:rsidP="00545051">
            <w:pPr>
              <w:spacing w:after="0" w:line="240" w:lineRule="auto"/>
              <w:rPr>
                <w:bCs/>
              </w:rPr>
            </w:pPr>
            <w:r w:rsidRPr="000D4D13">
              <w:rPr>
                <w:bCs/>
              </w:rPr>
              <w:t>Agosto</w:t>
            </w:r>
          </w:p>
        </w:tc>
        <w:tc>
          <w:tcPr>
            <w:tcW w:w="0" w:type="auto"/>
            <w:tcBorders>
              <w:top w:val="nil"/>
              <w:left w:val="nil"/>
              <w:bottom w:val="single" w:sz="8" w:space="0" w:color="A6A6A6"/>
              <w:right w:val="single" w:sz="8" w:space="0" w:color="A6A6A6"/>
            </w:tcBorders>
            <w:noWrap/>
            <w:vAlign w:val="center"/>
            <w:hideMark/>
          </w:tcPr>
          <w:p w14:paraId="2D77DB42" w14:textId="77777777" w:rsidR="00E755BE" w:rsidRPr="005C133F" w:rsidRDefault="00E755BE" w:rsidP="00545051">
            <w:pPr>
              <w:spacing w:after="0" w:line="240" w:lineRule="auto"/>
              <w:jc w:val="center"/>
            </w:pPr>
            <w:r w:rsidRPr="005C133F">
              <w:t>2,774</w:t>
            </w:r>
          </w:p>
        </w:tc>
        <w:tc>
          <w:tcPr>
            <w:tcW w:w="1542" w:type="dxa"/>
            <w:tcBorders>
              <w:top w:val="nil"/>
              <w:left w:val="nil"/>
              <w:bottom w:val="single" w:sz="8" w:space="0" w:color="A6A6A6"/>
              <w:right w:val="single" w:sz="8" w:space="0" w:color="A6A6A6"/>
            </w:tcBorders>
            <w:noWrap/>
            <w:vAlign w:val="center"/>
            <w:hideMark/>
          </w:tcPr>
          <w:p w14:paraId="6A23441F" w14:textId="77777777" w:rsidR="00E755BE" w:rsidRPr="005C133F" w:rsidRDefault="00E755BE" w:rsidP="00545051">
            <w:pPr>
              <w:spacing w:after="0" w:line="240" w:lineRule="auto"/>
              <w:jc w:val="center"/>
            </w:pPr>
            <w:r w:rsidRPr="005C133F">
              <w:t>1,012</w:t>
            </w:r>
          </w:p>
        </w:tc>
        <w:tc>
          <w:tcPr>
            <w:tcW w:w="1235" w:type="dxa"/>
            <w:tcBorders>
              <w:top w:val="nil"/>
              <w:left w:val="nil"/>
              <w:bottom w:val="single" w:sz="8" w:space="0" w:color="A6A6A6"/>
              <w:right w:val="single" w:sz="8" w:space="0" w:color="A6A6A6"/>
            </w:tcBorders>
            <w:noWrap/>
            <w:vAlign w:val="center"/>
            <w:hideMark/>
          </w:tcPr>
          <w:p w14:paraId="65F94E99" w14:textId="77777777" w:rsidR="00E755BE" w:rsidRPr="005C133F" w:rsidRDefault="00E755BE" w:rsidP="00545051">
            <w:pPr>
              <w:spacing w:after="0" w:line="240" w:lineRule="auto"/>
              <w:jc w:val="center"/>
            </w:pPr>
            <w:r w:rsidRPr="005C133F">
              <w:t>1,012</w:t>
            </w:r>
          </w:p>
        </w:tc>
        <w:tc>
          <w:tcPr>
            <w:tcW w:w="0" w:type="auto"/>
            <w:tcBorders>
              <w:top w:val="nil"/>
              <w:left w:val="nil"/>
              <w:bottom w:val="single" w:sz="8" w:space="0" w:color="A6A6A6"/>
              <w:right w:val="single" w:sz="8" w:space="0" w:color="A6A6A6"/>
            </w:tcBorders>
            <w:noWrap/>
            <w:vAlign w:val="center"/>
            <w:hideMark/>
          </w:tcPr>
          <w:p w14:paraId="28492EA8" w14:textId="77777777" w:rsidR="00E755BE" w:rsidRPr="005C133F" w:rsidRDefault="00E755BE" w:rsidP="00545051">
            <w:pPr>
              <w:spacing w:after="0" w:line="240" w:lineRule="auto"/>
              <w:jc w:val="center"/>
            </w:pPr>
            <w:r w:rsidRPr="005C133F">
              <w:t>2,349</w:t>
            </w:r>
          </w:p>
        </w:tc>
        <w:tc>
          <w:tcPr>
            <w:tcW w:w="0" w:type="auto"/>
            <w:tcBorders>
              <w:top w:val="nil"/>
              <w:left w:val="nil"/>
              <w:bottom w:val="single" w:sz="8" w:space="0" w:color="A6A6A6"/>
              <w:right w:val="single" w:sz="8" w:space="0" w:color="A6A6A6"/>
            </w:tcBorders>
            <w:noWrap/>
            <w:vAlign w:val="center"/>
            <w:hideMark/>
          </w:tcPr>
          <w:p w14:paraId="1A8FAC2A" w14:textId="77777777" w:rsidR="00E755BE" w:rsidRPr="005C133F" w:rsidRDefault="00E755BE" w:rsidP="00545051">
            <w:pPr>
              <w:spacing w:after="0" w:line="240" w:lineRule="auto"/>
              <w:jc w:val="center"/>
            </w:pPr>
            <w:r w:rsidRPr="005C133F">
              <w:t>21,145</w:t>
            </w:r>
          </w:p>
        </w:tc>
        <w:tc>
          <w:tcPr>
            <w:tcW w:w="0" w:type="auto"/>
            <w:tcBorders>
              <w:top w:val="nil"/>
              <w:left w:val="nil"/>
              <w:bottom w:val="single" w:sz="8" w:space="0" w:color="A6A6A6"/>
              <w:right w:val="single" w:sz="8" w:space="0" w:color="A6A6A6"/>
            </w:tcBorders>
            <w:noWrap/>
            <w:vAlign w:val="center"/>
            <w:hideMark/>
          </w:tcPr>
          <w:p w14:paraId="14CC8587" w14:textId="77777777" w:rsidR="00E755BE" w:rsidRPr="005C133F" w:rsidRDefault="00E755BE" w:rsidP="00545051">
            <w:pPr>
              <w:spacing w:after="0" w:line="240" w:lineRule="auto"/>
              <w:jc w:val="center"/>
            </w:pPr>
            <w:r w:rsidRPr="005C133F">
              <w:t>1,571</w:t>
            </w:r>
          </w:p>
        </w:tc>
      </w:tr>
      <w:tr w:rsidR="004921FF" w:rsidRPr="005C133F" w14:paraId="20258757"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66DD46BD" w14:textId="77777777" w:rsidR="00E755BE" w:rsidRPr="000D4D13" w:rsidRDefault="00E755BE" w:rsidP="00545051">
            <w:pPr>
              <w:spacing w:after="0" w:line="240" w:lineRule="auto"/>
              <w:rPr>
                <w:bCs/>
              </w:rPr>
            </w:pPr>
            <w:proofErr w:type="spellStart"/>
            <w:r w:rsidRPr="000D4D13">
              <w:rPr>
                <w:bCs/>
              </w:rPr>
              <w:t>Septiembre</w:t>
            </w:r>
            <w:proofErr w:type="spellEnd"/>
          </w:p>
        </w:tc>
        <w:tc>
          <w:tcPr>
            <w:tcW w:w="0" w:type="auto"/>
            <w:tcBorders>
              <w:top w:val="nil"/>
              <w:left w:val="nil"/>
              <w:bottom w:val="single" w:sz="8" w:space="0" w:color="A6A6A6"/>
              <w:right w:val="single" w:sz="8" w:space="0" w:color="A6A6A6"/>
            </w:tcBorders>
            <w:noWrap/>
            <w:vAlign w:val="center"/>
            <w:hideMark/>
          </w:tcPr>
          <w:p w14:paraId="51EF9E78" w14:textId="77777777" w:rsidR="00E755BE" w:rsidRPr="005C133F" w:rsidRDefault="00E755BE" w:rsidP="00545051">
            <w:pPr>
              <w:spacing w:after="0" w:line="240" w:lineRule="auto"/>
              <w:jc w:val="center"/>
            </w:pPr>
            <w:r w:rsidRPr="005C133F">
              <w:t>2,722</w:t>
            </w:r>
          </w:p>
        </w:tc>
        <w:tc>
          <w:tcPr>
            <w:tcW w:w="1542" w:type="dxa"/>
            <w:tcBorders>
              <w:top w:val="nil"/>
              <w:left w:val="nil"/>
              <w:bottom w:val="single" w:sz="8" w:space="0" w:color="A6A6A6"/>
              <w:right w:val="single" w:sz="8" w:space="0" w:color="A6A6A6"/>
            </w:tcBorders>
            <w:noWrap/>
            <w:vAlign w:val="center"/>
            <w:hideMark/>
          </w:tcPr>
          <w:p w14:paraId="709F4B51" w14:textId="77777777" w:rsidR="00E755BE" w:rsidRPr="005C133F" w:rsidRDefault="00E755BE" w:rsidP="00545051">
            <w:pPr>
              <w:spacing w:after="0" w:line="240" w:lineRule="auto"/>
              <w:jc w:val="center"/>
            </w:pPr>
            <w:r w:rsidRPr="005C133F">
              <w:t>1,023</w:t>
            </w:r>
          </w:p>
        </w:tc>
        <w:tc>
          <w:tcPr>
            <w:tcW w:w="1235" w:type="dxa"/>
            <w:tcBorders>
              <w:top w:val="nil"/>
              <w:left w:val="nil"/>
              <w:bottom w:val="single" w:sz="8" w:space="0" w:color="A6A6A6"/>
              <w:right w:val="single" w:sz="8" w:space="0" w:color="A6A6A6"/>
            </w:tcBorders>
            <w:noWrap/>
            <w:vAlign w:val="center"/>
            <w:hideMark/>
          </w:tcPr>
          <w:p w14:paraId="2A194795" w14:textId="77777777" w:rsidR="00E755BE" w:rsidRPr="005C133F" w:rsidRDefault="00E755BE" w:rsidP="00545051">
            <w:pPr>
              <w:spacing w:after="0" w:line="240" w:lineRule="auto"/>
              <w:jc w:val="center"/>
            </w:pPr>
            <w:r w:rsidRPr="005C133F">
              <w:t>1,314</w:t>
            </w:r>
          </w:p>
        </w:tc>
        <w:tc>
          <w:tcPr>
            <w:tcW w:w="0" w:type="auto"/>
            <w:tcBorders>
              <w:top w:val="nil"/>
              <w:left w:val="nil"/>
              <w:bottom w:val="single" w:sz="8" w:space="0" w:color="A6A6A6"/>
              <w:right w:val="single" w:sz="8" w:space="0" w:color="A6A6A6"/>
            </w:tcBorders>
            <w:noWrap/>
            <w:vAlign w:val="center"/>
            <w:hideMark/>
          </w:tcPr>
          <w:p w14:paraId="26DBDB00" w14:textId="77777777" w:rsidR="00E755BE" w:rsidRPr="005C133F" w:rsidRDefault="00E755BE" w:rsidP="00545051">
            <w:pPr>
              <w:spacing w:after="0" w:line="240" w:lineRule="auto"/>
              <w:jc w:val="center"/>
            </w:pPr>
            <w:r w:rsidRPr="005C133F">
              <w:t>1,844</w:t>
            </w:r>
          </w:p>
        </w:tc>
        <w:tc>
          <w:tcPr>
            <w:tcW w:w="0" w:type="auto"/>
            <w:tcBorders>
              <w:top w:val="nil"/>
              <w:left w:val="nil"/>
              <w:bottom w:val="single" w:sz="8" w:space="0" w:color="A6A6A6"/>
              <w:right w:val="single" w:sz="8" w:space="0" w:color="A6A6A6"/>
            </w:tcBorders>
            <w:noWrap/>
            <w:vAlign w:val="center"/>
            <w:hideMark/>
          </w:tcPr>
          <w:p w14:paraId="5B6D477F" w14:textId="77777777" w:rsidR="00E755BE" w:rsidRPr="005C133F" w:rsidRDefault="00E755BE" w:rsidP="00545051">
            <w:pPr>
              <w:spacing w:after="0" w:line="240" w:lineRule="auto"/>
              <w:jc w:val="center"/>
            </w:pPr>
            <w:r w:rsidRPr="005C133F">
              <w:t>21,765</w:t>
            </w:r>
          </w:p>
        </w:tc>
        <w:tc>
          <w:tcPr>
            <w:tcW w:w="0" w:type="auto"/>
            <w:tcBorders>
              <w:top w:val="nil"/>
              <w:left w:val="nil"/>
              <w:bottom w:val="single" w:sz="8" w:space="0" w:color="A6A6A6"/>
              <w:right w:val="single" w:sz="8" w:space="0" w:color="A6A6A6"/>
            </w:tcBorders>
            <w:noWrap/>
            <w:vAlign w:val="center"/>
            <w:hideMark/>
          </w:tcPr>
          <w:p w14:paraId="0A5CAB55" w14:textId="77777777" w:rsidR="00E755BE" w:rsidRPr="005C133F" w:rsidRDefault="00E755BE" w:rsidP="00545051">
            <w:pPr>
              <w:spacing w:after="0" w:line="240" w:lineRule="auto"/>
              <w:jc w:val="center"/>
            </w:pPr>
            <w:r w:rsidRPr="005C133F">
              <w:t>1,799</w:t>
            </w:r>
          </w:p>
        </w:tc>
      </w:tr>
      <w:tr w:rsidR="004921FF" w:rsidRPr="000D4D13" w14:paraId="0A115F88" w14:textId="77777777" w:rsidTr="00E51B4E">
        <w:trPr>
          <w:trHeight w:val="554"/>
          <w:jc w:val="center"/>
        </w:trPr>
        <w:tc>
          <w:tcPr>
            <w:tcW w:w="0" w:type="auto"/>
            <w:tcBorders>
              <w:top w:val="nil"/>
              <w:left w:val="single" w:sz="8" w:space="0" w:color="A6A6A6"/>
              <w:bottom w:val="single" w:sz="8" w:space="0" w:color="A6A6A6"/>
              <w:right w:val="single" w:sz="8" w:space="0" w:color="A6A6A6"/>
            </w:tcBorders>
            <w:noWrap/>
            <w:vAlign w:val="center"/>
            <w:hideMark/>
          </w:tcPr>
          <w:p w14:paraId="5AC5D591" w14:textId="77777777" w:rsidR="00E755BE" w:rsidRPr="000D4D13" w:rsidRDefault="00E755BE" w:rsidP="00545051">
            <w:pPr>
              <w:spacing w:after="0" w:line="240" w:lineRule="auto"/>
              <w:rPr>
                <w:bCs/>
              </w:rPr>
            </w:pPr>
            <w:proofErr w:type="spellStart"/>
            <w:r w:rsidRPr="000D4D13">
              <w:rPr>
                <w:bCs/>
              </w:rPr>
              <w:t>Octubre</w:t>
            </w:r>
            <w:proofErr w:type="spellEnd"/>
          </w:p>
        </w:tc>
        <w:tc>
          <w:tcPr>
            <w:tcW w:w="0" w:type="auto"/>
            <w:tcBorders>
              <w:top w:val="nil"/>
              <w:left w:val="nil"/>
              <w:bottom w:val="single" w:sz="8" w:space="0" w:color="A6A6A6"/>
              <w:right w:val="single" w:sz="8" w:space="0" w:color="A6A6A6"/>
            </w:tcBorders>
            <w:noWrap/>
            <w:vAlign w:val="center"/>
            <w:hideMark/>
          </w:tcPr>
          <w:p w14:paraId="729F0805" w14:textId="77777777" w:rsidR="00E755BE" w:rsidRPr="000D4D13" w:rsidRDefault="00E755BE" w:rsidP="00545051">
            <w:pPr>
              <w:spacing w:after="0" w:line="240" w:lineRule="auto"/>
              <w:jc w:val="center"/>
              <w:rPr>
                <w:bCs/>
              </w:rPr>
            </w:pPr>
            <w:r w:rsidRPr="000D4D13">
              <w:rPr>
                <w:bCs/>
              </w:rPr>
              <w:t>2,943</w:t>
            </w:r>
          </w:p>
        </w:tc>
        <w:tc>
          <w:tcPr>
            <w:tcW w:w="1542" w:type="dxa"/>
            <w:tcBorders>
              <w:top w:val="nil"/>
              <w:left w:val="nil"/>
              <w:bottom w:val="single" w:sz="8" w:space="0" w:color="A6A6A6"/>
              <w:right w:val="single" w:sz="8" w:space="0" w:color="A6A6A6"/>
            </w:tcBorders>
            <w:noWrap/>
            <w:vAlign w:val="center"/>
            <w:hideMark/>
          </w:tcPr>
          <w:p w14:paraId="5A039AAE" w14:textId="77777777" w:rsidR="00E755BE" w:rsidRPr="000D4D13" w:rsidRDefault="00E755BE" w:rsidP="00545051">
            <w:pPr>
              <w:spacing w:after="0" w:line="240" w:lineRule="auto"/>
              <w:jc w:val="center"/>
              <w:rPr>
                <w:bCs/>
              </w:rPr>
            </w:pPr>
            <w:r w:rsidRPr="000D4D13">
              <w:rPr>
                <w:bCs/>
              </w:rPr>
              <w:t>1,147</w:t>
            </w:r>
          </w:p>
        </w:tc>
        <w:tc>
          <w:tcPr>
            <w:tcW w:w="1235" w:type="dxa"/>
            <w:tcBorders>
              <w:top w:val="nil"/>
              <w:left w:val="nil"/>
              <w:bottom w:val="single" w:sz="8" w:space="0" w:color="A6A6A6"/>
              <w:right w:val="single" w:sz="8" w:space="0" w:color="A6A6A6"/>
            </w:tcBorders>
            <w:noWrap/>
            <w:vAlign w:val="center"/>
            <w:hideMark/>
          </w:tcPr>
          <w:p w14:paraId="5751F095" w14:textId="77777777" w:rsidR="00E755BE" w:rsidRPr="000D4D13" w:rsidRDefault="00E755BE" w:rsidP="00545051">
            <w:pPr>
              <w:spacing w:after="0" w:line="240" w:lineRule="auto"/>
              <w:jc w:val="center"/>
              <w:rPr>
                <w:bCs/>
              </w:rPr>
            </w:pPr>
            <w:r w:rsidRPr="000D4D13">
              <w:rPr>
                <w:bCs/>
              </w:rPr>
              <w:t>1,450</w:t>
            </w:r>
          </w:p>
        </w:tc>
        <w:tc>
          <w:tcPr>
            <w:tcW w:w="0" w:type="auto"/>
            <w:tcBorders>
              <w:top w:val="nil"/>
              <w:left w:val="nil"/>
              <w:bottom w:val="single" w:sz="8" w:space="0" w:color="A6A6A6"/>
              <w:right w:val="single" w:sz="8" w:space="0" w:color="A6A6A6"/>
            </w:tcBorders>
            <w:noWrap/>
            <w:vAlign w:val="center"/>
            <w:hideMark/>
          </w:tcPr>
          <w:p w14:paraId="7D876921" w14:textId="77777777" w:rsidR="00E755BE" w:rsidRPr="000D4D13" w:rsidRDefault="00E755BE" w:rsidP="00545051">
            <w:pPr>
              <w:spacing w:after="0" w:line="240" w:lineRule="auto"/>
              <w:jc w:val="center"/>
              <w:rPr>
                <w:bCs/>
              </w:rPr>
            </w:pPr>
            <w:r w:rsidRPr="000D4D13">
              <w:rPr>
                <w:bCs/>
              </w:rPr>
              <w:t>2,012</w:t>
            </w:r>
          </w:p>
        </w:tc>
        <w:tc>
          <w:tcPr>
            <w:tcW w:w="0" w:type="auto"/>
            <w:tcBorders>
              <w:top w:val="nil"/>
              <w:left w:val="nil"/>
              <w:bottom w:val="single" w:sz="8" w:space="0" w:color="A6A6A6"/>
              <w:right w:val="single" w:sz="8" w:space="0" w:color="A6A6A6"/>
            </w:tcBorders>
            <w:noWrap/>
            <w:vAlign w:val="center"/>
            <w:hideMark/>
          </w:tcPr>
          <w:p w14:paraId="4ED9117F" w14:textId="77777777" w:rsidR="00E755BE" w:rsidRPr="000D4D13" w:rsidRDefault="00E755BE" w:rsidP="00545051">
            <w:pPr>
              <w:spacing w:after="0" w:line="240" w:lineRule="auto"/>
              <w:jc w:val="center"/>
              <w:rPr>
                <w:bCs/>
              </w:rPr>
            </w:pPr>
            <w:r w:rsidRPr="000D4D13">
              <w:rPr>
                <w:bCs/>
              </w:rPr>
              <w:t>22,100</w:t>
            </w:r>
          </w:p>
        </w:tc>
        <w:tc>
          <w:tcPr>
            <w:tcW w:w="0" w:type="auto"/>
            <w:tcBorders>
              <w:top w:val="nil"/>
              <w:left w:val="nil"/>
              <w:bottom w:val="single" w:sz="8" w:space="0" w:color="A6A6A6"/>
              <w:right w:val="single" w:sz="8" w:space="0" w:color="A6A6A6"/>
            </w:tcBorders>
            <w:noWrap/>
            <w:vAlign w:val="center"/>
            <w:hideMark/>
          </w:tcPr>
          <w:p w14:paraId="78810E60" w14:textId="77777777" w:rsidR="00E755BE" w:rsidRPr="000D4D13" w:rsidRDefault="00E755BE" w:rsidP="00545051">
            <w:pPr>
              <w:spacing w:after="0" w:line="240" w:lineRule="auto"/>
              <w:jc w:val="center"/>
              <w:rPr>
                <w:bCs/>
              </w:rPr>
            </w:pPr>
            <w:r w:rsidRPr="000D4D13">
              <w:rPr>
                <w:bCs/>
              </w:rPr>
              <w:t>1,484</w:t>
            </w:r>
          </w:p>
        </w:tc>
      </w:tr>
      <w:tr w:rsidR="004921FF" w:rsidRPr="000D4D13" w14:paraId="2E26EDA0" w14:textId="77777777" w:rsidTr="00E51B4E">
        <w:trPr>
          <w:trHeight w:val="332"/>
          <w:jc w:val="center"/>
        </w:trPr>
        <w:tc>
          <w:tcPr>
            <w:tcW w:w="0" w:type="auto"/>
            <w:tcBorders>
              <w:top w:val="nil"/>
              <w:left w:val="single" w:sz="8" w:space="0" w:color="A6A6A6"/>
              <w:bottom w:val="single" w:sz="8" w:space="0" w:color="A6A6A6"/>
              <w:right w:val="single" w:sz="8" w:space="0" w:color="A6A6A6"/>
            </w:tcBorders>
            <w:noWrap/>
            <w:vAlign w:val="center"/>
            <w:hideMark/>
          </w:tcPr>
          <w:p w14:paraId="578A9230" w14:textId="77777777" w:rsidR="00E755BE" w:rsidRPr="000D4D13" w:rsidRDefault="00E755BE" w:rsidP="00545051">
            <w:pPr>
              <w:spacing w:after="0" w:line="240" w:lineRule="auto"/>
              <w:rPr>
                <w:bCs/>
              </w:rPr>
            </w:pPr>
            <w:proofErr w:type="spellStart"/>
            <w:r w:rsidRPr="000D4D13">
              <w:rPr>
                <w:bCs/>
              </w:rPr>
              <w:t>Noviembre</w:t>
            </w:r>
            <w:proofErr w:type="spellEnd"/>
          </w:p>
        </w:tc>
        <w:tc>
          <w:tcPr>
            <w:tcW w:w="0" w:type="auto"/>
            <w:tcBorders>
              <w:top w:val="nil"/>
              <w:left w:val="nil"/>
              <w:bottom w:val="single" w:sz="8" w:space="0" w:color="A6A6A6"/>
              <w:right w:val="single" w:sz="8" w:space="0" w:color="A6A6A6"/>
            </w:tcBorders>
            <w:noWrap/>
            <w:vAlign w:val="center"/>
            <w:hideMark/>
          </w:tcPr>
          <w:p w14:paraId="7A171499" w14:textId="77777777" w:rsidR="00E755BE" w:rsidRPr="000D4D13" w:rsidRDefault="00E755BE" w:rsidP="00545051">
            <w:pPr>
              <w:spacing w:after="0" w:line="240" w:lineRule="auto"/>
              <w:jc w:val="center"/>
              <w:rPr>
                <w:bCs/>
              </w:rPr>
            </w:pPr>
            <w:r w:rsidRPr="000D4D13">
              <w:rPr>
                <w:bCs/>
              </w:rPr>
              <w:t>2,668</w:t>
            </w:r>
          </w:p>
        </w:tc>
        <w:tc>
          <w:tcPr>
            <w:tcW w:w="1542" w:type="dxa"/>
            <w:tcBorders>
              <w:top w:val="nil"/>
              <w:left w:val="nil"/>
              <w:bottom w:val="single" w:sz="8" w:space="0" w:color="A6A6A6"/>
              <w:right w:val="single" w:sz="8" w:space="0" w:color="A6A6A6"/>
            </w:tcBorders>
            <w:noWrap/>
            <w:vAlign w:val="center"/>
            <w:hideMark/>
          </w:tcPr>
          <w:p w14:paraId="627E37A1" w14:textId="77777777" w:rsidR="00E755BE" w:rsidRPr="000D4D13" w:rsidRDefault="00E755BE" w:rsidP="00545051">
            <w:pPr>
              <w:spacing w:after="0" w:line="240" w:lineRule="auto"/>
              <w:jc w:val="center"/>
              <w:rPr>
                <w:bCs/>
              </w:rPr>
            </w:pPr>
            <w:r w:rsidRPr="000D4D13">
              <w:rPr>
                <w:bCs/>
              </w:rPr>
              <w:t>1,132</w:t>
            </w:r>
          </w:p>
        </w:tc>
        <w:tc>
          <w:tcPr>
            <w:tcW w:w="1235" w:type="dxa"/>
            <w:tcBorders>
              <w:top w:val="nil"/>
              <w:left w:val="nil"/>
              <w:bottom w:val="single" w:sz="8" w:space="0" w:color="A6A6A6"/>
              <w:right w:val="single" w:sz="8" w:space="0" w:color="A6A6A6"/>
            </w:tcBorders>
            <w:noWrap/>
            <w:vAlign w:val="center"/>
            <w:hideMark/>
          </w:tcPr>
          <w:p w14:paraId="1F28F3AE" w14:textId="77777777" w:rsidR="00E755BE" w:rsidRPr="000D4D13" w:rsidRDefault="00E755BE" w:rsidP="00545051">
            <w:pPr>
              <w:spacing w:after="0" w:line="240" w:lineRule="auto"/>
              <w:jc w:val="center"/>
              <w:rPr>
                <w:bCs/>
              </w:rPr>
            </w:pPr>
            <w:r w:rsidRPr="000D4D13">
              <w:rPr>
                <w:bCs/>
              </w:rPr>
              <w:t>627</w:t>
            </w:r>
          </w:p>
        </w:tc>
        <w:tc>
          <w:tcPr>
            <w:tcW w:w="0" w:type="auto"/>
            <w:tcBorders>
              <w:top w:val="nil"/>
              <w:left w:val="nil"/>
              <w:bottom w:val="single" w:sz="8" w:space="0" w:color="A6A6A6"/>
              <w:right w:val="single" w:sz="8" w:space="0" w:color="A6A6A6"/>
            </w:tcBorders>
            <w:noWrap/>
            <w:vAlign w:val="center"/>
            <w:hideMark/>
          </w:tcPr>
          <w:p w14:paraId="01192C09" w14:textId="77777777" w:rsidR="00E755BE" w:rsidRPr="000D4D13" w:rsidRDefault="00E755BE" w:rsidP="00545051">
            <w:pPr>
              <w:spacing w:after="0" w:line="240" w:lineRule="auto"/>
              <w:jc w:val="center"/>
              <w:rPr>
                <w:bCs/>
              </w:rPr>
            </w:pPr>
            <w:r w:rsidRPr="000D4D13">
              <w:rPr>
                <w:bCs/>
              </w:rPr>
              <w:t>1,677</w:t>
            </w:r>
          </w:p>
        </w:tc>
        <w:tc>
          <w:tcPr>
            <w:tcW w:w="0" w:type="auto"/>
            <w:tcBorders>
              <w:top w:val="nil"/>
              <w:left w:val="nil"/>
              <w:bottom w:val="single" w:sz="8" w:space="0" w:color="A6A6A6"/>
              <w:right w:val="single" w:sz="8" w:space="0" w:color="A6A6A6"/>
            </w:tcBorders>
            <w:noWrap/>
            <w:vAlign w:val="center"/>
            <w:hideMark/>
          </w:tcPr>
          <w:p w14:paraId="3DBB163C" w14:textId="77777777" w:rsidR="00E755BE" w:rsidRPr="000D4D13" w:rsidRDefault="00E755BE" w:rsidP="00545051">
            <w:pPr>
              <w:spacing w:after="0" w:line="240" w:lineRule="auto"/>
              <w:jc w:val="center"/>
              <w:rPr>
                <w:bCs/>
              </w:rPr>
            </w:pPr>
            <w:r w:rsidRPr="000D4D13">
              <w:rPr>
                <w:bCs/>
              </w:rPr>
              <w:t>19,847</w:t>
            </w:r>
          </w:p>
        </w:tc>
        <w:tc>
          <w:tcPr>
            <w:tcW w:w="0" w:type="auto"/>
            <w:tcBorders>
              <w:top w:val="nil"/>
              <w:left w:val="nil"/>
              <w:bottom w:val="single" w:sz="8" w:space="0" w:color="A6A6A6"/>
              <w:right w:val="single" w:sz="8" w:space="0" w:color="A6A6A6"/>
            </w:tcBorders>
            <w:noWrap/>
            <w:vAlign w:val="center"/>
            <w:hideMark/>
          </w:tcPr>
          <w:p w14:paraId="4D50C1C8" w14:textId="77777777" w:rsidR="00E755BE" w:rsidRPr="000D4D13" w:rsidRDefault="00E755BE" w:rsidP="00545051">
            <w:pPr>
              <w:spacing w:after="0" w:line="240" w:lineRule="auto"/>
              <w:jc w:val="center"/>
              <w:rPr>
                <w:bCs/>
              </w:rPr>
            </w:pPr>
            <w:r w:rsidRPr="000D4D13">
              <w:rPr>
                <w:bCs/>
              </w:rPr>
              <w:t>1,218</w:t>
            </w:r>
          </w:p>
        </w:tc>
      </w:tr>
      <w:tr w:rsidR="004921FF" w:rsidRPr="000D4D13" w14:paraId="11AF1A6E" w14:textId="77777777" w:rsidTr="008D1660">
        <w:trPr>
          <w:trHeight w:val="810"/>
          <w:jc w:val="center"/>
        </w:trPr>
        <w:tc>
          <w:tcPr>
            <w:tcW w:w="0" w:type="auto"/>
            <w:tcBorders>
              <w:top w:val="nil"/>
              <w:left w:val="single" w:sz="8" w:space="0" w:color="A6A6A6"/>
              <w:bottom w:val="single" w:sz="4" w:space="0" w:color="A6A6A6"/>
              <w:right w:val="single" w:sz="8" w:space="0" w:color="A6A6A6"/>
            </w:tcBorders>
            <w:noWrap/>
            <w:vAlign w:val="center"/>
            <w:hideMark/>
          </w:tcPr>
          <w:p w14:paraId="2676D00B" w14:textId="77777777" w:rsidR="00E755BE" w:rsidRPr="000D4D13" w:rsidRDefault="00E755BE" w:rsidP="00545051">
            <w:pPr>
              <w:spacing w:after="0" w:line="240" w:lineRule="auto"/>
              <w:rPr>
                <w:bCs/>
              </w:rPr>
            </w:pPr>
            <w:proofErr w:type="spellStart"/>
            <w:r w:rsidRPr="000D4D13">
              <w:rPr>
                <w:bCs/>
              </w:rPr>
              <w:t>Diciembre</w:t>
            </w:r>
            <w:proofErr w:type="spellEnd"/>
          </w:p>
        </w:tc>
        <w:tc>
          <w:tcPr>
            <w:tcW w:w="0" w:type="auto"/>
            <w:tcBorders>
              <w:top w:val="nil"/>
              <w:left w:val="nil"/>
              <w:bottom w:val="single" w:sz="4" w:space="0" w:color="A6A6A6"/>
              <w:right w:val="single" w:sz="8" w:space="0" w:color="A6A6A6"/>
            </w:tcBorders>
            <w:noWrap/>
            <w:vAlign w:val="center"/>
            <w:hideMark/>
          </w:tcPr>
          <w:p w14:paraId="37180353" w14:textId="77777777" w:rsidR="00E755BE" w:rsidRPr="000D4D13" w:rsidRDefault="00E755BE" w:rsidP="00545051">
            <w:pPr>
              <w:spacing w:after="0" w:line="240" w:lineRule="auto"/>
              <w:jc w:val="center"/>
              <w:rPr>
                <w:bCs/>
              </w:rPr>
            </w:pPr>
            <w:r w:rsidRPr="000D4D13">
              <w:rPr>
                <w:bCs/>
              </w:rPr>
              <w:t>2,401</w:t>
            </w:r>
          </w:p>
        </w:tc>
        <w:tc>
          <w:tcPr>
            <w:tcW w:w="1542" w:type="dxa"/>
            <w:tcBorders>
              <w:top w:val="nil"/>
              <w:left w:val="nil"/>
              <w:bottom w:val="single" w:sz="4" w:space="0" w:color="A6A6A6"/>
              <w:right w:val="single" w:sz="8" w:space="0" w:color="A6A6A6"/>
            </w:tcBorders>
            <w:noWrap/>
            <w:vAlign w:val="center"/>
            <w:hideMark/>
          </w:tcPr>
          <w:p w14:paraId="2F444C03" w14:textId="77777777" w:rsidR="00E755BE" w:rsidRPr="000D4D13" w:rsidRDefault="00E755BE" w:rsidP="00545051">
            <w:pPr>
              <w:spacing w:after="0" w:line="240" w:lineRule="auto"/>
              <w:jc w:val="center"/>
              <w:rPr>
                <w:bCs/>
              </w:rPr>
            </w:pPr>
            <w:r w:rsidRPr="000D4D13">
              <w:rPr>
                <w:bCs/>
              </w:rPr>
              <w:t>1,016</w:t>
            </w:r>
          </w:p>
        </w:tc>
        <w:tc>
          <w:tcPr>
            <w:tcW w:w="1235" w:type="dxa"/>
            <w:tcBorders>
              <w:top w:val="nil"/>
              <w:left w:val="nil"/>
              <w:bottom w:val="single" w:sz="4" w:space="0" w:color="A6A6A6"/>
              <w:right w:val="single" w:sz="8" w:space="0" w:color="A6A6A6"/>
            </w:tcBorders>
            <w:noWrap/>
            <w:vAlign w:val="center"/>
            <w:hideMark/>
          </w:tcPr>
          <w:p w14:paraId="6A24E627" w14:textId="77777777" w:rsidR="00E755BE" w:rsidRPr="000D4D13" w:rsidRDefault="00E755BE" w:rsidP="00545051">
            <w:pPr>
              <w:spacing w:after="0" w:line="240" w:lineRule="auto"/>
              <w:jc w:val="center"/>
              <w:rPr>
                <w:bCs/>
              </w:rPr>
            </w:pPr>
            <w:r w:rsidRPr="000D4D13">
              <w:rPr>
                <w:bCs/>
              </w:rPr>
              <w:t>564</w:t>
            </w:r>
          </w:p>
        </w:tc>
        <w:tc>
          <w:tcPr>
            <w:tcW w:w="0" w:type="auto"/>
            <w:tcBorders>
              <w:top w:val="nil"/>
              <w:left w:val="nil"/>
              <w:bottom w:val="single" w:sz="4" w:space="0" w:color="A6A6A6"/>
              <w:right w:val="single" w:sz="8" w:space="0" w:color="A6A6A6"/>
            </w:tcBorders>
            <w:noWrap/>
            <w:vAlign w:val="center"/>
            <w:hideMark/>
          </w:tcPr>
          <w:p w14:paraId="249E68EB" w14:textId="77777777" w:rsidR="00E755BE" w:rsidRPr="000D4D13" w:rsidRDefault="00E755BE" w:rsidP="00545051">
            <w:pPr>
              <w:spacing w:after="0" w:line="240" w:lineRule="auto"/>
              <w:jc w:val="center"/>
              <w:rPr>
                <w:bCs/>
              </w:rPr>
            </w:pPr>
            <w:r w:rsidRPr="000D4D13">
              <w:rPr>
                <w:bCs/>
              </w:rPr>
              <w:t>1,509</w:t>
            </w:r>
          </w:p>
        </w:tc>
        <w:tc>
          <w:tcPr>
            <w:tcW w:w="0" w:type="auto"/>
            <w:tcBorders>
              <w:top w:val="nil"/>
              <w:left w:val="nil"/>
              <w:bottom w:val="single" w:sz="4" w:space="0" w:color="A6A6A6"/>
              <w:right w:val="single" w:sz="8" w:space="0" w:color="A6A6A6"/>
            </w:tcBorders>
            <w:noWrap/>
            <w:vAlign w:val="center"/>
            <w:hideMark/>
          </w:tcPr>
          <w:p w14:paraId="6C2BD7C9" w14:textId="77777777" w:rsidR="00E755BE" w:rsidRPr="000D4D13" w:rsidRDefault="00E755BE" w:rsidP="00545051">
            <w:pPr>
              <w:spacing w:after="0" w:line="240" w:lineRule="auto"/>
              <w:jc w:val="center"/>
              <w:rPr>
                <w:bCs/>
              </w:rPr>
            </w:pPr>
            <w:r w:rsidRPr="000D4D13">
              <w:rPr>
                <w:bCs/>
              </w:rPr>
              <w:t>17,862</w:t>
            </w:r>
          </w:p>
        </w:tc>
        <w:tc>
          <w:tcPr>
            <w:tcW w:w="0" w:type="auto"/>
            <w:tcBorders>
              <w:top w:val="nil"/>
              <w:left w:val="nil"/>
              <w:bottom w:val="single" w:sz="4" w:space="0" w:color="A6A6A6"/>
              <w:right w:val="single" w:sz="8" w:space="0" w:color="A6A6A6"/>
            </w:tcBorders>
            <w:noWrap/>
            <w:vAlign w:val="center"/>
            <w:hideMark/>
          </w:tcPr>
          <w:p w14:paraId="690220BE" w14:textId="77777777" w:rsidR="00E755BE" w:rsidRPr="000D4D13" w:rsidRDefault="00E755BE" w:rsidP="00545051">
            <w:pPr>
              <w:spacing w:after="0" w:line="240" w:lineRule="auto"/>
              <w:jc w:val="center"/>
              <w:rPr>
                <w:bCs/>
              </w:rPr>
            </w:pPr>
            <w:r w:rsidRPr="000D4D13">
              <w:rPr>
                <w:bCs/>
              </w:rPr>
              <w:t>1,096</w:t>
            </w:r>
          </w:p>
        </w:tc>
      </w:tr>
      <w:tr w:rsidR="004C4D73" w:rsidRPr="005C133F" w14:paraId="1B6AEEAB" w14:textId="77777777" w:rsidTr="00205F93">
        <w:trPr>
          <w:trHeight w:val="584"/>
          <w:jc w:val="center"/>
        </w:trPr>
        <w:tc>
          <w:tcPr>
            <w:tcW w:w="0" w:type="auto"/>
            <w:tcBorders>
              <w:top w:val="single" w:sz="4" w:space="0" w:color="A6A6A6"/>
              <w:left w:val="single" w:sz="4" w:space="0" w:color="A6A6A6"/>
              <w:bottom w:val="single" w:sz="4" w:space="0" w:color="A6A6A6"/>
              <w:right w:val="single" w:sz="4" w:space="0" w:color="A6A6A6"/>
            </w:tcBorders>
            <w:shd w:val="clear" w:color="auto" w:fill="767171"/>
            <w:vAlign w:val="center"/>
            <w:hideMark/>
          </w:tcPr>
          <w:p w14:paraId="059595AD" w14:textId="62C76B03" w:rsidR="00E755BE" w:rsidRPr="005C133F" w:rsidRDefault="00E755BE" w:rsidP="00545051">
            <w:pPr>
              <w:spacing w:after="0" w:line="240" w:lineRule="auto"/>
              <w:jc w:val="center"/>
              <w:rPr>
                <w:b/>
                <w:color w:val="FFFFFF" w:themeColor="background1"/>
                <w:lang w:val="es-DO"/>
              </w:rPr>
            </w:pPr>
            <w:r w:rsidRPr="005C133F">
              <w:rPr>
                <w:b/>
                <w:bCs/>
                <w:color w:val="FFFFFF" w:themeColor="background1"/>
                <w:lang w:val="es-DO"/>
              </w:rPr>
              <w:t>Tota</w:t>
            </w:r>
            <w:r w:rsidR="00205F93" w:rsidRPr="005C133F">
              <w:rPr>
                <w:b/>
                <w:bCs/>
                <w:color w:val="FFFFFF" w:themeColor="background1"/>
                <w:lang w:val="es-DO"/>
              </w:rPr>
              <w:t>les</w:t>
            </w:r>
          </w:p>
        </w:tc>
        <w:tc>
          <w:tcPr>
            <w:tcW w:w="0" w:type="auto"/>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569BCBAA"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34,029</w:t>
            </w:r>
          </w:p>
        </w:tc>
        <w:tc>
          <w:tcPr>
            <w:tcW w:w="1542" w:type="dxa"/>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31E10CFA"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12,670</w:t>
            </w:r>
          </w:p>
        </w:tc>
        <w:tc>
          <w:tcPr>
            <w:tcW w:w="1235" w:type="dxa"/>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21BBB2F5"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11,720</w:t>
            </w:r>
          </w:p>
        </w:tc>
        <w:tc>
          <w:tcPr>
            <w:tcW w:w="0" w:type="auto"/>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38CD1634"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21,601</w:t>
            </w:r>
          </w:p>
        </w:tc>
        <w:tc>
          <w:tcPr>
            <w:tcW w:w="0" w:type="auto"/>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2ED9A162"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265,105</w:t>
            </w:r>
          </w:p>
        </w:tc>
        <w:tc>
          <w:tcPr>
            <w:tcW w:w="0" w:type="auto"/>
            <w:tcBorders>
              <w:top w:val="single" w:sz="4" w:space="0" w:color="A6A6A6"/>
              <w:left w:val="single" w:sz="4" w:space="0" w:color="A6A6A6"/>
              <w:bottom w:val="single" w:sz="4" w:space="0" w:color="A6A6A6"/>
              <w:right w:val="single" w:sz="4" w:space="0" w:color="A6A6A6"/>
            </w:tcBorders>
            <w:shd w:val="clear" w:color="auto" w:fill="767171"/>
            <w:noWrap/>
            <w:vAlign w:val="center"/>
            <w:hideMark/>
          </w:tcPr>
          <w:p w14:paraId="6E10F3EE" w14:textId="77777777" w:rsidR="00E755BE" w:rsidRPr="005C133F" w:rsidRDefault="00E755BE" w:rsidP="00545051">
            <w:pPr>
              <w:spacing w:after="0" w:line="240" w:lineRule="auto"/>
              <w:jc w:val="center"/>
              <w:rPr>
                <w:b/>
                <w:color w:val="FFFFFF" w:themeColor="background1"/>
              </w:rPr>
            </w:pPr>
            <w:r w:rsidRPr="005C133F">
              <w:rPr>
                <w:b/>
                <w:color w:val="FFFFFF" w:themeColor="background1"/>
              </w:rPr>
              <w:t>19,910</w:t>
            </w:r>
          </w:p>
        </w:tc>
      </w:tr>
      <w:tr w:rsidR="00291603" w:rsidRPr="00291603" w14:paraId="04858576" w14:textId="77777777" w:rsidTr="00545051">
        <w:trPr>
          <w:trHeight w:val="674"/>
          <w:jc w:val="center"/>
        </w:trPr>
        <w:tc>
          <w:tcPr>
            <w:tcW w:w="0" w:type="auto"/>
            <w:tcBorders>
              <w:top w:val="single" w:sz="4" w:space="0" w:color="A6A6A6"/>
              <w:left w:val="single" w:sz="4" w:space="0" w:color="A6A6A6"/>
              <w:bottom w:val="single" w:sz="4" w:space="0" w:color="A6A6A6"/>
              <w:right w:val="single" w:sz="4" w:space="0" w:color="A6A6A6"/>
            </w:tcBorders>
            <w:shd w:val="clear" w:color="auto" w:fill="011C50"/>
            <w:vAlign w:val="center"/>
            <w:hideMark/>
          </w:tcPr>
          <w:p w14:paraId="7052DDAD" w14:textId="77777777" w:rsidR="00E51B4E" w:rsidRPr="00291603" w:rsidRDefault="00E51B4E" w:rsidP="00545051">
            <w:pPr>
              <w:spacing w:after="0" w:line="240" w:lineRule="auto"/>
              <w:jc w:val="center"/>
              <w:rPr>
                <w:b/>
                <w:color w:val="FFFFFF" w:themeColor="background1"/>
              </w:rPr>
            </w:pPr>
            <w:r w:rsidRPr="00291603">
              <w:rPr>
                <w:b/>
                <w:color w:val="FFFFFF" w:themeColor="background1"/>
              </w:rPr>
              <w:t xml:space="preserve">Total </w:t>
            </w:r>
            <w:proofErr w:type="spellStart"/>
            <w:r w:rsidRPr="00291603">
              <w:rPr>
                <w:b/>
                <w:color w:val="FFFFFF" w:themeColor="background1"/>
              </w:rPr>
              <w:t>presencial</w:t>
            </w:r>
            <w:proofErr w:type="spellEnd"/>
          </w:p>
        </w:tc>
        <w:tc>
          <w:tcPr>
            <w:tcW w:w="3053" w:type="dxa"/>
            <w:gridSpan w:val="2"/>
            <w:tcBorders>
              <w:top w:val="single" w:sz="4" w:space="0" w:color="A6A6A6"/>
              <w:left w:val="single" w:sz="4" w:space="0" w:color="A6A6A6"/>
              <w:bottom w:val="single" w:sz="4" w:space="0" w:color="A6A6A6"/>
              <w:right w:val="single" w:sz="4" w:space="0" w:color="A6A6A6"/>
            </w:tcBorders>
            <w:shd w:val="clear" w:color="auto" w:fill="011C50"/>
            <w:noWrap/>
            <w:vAlign w:val="center"/>
            <w:hideMark/>
          </w:tcPr>
          <w:p w14:paraId="7D88A5D9" w14:textId="68E35E08" w:rsidR="00E51B4E" w:rsidRPr="00291603" w:rsidRDefault="00E51B4E" w:rsidP="00545051">
            <w:pPr>
              <w:spacing w:after="0" w:line="240" w:lineRule="auto"/>
              <w:jc w:val="center"/>
              <w:rPr>
                <w:b/>
                <w:color w:val="FFFFFF" w:themeColor="background1"/>
              </w:rPr>
            </w:pPr>
            <w:r w:rsidRPr="00291603">
              <w:rPr>
                <w:b/>
                <w:color w:val="FFFFFF" w:themeColor="background1"/>
              </w:rPr>
              <w:t>46,699</w:t>
            </w:r>
          </w:p>
        </w:tc>
        <w:tc>
          <w:tcPr>
            <w:tcW w:w="1235" w:type="dxa"/>
            <w:tcBorders>
              <w:top w:val="single" w:sz="4" w:space="0" w:color="A6A6A6"/>
              <w:left w:val="single" w:sz="4" w:space="0" w:color="A6A6A6"/>
              <w:bottom w:val="single" w:sz="4" w:space="0" w:color="A6A6A6"/>
              <w:right w:val="single" w:sz="4" w:space="0" w:color="A6A6A6"/>
            </w:tcBorders>
            <w:shd w:val="clear" w:color="auto" w:fill="011C50"/>
            <w:vAlign w:val="center"/>
            <w:hideMark/>
          </w:tcPr>
          <w:p w14:paraId="7E4F69AB" w14:textId="77777777" w:rsidR="00E51B4E" w:rsidRPr="00291603" w:rsidRDefault="00E51B4E" w:rsidP="00545051">
            <w:pPr>
              <w:spacing w:after="0" w:line="240" w:lineRule="auto"/>
              <w:jc w:val="center"/>
              <w:rPr>
                <w:b/>
                <w:color w:val="FFFFFF" w:themeColor="background1"/>
              </w:rPr>
            </w:pPr>
            <w:r w:rsidRPr="00291603">
              <w:rPr>
                <w:b/>
                <w:color w:val="FFFFFF" w:themeColor="background1"/>
              </w:rPr>
              <w:t xml:space="preserve">Total canales </w:t>
            </w:r>
            <w:proofErr w:type="spellStart"/>
            <w:r w:rsidRPr="00291603">
              <w:rPr>
                <w:b/>
                <w:color w:val="FFFFFF" w:themeColor="background1"/>
              </w:rPr>
              <w:t>alternos</w:t>
            </w:r>
            <w:proofErr w:type="spellEnd"/>
          </w:p>
        </w:tc>
        <w:tc>
          <w:tcPr>
            <w:tcW w:w="0" w:type="auto"/>
            <w:gridSpan w:val="3"/>
            <w:tcBorders>
              <w:top w:val="single" w:sz="4" w:space="0" w:color="A6A6A6"/>
              <w:left w:val="single" w:sz="4" w:space="0" w:color="A6A6A6"/>
              <w:bottom w:val="single" w:sz="4" w:space="0" w:color="A6A6A6"/>
            </w:tcBorders>
            <w:shd w:val="clear" w:color="auto" w:fill="011C50"/>
            <w:noWrap/>
            <w:vAlign w:val="center"/>
            <w:hideMark/>
          </w:tcPr>
          <w:p w14:paraId="53BC93F8" w14:textId="2A56EDFB" w:rsidR="00E51B4E" w:rsidRPr="00291603" w:rsidRDefault="00E51B4E" w:rsidP="00545051">
            <w:pPr>
              <w:spacing w:after="0" w:line="240" w:lineRule="auto"/>
              <w:jc w:val="center"/>
              <w:rPr>
                <w:b/>
                <w:color w:val="FFFFFF" w:themeColor="background1"/>
              </w:rPr>
            </w:pPr>
            <w:r w:rsidRPr="00291603">
              <w:rPr>
                <w:b/>
                <w:color w:val="FFFFFF" w:themeColor="background1"/>
              </w:rPr>
              <w:t>318,336</w:t>
            </w:r>
          </w:p>
        </w:tc>
      </w:tr>
    </w:tbl>
    <w:p w14:paraId="0FE07415" w14:textId="4D7C3A47" w:rsidR="004117B9" w:rsidRPr="00291603" w:rsidRDefault="00E755BE" w:rsidP="005C133F">
      <w:pPr>
        <w:spacing w:after="0" w:line="360" w:lineRule="auto"/>
        <w:jc w:val="both"/>
        <w:rPr>
          <w:sz w:val="18"/>
          <w:szCs w:val="18"/>
          <w:lang w:val="es-MX"/>
        </w:rPr>
      </w:pPr>
      <w:r w:rsidRPr="00291603">
        <w:rPr>
          <w:b/>
          <w:bCs/>
          <w:sz w:val="18"/>
          <w:szCs w:val="18"/>
          <w:lang w:val="es-MX"/>
        </w:rPr>
        <w:t xml:space="preserve"> </w:t>
      </w:r>
      <w:r w:rsidR="00712592" w:rsidRPr="00291603">
        <w:rPr>
          <w:b/>
          <w:bCs/>
          <w:sz w:val="18"/>
          <w:szCs w:val="18"/>
          <w:lang w:val="es-MX"/>
        </w:rPr>
        <w:t>Fuente:</w:t>
      </w:r>
      <w:r w:rsidR="00712592" w:rsidRPr="00291603">
        <w:rPr>
          <w:sz w:val="18"/>
          <w:szCs w:val="18"/>
          <w:lang w:val="es-MX"/>
        </w:rPr>
        <w:t xml:space="preserve"> Sistema de Información y Estadísticas (SIES) </w:t>
      </w:r>
    </w:p>
    <w:p w14:paraId="45518C19" w14:textId="77777777" w:rsidR="006E364F" w:rsidRPr="005C133F" w:rsidRDefault="006E364F" w:rsidP="005C133F">
      <w:pPr>
        <w:spacing w:after="0" w:line="360" w:lineRule="auto"/>
        <w:jc w:val="both"/>
        <w:rPr>
          <w:lang w:val="es-MX"/>
        </w:rPr>
      </w:pPr>
    </w:p>
    <w:p w14:paraId="1EFB6CE5" w14:textId="000404D3" w:rsidR="00B82330" w:rsidRPr="005C133F" w:rsidRDefault="00B82330" w:rsidP="005C133F">
      <w:pPr>
        <w:pStyle w:val="Descripcin"/>
        <w:keepNext/>
        <w:spacing w:after="0" w:line="360" w:lineRule="auto"/>
        <w:jc w:val="center"/>
        <w:rPr>
          <w:b/>
          <w:bCs/>
          <w:i w:val="0"/>
          <w:iCs w:val="0"/>
          <w:color w:val="767171"/>
          <w:sz w:val="24"/>
          <w:szCs w:val="24"/>
          <w:lang w:val="es-MX"/>
        </w:rPr>
      </w:pPr>
      <w:bookmarkStart w:id="148" w:name="_Toc218784195"/>
      <w:r w:rsidRPr="005C133F">
        <w:rPr>
          <w:b/>
          <w:bCs/>
          <w:i w:val="0"/>
          <w:iCs w:val="0"/>
          <w:color w:val="767171"/>
          <w:sz w:val="24"/>
          <w:szCs w:val="24"/>
          <w:lang w:val="es-MX"/>
        </w:rPr>
        <w:lastRenderedPageBreak/>
        <w:t xml:space="preserve">Tabla </w:t>
      </w:r>
      <w:r w:rsidRPr="005C133F">
        <w:rPr>
          <w:b/>
          <w:bCs/>
          <w:i w:val="0"/>
          <w:iCs w:val="0"/>
          <w:color w:val="767171"/>
          <w:sz w:val="24"/>
          <w:szCs w:val="24"/>
          <w:lang w:val="es-MX"/>
        </w:rPr>
        <w:fldChar w:fldCharType="begin"/>
      </w:r>
      <w:r w:rsidRPr="005C133F">
        <w:rPr>
          <w:b/>
          <w:bCs/>
          <w:i w:val="0"/>
          <w:iCs w:val="0"/>
          <w:color w:val="767171"/>
          <w:sz w:val="24"/>
          <w:szCs w:val="24"/>
          <w:lang w:val="es-MX"/>
        </w:rPr>
        <w:instrText xml:space="preserve"> SEQ Tabla \* ARABIC </w:instrText>
      </w:r>
      <w:r w:rsidRPr="005C133F">
        <w:rPr>
          <w:b/>
          <w:bCs/>
          <w:i w:val="0"/>
          <w:iCs w:val="0"/>
          <w:color w:val="767171"/>
          <w:sz w:val="24"/>
          <w:szCs w:val="24"/>
          <w:lang w:val="es-MX"/>
        </w:rPr>
        <w:fldChar w:fldCharType="separate"/>
      </w:r>
      <w:r w:rsidR="00814341">
        <w:rPr>
          <w:b/>
          <w:bCs/>
          <w:i w:val="0"/>
          <w:iCs w:val="0"/>
          <w:noProof/>
          <w:color w:val="767171"/>
          <w:sz w:val="24"/>
          <w:szCs w:val="24"/>
          <w:lang w:val="es-MX"/>
        </w:rPr>
        <w:t>63</w:t>
      </w:r>
      <w:r w:rsidRPr="005C133F">
        <w:rPr>
          <w:b/>
          <w:bCs/>
          <w:i w:val="0"/>
          <w:iCs w:val="0"/>
          <w:color w:val="767171"/>
          <w:sz w:val="24"/>
          <w:szCs w:val="24"/>
          <w:lang w:val="es-MX"/>
        </w:rPr>
        <w:fldChar w:fldCharType="end"/>
      </w:r>
      <w:r w:rsidRPr="005C133F">
        <w:rPr>
          <w:b/>
          <w:bCs/>
          <w:i w:val="0"/>
          <w:iCs w:val="0"/>
          <w:color w:val="767171"/>
          <w:sz w:val="24"/>
          <w:szCs w:val="24"/>
          <w:lang w:val="es-MX"/>
        </w:rPr>
        <w:t>. Visitas recibidas en las oficinas de atención al usuario, regionales y Puntos GOB, enero - diciembre 2025</w:t>
      </w:r>
      <w:bookmarkEnd w:id="148"/>
    </w:p>
    <w:tbl>
      <w:tblPr>
        <w:tblW w:w="10418" w:type="dxa"/>
        <w:jc w:val="center"/>
        <w:tblCellMar>
          <w:left w:w="70" w:type="dxa"/>
          <w:right w:w="70" w:type="dxa"/>
        </w:tblCellMar>
        <w:tblLook w:val="04A0" w:firstRow="1" w:lastRow="0" w:firstColumn="1" w:lastColumn="0" w:noHBand="0" w:noVBand="1"/>
      </w:tblPr>
      <w:tblGrid>
        <w:gridCol w:w="1234"/>
        <w:gridCol w:w="1074"/>
        <w:gridCol w:w="1047"/>
        <w:gridCol w:w="1047"/>
        <w:gridCol w:w="861"/>
        <w:gridCol w:w="860"/>
        <w:gridCol w:w="1247"/>
        <w:gridCol w:w="914"/>
        <w:gridCol w:w="1034"/>
        <w:gridCol w:w="1100"/>
      </w:tblGrid>
      <w:tr w:rsidR="004921FF" w:rsidRPr="005C133F" w14:paraId="73547CE6" w14:textId="77777777" w:rsidTr="00D11C32">
        <w:trPr>
          <w:trHeight w:val="323"/>
          <w:tblHeader/>
          <w:jc w:val="center"/>
        </w:trPr>
        <w:tc>
          <w:tcPr>
            <w:tcW w:w="0" w:type="auto"/>
            <w:gridSpan w:val="4"/>
            <w:tcBorders>
              <w:top w:val="single" w:sz="4" w:space="0" w:color="A6A6A6"/>
              <w:left w:val="single" w:sz="4" w:space="0" w:color="A6A6A6"/>
              <w:bottom w:val="single" w:sz="4" w:space="0" w:color="A6A6A6"/>
              <w:right w:val="single" w:sz="4" w:space="0" w:color="A6A6A6"/>
            </w:tcBorders>
            <w:shd w:val="clear" w:color="auto" w:fill="011C50"/>
            <w:noWrap/>
            <w:vAlign w:val="center"/>
            <w:hideMark/>
          </w:tcPr>
          <w:p w14:paraId="17AD2826"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Oficina  Principal  y  Regionales  </w:t>
            </w:r>
          </w:p>
        </w:tc>
        <w:tc>
          <w:tcPr>
            <w:tcW w:w="0" w:type="auto"/>
            <w:gridSpan w:val="6"/>
            <w:tcBorders>
              <w:top w:val="single" w:sz="4" w:space="0" w:color="A6A6A6"/>
              <w:left w:val="nil"/>
              <w:bottom w:val="single" w:sz="4" w:space="0" w:color="A6A6A6"/>
              <w:right w:val="single" w:sz="4" w:space="0" w:color="A6A6A6"/>
            </w:tcBorders>
            <w:shd w:val="clear" w:color="auto" w:fill="011C50"/>
            <w:noWrap/>
            <w:vAlign w:val="center"/>
            <w:hideMark/>
          </w:tcPr>
          <w:p w14:paraId="68E9FB24"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Puntos  GOB </w:t>
            </w:r>
          </w:p>
        </w:tc>
      </w:tr>
      <w:tr w:rsidR="004921FF" w:rsidRPr="005C133F" w14:paraId="224EF192" w14:textId="77777777" w:rsidTr="00D11C32">
        <w:trPr>
          <w:trHeight w:val="560"/>
          <w:tblHeader/>
          <w:jc w:val="center"/>
        </w:trPr>
        <w:tc>
          <w:tcPr>
            <w:tcW w:w="0" w:type="auto"/>
            <w:vMerge w:val="restart"/>
            <w:tcBorders>
              <w:top w:val="nil"/>
              <w:left w:val="single" w:sz="4" w:space="0" w:color="A6A6A6"/>
              <w:bottom w:val="single" w:sz="4" w:space="0" w:color="A6A6A6"/>
              <w:right w:val="single" w:sz="4" w:space="0" w:color="A6A6A6"/>
            </w:tcBorders>
            <w:shd w:val="clear" w:color="auto" w:fill="011C50"/>
            <w:noWrap/>
            <w:vAlign w:val="center"/>
            <w:hideMark/>
          </w:tcPr>
          <w:p w14:paraId="0B48882E"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Mes</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789D13AA"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Oficina principal</w:t>
            </w:r>
          </w:p>
        </w:tc>
        <w:tc>
          <w:tcPr>
            <w:tcW w:w="0" w:type="auto"/>
            <w:tcBorders>
              <w:top w:val="nil"/>
              <w:left w:val="nil"/>
              <w:bottom w:val="single" w:sz="4" w:space="0" w:color="A6A6A6"/>
              <w:right w:val="single" w:sz="4" w:space="0" w:color="A6A6A6"/>
            </w:tcBorders>
            <w:shd w:val="clear" w:color="auto" w:fill="011C50"/>
            <w:vAlign w:val="center"/>
            <w:hideMark/>
          </w:tcPr>
          <w:p w14:paraId="3D08617C"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Regional  Norte</w:t>
            </w:r>
          </w:p>
        </w:tc>
        <w:tc>
          <w:tcPr>
            <w:tcW w:w="0" w:type="auto"/>
            <w:tcBorders>
              <w:top w:val="nil"/>
              <w:left w:val="nil"/>
              <w:bottom w:val="single" w:sz="4" w:space="0" w:color="A6A6A6"/>
              <w:right w:val="single" w:sz="4" w:space="0" w:color="A6A6A6"/>
            </w:tcBorders>
            <w:shd w:val="clear" w:color="auto" w:fill="011C50"/>
            <w:vAlign w:val="center"/>
            <w:hideMark/>
          </w:tcPr>
          <w:p w14:paraId="0590AE4A"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Regional  Este</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1A7AF100"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Sambil</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797C559A"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Mega  Centro</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31ECF586"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Occidental  Mall</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6A93E3D4"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Colinas Centro</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4698272A"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Sirena Santiago</w:t>
            </w:r>
          </w:p>
        </w:tc>
        <w:tc>
          <w:tcPr>
            <w:tcW w:w="0" w:type="auto"/>
            <w:vMerge w:val="restart"/>
            <w:tcBorders>
              <w:top w:val="nil"/>
              <w:left w:val="single" w:sz="4" w:space="0" w:color="A6A6A6"/>
              <w:bottom w:val="single" w:sz="4" w:space="0" w:color="A6A6A6"/>
              <w:right w:val="single" w:sz="4" w:space="0" w:color="A6A6A6"/>
            </w:tcBorders>
            <w:shd w:val="clear" w:color="auto" w:fill="011C50"/>
            <w:vAlign w:val="center"/>
            <w:hideMark/>
          </w:tcPr>
          <w:p w14:paraId="5623465B" w14:textId="782257C8"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San  Cristóbal </w:t>
            </w:r>
          </w:p>
        </w:tc>
      </w:tr>
      <w:tr w:rsidR="004921FF" w:rsidRPr="005C133F" w14:paraId="2296FDD5" w14:textId="77777777" w:rsidTr="00D11C32">
        <w:trPr>
          <w:trHeight w:val="610"/>
          <w:tblHeader/>
          <w:jc w:val="center"/>
        </w:trPr>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49961FB7"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1F4B99BB" w14:textId="77777777" w:rsidR="0025197F" w:rsidRPr="005C133F" w:rsidRDefault="0025197F" w:rsidP="00545051">
            <w:pPr>
              <w:spacing w:after="0" w:line="240" w:lineRule="auto"/>
              <w:rPr>
                <w:rFonts w:eastAsia="Times New Roman"/>
                <w:b/>
                <w:bCs/>
                <w:spacing w:val="0"/>
                <w:lang w:val="es-DO" w:eastAsia="es-DO"/>
              </w:rPr>
            </w:pPr>
          </w:p>
        </w:tc>
        <w:tc>
          <w:tcPr>
            <w:tcW w:w="0" w:type="auto"/>
            <w:tcBorders>
              <w:top w:val="nil"/>
              <w:left w:val="nil"/>
              <w:bottom w:val="single" w:sz="4" w:space="0" w:color="A6A6A6"/>
              <w:right w:val="single" w:sz="4" w:space="0" w:color="A6A6A6"/>
            </w:tcBorders>
            <w:shd w:val="clear" w:color="auto" w:fill="011C50"/>
            <w:vAlign w:val="center"/>
            <w:hideMark/>
          </w:tcPr>
          <w:p w14:paraId="32556424" w14:textId="77777777" w:rsidR="0025197F" w:rsidRPr="00291603" w:rsidRDefault="0025197F" w:rsidP="00545051">
            <w:pPr>
              <w:spacing w:after="0" w:line="240" w:lineRule="auto"/>
              <w:jc w:val="center"/>
              <w:rPr>
                <w:rFonts w:eastAsia="Times New Roman"/>
                <w:b/>
                <w:bCs/>
                <w:color w:val="FFFFFF" w:themeColor="background1"/>
                <w:spacing w:val="0"/>
                <w:lang w:val="es-DO" w:eastAsia="es-DO"/>
              </w:rPr>
            </w:pPr>
            <w:r w:rsidRPr="00291603">
              <w:rPr>
                <w:rFonts w:eastAsia="Times New Roman"/>
                <w:b/>
                <w:bCs/>
                <w:color w:val="FFFFFF" w:themeColor="background1"/>
                <w:spacing w:val="0"/>
                <w:lang w:val="es-DO" w:eastAsia="es-DO"/>
              </w:rPr>
              <w:t>Santiago</w:t>
            </w:r>
          </w:p>
        </w:tc>
        <w:tc>
          <w:tcPr>
            <w:tcW w:w="0" w:type="auto"/>
            <w:tcBorders>
              <w:top w:val="nil"/>
              <w:left w:val="nil"/>
              <w:bottom w:val="single" w:sz="4" w:space="0" w:color="A6A6A6"/>
              <w:right w:val="single" w:sz="4" w:space="0" w:color="A6A6A6"/>
            </w:tcBorders>
            <w:shd w:val="clear" w:color="auto" w:fill="011C50"/>
            <w:vAlign w:val="center"/>
            <w:hideMark/>
          </w:tcPr>
          <w:p w14:paraId="10EF7E51" w14:textId="77777777" w:rsidR="0025197F" w:rsidRPr="00291603" w:rsidRDefault="0025197F" w:rsidP="00545051">
            <w:pPr>
              <w:spacing w:after="0" w:line="240" w:lineRule="auto"/>
              <w:jc w:val="center"/>
              <w:rPr>
                <w:rFonts w:eastAsia="Times New Roman"/>
                <w:b/>
                <w:bCs/>
                <w:color w:val="FFFFFF" w:themeColor="background1"/>
                <w:spacing w:val="0"/>
                <w:lang w:val="es-DO" w:eastAsia="es-DO"/>
              </w:rPr>
            </w:pPr>
            <w:r w:rsidRPr="00291603">
              <w:rPr>
                <w:rFonts w:eastAsia="Times New Roman"/>
                <w:b/>
                <w:bCs/>
                <w:color w:val="FFFFFF" w:themeColor="background1"/>
                <w:spacing w:val="0"/>
                <w:lang w:val="es-DO" w:eastAsia="es-DO"/>
              </w:rPr>
              <w:t>San  Pedro</w:t>
            </w: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4ECD969B"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4017A674"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66598A6D"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14207315"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3BEBAD4B" w14:textId="77777777" w:rsidR="0025197F" w:rsidRPr="005C133F" w:rsidRDefault="0025197F" w:rsidP="00545051">
            <w:pPr>
              <w:spacing w:after="0" w:line="240" w:lineRule="auto"/>
              <w:rPr>
                <w:rFonts w:eastAsia="Times New Roman"/>
                <w:b/>
                <w:bCs/>
                <w:spacing w:val="0"/>
                <w:lang w:val="es-DO" w:eastAsia="es-DO"/>
              </w:rPr>
            </w:pPr>
          </w:p>
        </w:tc>
        <w:tc>
          <w:tcPr>
            <w:tcW w:w="0" w:type="auto"/>
            <w:vMerge/>
            <w:tcBorders>
              <w:top w:val="nil"/>
              <w:left w:val="single" w:sz="4" w:space="0" w:color="A6A6A6"/>
              <w:bottom w:val="single" w:sz="4" w:space="0" w:color="A6A6A6"/>
              <w:right w:val="single" w:sz="4" w:space="0" w:color="A6A6A6"/>
            </w:tcBorders>
            <w:shd w:val="clear" w:color="auto" w:fill="011C50"/>
            <w:vAlign w:val="center"/>
            <w:hideMark/>
          </w:tcPr>
          <w:p w14:paraId="5B63E6B8" w14:textId="77777777" w:rsidR="0025197F" w:rsidRPr="005C133F" w:rsidRDefault="0025197F" w:rsidP="00545051">
            <w:pPr>
              <w:spacing w:after="0" w:line="240" w:lineRule="auto"/>
              <w:rPr>
                <w:rFonts w:eastAsia="Times New Roman"/>
                <w:b/>
                <w:bCs/>
                <w:spacing w:val="0"/>
                <w:lang w:val="es-DO" w:eastAsia="es-DO"/>
              </w:rPr>
            </w:pPr>
          </w:p>
        </w:tc>
      </w:tr>
      <w:tr w:rsidR="004921FF" w:rsidRPr="005C133F" w14:paraId="17ABCA9B"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159497D1"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 xml:space="preserve">Enero </w:t>
            </w:r>
          </w:p>
        </w:tc>
        <w:tc>
          <w:tcPr>
            <w:tcW w:w="0" w:type="auto"/>
            <w:tcBorders>
              <w:top w:val="nil"/>
              <w:left w:val="nil"/>
              <w:bottom w:val="single" w:sz="4" w:space="0" w:color="A6A6A6"/>
              <w:right w:val="single" w:sz="4" w:space="0" w:color="A6A6A6"/>
            </w:tcBorders>
            <w:noWrap/>
            <w:vAlign w:val="center"/>
            <w:hideMark/>
          </w:tcPr>
          <w:p w14:paraId="0090F2B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2,524</w:t>
            </w:r>
          </w:p>
        </w:tc>
        <w:tc>
          <w:tcPr>
            <w:tcW w:w="0" w:type="auto"/>
            <w:tcBorders>
              <w:top w:val="nil"/>
              <w:left w:val="nil"/>
              <w:bottom w:val="single" w:sz="4" w:space="0" w:color="A6A6A6"/>
              <w:right w:val="single" w:sz="4" w:space="0" w:color="A6A6A6"/>
            </w:tcBorders>
            <w:noWrap/>
            <w:vAlign w:val="center"/>
            <w:hideMark/>
          </w:tcPr>
          <w:p w14:paraId="53BB018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646</w:t>
            </w:r>
          </w:p>
        </w:tc>
        <w:tc>
          <w:tcPr>
            <w:tcW w:w="0" w:type="auto"/>
            <w:tcBorders>
              <w:top w:val="nil"/>
              <w:left w:val="nil"/>
              <w:bottom w:val="single" w:sz="4" w:space="0" w:color="A6A6A6"/>
              <w:right w:val="single" w:sz="4" w:space="0" w:color="A6A6A6"/>
            </w:tcBorders>
            <w:noWrap/>
            <w:vAlign w:val="center"/>
            <w:hideMark/>
          </w:tcPr>
          <w:p w14:paraId="4836B61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A6A6A6"/>
              <w:right w:val="single" w:sz="4" w:space="0" w:color="A6A6A6"/>
            </w:tcBorders>
            <w:noWrap/>
            <w:vAlign w:val="center"/>
            <w:hideMark/>
          </w:tcPr>
          <w:p w14:paraId="75F3928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131</w:t>
            </w:r>
          </w:p>
        </w:tc>
        <w:tc>
          <w:tcPr>
            <w:tcW w:w="0" w:type="auto"/>
            <w:tcBorders>
              <w:top w:val="nil"/>
              <w:left w:val="nil"/>
              <w:bottom w:val="single" w:sz="4" w:space="0" w:color="A6A6A6"/>
              <w:right w:val="single" w:sz="4" w:space="0" w:color="A6A6A6"/>
            </w:tcBorders>
            <w:noWrap/>
            <w:vAlign w:val="center"/>
            <w:hideMark/>
          </w:tcPr>
          <w:p w14:paraId="1C4A060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314</w:t>
            </w:r>
          </w:p>
        </w:tc>
        <w:tc>
          <w:tcPr>
            <w:tcW w:w="0" w:type="auto"/>
            <w:tcBorders>
              <w:top w:val="nil"/>
              <w:left w:val="nil"/>
              <w:bottom w:val="single" w:sz="4" w:space="0" w:color="A6A6A6"/>
              <w:right w:val="single" w:sz="4" w:space="0" w:color="A6A6A6"/>
            </w:tcBorders>
            <w:noWrap/>
            <w:vAlign w:val="center"/>
            <w:hideMark/>
          </w:tcPr>
          <w:p w14:paraId="5ED666CD"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102</w:t>
            </w:r>
          </w:p>
        </w:tc>
        <w:tc>
          <w:tcPr>
            <w:tcW w:w="0" w:type="auto"/>
            <w:tcBorders>
              <w:top w:val="nil"/>
              <w:left w:val="nil"/>
              <w:bottom w:val="single" w:sz="4" w:space="0" w:color="A6A6A6"/>
              <w:right w:val="single" w:sz="4" w:space="0" w:color="A6A6A6"/>
            </w:tcBorders>
            <w:noWrap/>
            <w:vAlign w:val="center"/>
            <w:hideMark/>
          </w:tcPr>
          <w:p w14:paraId="6232B70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47</w:t>
            </w:r>
          </w:p>
        </w:tc>
        <w:tc>
          <w:tcPr>
            <w:tcW w:w="0" w:type="auto"/>
            <w:tcBorders>
              <w:top w:val="nil"/>
              <w:left w:val="nil"/>
              <w:bottom w:val="single" w:sz="4" w:space="0" w:color="A6A6A6"/>
              <w:right w:val="single" w:sz="4" w:space="0" w:color="A6A6A6"/>
            </w:tcBorders>
            <w:noWrap/>
            <w:vAlign w:val="center"/>
            <w:hideMark/>
          </w:tcPr>
          <w:p w14:paraId="4EA3E78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373</w:t>
            </w:r>
          </w:p>
        </w:tc>
        <w:tc>
          <w:tcPr>
            <w:tcW w:w="0" w:type="auto"/>
            <w:tcBorders>
              <w:top w:val="nil"/>
              <w:left w:val="nil"/>
              <w:bottom w:val="single" w:sz="4" w:space="0" w:color="A6A6A6"/>
              <w:right w:val="single" w:sz="4" w:space="0" w:color="A6A6A6"/>
            </w:tcBorders>
            <w:noWrap/>
            <w:vAlign w:val="center"/>
            <w:hideMark/>
          </w:tcPr>
          <w:p w14:paraId="00F6D09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0</w:t>
            </w:r>
          </w:p>
        </w:tc>
      </w:tr>
      <w:tr w:rsidR="004921FF" w:rsidRPr="005C133F" w14:paraId="42CB6B25"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348848D1"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Febrero</w:t>
            </w:r>
          </w:p>
        </w:tc>
        <w:tc>
          <w:tcPr>
            <w:tcW w:w="0" w:type="auto"/>
            <w:tcBorders>
              <w:top w:val="nil"/>
              <w:left w:val="nil"/>
              <w:bottom w:val="single" w:sz="4" w:space="0" w:color="A6A6A6"/>
              <w:right w:val="single" w:sz="4" w:space="0" w:color="A6A6A6"/>
            </w:tcBorders>
            <w:noWrap/>
            <w:vAlign w:val="center"/>
            <w:hideMark/>
          </w:tcPr>
          <w:p w14:paraId="6B5E5B3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2,193</w:t>
            </w:r>
          </w:p>
        </w:tc>
        <w:tc>
          <w:tcPr>
            <w:tcW w:w="0" w:type="auto"/>
            <w:tcBorders>
              <w:top w:val="nil"/>
              <w:left w:val="nil"/>
              <w:bottom w:val="single" w:sz="4" w:space="0" w:color="A6A6A6"/>
              <w:right w:val="single" w:sz="4" w:space="0" w:color="A6A6A6"/>
            </w:tcBorders>
            <w:noWrap/>
            <w:vAlign w:val="center"/>
            <w:hideMark/>
          </w:tcPr>
          <w:p w14:paraId="1DDE5B0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660</w:t>
            </w:r>
          </w:p>
        </w:tc>
        <w:tc>
          <w:tcPr>
            <w:tcW w:w="0" w:type="auto"/>
            <w:tcBorders>
              <w:top w:val="nil"/>
              <w:left w:val="nil"/>
              <w:bottom w:val="single" w:sz="4" w:space="0" w:color="A6A6A6"/>
              <w:right w:val="single" w:sz="4" w:space="0" w:color="A6A6A6"/>
            </w:tcBorders>
            <w:noWrap/>
            <w:vAlign w:val="center"/>
            <w:hideMark/>
          </w:tcPr>
          <w:p w14:paraId="76562DE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A6A6A6"/>
              <w:right w:val="single" w:sz="4" w:space="0" w:color="A6A6A6"/>
            </w:tcBorders>
            <w:noWrap/>
            <w:vAlign w:val="center"/>
            <w:hideMark/>
          </w:tcPr>
          <w:p w14:paraId="632C9A8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84</w:t>
            </w:r>
          </w:p>
        </w:tc>
        <w:tc>
          <w:tcPr>
            <w:tcW w:w="0" w:type="auto"/>
            <w:tcBorders>
              <w:top w:val="nil"/>
              <w:left w:val="nil"/>
              <w:bottom w:val="single" w:sz="4" w:space="0" w:color="A6A6A6"/>
              <w:right w:val="single" w:sz="4" w:space="0" w:color="A6A6A6"/>
            </w:tcBorders>
            <w:noWrap/>
            <w:vAlign w:val="center"/>
            <w:hideMark/>
          </w:tcPr>
          <w:p w14:paraId="413177E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316</w:t>
            </w:r>
          </w:p>
        </w:tc>
        <w:tc>
          <w:tcPr>
            <w:tcW w:w="0" w:type="auto"/>
            <w:tcBorders>
              <w:top w:val="nil"/>
              <w:left w:val="nil"/>
              <w:bottom w:val="single" w:sz="4" w:space="0" w:color="A6A6A6"/>
              <w:right w:val="single" w:sz="4" w:space="0" w:color="A6A6A6"/>
            </w:tcBorders>
            <w:noWrap/>
            <w:vAlign w:val="center"/>
            <w:hideMark/>
          </w:tcPr>
          <w:p w14:paraId="21D09AC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92</w:t>
            </w:r>
          </w:p>
        </w:tc>
        <w:tc>
          <w:tcPr>
            <w:tcW w:w="0" w:type="auto"/>
            <w:tcBorders>
              <w:top w:val="nil"/>
              <w:left w:val="nil"/>
              <w:bottom w:val="single" w:sz="4" w:space="0" w:color="A6A6A6"/>
              <w:right w:val="single" w:sz="4" w:space="0" w:color="A6A6A6"/>
            </w:tcBorders>
            <w:noWrap/>
            <w:vAlign w:val="center"/>
            <w:hideMark/>
          </w:tcPr>
          <w:p w14:paraId="5ACD917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38</w:t>
            </w:r>
          </w:p>
        </w:tc>
        <w:tc>
          <w:tcPr>
            <w:tcW w:w="0" w:type="auto"/>
            <w:tcBorders>
              <w:top w:val="nil"/>
              <w:left w:val="nil"/>
              <w:bottom w:val="single" w:sz="4" w:space="0" w:color="A6A6A6"/>
              <w:right w:val="single" w:sz="4" w:space="0" w:color="A6A6A6"/>
            </w:tcBorders>
            <w:noWrap/>
            <w:vAlign w:val="center"/>
            <w:hideMark/>
          </w:tcPr>
          <w:p w14:paraId="1B515FC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285</w:t>
            </w:r>
          </w:p>
        </w:tc>
        <w:tc>
          <w:tcPr>
            <w:tcW w:w="0" w:type="auto"/>
            <w:tcBorders>
              <w:top w:val="nil"/>
              <w:left w:val="nil"/>
              <w:bottom w:val="single" w:sz="4" w:space="0" w:color="A6A6A6"/>
              <w:right w:val="single" w:sz="4" w:space="0" w:color="A6A6A6"/>
            </w:tcBorders>
            <w:noWrap/>
            <w:vAlign w:val="center"/>
            <w:hideMark/>
          </w:tcPr>
          <w:p w14:paraId="1BD483A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121</w:t>
            </w:r>
          </w:p>
        </w:tc>
      </w:tr>
      <w:tr w:rsidR="004921FF" w:rsidRPr="005C133F" w14:paraId="12DEF5CB"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10DA3D3E"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Marzo</w:t>
            </w:r>
          </w:p>
        </w:tc>
        <w:tc>
          <w:tcPr>
            <w:tcW w:w="0" w:type="auto"/>
            <w:tcBorders>
              <w:top w:val="nil"/>
              <w:left w:val="nil"/>
              <w:bottom w:val="single" w:sz="4" w:space="0" w:color="A6A6A6"/>
              <w:right w:val="single" w:sz="4" w:space="0" w:color="A6A6A6"/>
            </w:tcBorders>
            <w:noWrap/>
            <w:vAlign w:val="center"/>
            <w:hideMark/>
          </w:tcPr>
          <w:p w14:paraId="1F6C1BFD"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2,615</w:t>
            </w:r>
          </w:p>
        </w:tc>
        <w:tc>
          <w:tcPr>
            <w:tcW w:w="0" w:type="auto"/>
            <w:tcBorders>
              <w:top w:val="nil"/>
              <w:left w:val="nil"/>
              <w:bottom w:val="single" w:sz="4" w:space="0" w:color="A6A6A6"/>
              <w:right w:val="single" w:sz="4" w:space="0" w:color="A6A6A6"/>
            </w:tcBorders>
            <w:noWrap/>
            <w:vAlign w:val="center"/>
            <w:hideMark/>
          </w:tcPr>
          <w:p w14:paraId="117A6FB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899</w:t>
            </w:r>
          </w:p>
        </w:tc>
        <w:tc>
          <w:tcPr>
            <w:tcW w:w="0" w:type="auto"/>
            <w:tcBorders>
              <w:top w:val="nil"/>
              <w:left w:val="nil"/>
              <w:bottom w:val="single" w:sz="4" w:space="0" w:color="A6A6A6"/>
              <w:right w:val="single" w:sz="4" w:space="0" w:color="A6A6A6"/>
            </w:tcBorders>
            <w:noWrap/>
            <w:vAlign w:val="center"/>
            <w:hideMark/>
          </w:tcPr>
          <w:p w14:paraId="211B5DF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A6A6A6"/>
              <w:right w:val="single" w:sz="4" w:space="0" w:color="A6A6A6"/>
            </w:tcBorders>
            <w:noWrap/>
            <w:vAlign w:val="center"/>
            <w:hideMark/>
          </w:tcPr>
          <w:p w14:paraId="31EFF0C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123</w:t>
            </w:r>
          </w:p>
        </w:tc>
        <w:tc>
          <w:tcPr>
            <w:tcW w:w="0" w:type="auto"/>
            <w:tcBorders>
              <w:top w:val="nil"/>
              <w:left w:val="nil"/>
              <w:bottom w:val="single" w:sz="4" w:space="0" w:color="A6A6A6"/>
              <w:right w:val="single" w:sz="4" w:space="0" w:color="A6A6A6"/>
            </w:tcBorders>
            <w:noWrap/>
            <w:vAlign w:val="center"/>
            <w:hideMark/>
          </w:tcPr>
          <w:p w14:paraId="5CF57A7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316</w:t>
            </w:r>
          </w:p>
        </w:tc>
        <w:tc>
          <w:tcPr>
            <w:tcW w:w="0" w:type="auto"/>
            <w:tcBorders>
              <w:top w:val="nil"/>
              <w:left w:val="nil"/>
              <w:bottom w:val="single" w:sz="4" w:space="0" w:color="A6A6A6"/>
              <w:right w:val="single" w:sz="4" w:space="0" w:color="A6A6A6"/>
            </w:tcBorders>
            <w:noWrap/>
            <w:vAlign w:val="center"/>
            <w:hideMark/>
          </w:tcPr>
          <w:p w14:paraId="5067A4C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114</w:t>
            </w:r>
          </w:p>
        </w:tc>
        <w:tc>
          <w:tcPr>
            <w:tcW w:w="0" w:type="auto"/>
            <w:tcBorders>
              <w:top w:val="nil"/>
              <w:left w:val="nil"/>
              <w:bottom w:val="single" w:sz="4" w:space="0" w:color="A6A6A6"/>
              <w:right w:val="single" w:sz="4" w:space="0" w:color="A6A6A6"/>
            </w:tcBorders>
            <w:noWrap/>
            <w:vAlign w:val="center"/>
            <w:hideMark/>
          </w:tcPr>
          <w:p w14:paraId="3328808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61</w:t>
            </w:r>
          </w:p>
        </w:tc>
        <w:tc>
          <w:tcPr>
            <w:tcW w:w="0" w:type="auto"/>
            <w:tcBorders>
              <w:top w:val="nil"/>
              <w:left w:val="nil"/>
              <w:bottom w:val="single" w:sz="4" w:space="0" w:color="A6A6A6"/>
              <w:right w:val="single" w:sz="4" w:space="0" w:color="A6A6A6"/>
            </w:tcBorders>
            <w:noWrap/>
            <w:vAlign w:val="center"/>
            <w:hideMark/>
          </w:tcPr>
          <w:p w14:paraId="33D814B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310</w:t>
            </w:r>
          </w:p>
        </w:tc>
        <w:tc>
          <w:tcPr>
            <w:tcW w:w="0" w:type="auto"/>
            <w:tcBorders>
              <w:top w:val="nil"/>
              <w:left w:val="nil"/>
              <w:bottom w:val="single" w:sz="4" w:space="0" w:color="A6A6A6"/>
              <w:right w:val="single" w:sz="4" w:space="0" w:color="A6A6A6"/>
            </w:tcBorders>
            <w:noWrap/>
            <w:vAlign w:val="center"/>
            <w:hideMark/>
          </w:tcPr>
          <w:p w14:paraId="039F572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172</w:t>
            </w:r>
          </w:p>
        </w:tc>
      </w:tr>
      <w:tr w:rsidR="004921FF" w:rsidRPr="005C133F" w14:paraId="763EF493"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0E882DF0"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Abril</w:t>
            </w:r>
          </w:p>
        </w:tc>
        <w:tc>
          <w:tcPr>
            <w:tcW w:w="0" w:type="auto"/>
            <w:tcBorders>
              <w:top w:val="nil"/>
              <w:left w:val="nil"/>
              <w:bottom w:val="single" w:sz="4" w:space="0" w:color="A6A6A6"/>
              <w:right w:val="single" w:sz="4" w:space="0" w:color="A6A6A6"/>
            </w:tcBorders>
            <w:noWrap/>
            <w:vAlign w:val="center"/>
            <w:hideMark/>
          </w:tcPr>
          <w:p w14:paraId="195704B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1,784</w:t>
            </w:r>
          </w:p>
        </w:tc>
        <w:tc>
          <w:tcPr>
            <w:tcW w:w="0" w:type="auto"/>
            <w:tcBorders>
              <w:top w:val="nil"/>
              <w:left w:val="nil"/>
              <w:bottom w:val="single" w:sz="4" w:space="0" w:color="A6A6A6"/>
              <w:right w:val="single" w:sz="4" w:space="0" w:color="A6A6A6"/>
            </w:tcBorders>
            <w:noWrap/>
            <w:vAlign w:val="center"/>
            <w:hideMark/>
          </w:tcPr>
          <w:p w14:paraId="3A5CA09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816</w:t>
            </w:r>
          </w:p>
        </w:tc>
        <w:tc>
          <w:tcPr>
            <w:tcW w:w="0" w:type="auto"/>
            <w:tcBorders>
              <w:top w:val="nil"/>
              <w:left w:val="nil"/>
              <w:bottom w:val="single" w:sz="4" w:space="0" w:color="A6A6A6"/>
              <w:right w:val="single" w:sz="4" w:space="0" w:color="A6A6A6"/>
            </w:tcBorders>
            <w:noWrap/>
            <w:vAlign w:val="center"/>
            <w:hideMark/>
          </w:tcPr>
          <w:p w14:paraId="0E8AB9D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A6A6A6"/>
              <w:right w:val="single" w:sz="4" w:space="0" w:color="A6A6A6"/>
            </w:tcBorders>
            <w:noWrap/>
            <w:vAlign w:val="center"/>
            <w:hideMark/>
          </w:tcPr>
          <w:p w14:paraId="7B0780C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119</w:t>
            </w:r>
          </w:p>
        </w:tc>
        <w:tc>
          <w:tcPr>
            <w:tcW w:w="0" w:type="auto"/>
            <w:tcBorders>
              <w:top w:val="nil"/>
              <w:left w:val="nil"/>
              <w:bottom w:val="single" w:sz="4" w:space="0" w:color="A6A6A6"/>
              <w:right w:val="single" w:sz="4" w:space="0" w:color="A6A6A6"/>
            </w:tcBorders>
            <w:noWrap/>
            <w:vAlign w:val="center"/>
            <w:hideMark/>
          </w:tcPr>
          <w:p w14:paraId="69E379A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312</w:t>
            </w:r>
          </w:p>
        </w:tc>
        <w:tc>
          <w:tcPr>
            <w:tcW w:w="0" w:type="auto"/>
            <w:tcBorders>
              <w:top w:val="nil"/>
              <w:left w:val="nil"/>
              <w:bottom w:val="single" w:sz="4" w:space="0" w:color="A6A6A6"/>
              <w:right w:val="single" w:sz="4" w:space="0" w:color="A6A6A6"/>
            </w:tcBorders>
            <w:noWrap/>
            <w:vAlign w:val="center"/>
            <w:hideMark/>
          </w:tcPr>
          <w:p w14:paraId="56BEDA2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96</w:t>
            </w:r>
          </w:p>
        </w:tc>
        <w:tc>
          <w:tcPr>
            <w:tcW w:w="0" w:type="auto"/>
            <w:tcBorders>
              <w:top w:val="nil"/>
              <w:left w:val="nil"/>
              <w:bottom w:val="single" w:sz="4" w:space="0" w:color="A6A6A6"/>
              <w:right w:val="single" w:sz="4" w:space="0" w:color="A6A6A6"/>
            </w:tcBorders>
            <w:noWrap/>
            <w:vAlign w:val="center"/>
            <w:hideMark/>
          </w:tcPr>
          <w:p w14:paraId="72C3E5E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46</w:t>
            </w:r>
          </w:p>
        </w:tc>
        <w:tc>
          <w:tcPr>
            <w:tcW w:w="0" w:type="auto"/>
            <w:tcBorders>
              <w:top w:val="nil"/>
              <w:left w:val="nil"/>
              <w:bottom w:val="single" w:sz="4" w:space="0" w:color="A6A6A6"/>
              <w:right w:val="single" w:sz="4" w:space="0" w:color="A6A6A6"/>
            </w:tcBorders>
            <w:noWrap/>
            <w:vAlign w:val="center"/>
            <w:hideMark/>
          </w:tcPr>
          <w:p w14:paraId="6056CF2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271</w:t>
            </w:r>
          </w:p>
        </w:tc>
        <w:tc>
          <w:tcPr>
            <w:tcW w:w="0" w:type="auto"/>
            <w:tcBorders>
              <w:top w:val="nil"/>
              <w:left w:val="nil"/>
              <w:bottom w:val="single" w:sz="4" w:space="0" w:color="A6A6A6"/>
              <w:right w:val="single" w:sz="4" w:space="0" w:color="A6A6A6"/>
            </w:tcBorders>
            <w:noWrap/>
            <w:vAlign w:val="center"/>
            <w:hideMark/>
          </w:tcPr>
          <w:p w14:paraId="7D5663C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135</w:t>
            </w:r>
          </w:p>
        </w:tc>
      </w:tr>
      <w:tr w:rsidR="004921FF" w:rsidRPr="005C133F" w14:paraId="0A391F3F"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6839B498"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Mayo</w:t>
            </w:r>
          </w:p>
        </w:tc>
        <w:tc>
          <w:tcPr>
            <w:tcW w:w="0" w:type="auto"/>
            <w:tcBorders>
              <w:top w:val="nil"/>
              <w:left w:val="nil"/>
              <w:bottom w:val="single" w:sz="4" w:space="0" w:color="A6A6A6"/>
              <w:right w:val="single" w:sz="4" w:space="0" w:color="A6A6A6"/>
            </w:tcBorders>
            <w:noWrap/>
            <w:vAlign w:val="center"/>
            <w:hideMark/>
          </w:tcPr>
          <w:p w14:paraId="08D21B8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1,787</w:t>
            </w:r>
          </w:p>
        </w:tc>
        <w:tc>
          <w:tcPr>
            <w:tcW w:w="0" w:type="auto"/>
            <w:tcBorders>
              <w:top w:val="nil"/>
              <w:left w:val="nil"/>
              <w:bottom w:val="single" w:sz="4" w:space="0" w:color="A6A6A6"/>
              <w:right w:val="single" w:sz="4" w:space="0" w:color="A6A6A6"/>
            </w:tcBorders>
            <w:noWrap/>
            <w:vAlign w:val="center"/>
            <w:hideMark/>
          </w:tcPr>
          <w:p w14:paraId="7F773B5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838</w:t>
            </w:r>
          </w:p>
        </w:tc>
        <w:tc>
          <w:tcPr>
            <w:tcW w:w="0" w:type="auto"/>
            <w:tcBorders>
              <w:top w:val="nil"/>
              <w:left w:val="nil"/>
              <w:bottom w:val="single" w:sz="4" w:space="0" w:color="A6A6A6"/>
              <w:right w:val="single" w:sz="4" w:space="0" w:color="A6A6A6"/>
            </w:tcBorders>
            <w:noWrap/>
            <w:vAlign w:val="center"/>
            <w:hideMark/>
          </w:tcPr>
          <w:p w14:paraId="1C2BAFD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A6A6A6"/>
              <w:right w:val="single" w:sz="4" w:space="0" w:color="A6A6A6"/>
            </w:tcBorders>
            <w:noWrap/>
            <w:vAlign w:val="center"/>
            <w:hideMark/>
          </w:tcPr>
          <w:p w14:paraId="530609C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110</w:t>
            </w:r>
          </w:p>
        </w:tc>
        <w:tc>
          <w:tcPr>
            <w:tcW w:w="0" w:type="auto"/>
            <w:tcBorders>
              <w:top w:val="nil"/>
              <w:left w:val="nil"/>
              <w:bottom w:val="single" w:sz="4" w:space="0" w:color="A6A6A6"/>
              <w:right w:val="single" w:sz="4" w:space="0" w:color="A6A6A6"/>
            </w:tcBorders>
            <w:noWrap/>
            <w:vAlign w:val="center"/>
            <w:hideMark/>
          </w:tcPr>
          <w:p w14:paraId="29B2BB8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418</w:t>
            </w:r>
          </w:p>
        </w:tc>
        <w:tc>
          <w:tcPr>
            <w:tcW w:w="0" w:type="auto"/>
            <w:tcBorders>
              <w:top w:val="nil"/>
              <w:left w:val="nil"/>
              <w:bottom w:val="single" w:sz="4" w:space="0" w:color="A6A6A6"/>
              <w:right w:val="single" w:sz="4" w:space="0" w:color="A6A6A6"/>
            </w:tcBorders>
            <w:noWrap/>
            <w:vAlign w:val="center"/>
            <w:hideMark/>
          </w:tcPr>
          <w:p w14:paraId="48D079B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80</w:t>
            </w:r>
          </w:p>
        </w:tc>
        <w:tc>
          <w:tcPr>
            <w:tcW w:w="0" w:type="auto"/>
            <w:tcBorders>
              <w:top w:val="nil"/>
              <w:left w:val="nil"/>
              <w:bottom w:val="single" w:sz="4" w:space="0" w:color="A6A6A6"/>
              <w:right w:val="single" w:sz="4" w:space="0" w:color="A6A6A6"/>
            </w:tcBorders>
            <w:noWrap/>
            <w:vAlign w:val="center"/>
            <w:hideMark/>
          </w:tcPr>
          <w:p w14:paraId="00DA354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59</w:t>
            </w:r>
          </w:p>
        </w:tc>
        <w:tc>
          <w:tcPr>
            <w:tcW w:w="0" w:type="auto"/>
            <w:tcBorders>
              <w:top w:val="nil"/>
              <w:left w:val="nil"/>
              <w:bottom w:val="single" w:sz="4" w:space="0" w:color="A6A6A6"/>
              <w:right w:val="single" w:sz="4" w:space="0" w:color="A6A6A6"/>
            </w:tcBorders>
            <w:noWrap/>
            <w:vAlign w:val="center"/>
            <w:hideMark/>
          </w:tcPr>
          <w:p w14:paraId="4E39B4F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303</w:t>
            </w:r>
          </w:p>
        </w:tc>
        <w:tc>
          <w:tcPr>
            <w:tcW w:w="0" w:type="auto"/>
            <w:tcBorders>
              <w:top w:val="nil"/>
              <w:left w:val="nil"/>
              <w:bottom w:val="single" w:sz="4" w:space="0" w:color="A6A6A6"/>
              <w:right w:val="single" w:sz="4" w:space="0" w:color="A6A6A6"/>
            </w:tcBorders>
            <w:noWrap/>
            <w:vAlign w:val="center"/>
            <w:hideMark/>
          </w:tcPr>
          <w:p w14:paraId="16DF291E"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178</w:t>
            </w:r>
          </w:p>
        </w:tc>
      </w:tr>
      <w:tr w:rsidR="004921FF" w:rsidRPr="005C133F" w14:paraId="3CA1EE8A"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4C7061F8"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Junio</w:t>
            </w:r>
          </w:p>
        </w:tc>
        <w:tc>
          <w:tcPr>
            <w:tcW w:w="0" w:type="auto"/>
            <w:tcBorders>
              <w:top w:val="nil"/>
              <w:left w:val="nil"/>
              <w:bottom w:val="single" w:sz="4" w:space="0" w:color="A6A6A6"/>
              <w:right w:val="single" w:sz="4" w:space="0" w:color="A6A6A6"/>
            </w:tcBorders>
            <w:noWrap/>
            <w:vAlign w:val="center"/>
            <w:hideMark/>
          </w:tcPr>
          <w:p w14:paraId="0E6B35C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1,632</w:t>
            </w:r>
          </w:p>
        </w:tc>
        <w:tc>
          <w:tcPr>
            <w:tcW w:w="0" w:type="auto"/>
            <w:tcBorders>
              <w:top w:val="nil"/>
              <w:left w:val="nil"/>
              <w:bottom w:val="single" w:sz="4" w:space="0" w:color="A6A6A6"/>
              <w:right w:val="single" w:sz="4" w:space="0" w:color="A6A6A6"/>
            </w:tcBorders>
            <w:noWrap/>
            <w:vAlign w:val="center"/>
            <w:hideMark/>
          </w:tcPr>
          <w:p w14:paraId="41FA95C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816</w:t>
            </w:r>
          </w:p>
        </w:tc>
        <w:tc>
          <w:tcPr>
            <w:tcW w:w="0" w:type="auto"/>
            <w:tcBorders>
              <w:top w:val="nil"/>
              <w:left w:val="nil"/>
              <w:bottom w:val="single" w:sz="4" w:space="0" w:color="A6A6A6"/>
              <w:right w:val="single" w:sz="4" w:space="0" w:color="A6A6A6"/>
            </w:tcBorders>
            <w:noWrap/>
            <w:vAlign w:val="center"/>
            <w:hideMark/>
          </w:tcPr>
          <w:p w14:paraId="455059D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121</w:t>
            </w:r>
          </w:p>
        </w:tc>
        <w:tc>
          <w:tcPr>
            <w:tcW w:w="0" w:type="auto"/>
            <w:tcBorders>
              <w:top w:val="nil"/>
              <w:left w:val="nil"/>
              <w:bottom w:val="single" w:sz="4" w:space="0" w:color="A6A6A6"/>
              <w:right w:val="single" w:sz="4" w:space="0" w:color="A6A6A6"/>
            </w:tcBorders>
            <w:noWrap/>
            <w:vAlign w:val="center"/>
            <w:hideMark/>
          </w:tcPr>
          <w:p w14:paraId="36928A0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132</w:t>
            </w:r>
          </w:p>
        </w:tc>
        <w:tc>
          <w:tcPr>
            <w:tcW w:w="0" w:type="auto"/>
            <w:tcBorders>
              <w:top w:val="nil"/>
              <w:left w:val="nil"/>
              <w:bottom w:val="single" w:sz="4" w:space="0" w:color="A6A6A6"/>
              <w:right w:val="single" w:sz="4" w:space="0" w:color="A6A6A6"/>
            </w:tcBorders>
            <w:noWrap/>
            <w:vAlign w:val="center"/>
            <w:hideMark/>
          </w:tcPr>
          <w:p w14:paraId="2EC720D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363</w:t>
            </w:r>
          </w:p>
        </w:tc>
        <w:tc>
          <w:tcPr>
            <w:tcW w:w="0" w:type="auto"/>
            <w:tcBorders>
              <w:top w:val="nil"/>
              <w:left w:val="nil"/>
              <w:bottom w:val="single" w:sz="4" w:space="0" w:color="A6A6A6"/>
              <w:right w:val="single" w:sz="4" w:space="0" w:color="A6A6A6"/>
            </w:tcBorders>
            <w:noWrap/>
            <w:vAlign w:val="center"/>
            <w:hideMark/>
          </w:tcPr>
          <w:p w14:paraId="2843A535"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99</w:t>
            </w:r>
          </w:p>
        </w:tc>
        <w:tc>
          <w:tcPr>
            <w:tcW w:w="0" w:type="auto"/>
            <w:tcBorders>
              <w:top w:val="nil"/>
              <w:left w:val="nil"/>
              <w:bottom w:val="single" w:sz="4" w:space="0" w:color="A6A6A6"/>
              <w:right w:val="single" w:sz="4" w:space="0" w:color="A6A6A6"/>
            </w:tcBorders>
            <w:noWrap/>
            <w:vAlign w:val="center"/>
            <w:hideMark/>
          </w:tcPr>
          <w:p w14:paraId="4625B89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51</w:t>
            </w:r>
          </w:p>
        </w:tc>
        <w:tc>
          <w:tcPr>
            <w:tcW w:w="0" w:type="auto"/>
            <w:tcBorders>
              <w:top w:val="nil"/>
              <w:left w:val="nil"/>
              <w:bottom w:val="single" w:sz="4" w:space="0" w:color="A6A6A6"/>
              <w:right w:val="single" w:sz="4" w:space="0" w:color="A6A6A6"/>
            </w:tcBorders>
            <w:noWrap/>
            <w:vAlign w:val="center"/>
            <w:hideMark/>
          </w:tcPr>
          <w:p w14:paraId="30269C7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264</w:t>
            </w:r>
          </w:p>
        </w:tc>
        <w:tc>
          <w:tcPr>
            <w:tcW w:w="0" w:type="auto"/>
            <w:tcBorders>
              <w:top w:val="nil"/>
              <w:left w:val="nil"/>
              <w:bottom w:val="single" w:sz="4" w:space="0" w:color="A6A6A6"/>
              <w:right w:val="single" w:sz="4" w:space="0" w:color="A6A6A6"/>
            </w:tcBorders>
            <w:noWrap/>
            <w:vAlign w:val="center"/>
            <w:hideMark/>
          </w:tcPr>
          <w:p w14:paraId="544D82D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151</w:t>
            </w:r>
          </w:p>
        </w:tc>
      </w:tr>
      <w:tr w:rsidR="004921FF" w:rsidRPr="005C133F" w14:paraId="0A292DF5"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2B48FBF3"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Julio</w:t>
            </w:r>
          </w:p>
        </w:tc>
        <w:tc>
          <w:tcPr>
            <w:tcW w:w="0" w:type="auto"/>
            <w:tcBorders>
              <w:top w:val="nil"/>
              <w:left w:val="nil"/>
              <w:bottom w:val="single" w:sz="4" w:space="0" w:color="A6A6A6"/>
              <w:right w:val="single" w:sz="4" w:space="0" w:color="A6A6A6"/>
            </w:tcBorders>
            <w:noWrap/>
            <w:vAlign w:val="center"/>
            <w:hideMark/>
          </w:tcPr>
          <w:p w14:paraId="29F66E9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1,945</w:t>
            </w:r>
          </w:p>
        </w:tc>
        <w:tc>
          <w:tcPr>
            <w:tcW w:w="0" w:type="auto"/>
            <w:tcBorders>
              <w:top w:val="nil"/>
              <w:left w:val="nil"/>
              <w:bottom w:val="single" w:sz="4" w:space="0" w:color="A6A6A6"/>
              <w:right w:val="single" w:sz="4" w:space="0" w:color="A6A6A6"/>
            </w:tcBorders>
            <w:noWrap/>
            <w:vAlign w:val="center"/>
            <w:hideMark/>
          </w:tcPr>
          <w:p w14:paraId="6DFE9F5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951</w:t>
            </w:r>
          </w:p>
        </w:tc>
        <w:tc>
          <w:tcPr>
            <w:tcW w:w="0" w:type="auto"/>
            <w:tcBorders>
              <w:top w:val="nil"/>
              <w:left w:val="nil"/>
              <w:bottom w:val="single" w:sz="4" w:space="0" w:color="A6A6A6"/>
              <w:right w:val="single" w:sz="4" w:space="0" w:color="A6A6A6"/>
            </w:tcBorders>
            <w:noWrap/>
            <w:vAlign w:val="center"/>
            <w:hideMark/>
          </w:tcPr>
          <w:p w14:paraId="5C3343FD"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294</w:t>
            </w:r>
          </w:p>
        </w:tc>
        <w:tc>
          <w:tcPr>
            <w:tcW w:w="0" w:type="auto"/>
            <w:tcBorders>
              <w:top w:val="nil"/>
              <w:left w:val="nil"/>
              <w:bottom w:val="single" w:sz="4" w:space="0" w:color="A6A6A6"/>
              <w:right w:val="single" w:sz="4" w:space="0" w:color="A6A6A6"/>
            </w:tcBorders>
            <w:noWrap/>
            <w:vAlign w:val="center"/>
            <w:hideMark/>
          </w:tcPr>
          <w:p w14:paraId="35C41F1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153</w:t>
            </w:r>
          </w:p>
        </w:tc>
        <w:tc>
          <w:tcPr>
            <w:tcW w:w="0" w:type="auto"/>
            <w:tcBorders>
              <w:top w:val="nil"/>
              <w:left w:val="nil"/>
              <w:bottom w:val="single" w:sz="4" w:space="0" w:color="A6A6A6"/>
              <w:right w:val="single" w:sz="4" w:space="0" w:color="A6A6A6"/>
            </w:tcBorders>
            <w:noWrap/>
            <w:vAlign w:val="center"/>
            <w:hideMark/>
          </w:tcPr>
          <w:p w14:paraId="3FE9C1E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366</w:t>
            </w:r>
          </w:p>
        </w:tc>
        <w:tc>
          <w:tcPr>
            <w:tcW w:w="0" w:type="auto"/>
            <w:tcBorders>
              <w:top w:val="nil"/>
              <w:left w:val="nil"/>
              <w:bottom w:val="single" w:sz="4" w:space="0" w:color="A6A6A6"/>
              <w:right w:val="single" w:sz="4" w:space="0" w:color="A6A6A6"/>
            </w:tcBorders>
            <w:noWrap/>
            <w:vAlign w:val="center"/>
            <w:hideMark/>
          </w:tcPr>
          <w:p w14:paraId="05C14B4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87</w:t>
            </w:r>
          </w:p>
        </w:tc>
        <w:tc>
          <w:tcPr>
            <w:tcW w:w="0" w:type="auto"/>
            <w:tcBorders>
              <w:top w:val="nil"/>
              <w:left w:val="nil"/>
              <w:bottom w:val="single" w:sz="4" w:space="0" w:color="A6A6A6"/>
              <w:right w:val="single" w:sz="4" w:space="0" w:color="A6A6A6"/>
            </w:tcBorders>
            <w:noWrap/>
            <w:vAlign w:val="center"/>
            <w:hideMark/>
          </w:tcPr>
          <w:p w14:paraId="6371ED1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45</w:t>
            </w:r>
          </w:p>
        </w:tc>
        <w:tc>
          <w:tcPr>
            <w:tcW w:w="0" w:type="auto"/>
            <w:tcBorders>
              <w:top w:val="nil"/>
              <w:left w:val="nil"/>
              <w:bottom w:val="single" w:sz="4" w:space="0" w:color="A6A6A6"/>
              <w:right w:val="single" w:sz="4" w:space="0" w:color="A6A6A6"/>
            </w:tcBorders>
            <w:noWrap/>
            <w:vAlign w:val="center"/>
            <w:hideMark/>
          </w:tcPr>
          <w:p w14:paraId="24A230DA"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311</w:t>
            </w:r>
          </w:p>
        </w:tc>
        <w:tc>
          <w:tcPr>
            <w:tcW w:w="0" w:type="auto"/>
            <w:tcBorders>
              <w:top w:val="nil"/>
              <w:left w:val="nil"/>
              <w:bottom w:val="single" w:sz="4" w:space="0" w:color="A6A6A6"/>
              <w:right w:val="single" w:sz="4" w:space="0" w:color="A6A6A6"/>
            </w:tcBorders>
            <w:noWrap/>
            <w:vAlign w:val="center"/>
            <w:hideMark/>
          </w:tcPr>
          <w:p w14:paraId="7D38E15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192</w:t>
            </w:r>
          </w:p>
        </w:tc>
      </w:tr>
      <w:tr w:rsidR="004921FF" w:rsidRPr="005C133F" w14:paraId="4C5C560C"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68D4CCC5"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Agosto</w:t>
            </w:r>
          </w:p>
        </w:tc>
        <w:tc>
          <w:tcPr>
            <w:tcW w:w="0" w:type="auto"/>
            <w:tcBorders>
              <w:top w:val="nil"/>
              <w:left w:val="nil"/>
              <w:bottom w:val="single" w:sz="4" w:space="0" w:color="A6A6A6"/>
              <w:right w:val="single" w:sz="4" w:space="0" w:color="A6A6A6"/>
            </w:tcBorders>
            <w:noWrap/>
            <w:vAlign w:val="center"/>
            <w:hideMark/>
          </w:tcPr>
          <w:p w14:paraId="46C0875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1,784</w:t>
            </w:r>
          </w:p>
        </w:tc>
        <w:tc>
          <w:tcPr>
            <w:tcW w:w="0" w:type="auto"/>
            <w:tcBorders>
              <w:top w:val="nil"/>
              <w:left w:val="nil"/>
              <w:bottom w:val="single" w:sz="4" w:space="0" w:color="A6A6A6"/>
              <w:right w:val="single" w:sz="4" w:space="0" w:color="A6A6A6"/>
            </w:tcBorders>
            <w:noWrap/>
            <w:vAlign w:val="center"/>
            <w:hideMark/>
          </w:tcPr>
          <w:p w14:paraId="631421E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694</w:t>
            </w:r>
          </w:p>
        </w:tc>
        <w:tc>
          <w:tcPr>
            <w:tcW w:w="0" w:type="auto"/>
            <w:tcBorders>
              <w:top w:val="nil"/>
              <w:left w:val="nil"/>
              <w:bottom w:val="single" w:sz="4" w:space="0" w:color="A6A6A6"/>
              <w:right w:val="single" w:sz="4" w:space="0" w:color="A6A6A6"/>
            </w:tcBorders>
            <w:noWrap/>
            <w:vAlign w:val="center"/>
            <w:hideMark/>
          </w:tcPr>
          <w:p w14:paraId="1664FE2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296</w:t>
            </w:r>
          </w:p>
        </w:tc>
        <w:tc>
          <w:tcPr>
            <w:tcW w:w="0" w:type="auto"/>
            <w:tcBorders>
              <w:top w:val="nil"/>
              <w:left w:val="nil"/>
              <w:bottom w:val="single" w:sz="4" w:space="0" w:color="A6A6A6"/>
              <w:right w:val="single" w:sz="4" w:space="0" w:color="A6A6A6"/>
            </w:tcBorders>
            <w:noWrap/>
            <w:vAlign w:val="center"/>
            <w:hideMark/>
          </w:tcPr>
          <w:p w14:paraId="3B76B4D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tcBorders>
              <w:top w:val="nil"/>
              <w:left w:val="nil"/>
              <w:bottom w:val="single" w:sz="4" w:space="0" w:color="A6A6A6"/>
              <w:right w:val="single" w:sz="4" w:space="0" w:color="A6A6A6"/>
            </w:tcBorders>
            <w:noWrap/>
            <w:vAlign w:val="center"/>
            <w:hideMark/>
          </w:tcPr>
          <w:p w14:paraId="5405AA4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341</w:t>
            </w:r>
          </w:p>
        </w:tc>
        <w:tc>
          <w:tcPr>
            <w:tcW w:w="0" w:type="auto"/>
            <w:tcBorders>
              <w:top w:val="nil"/>
              <w:left w:val="nil"/>
              <w:bottom w:val="single" w:sz="4" w:space="0" w:color="A6A6A6"/>
              <w:right w:val="single" w:sz="4" w:space="0" w:color="A6A6A6"/>
            </w:tcBorders>
            <w:noWrap/>
            <w:vAlign w:val="center"/>
            <w:hideMark/>
          </w:tcPr>
          <w:p w14:paraId="7862226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122</w:t>
            </w:r>
          </w:p>
        </w:tc>
        <w:tc>
          <w:tcPr>
            <w:tcW w:w="0" w:type="auto"/>
            <w:tcBorders>
              <w:top w:val="nil"/>
              <w:left w:val="nil"/>
              <w:bottom w:val="single" w:sz="4" w:space="0" w:color="A6A6A6"/>
              <w:right w:val="single" w:sz="4" w:space="0" w:color="A6A6A6"/>
            </w:tcBorders>
            <w:noWrap/>
            <w:vAlign w:val="center"/>
            <w:hideMark/>
          </w:tcPr>
          <w:p w14:paraId="67CEEDF5"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54</w:t>
            </w:r>
          </w:p>
        </w:tc>
        <w:tc>
          <w:tcPr>
            <w:tcW w:w="0" w:type="auto"/>
            <w:tcBorders>
              <w:top w:val="nil"/>
              <w:left w:val="nil"/>
              <w:bottom w:val="single" w:sz="4" w:space="0" w:color="A6A6A6"/>
              <w:right w:val="single" w:sz="4" w:space="0" w:color="A6A6A6"/>
            </w:tcBorders>
            <w:noWrap/>
            <w:vAlign w:val="center"/>
            <w:hideMark/>
          </w:tcPr>
          <w:p w14:paraId="088BCBB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254</w:t>
            </w:r>
          </w:p>
        </w:tc>
        <w:tc>
          <w:tcPr>
            <w:tcW w:w="0" w:type="auto"/>
            <w:tcBorders>
              <w:top w:val="nil"/>
              <w:left w:val="nil"/>
              <w:bottom w:val="single" w:sz="4" w:space="0" w:color="A6A6A6"/>
              <w:right w:val="single" w:sz="4" w:space="0" w:color="A6A6A6"/>
            </w:tcBorders>
            <w:noWrap/>
            <w:vAlign w:val="center"/>
            <w:hideMark/>
          </w:tcPr>
          <w:p w14:paraId="7612DAA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143</w:t>
            </w:r>
          </w:p>
        </w:tc>
      </w:tr>
      <w:tr w:rsidR="004921FF" w:rsidRPr="005C133F" w14:paraId="4CAC771C"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0D5DE88C"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Septiembre</w:t>
            </w:r>
          </w:p>
        </w:tc>
        <w:tc>
          <w:tcPr>
            <w:tcW w:w="0" w:type="auto"/>
            <w:tcBorders>
              <w:top w:val="nil"/>
              <w:left w:val="nil"/>
              <w:bottom w:val="single" w:sz="4" w:space="0" w:color="A6A6A6"/>
              <w:right w:val="single" w:sz="4" w:space="0" w:color="A6A6A6"/>
            </w:tcBorders>
            <w:noWrap/>
            <w:vAlign w:val="center"/>
            <w:hideMark/>
          </w:tcPr>
          <w:p w14:paraId="66AF02B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1,836</w:t>
            </w:r>
          </w:p>
        </w:tc>
        <w:tc>
          <w:tcPr>
            <w:tcW w:w="0" w:type="auto"/>
            <w:tcBorders>
              <w:top w:val="nil"/>
              <w:left w:val="nil"/>
              <w:bottom w:val="single" w:sz="4" w:space="0" w:color="A6A6A6"/>
              <w:right w:val="single" w:sz="4" w:space="0" w:color="A6A6A6"/>
            </w:tcBorders>
            <w:noWrap/>
            <w:vAlign w:val="center"/>
            <w:hideMark/>
          </w:tcPr>
          <w:p w14:paraId="63075D9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642</w:t>
            </w:r>
          </w:p>
        </w:tc>
        <w:tc>
          <w:tcPr>
            <w:tcW w:w="0" w:type="auto"/>
            <w:tcBorders>
              <w:top w:val="nil"/>
              <w:left w:val="nil"/>
              <w:bottom w:val="single" w:sz="4" w:space="0" w:color="A6A6A6"/>
              <w:right w:val="single" w:sz="4" w:space="0" w:color="A6A6A6"/>
            </w:tcBorders>
            <w:noWrap/>
            <w:vAlign w:val="center"/>
            <w:hideMark/>
          </w:tcPr>
          <w:p w14:paraId="2C9DB45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244</w:t>
            </w:r>
          </w:p>
        </w:tc>
        <w:tc>
          <w:tcPr>
            <w:tcW w:w="0" w:type="auto"/>
            <w:tcBorders>
              <w:top w:val="nil"/>
              <w:left w:val="nil"/>
              <w:bottom w:val="single" w:sz="4" w:space="0" w:color="A6A6A6"/>
              <w:right w:val="single" w:sz="4" w:space="0" w:color="A6A6A6"/>
            </w:tcBorders>
            <w:noWrap/>
            <w:vAlign w:val="center"/>
            <w:hideMark/>
          </w:tcPr>
          <w:p w14:paraId="391CECBD"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89</w:t>
            </w:r>
          </w:p>
        </w:tc>
        <w:tc>
          <w:tcPr>
            <w:tcW w:w="0" w:type="auto"/>
            <w:tcBorders>
              <w:top w:val="nil"/>
              <w:left w:val="nil"/>
              <w:bottom w:val="single" w:sz="4" w:space="0" w:color="A6A6A6"/>
              <w:right w:val="single" w:sz="4" w:space="0" w:color="A6A6A6"/>
            </w:tcBorders>
            <w:noWrap/>
            <w:vAlign w:val="center"/>
            <w:hideMark/>
          </w:tcPr>
          <w:p w14:paraId="25B2D4CC"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375</w:t>
            </w:r>
          </w:p>
        </w:tc>
        <w:tc>
          <w:tcPr>
            <w:tcW w:w="0" w:type="auto"/>
            <w:tcBorders>
              <w:top w:val="nil"/>
              <w:left w:val="nil"/>
              <w:bottom w:val="single" w:sz="4" w:space="0" w:color="A6A6A6"/>
              <w:right w:val="single" w:sz="4" w:space="0" w:color="A6A6A6"/>
            </w:tcBorders>
            <w:noWrap/>
            <w:vAlign w:val="center"/>
            <w:hideMark/>
          </w:tcPr>
          <w:p w14:paraId="589A4A2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tcBorders>
              <w:top w:val="nil"/>
              <w:left w:val="nil"/>
              <w:bottom w:val="single" w:sz="4" w:space="0" w:color="A6A6A6"/>
              <w:right w:val="single" w:sz="4" w:space="0" w:color="A6A6A6"/>
            </w:tcBorders>
            <w:noWrap/>
            <w:vAlign w:val="center"/>
            <w:hideMark/>
          </w:tcPr>
          <w:p w14:paraId="321CD02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53</w:t>
            </w:r>
          </w:p>
        </w:tc>
        <w:tc>
          <w:tcPr>
            <w:tcW w:w="0" w:type="auto"/>
            <w:tcBorders>
              <w:top w:val="nil"/>
              <w:left w:val="nil"/>
              <w:bottom w:val="single" w:sz="4" w:space="0" w:color="A6A6A6"/>
              <w:right w:val="single" w:sz="4" w:space="0" w:color="A6A6A6"/>
            </w:tcBorders>
            <w:noWrap/>
            <w:vAlign w:val="center"/>
            <w:hideMark/>
          </w:tcPr>
          <w:p w14:paraId="166960C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254</w:t>
            </w:r>
          </w:p>
        </w:tc>
        <w:tc>
          <w:tcPr>
            <w:tcW w:w="0" w:type="auto"/>
            <w:tcBorders>
              <w:top w:val="nil"/>
              <w:left w:val="nil"/>
              <w:bottom w:val="single" w:sz="4" w:space="0" w:color="A6A6A6"/>
              <w:right w:val="single" w:sz="4" w:space="0" w:color="A6A6A6"/>
            </w:tcBorders>
            <w:noWrap/>
            <w:vAlign w:val="center"/>
            <w:hideMark/>
          </w:tcPr>
          <w:p w14:paraId="63B25D26"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154</w:t>
            </w:r>
          </w:p>
        </w:tc>
      </w:tr>
      <w:tr w:rsidR="004921FF" w:rsidRPr="005C133F" w14:paraId="16DCF383"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0F625420"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Octubre</w:t>
            </w:r>
          </w:p>
        </w:tc>
        <w:tc>
          <w:tcPr>
            <w:tcW w:w="0" w:type="auto"/>
            <w:tcBorders>
              <w:top w:val="nil"/>
              <w:left w:val="nil"/>
              <w:bottom w:val="single" w:sz="4" w:space="0" w:color="A6A6A6"/>
              <w:right w:val="single" w:sz="4" w:space="0" w:color="A6A6A6"/>
            </w:tcBorders>
            <w:noWrap/>
            <w:vAlign w:val="center"/>
            <w:hideMark/>
          </w:tcPr>
          <w:p w14:paraId="4A42192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2,021</w:t>
            </w:r>
          </w:p>
        </w:tc>
        <w:tc>
          <w:tcPr>
            <w:tcW w:w="0" w:type="auto"/>
            <w:tcBorders>
              <w:top w:val="nil"/>
              <w:left w:val="nil"/>
              <w:bottom w:val="single" w:sz="4" w:space="0" w:color="A6A6A6"/>
              <w:right w:val="single" w:sz="4" w:space="0" w:color="A6A6A6"/>
            </w:tcBorders>
            <w:noWrap/>
            <w:vAlign w:val="center"/>
            <w:hideMark/>
          </w:tcPr>
          <w:p w14:paraId="64CAE81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608</w:t>
            </w:r>
          </w:p>
        </w:tc>
        <w:tc>
          <w:tcPr>
            <w:tcW w:w="0" w:type="auto"/>
            <w:tcBorders>
              <w:top w:val="nil"/>
              <w:left w:val="nil"/>
              <w:bottom w:val="single" w:sz="4" w:space="0" w:color="A6A6A6"/>
              <w:right w:val="single" w:sz="4" w:space="0" w:color="A6A6A6"/>
            </w:tcBorders>
            <w:noWrap/>
            <w:vAlign w:val="center"/>
            <w:hideMark/>
          </w:tcPr>
          <w:p w14:paraId="5736CA2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314</w:t>
            </w:r>
          </w:p>
        </w:tc>
        <w:tc>
          <w:tcPr>
            <w:tcW w:w="0" w:type="auto"/>
            <w:tcBorders>
              <w:top w:val="nil"/>
              <w:left w:val="nil"/>
              <w:bottom w:val="single" w:sz="4" w:space="0" w:color="A6A6A6"/>
              <w:right w:val="single" w:sz="4" w:space="0" w:color="A6A6A6"/>
            </w:tcBorders>
            <w:noWrap/>
            <w:vAlign w:val="center"/>
            <w:hideMark/>
          </w:tcPr>
          <w:p w14:paraId="6BF5B6B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121</w:t>
            </w:r>
          </w:p>
        </w:tc>
        <w:tc>
          <w:tcPr>
            <w:tcW w:w="0" w:type="auto"/>
            <w:tcBorders>
              <w:top w:val="nil"/>
              <w:left w:val="nil"/>
              <w:bottom w:val="single" w:sz="4" w:space="0" w:color="A6A6A6"/>
              <w:right w:val="single" w:sz="4" w:space="0" w:color="A6A6A6"/>
            </w:tcBorders>
            <w:noWrap/>
            <w:vAlign w:val="center"/>
            <w:hideMark/>
          </w:tcPr>
          <w:p w14:paraId="4C6FA36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409</w:t>
            </w:r>
          </w:p>
        </w:tc>
        <w:tc>
          <w:tcPr>
            <w:tcW w:w="0" w:type="auto"/>
            <w:tcBorders>
              <w:top w:val="nil"/>
              <w:left w:val="nil"/>
              <w:bottom w:val="single" w:sz="4" w:space="0" w:color="A6A6A6"/>
              <w:right w:val="single" w:sz="4" w:space="0" w:color="A6A6A6"/>
            </w:tcBorders>
            <w:noWrap/>
            <w:vAlign w:val="center"/>
            <w:hideMark/>
          </w:tcPr>
          <w:p w14:paraId="71DCC2A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121</w:t>
            </w:r>
          </w:p>
        </w:tc>
        <w:tc>
          <w:tcPr>
            <w:tcW w:w="0" w:type="auto"/>
            <w:tcBorders>
              <w:top w:val="nil"/>
              <w:left w:val="nil"/>
              <w:bottom w:val="single" w:sz="4" w:space="0" w:color="A6A6A6"/>
              <w:right w:val="single" w:sz="4" w:space="0" w:color="A6A6A6"/>
            </w:tcBorders>
            <w:noWrap/>
            <w:vAlign w:val="center"/>
            <w:hideMark/>
          </w:tcPr>
          <w:p w14:paraId="3D24031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53</w:t>
            </w:r>
          </w:p>
        </w:tc>
        <w:tc>
          <w:tcPr>
            <w:tcW w:w="0" w:type="auto"/>
            <w:tcBorders>
              <w:top w:val="nil"/>
              <w:left w:val="nil"/>
              <w:bottom w:val="single" w:sz="4" w:space="0" w:color="A6A6A6"/>
              <w:right w:val="single" w:sz="4" w:space="0" w:color="A6A6A6"/>
            </w:tcBorders>
            <w:noWrap/>
            <w:vAlign w:val="center"/>
            <w:hideMark/>
          </w:tcPr>
          <w:p w14:paraId="299675D3"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258</w:t>
            </w:r>
          </w:p>
        </w:tc>
        <w:tc>
          <w:tcPr>
            <w:tcW w:w="0" w:type="auto"/>
            <w:tcBorders>
              <w:top w:val="nil"/>
              <w:left w:val="nil"/>
              <w:bottom w:val="single" w:sz="4" w:space="0" w:color="A6A6A6"/>
              <w:right w:val="single" w:sz="4" w:space="0" w:color="A6A6A6"/>
            </w:tcBorders>
            <w:noWrap/>
            <w:vAlign w:val="center"/>
            <w:hideMark/>
          </w:tcPr>
          <w:p w14:paraId="0C32E08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185</w:t>
            </w:r>
          </w:p>
        </w:tc>
      </w:tr>
      <w:tr w:rsidR="004921FF" w:rsidRPr="005C133F" w14:paraId="428BB046"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3576B937"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Noviembre</w:t>
            </w:r>
          </w:p>
        </w:tc>
        <w:tc>
          <w:tcPr>
            <w:tcW w:w="0" w:type="auto"/>
            <w:tcBorders>
              <w:top w:val="nil"/>
              <w:left w:val="nil"/>
              <w:bottom w:val="single" w:sz="4" w:space="0" w:color="A6A6A6"/>
              <w:right w:val="single" w:sz="4" w:space="0" w:color="A6A6A6"/>
            </w:tcBorders>
            <w:noWrap/>
            <w:vAlign w:val="center"/>
            <w:hideMark/>
          </w:tcPr>
          <w:p w14:paraId="26AC378B"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1,756</w:t>
            </w:r>
          </w:p>
        </w:tc>
        <w:tc>
          <w:tcPr>
            <w:tcW w:w="0" w:type="auto"/>
            <w:tcBorders>
              <w:top w:val="nil"/>
              <w:left w:val="nil"/>
              <w:bottom w:val="single" w:sz="4" w:space="0" w:color="A6A6A6"/>
              <w:right w:val="single" w:sz="4" w:space="0" w:color="A6A6A6"/>
            </w:tcBorders>
            <w:noWrap/>
            <w:vAlign w:val="center"/>
            <w:hideMark/>
          </w:tcPr>
          <w:p w14:paraId="37DB8AB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619</w:t>
            </w:r>
          </w:p>
        </w:tc>
        <w:tc>
          <w:tcPr>
            <w:tcW w:w="0" w:type="auto"/>
            <w:tcBorders>
              <w:top w:val="nil"/>
              <w:left w:val="nil"/>
              <w:bottom w:val="single" w:sz="4" w:space="0" w:color="A6A6A6"/>
              <w:right w:val="single" w:sz="4" w:space="0" w:color="A6A6A6"/>
            </w:tcBorders>
            <w:noWrap/>
            <w:vAlign w:val="center"/>
            <w:hideMark/>
          </w:tcPr>
          <w:p w14:paraId="7C646ECE"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293</w:t>
            </w:r>
          </w:p>
        </w:tc>
        <w:tc>
          <w:tcPr>
            <w:tcW w:w="0" w:type="auto"/>
            <w:tcBorders>
              <w:top w:val="nil"/>
              <w:left w:val="nil"/>
              <w:bottom w:val="single" w:sz="4" w:space="0" w:color="A6A6A6"/>
              <w:right w:val="single" w:sz="4" w:space="0" w:color="A6A6A6"/>
            </w:tcBorders>
            <w:noWrap/>
            <w:vAlign w:val="center"/>
            <w:hideMark/>
          </w:tcPr>
          <w:p w14:paraId="33FBD21E"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103</w:t>
            </w:r>
          </w:p>
        </w:tc>
        <w:tc>
          <w:tcPr>
            <w:tcW w:w="0" w:type="auto"/>
            <w:tcBorders>
              <w:top w:val="nil"/>
              <w:left w:val="nil"/>
              <w:bottom w:val="single" w:sz="4" w:space="0" w:color="A6A6A6"/>
              <w:right w:val="single" w:sz="4" w:space="0" w:color="A6A6A6"/>
            </w:tcBorders>
            <w:noWrap/>
            <w:vAlign w:val="center"/>
            <w:hideMark/>
          </w:tcPr>
          <w:p w14:paraId="5EB8975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452</w:t>
            </w:r>
          </w:p>
        </w:tc>
        <w:tc>
          <w:tcPr>
            <w:tcW w:w="0" w:type="auto"/>
            <w:tcBorders>
              <w:top w:val="nil"/>
              <w:left w:val="nil"/>
              <w:bottom w:val="single" w:sz="4" w:space="0" w:color="A6A6A6"/>
              <w:right w:val="single" w:sz="4" w:space="0" w:color="A6A6A6"/>
            </w:tcBorders>
            <w:noWrap/>
            <w:vAlign w:val="center"/>
            <w:hideMark/>
          </w:tcPr>
          <w:p w14:paraId="6A9311FD"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105</w:t>
            </w:r>
          </w:p>
        </w:tc>
        <w:tc>
          <w:tcPr>
            <w:tcW w:w="0" w:type="auto"/>
            <w:tcBorders>
              <w:top w:val="nil"/>
              <w:left w:val="nil"/>
              <w:bottom w:val="single" w:sz="4" w:space="0" w:color="A6A6A6"/>
              <w:right w:val="single" w:sz="4" w:space="0" w:color="A6A6A6"/>
            </w:tcBorders>
            <w:noWrap/>
            <w:vAlign w:val="center"/>
            <w:hideMark/>
          </w:tcPr>
          <w:p w14:paraId="2725FCE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67</w:t>
            </w:r>
          </w:p>
        </w:tc>
        <w:tc>
          <w:tcPr>
            <w:tcW w:w="0" w:type="auto"/>
            <w:tcBorders>
              <w:top w:val="nil"/>
              <w:left w:val="nil"/>
              <w:bottom w:val="single" w:sz="4" w:space="0" w:color="A6A6A6"/>
              <w:right w:val="single" w:sz="4" w:space="0" w:color="A6A6A6"/>
            </w:tcBorders>
            <w:noWrap/>
            <w:vAlign w:val="center"/>
            <w:hideMark/>
          </w:tcPr>
          <w:p w14:paraId="7763727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245</w:t>
            </w:r>
          </w:p>
        </w:tc>
        <w:tc>
          <w:tcPr>
            <w:tcW w:w="0" w:type="auto"/>
            <w:tcBorders>
              <w:top w:val="nil"/>
              <w:left w:val="nil"/>
              <w:bottom w:val="single" w:sz="4" w:space="0" w:color="A6A6A6"/>
              <w:right w:val="single" w:sz="4" w:space="0" w:color="A6A6A6"/>
            </w:tcBorders>
            <w:noWrap/>
            <w:vAlign w:val="center"/>
            <w:hideMark/>
          </w:tcPr>
          <w:p w14:paraId="3D2B55E9"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160</w:t>
            </w:r>
          </w:p>
        </w:tc>
      </w:tr>
      <w:tr w:rsidR="004921FF" w:rsidRPr="005C133F" w14:paraId="064075C7" w14:textId="77777777" w:rsidTr="00160B11">
        <w:trPr>
          <w:trHeight w:val="323"/>
          <w:jc w:val="center"/>
        </w:trPr>
        <w:tc>
          <w:tcPr>
            <w:tcW w:w="0" w:type="auto"/>
            <w:tcBorders>
              <w:top w:val="nil"/>
              <w:left w:val="single" w:sz="4" w:space="0" w:color="A6A6A6"/>
              <w:bottom w:val="single" w:sz="4" w:space="0" w:color="A6A6A6"/>
              <w:right w:val="single" w:sz="4" w:space="0" w:color="A6A6A6"/>
            </w:tcBorders>
            <w:noWrap/>
            <w:vAlign w:val="center"/>
            <w:hideMark/>
          </w:tcPr>
          <w:p w14:paraId="03F6451A" w14:textId="77777777" w:rsidR="0025197F" w:rsidRPr="005C133F" w:rsidRDefault="0025197F" w:rsidP="00545051">
            <w:pPr>
              <w:spacing w:after="0" w:line="240" w:lineRule="auto"/>
              <w:rPr>
                <w:rFonts w:eastAsia="Times New Roman"/>
                <w:spacing w:val="0"/>
                <w:lang w:val="es-DO" w:eastAsia="es-DO"/>
              </w:rPr>
            </w:pPr>
            <w:r w:rsidRPr="005C133F">
              <w:rPr>
                <w:rFonts w:eastAsia="Times New Roman"/>
                <w:spacing w:val="0"/>
                <w:lang w:val="es-DO" w:eastAsia="es-DO"/>
              </w:rPr>
              <w:t>Diciembre</w:t>
            </w:r>
          </w:p>
        </w:tc>
        <w:tc>
          <w:tcPr>
            <w:tcW w:w="0" w:type="auto"/>
            <w:tcBorders>
              <w:top w:val="nil"/>
              <w:left w:val="nil"/>
              <w:bottom w:val="single" w:sz="4" w:space="0" w:color="A6A6A6"/>
              <w:right w:val="single" w:sz="4" w:space="0" w:color="A6A6A6"/>
            </w:tcBorders>
            <w:noWrap/>
            <w:vAlign w:val="center"/>
            <w:hideMark/>
          </w:tcPr>
          <w:p w14:paraId="19C5977E"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1,580</w:t>
            </w:r>
          </w:p>
        </w:tc>
        <w:tc>
          <w:tcPr>
            <w:tcW w:w="0" w:type="auto"/>
            <w:tcBorders>
              <w:top w:val="nil"/>
              <w:left w:val="nil"/>
              <w:bottom w:val="single" w:sz="4" w:space="0" w:color="A6A6A6"/>
              <w:right w:val="single" w:sz="4" w:space="0" w:color="A6A6A6"/>
            </w:tcBorders>
            <w:shd w:val="clear" w:color="000000" w:fill="FFFFFF"/>
            <w:noWrap/>
            <w:vAlign w:val="center"/>
            <w:hideMark/>
          </w:tcPr>
          <w:p w14:paraId="4C517438"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557</w:t>
            </w:r>
          </w:p>
        </w:tc>
        <w:tc>
          <w:tcPr>
            <w:tcW w:w="0" w:type="auto"/>
            <w:tcBorders>
              <w:top w:val="nil"/>
              <w:left w:val="nil"/>
              <w:bottom w:val="single" w:sz="4" w:space="0" w:color="A6A6A6"/>
              <w:right w:val="single" w:sz="4" w:space="0" w:color="A6A6A6"/>
            </w:tcBorders>
            <w:shd w:val="clear" w:color="000000" w:fill="FFFFFF"/>
            <w:noWrap/>
            <w:vAlign w:val="center"/>
            <w:hideMark/>
          </w:tcPr>
          <w:p w14:paraId="6BE47211"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263</w:t>
            </w:r>
          </w:p>
        </w:tc>
        <w:tc>
          <w:tcPr>
            <w:tcW w:w="0" w:type="auto"/>
            <w:tcBorders>
              <w:top w:val="nil"/>
              <w:left w:val="nil"/>
              <w:bottom w:val="single" w:sz="4" w:space="0" w:color="A6A6A6"/>
              <w:right w:val="single" w:sz="4" w:space="0" w:color="A6A6A6"/>
            </w:tcBorders>
            <w:shd w:val="clear" w:color="000000" w:fill="FFFFFF"/>
            <w:noWrap/>
            <w:vAlign w:val="center"/>
            <w:hideMark/>
          </w:tcPr>
          <w:p w14:paraId="35F8DB5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92</w:t>
            </w:r>
          </w:p>
        </w:tc>
        <w:tc>
          <w:tcPr>
            <w:tcW w:w="0" w:type="auto"/>
            <w:tcBorders>
              <w:top w:val="nil"/>
              <w:left w:val="nil"/>
              <w:bottom w:val="single" w:sz="4" w:space="0" w:color="A6A6A6"/>
              <w:right w:val="single" w:sz="4" w:space="0" w:color="A6A6A6"/>
            </w:tcBorders>
            <w:shd w:val="clear" w:color="000000" w:fill="FFFFFF"/>
            <w:noWrap/>
            <w:vAlign w:val="center"/>
            <w:hideMark/>
          </w:tcPr>
          <w:p w14:paraId="270307C0"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406</w:t>
            </w:r>
          </w:p>
        </w:tc>
        <w:tc>
          <w:tcPr>
            <w:tcW w:w="0" w:type="auto"/>
            <w:tcBorders>
              <w:top w:val="nil"/>
              <w:left w:val="nil"/>
              <w:bottom w:val="single" w:sz="4" w:space="0" w:color="A6A6A6"/>
              <w:right w:val="single" w:sz="4" w:space="0" w:color="A6A6A6"/>
            </w:tcBorders>
            <w:shd w:val="clear" w:color="000000" w:fill="FFFFFF"/>
            <w:noWrap/>
            <w:vAlign w:val="center"/>
            <w:hideMark/>
          </w:tcPr>
          <w:p w14:paraId="3A4D093F"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94</w:t>
            </w:r>
          </w:p>
        </w:tc>
        <w:tc>
          <w:tcPr>
            <w:tcW w:w="0" w:type="auto"/>
            <w:tcBorders>
              <w:top w:val="nil"/>
              <w:left w:val="nil"/>
              <w:bottom w:val="single" w:sz="4" w:space="0" w:color="A6A6A6"/>
              <w:right w:val="single" w:sz="4" w:space="0" w:color="A6A6A6"/>
            </w:tcBorders>
            <w:shd w:val="clear" w:color="000000" w:fill="FFFFFF"/>
            <w:noWrap/>
            <w:vAlign w:val="center"/>
            <w:hideMark/>
          </w:tcPr>
          <w:p w14:paraId="38688E14"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60</w:t>
            </w:r>
          </w:p>
        </w:tc>
        <w:tc>
          <w:tcPr>
            <w:tcW w:w="0" w:type="auto"/>
            <w:tcBorders>
              <w:top w:val="nil"/>
              <w:left w:val="nil"/>
              <w:bottom w:val="single" w:sz="4" w:space="0" w:color="A6A6A6"/>
              <w:right w:val="single" w:sz="4" w:space="0" w:color="A6A6A6"/>
            </w:tcBorders>
            <w:shd w:val="clear" w:color="000000" w:fill="FFFFFF"/>
            <w:noWrap/>
            <w:vAlign w:val="center"/>
            <w:hideMark/>
          </w:tcPr>
          <w:p w14:paraId="1E1F6717"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220</w:t>
            </w:r>
          </w:p>
        </w:tc>
        <w:tc>
          <w:tcPr>
            <w:tcW w:w="0" w:type="auto"/>
            <w:tcBorders>
              <w:top w:val="nil"/>
              <w:left w:val="nil"/>
              <w:bottom w:val="single" w:sz="4" w:space="0" w:color="A6A6A6"/>
              <w:right w:val="single" w:sz="4" w:space="0" w:color="A6A6A6"/>
            </w:tcBorders>
            <w:shd w:val="clear" w:color="000000" w:fill="FFFFFF"/>
            <w:noWrap/>
            <w:vAlign w:val="center"/>
            <w:hideMark/>
          </w:tcPr>
          <w:p w14:paraId="35C29E52" w14:textId="77777777" w:rsidR="0025197F" w:rsidRPr="005C133F" w:rsidRDefault="0025197F" w:rsidP="00545051">
            <w:pPr>
              <w:spacing w:after="0" w:line="240" w:lineRule="auto"/>
              <w:jc w:val="center"/>
              <w:rPr>
                <w:rFonts w:eastAsia="Times New Roman"/>
                <w:spacing w:val="0"/>
                <w:lang w:val="es-DO" w:eastAsia="es-DO"/>
              </w:rPr>
            </w:pPr>
            <w:r w:rsidRPr="005C133F">
              <w:rPr>
                <w:rFonts w:eastAsia="Times New Roman"/>
                <w:spacing w:val="0"/>
                <w:lang w:val="es-DO" w:eastAsia="es-DO"/>
              </w:rPr>
              <w:t>144</w:t>
            </w:r>
          </w:p>
        </w:tc>
      </w:tr>
      <w:tr w:rsidR="004C4D73" w:rsidRPr="005C133F" w14:paraId="1D91F0D6" w14:textId="77777777" w:rsidTr="00D11C32">
        <w:trPr>
          <w:trHeight w:val="323"/>
          <w:jc w:val="center"/>
        </w:trPr>
        <w:tc>
          <w:tcPr>
            <w:tcW w:w="0" w:type="auto"/>
            <w:tcBorders>
              <w:top w:val="nil"/>
              <w:left w:val="single" w:sz="4" w:space="0" w:color="A6A6A6"/>
              <w:bottom w:val="single" w:sz="4" w:space="0" w:color="A6A6A6"/>
              <w:right w:val="single" w:sz="4" w:space="0" w:color="A6A6A6"/>
            </w:tcBorders>
            <w:shd w:val="clear" w:color="auto" w:fill="011C50"/>
            <w:noWrap/>
            <w:vAlign w:val="center"/>
            <w:hideMark/>
          </w:tcPr>
          <w:p w14:paraId="71F2F96E" w14:textId="77777777" w:rsidR="0025197F" w:rsidRPr="005C133F" w:rsidRDefault="0025197F" w:rsidP="00545051">
            <w:pPr>
              <w:spacing w:after="0" w:line="240" w:lineRule="auto"/>
              <w:jc w:val="right"/>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Total </w:t>
            </w:r>
          </w:p>
        </w:tc>
        <w:tc>
          <w:tcPr>
            <w:tcW w:w="0" w:type="auto"/>
            <w:tcBorders>
              <w:top w:val="nil"/>
              <w:left w:val="nil"/>
              <w:bottom w:val="single" w:sz="4" w:space="0" w:color="A6A6A6"/>
              <w:right w:val="single" w:sz="4" w:space="0" w:color="A6A6A6"/>
            </w:tcBorders>
            <w:shd w:val="clear" w:color="auto" w:fill="011C50"/>
            <w:noWrap/>
            <w:vAlign w:val="center"/>
            <w:hideMark/>
          </w:tcPr>
          <w:p w14:paraId="1157DC43"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23,457</w:t>
            </w:r>
          </w:p>
        </w:tc>
        <w:tc>
          <w:tcPr>
            <w:tcW w:w="0" w:type="auto"/>
            <w:tcBorders>
              <w:top w:val="nil"/>
              <w:left w:val="nil"/>
              <w:bottom w:val="single" w:sz="4" w:space="0" w:color="A6A6A6"/>
              <w:right w:val="single" w:sz="4" w:space="0" w:color="A6A6A6"/>
            </w:tcBorders>
            <w:shd w:val="clear" w:color="auto" w:fill="011C50"/>
            <w:noWrap/>
            <w:vAlign w:val="center"/>
            <w:hideMark/>
          </w:tcPr>
          <w:p w14:paraId="72A9AE02"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8,746</w:t>
            </w:r>
          </w:p>
        </w:tc>
        <w:tc>
          <w:tcPr>
            <w:tcW w:w="0" w:type="auto"/>
            <w:tcBorders>
              <w:top w:val="nil"/>
              <w:left w:val="nil"/>
              <w:bottom w:val="single" w:sz="4" w:space="0" w:color="A6A6A6"/>
              <w:right w:val="single" w:sz="4" w:space="0" w:color="A6A6A6"/>
            </w:tcBorders>
            <w:shd w:val="clear" w:color="auto" w:fill="011C50"/>
            <w:noWrap/>
            <w:vAlign w:val="center"/>
            <w:hideMark/>
          </w:tcPr>
          <w:p w14:paraId="7285815A"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1,825</w:t>
            </w:r>
          </w:p>
        </w:tc>
        <w:tc>
          <w:tcPr>
            <w:tcW w:w="0" w:type="auto"/>
            <w:tcBorders>
              <w:top w:val="nil"/>
              <w:left w:val="nil"/>
              <w:bottom w:val="single" w:sz="4" w:space="0" w:color="A6A6A6"/>
              <w:right w:val="single" w:sz="4" w:space="0" w:color="A6A6A6"/>
            </w:tcBorders>
            <w:shd w:val="clear" w:color="auto" w:fill="011C50"/>
            <w:noWrap/>
            <w:vAlign w:val="center"/>
            <w:hideMark/>
          </w:tcPr>
          <w:p w14:paraId="06C05901"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1,355</w:t>
            </w:r>
          </w:p>
        </w:tc>
        <w:tc>
          <w:tcPr>
            <w:tcW w:w="0" w:type="auto"/>
            <w:tcBorders>
              <w:top w:val="nil"/>
              <w:left w:val="nil"/>
              <w:bottom w:val="single" w:sz="4" w:space="0" w:color="A6A6A6"/>
              <w:right w:val="single" w:sz="4" w:space="0" w:color="A6A6A6"/>
            </w:tcBorders>
            <w:shd w:val="clear" w:color="auto" w:fill="011C50"/>
            <w:noWrap/>
            <w:vAlign w:val="center"/>
            <w:hideMark/>
          </w:tcPr>
          <w:p w14:paraId="1C231FDB"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4,388</w:t>
            </w:r>
          </w:p>
        </w:tc>
        <w:tc>
          <w:tcPr>
            <w:tcW w:w="0" w:type="auto"/>
            <w:tcBorders>
              <w:top w:val="nil"/>
              <w:left w:val="nil"/>
              <w:bottom w:val="single" w:sz="4" w:space="0" w:color="A6A6A6"/>
              <w:right w:val="single" w:sz="4" w:space="0" w:color="A6A6A6"/>
            </w:tcBorders>
            <w:shd w:val="clear" w:color="auto" w:fill="011C50"/>
            <w:noWrap/>
            <w:vAlign w:val="center"/>
            <w:hideMark/>
          </w:tcPr>
          <w:p w14:paraId="0A89D9A5"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1,210</w:t>
            </w:r>
          </w:p>
        </w:tc>
        <w:tc>
          <w:tcPr>
            <w:tcW w:w="0" w:type="auto"/>
            <w:tcBorders>
              <w:top w:val="nil"/>
              <w:left w:val="nil"/>
              <w:bottom w:val="single" w:sz="4" w:space="0" w:color="A6A6A6"/>
              <w:right w:val="single" w:sz="4" w:space="0" w:color="A6A6A6"/>
            </w:tcBorders>
            <w:shd w:val="clear" w:color="auto" w:fill="011C50"/>
            <w:noWrap/>
            <w:vAlign w:val="center"/>
            <w:hideMark/>
          </w:tcPr>
          <w:p w14:paraId="656F548C"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634</w:t>
            </w:r>
          </w:p>
        </w:tc>
        <w:tc>
          <w:tcPr>
            <w:tcW w:w="0" w:type="auto"/>
            <w:tcBorders>
              <w:top w:val="nil"/>
              <w:left w:val="nil"/>
              <w:bottom w:val="single" w:sz="4" w:space="0" w:color="A6A6A6"/>
              <w:right w:val="single" w:sz="4" w:space="0" w:color="A6A6A6"/>
            </w:tcBorders>
            <w:shd w:val="clear" w:color="auto" w:fill="011C50"/>
            <w:noWrap/>
            <w:vAlign w:val="center"/>
            <w:hideMark/>
          </w:tcPr>
          <w:p w14:paraId="7B0B753E"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3,348</w:t>
            </w:r>
          </w:p>
        </w:tc>
        <w:tc>
          <w:tcPr>
            <w:tcW w:w="0" w:type="auto"/>
            <w:tcBorders>
              <w:top w:val="nil"/>
              <w:left w:val="nil"/>
              <w:bottom w:val="single" w:sz="4" w:space="0" w:color="A6A6A6"/>
              <w:right w:val="single" w:sz="4" w:space="0" w:color="A6A6A6"/>
            </w:tcBorders>
            <w:shd w:val="clear" w:color="auto" w:fill="011C50"/>
            <w:noWrap/>
            <w:vAlign w:val="center"/>
            <w:hideMark/>
          </w:tcPr>
          <w:p w14:paraId="019DCB6E" w14:textId="77777777" w:rsidR="0025197F" w:rsidRPr="005C133F" w:rsidRDefault="0025197F" w:rsidP="00545051">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1,735</w:t>
            </w:r>
          </w:p>
        </w:tc>
      </w:tr>
    </w:tbl>
    <w:p w14:paraId="27B51512" w14:textId="77777777" w:rsidR="00160B11" w:rsidRPr="005C133F" w:rsidRDefault="00160B11" w:rsidP="005C133F">
      <w:pPr>
        <w:spacing w:after="0" w:line="360" w:lineRule="auto"/>
        <w:jc w:val="both"/>
        <w:rPr>
          <w:lang w:val="es-MX"/>
        </w:rPr>
      </w:pPr>
      <w:r w:rsidRPr="005C133F">
        <w:rPr>
          <w:b/>
          <w:bCs/>
          <w:lang w:val="es-MX"/>
        </w:rPr>
        <w:t>Fuente:</w:t>
      </w:r>
      <w:r w:rsidRPr="005C133F">
        <w:rPr>
          <w:lang w:val="es-MX"/>
        </w:rPr>
        <w:t xml:space="preserve"> Sistema de Información y Estadísticas (SIES) </w:t>
      </w:r>
    </w:p>
    <w:p w14:paraId="2833AAA7" w14:textId="77777777" w:rsidR="00573ACB" w:rsidRPr="005C133F" w:rsidRDefault="00573ACB" w:rsidP="005C133F">
      <w:pPr>
        <w:spacing w:after="0" w:line="360" w:lineRule="auto"/>
        <w:rPr>
          <w:noProof/>
          <w:lang w:val="es-DO"/>
        </w:rPr>
      </w:pPr>
    </w:p>
    <w:p w14:paraId="6496CC03" w14:textId="6A0A187B" w:rsidR="00FF40B4" w:rsidRDefault="009365BE" w:rsidP="005C133F">
      <w:pPr>
        <w:spacing w:after="0" w:line="360" w:lineRule="auto"/>
        <w:jc w:val="both"/>
        <w:rPr>
          <w:lang w:val="es-MX"/>
        </w:rPr>
      </w:pPr>
      <w:r w:rsidRPr="005C133F">
        <w:rPr>
          <w:lang w:val="es-MX"/>
        </w:rPr>
        <w:t>En el marc</w:t>
      </w:r>
      <w:r w:rsidR="00C50887" w:rsidRPr="005C133F">
        <w:rPr>
          <w:lang w:val="es-MX"/>
        </w:rPr>
        <w:t>o de la gestión de PQRS indicadas en las tablas precedentes</w:t>
      </w:r>
      <w:r w:rsidR="00BA2E0A" w:rsidRPr="005C133F">
        <w:rPr>
          <w:lang w:val="es-MX"/>
        </w:rPr>
        <w:t xml:space="preserve">, se atendieron casos específicamente </w:t>
      </w:r>
      <w:r w:rsidR="002F5620" w:rsidRPr="005C133F">
        <w:rPr>
          <w:lang w:val="es-MX"/>
        </w:rPr>
        <w:t>relacionados</w:t>
      </w:r>
      <w:r w:rsidR="000C4160" w:rsidRPr="005C133F">
        <w:rPr>
          <w:lang w:val="es-MX"/>
        </w:rPr>
        <w:t xml:space="preserve"> </w:t>
      </w:r>
      <w:r w:rsidR="005946E7" w:rsidRPr="005C133F">
        <w:rPr>
          <w:lang w:val="es-MX"/>
        </w:rPr>
        <w:t xml:space="preserve">con </w:t>
      </w:r>
      <w:r w:rsidR="000C4160" w:rsidRPr="005C133F">
        <w:rPr>
          <w:lang w:val="es-MX"/>
        </w:rPr>
        <w:t xml:space="preserve">limitaciones </w:t>
      </w:r>
      <w:r w:rsidR="001810AF" w:rsidRPr="005C133F">
        <w:rPr>
          <w:lang w:val="es-MX"/>
        </w:rPr>
        <w:t>de cobertura en el SFS y SRL. Estos casos, correspondieron</w:t>
      </w:r>
      <w:r w:rsidR="00257240" w:rsidRPr="005C133F">
        <w:rPr>
          <w:lang w:val="es-MX"/>
        </w:rPr>
        <w:t xml:space="preserve"> </w:t>
      </w:r>
      <w:r w:rsidR="002F5620" w:rsidRPr="005C133F">
        <w:rPr>
          <w:lang w:val="es-MX"/>
        </w:rPr>
        <w:t>a reclamos por negación de coberturas</w:t>
      </w:r>
      <w:r w:rsidR="00AE7D1E" w:rsidRPr="005C133F">
        <w:rPr>
          <w:lang w:val="es-MX"/>
        </w:rPr>
        <w:t xml:space="preserve">, negación de reembolso, retenciones </w:t>
      </w:r>
      <w:r w:rsidR="004C0C55" w:rsidRPr="005C133F">
        <w:rPr>
          <w:lang w:val="es-MX"/>
        </w:rPr>
        <w:t xml:space="preserve">(personas, documentos y cadáveres), cobros indebidos por parte </w:t>
      </w:r>
      <w:r w:rsidR="00641360" w:rsidRPr="005C133F">
        <w:rPr>
          <w:lang w:val="es-MX"/>
        </w:rPr>
        <w:t xml:space="preserve">de los prestadores de servicios de salud (PSS), entre otros temas que </w:t>
      </w:r>
      <w:r w:rsidR="00587806" w:rsidRPr="005C133F">
        <w:rPr>
          <w:lang w:val="es-MX"/>
        </w:rPr>
        <w:t xml:space="preserve">afectaron directamente a afiliados o </w:t>
      </w:r>
      <w:r w:rsidR="00C3657B" w:rsidRPr="005C133F">
        <w:rPr>
          <w:lang w:val="es-MX"/>
        </w:rPr>
        <w:t xml:space="preserve">PSS. </w:t>
      </w:r>
    </w:p>
    <w:p w14:paraId="612536FE" w14:textId="77777777" w:rsidR="00291603" w:rsidRPr="005C133F" w:rsidRDefault="00291603" w:rsidP="005C133F">
      <w:pPr>
        <w:spacing w:after="0" w:line="360" w:lineRule="auto"/>
        <w:jc w:val="both"/>
        <w:rPr>
          <w:lang w:val="es-MX"/>
        </w:rPr>
      </w:pPr>
    </w:p>
    <w:p w14:paraId="4233E7A3" w14:textId="4B8A1A1C" w:rsidR="00CC0D07" w:rsidRDefault="000226C1">
      <w:pPr>
        <w:pStyle w:val="Prrafodelista"/>
        <w:numPr>
          <w:ilvl w:val="0"/>
          <w:numId w:val="169"/>
        </w:numPr>
        <w:spacing w:after="0" w:line="360" w:lineRule="auto"/>
        <w:jc w:val="both"/>
        <w:rPr>
          <w:b/>
          <w:bCs/>
          <w:lang w:val="es-MX"/>
        </w:rPr>
      </w:pPr>
      <w:r w:rsidRPr="005C133F">
        <w:rPr>
          <w:b/>
          <w:bCs/>
          <w:lang w:val="es-MX"/>
        </w:rPr>
        <w:t>Atención a c</w:t>
      </w:r>
      <w:r w:rsidR="00C3657B" w:rsidRPr="005C133F">
        <w:rPr>
          <w:b/>
          <w:bCs/>
          <w:lang w:val="es-MX"/>
        </w:rPr>
        <w:t xml:space="preserve">asos de </w:t>
      </w:r>
      <w:r w:rsidR="00FF40B4" w:rsidRPr="005C133F">
        <w:rPr>
          <w:b/>
          <w:bCs/>
          <w:lang w:val="es-MX"/>
        </w:rPr>
        <w:t xml:space="preserve">afiliados: </w:t>
      </w:r>
    </w:p>
    <w:p w14:paraId="2267CD9C" w14:textId="77777777" w:rsidR="00CC0D07" w:rsidRPr="00CC0D07" w:rsidRDefault="00CC0D07" w:rsidP="00CC0D07">
      <w:pPr>
        <w:pStyle w:val="Prrafodelista"/>
        <w:spacing w:after="0" w:line="360" w:lineRule="auto"/>
        <w:jc w:val="both"/>
        <w:rPr>
          <w:b/>
          <w:bCs/>
          <w:lang w:val="es-MX"/>
        </w:rPr>
      </w:pPr>
    </w:p>
    <w:p w14:paraId="52933A0E" w14:textId="50C94104" w:rsidR="00FF40B4" w:rsidRPr="005C133F" w:rsidRDefault="00FF40B4" w:rsidP="005C133F">
      <w:pPr>
        <w:spacing w:after="0" w:line="360" w:lineRule="auto"/>
        <w:jc w:val="both"/>
        <w:rPr>
          <w:lang w:val="es-DO"/>
        </w:rPr>
      </w:pPr>
      <w:r w:rsidRPr="005C133F">
        <w:rPr>
          <w:lang w:val="es-DO"/>
        </w:rPr>
        <w:t>En el período enero-</w:t>
      </w:r>
      <w:r w:rsidR="00CC0D07">
        <w:rPr>
          <w:lang w:val="es-DO"/>
        </w:rPr>
        <w:t>diciembre</w:t>
      </w:r>
      <w:r w:rsidRPr="005C133F">
        <w:rPr>
          <w:lang w:val="es-DO"/>
        </w:rPr>
        <w:t xml:space="preserve"> de 2025, se</w:t>
      </w:r>
      <w:r w:rsidR="004F27DC" w:rsidRPr="005C133F">
        <w:rPr>
          <w:lang w:val="es-DO"/>
        </w:rPr>
        <w:t xml:space="preserve"> atendieron</w:t>
      </w:r>
      <w:r w:rsidRPr="005C133F">
        <w:rPr>
          <w:lang w:val="es-DO"/>
        </w:rPr>
        <w:t xml:space="preserve"> </w:t>
      </w:r>
      <w:r w:rsidR="00CC0D07">
        <w:rPr>
          <w:lang w:val="es-DO"/>
        </w:rPr>
        <w:t>seiscientos diecisiete</w:t>
      </w:r>
      <w:r w:rsidRPr="005C133F">
        <w:rPr>
          <w:lang w:val="es-DO"/>
        </w:rPr>
        <w:t xml:space="preserve"> (</w:t>
      </w:r>
      <w:r w:rsidR="00CC0D07">
        <w:rPr>
          <w:lang w:val="es-DO"/>
        </w:rPr>
        <w:t>617</w:t>
      </w:r>
      <w:r w:rsidRPr="005C133F">
        <w:rPr>
          <w:lang w:val="es-DO"/>
        </w:rPr>
        <w:t xml:space="preserve">) reclamos por parte de afiliados al Seguro Familiar de </w:t>
      </w:r>
      <w:r w:rsidRPr="005C133F">
        <w:rPr>
          <w:lang w:val="es-DO"/>
        </w:rPr>
        <w:lastRenderedPageBreak/>
        <w:t>Salud, FONAMAT y planes regulados por la Superintendencia</w:t>
      </w:r>
      <w:r w:rsidR="00CC0D07">
        <w:rPr>
          <w:lang w:val="es-DO"/>
        </w:rPr>
        <w:t xml:space="preserve">. </w:t>
      </w:r>
      <w:r w:rsidRPr="005C133F">
        <w:rPr>
          <w:lang w:val="es-DO"/>
        </w:rPr>
        <w:t xml:space="preserve">De estos reclamos, fueron gestionadas </w:t>
      </w:r>
      <w:r w:rsidR="00CC0D07">
        <w:rPr>
          <w:lang w:val="es-DO"/>
        </w:rPr>
        <w:t xml:space="preserve">trescientas seis </w:t>
      </w:r>
      <w:r w:rsidRPr="005C133F">
        <w:rPr>
          <w:lang w:val="es-DO"/>
        </w:rPr>
        <w:t>(</w:t>
      </w:r>
      <w:r w:rsidR="00CC0D07">
        <w:rPr>
          <w:lang w:val="es-DO"/>
        </w:rPr>
        <w:t>306</w:t>
      </w:r>
      <w:r w:rsidRPr="005C133F">
        <w:rPr>
          <w:lang w:val="es-DO"/>
        </w:rPr>
        <w:t>) solicitudes de intervención por negaciones de cobertura por parte de las ARS, las cuales fueron respondidas de forma oportuna en un 9</w:t>
      </w:r>
      <w:r w:rsidR="00CC0D07">
        <w:rPr>
          <w:lang w:val="es-DO"/>
        </w:rPr>
        <w:t>9</w:t>
      </w:r>
      <w:r w:rsidRPr="005C133F">
        <w:rPr>
          <w:lang w:val="es-DO"/>
        </w:rPr>
        <w:t>% (</w:t>
      </w:r>
      <w:r w:rsidR="00CC0D07">
        <w:rPr>
          <w:lang w:val="es-DO"/>
        </w:rPr>
        <w:t>303</w:t>
      </w:r>
      <w:r w:rsidRPr="005C133F">
        <w:rPr>
          <w:lang w:val="es-DO"/>
        </w:rPr>
        <w:t xml:space="preserve">) de los casos. </w:t>
      </w:r>
    </w:p>
    <w:p w14:paraId="75271ACD" w14:textId="77777777" w:rsidR="00FF40B4" w:rsidRDefault="00FF40B4" w:rsidP="005C133F">
      <w:pPr>
        <w:spacing w:after="0" w:line="360" w:lineRule="auto"/>
        <w:jc w:val="both"/>
        <w:rPr>
          <w:rFonts w:eastAsiaTheme="minorEastAsia"/>
          <w:lang w:val="es-DO"/>
        </w:rPr>
      </w:pPr>
      <w:r w:rsidRPr="005C133F">
        <w:rPr>
          <w:lang w:val="es-DO"/>
        </w:rPr>
        <w:t xml:space="preserve">Asimismo, </w:t>
      </w:r>
      <w:r w:rsidRPr="005C133F">
        <w:rPr>
          <w:rFonts w:eastAsiaTheme="minorEastAsia"/>
          <w:lang w:val="es-DO"/>
        </w:rPr>
        <w:t>como parte de las acciones conjuntas con la Dirección de Información y Defensa de los afiliados (DIDA), se realizaron jornadas de investigación sobre las incidencias notificadas de alegados incumplimientos por parte de PSS y de las ARS, remitiéndose notificaciones de advertencias a nueve (9) Prestadores Institucionales.</w:t>
      </w:r>
    </w:p>
    <w:p w14:paraId="735AF8E5" w14:textId="77777777" w:rsidR="00CC0D07" w:rsidRPr="005C133F" w:rsidRDefault="00CC0D07" w:rsidP="005C133F">
      <w:pPr>
        <w:spacing w:after="0" w:line="360" w:lineRule="auto"/>
        <w:jc w:val="both"/>
        <w:rPr>
          <w:lang w:val="es-DO"/>
        </w:rPr>
      </w:pPr>
    </w:p>
    <w:p w14:paraId="2CD083D6" w14:textId="3E0A1C7E" w:rsidR="003D025F" w:rsidRDefault="00FF40B4" w:rsidP="005C133F">
      <w:pPr>
        <w:spacing w:after="0" w:line="360" w:lineRule="auto"/>
        <w:jc w:val="both"/>
        <w:rPr>
          <w:rFonts w:eastAsiaTheme="minorEastAsia"/>
          <w:lang w:val="es-DO"/>
        </w:rPr>
      </w:pPr>
      <w:r w:rsidRPr="005C133F">
        <w:rPr>
          <w:rFonts w:eastAsiaTheme="minorEastAsia"/>
          <w:lang w:val="es-DO"/>
        </w:rPr>
        <w:t xml:space="preserve">Además, se encuestaron seiscientos treinta y ocho (638) afiliados para identificar las necesidades al momento de acudir a las áreas de servicios de las ARS, sobre las dimensiones de calidad (capacidad de Respuesta, Fiabilidad, Empatía, Seguridad y Elementos tangibles) bajo el modelo SERVQUAL (Parasuraman, Berry &amp; Zeithaml, 1988), así como los tiempos de respuestas a los servicios solicitados, como las solicitudes de autorización de </w:t>
      </w:r>
      <w:r w:rsidR="00F92254" w:rsidRPr="005C133F">
        <w:rPr>
          <w:rFonts w:eastAsiaTheme="minorEastAsia"/>
          <w:lang w:val="es-DO"/>
        </w:rPr>
        <w:t>m</w:t>
      </w:r>
      <w:r w:rsidRPr="005C133F">
        <w:rPr>
          <w:rFonts w:eastAsiaTheme="minorEastAsia"/>
          <w:lang w:val="es-DO"/>
        </w:rPr>
        <w:t xml:space="preserve">edicamentos ambulatorios, </w:t>
      </w:r>
      <w:r w:rsidR="000226C1" w:rsidRPr="005C133F">
        <w:rPr>
          <w:rFonts w:eastAsiaTheme="minorEastAsia"/>
          <w:lang w:val="es-DO"/>
        </w:rPr>
        <w:t>m</w:t>
      </w:r>
      <w:r w:rsidRPr="005C133F">
        <w:rPr>
          <w:rFonts w:eastAsiaTheme="minorEastAsia"/>
          <w:lang w:val="es-DO"/>
        </w:rPr>
        <w:t xml:space="preserve">edicamentos de alto costo, </w:t>
      </w:r>
      <w:r w:rsidR="000226C1" w:rsidRPr="005C133F">
        <w:rPr>
          <w:rFonts w:eastAsiaTheme="minorEastAsia"/>
          <w:lang w:val="es-DO"/>
        </w:rPr>
        <w:t>e</w:t>
      </w:r>
      <w:r w:rsidRPr="005C133F">
        <w:rPr>
          <w:rFonts w:eastAsiaTheme="minorEastAsia"/>
          <w:lang w:val="es-DO"/>
        </w:rPr>
        <w:t xml:space="preserve">studios </w:t>
      </w:r>
      <w:r w:rsidR="000226C1" w:rsidRPr="005C133F">
        <w:rPr>
          <w:rFonts w:eastAsiaTheme="minorEastAsia"/>
          <w:lang w:val="es-DO"/>
        </w:rPr>
        <w:t>d</w:t>
      </w:r>
      <w:r w:rsidRPr="005C133F">
        <w:rPr>
          <w:rFonts w:eastAsiaTheme="minorEastAsia"/>
          <w:lang w:val="es-DO"/>
        </w:rPr>
        <w:t xml:space="preserve">iagnósticos, </w:t>
      </w:r>
      <w:r w:rsidR="000226C1" w:rsidRPr="005C133F">
        <w:rPr>
          <w:rFonts w:eastAsiaTheme="minorEastAsia"/>
          <w:lang w:val="es-DO"/>
        </w:rPr>
        <w:t>p</w:t>
      </w:r>
      <w:r w:rsidRPr="005C133F">
        <w:rPr>
          <w:rFonts w:eastAsiaTheme="minorEastAsia"/>
          <w:lang w:val="es-DO"/>
        </w:rPr>
        <w:t xml:space="preserve">rocedimientos quirúrgicos, </w:t>
      </w:r>
      <w:r w:rsidR="000226C1" w:rsidRPr="005C133F">
        <w:rPr>
          <w:rFonts w:eastAsiaTheme="minorEastAsia"/>
          <w:lang w:val="es-DO"/>
        </w:rPr>
        <w:t>m</w:t>
      </w:r>
      <w:r w:rsidRPr="005C133F">
        <w:rPr>
          <w:rFonts w:eastAsiaTheme="minorEastAsia"/>
          <w:lang w:val="es-DO"/>
        </w:rPr>
        <w:t>ateriales y equipos, entre otros.</w:t>
      </w:r>
    </w:p>
    <w:p w14:paraId="416D40C1" w14:textId="77777777" w:rsidR="00CC0D07" w:rsidRPr="005C133F" w:rsidRDefault="00CC0D07" w:rsidP="005C133F">
      <w:pPr>
        <w:spacing w:after="0" w:line="360" w:lineRule="auto"/>
        <w:jc w:val="both"/>
        <w:rPr>
          <w:rFonts w:eastAsiaTheme="minorEastAsia"/>
          <w:lang w:val="es-DO"/>
        </w:rPr>
      </w:pPr>
    </w:p>
    <w:p w14:paraId="27BCF130" w14:textId="167D7EBB" w:rsidR="00CC53E1" w:rsidRDefault="003D025F" w:rsidP="005C133F">
      <w:pPr>
        <w:spacing w:after="0" w:line="360" w:lineRule="auto"/>
        <w:jc w:val="both"/>
        <w:rPr>
          <w:lang w:val="es-ES"/>
        </w:rPr>
      </w:pPr>
      <w:r w:rsidRPr="005C133F">
        <w:rPr>
          <w:lang w:val="es-ES"/>
        </w:rPr>
        <w:t>Además</w:t>
      </w:r>
      <w:r w:rsidR="00CB4970" w:rsidRPr="005C133F">
        <w:rPr>
          <w:lang w:val="es-ES"/>
        </w:rPr>
        <w:t xml:space="preserve">, </w:t>
      </w:r>
      <w:r w:rsidR="00040553" w:rsidRPr="005C133F">
        <w:rPr>
          <w:lang w:val="es-ES"/>
        </w:rPr>
        <w:t>se</w:t>
      </w:r>
      <w:r w:rsidRPr="005C133F">
        <w:rPr>
          <w:lang w:val="es-ES"/>
        </w:rPr>
        <w:t xml:space="preserve"> ofreció respuesta a 1</w:t>
      </w:r>
      <w:r w:rsidR="008C0AE6">
        <w:rPr>
          <w:lang w:val="es-ES"/>
        </w:rPr>
        <w:t>40</w:t>
      </w:r>
      <w:r w:rsidRPr="005C133F">
        <w:rPr>
          <w:lang w:val="es-ES"/>
        </w:rPr>
        <w:t xml:space="preserve"> casos vinculados </w:t>
      </w:r>
      <w:r w:rsidR="00040553" w:rsidRPr="005C133F">
        <w:rPr>
          <w:lang w:val="es-ES"/>
        </w:rPr>
        <w:t xml:space="preserve">específicamente </w:t>
      </w:r>
      <w:r w:rsidRPr="005C133F">
        <w:rPr>
          <w:lang w:val="es-ES"/>
        </w:rPr>
        <w:t>al Régimen Subsidiado. Estas intervenciones abarcaron solicitudes de información, reportes de inconformidades y reclamos relacionados con la cobertura del Seguro Familiar de Salud</w:t>
      </w:r>
      <w:r w:rsidR="004C4D73" w:rsidRPr="005C133F">
        <w:rPr>
          <w:lang w:val="es-ES"/>
        </w:rPr>
        <w:t>.</w:t>
      </w:r>
    </w:p>
    <w:p w14:paraId="540B7AE7" w14:textId="77777777" w:rsidR="00CC53E1" w:rsidRDefault="00CC53E1" w:rsidP="005C133F">
      <w:pPr>
        <w:spacing w:after="0" w:line="360" w:lineRule="auto"/>
        <w:jc w:val="both"/>
        <w:rPr>
          <w:lang w:val="es-ES"/>
        </w:rPr>
      </w:pPr>
    </w:p>
    <w:p w14:paraId="054350D7" w14:textId="77777777" w:rsidR="00CC53E1" w:rsidRDefault="00CC53E1" w:rsidP="005C133F">
      <w:pPr>
        <w:spacing w:after="0" w:line="360" w:lineRule="auto"/>
        <w:jc w:val="both"/>
        <w:rPr>
          <w:lang w:val="es-ES"/>
        </w:rPr>
      </w:pPr>
    </w:p>
    <w:p w14:paraId="280FA283" w14:textId="77777777" w:rsidR="00CC53E1" w:rsidRDefault="00CC53E1" w:rsidP="005C133F">
      <w:pPr>
        <w:spacing w:after="0" w:line="360" w:lineRule="auto"/>
        <w:jc w:val="both"/>
        <w:rPr>
          <w:lang w:val="es-ES"/>
        </w:rPr>
      </w:pPr>
    </w:p>
    <w:p w14:paraId="21746F06" w14:textId="77777777" w:rsidR="00CC53E1" w:rsidRPr="005C133F" w:rsidRDefault="00CC53E1" w:rsidP="005C133F">
      <w:pPr>
        <w:spacing w:after="0" w:line="360" w:lineRule="auto"/>
        <w:jc w:val="both"/>
        <w:rPr>
          <w:lang w:val="es-ES"/>
        </w:rPr>
      </w:pPr>
    </w:p>
    <w:p w14:paraId="0A31B742" w14:textId="2E1E6A59" w:rsidR="00FF40B4" w:rsidRDefault="00FF40B4">
      <w:pPr>
        <w:pStyle w:val="Prrafodelista"/>
        <w:numPr>
          <w:ilvl w:val="0"/>
          <w:numId w:val="169"/>
        </w:numPr>
        <w:spacing w:after="0" w:line="360" w:lineRule="auto"/>
        <w:jc w:val="both"/>
        <w:rPr>
          <w:rFonts w:eastAsiaTheme="minorEastAsia"/>
          <w:b/>
          <w:bCs/>
          <w:lang w:val="es-DO"/>
        </w:rPr>
      </w:pPr>
      <w:r w:rsidRPr="005C133F">
        <w:rPr>
          <w:rFonts w:eastAsiaTheme="minorEastAsia"/>
          <w:b/>
          <w:bCs/>
          <w:lang w:val="es-DO"/>
        </w:rPr>
        <w:lastRenderedPageBreak/>
        <w:t xml:space="preserve">Atención </w:t>
      </w:r>
      <w:r w:rsidR="000226C1" w:rsidRPr="005C133F">
        <w:rPr>
          <w:rFonts w:eastAsiaTheme="minorEastAsia"/>
          <w:b/>
          <w:bCs/>
          <w:lang w:val="es-DO"/>
        </w:rPr>
        <w:t xml:space="preserve">a casos </w:t>
      </w:r>
      <w:r w:rsidRPr="005C133F">
        <w:rPr>
          <w:rFonts w:eastAsiaTheme="minorEastAsia"/>
          <w:b/>
          <w:bCs/>
          <w:lang w:val="es-DO"/>
        </w:rPr>
        <w:t xml:space="preserve">de los PSS: </w:t>
      </w:r>
    </w:p>
    <w:p w14:paraId="6D042532" w14:textId="77777777" w:rsidR="00CC0D07" w:rsidRPr="005C133F" w:rsidRDefault="00CC0D07" w:rsidP="00CC0D07">
      <w:pPr>
        <w:pStyle w:val="Prrafodelista"/>
        <w:spacing w:after="0" w:line="360" w:lineRule="auto"/>
        <w:jc w:val="both"/>
        <w:rPr>
          <w:rFonts w:eastAsiaTheme="minorEastAsia"/>
          <w:b/>
          <w:bCs/>
          <w:lang w:val="es-DO"/>
        </w:rPr>
      </w:pPr>
    </w:p>
    <w:p w14:paraId="09B2EB65" w14:textId="1610BD31" w:rsidR="00FF40B4" w:rsidRDefault="00FF40B4" w:rsidP="005C133F">
      <w:pPr>
        <w:spacing w:after="0" w:line="360" w:lineRule="auto"/>
        <w:jc w:val="both"/>
        <w:rPr>
          <w:rFonts w:eastAsiaTheme="minorEastAsia"/>
          <w:lang w:val="es-DO"/>
        </w:rPr>
      </w:pPr>
      <w:r w:rsidRPr="005C133F">
        <w:rPr>
          <w:rFonts w:eastAsiaTheme="minorEastAsia"/>
          <w:lang w:val="es-DO"/>
        </w:rPr>
        <w:t xml:space="preserve">Se registraron 62 casos, de los cuales 46 correspondieron a gestión de cobros por incumplimiento de plazo, 2 casos concernientes a revisión de tarifas, y 14 casos de </w:t>
      </w:r>
      <w:r w:rsidR="000D4456" w:rsidRPr="005C133F">
        <w:rPr>
          <w:rFonts w:eastAsiaTheme="minorEastAsia"/>
          <w:lang w:val="es-DO"/>
        </w:rPr>
        <w:t>g</w:t>
      </w:r>
      <w:r w:rsidRPr="005C133F">
        <w:rPr>
          <w:rFonts w:eastAsiaTheme="minorEastAsia"/>
          <w:lang w:val="es-DO"/>
        </w:rPr>
        <w:t xml:space="preserve">estión de </w:t>
      </w:r>
      <w:r w:rsidR="000D4456" w:rsidRPr="005C133F">
        <w:rPr>
          <w:rFonts w:eastAsiaTheme="minorEastAsia"/>
          <w:lang w:val="es-DO"/>
        </w:rPr>
        <w:t>c</w:t>
      </w:r>
      <w:r w:rsidRPr="005C133F">
        <w:rPr>
          <w:rFonts w:eastAsiaTheme="minorEastAsia"/>
          <w:lang w:val="es-DO"/>
        </w:rPr>
        <w:t xml:space="preserve">ontrato. </w:t>
      </w:r>
    </w:p>
    <w:p w14:paraId="0FA14D26" w14:textId="77777777" w:rsidR="002C0E57" w:rsidRPr="005C133F" w:rsidRDefault="002C0E57" w:rsidP="005C133F">
      <w:pPr>
        <w:spacing w:after="0" w:line="360" w:lineRule="auto"/>
        <w:jc w:val="both"/>
        <w:rPr>
          <w:rFonts w:eastAsiaTheme="minorEastAsia"/>
          <w:lang w:val="es-DO"/>
        </w:rPr>
      </w:pPr>
    </w:p>
    <w:p w14:paraId="05E4A99B" w14:textId="15A4803E" w:rsidR="0032119C" w:rsidRDefault="007A7919">
      <w:pPr>
        <w:pStyle w:val="Prrafodelista"/>
        <w:numPr>
          <w:ilvl w:val="0"/>
          <w:numId w:val="169"/>
        </w:numPr>
        <w:spacing w:after="0" w:line="360" w:lineRule="auto"/>
        <w:jc w:val="both"/>
        <w:rPr>
          <w:rFonts w:eastAsiaTheme="minorEastAsia"/>
          <w:b/>
          <w:bCs/>
          <w:lang w:val="es-DO"/>
        </w:rPr>
      </w:pPr>
      <w:r w:rsidRPr="005C133F">
        <w:rPr>
          <w:rFonts w:eastAsiaTheme="minorEastAsia"/>
          <w:b/>
          <w:bCs/>
          <w:lang w:val="es-DO"/>
        </w:rPr>
        <w:t>Atenci</w:t>
      </w:r>
      <w:r w:rsidR="00E92E2A" w:rsidRPr="005C133F">
        <w:rPr>
          <w:rFonts w:eastAsiaTheme="minorEastAsia"/>
          <w:b/>
          <w:bCs/>
          <w:lang w:val="es-DO"/>
        </w:rPr>
        <w:t>ón</w:t>
      </w:r>
      <w:r w:rsidR="00504E98" w:rsidRPr="005C133F">
        <w:rPr>
          <w:rFonts w:eastAsiaTheme="minorEastAsia"/>
          <w:b/>
          <w:bCs/>
          <w:lang w:val="es-DO"/>
        </w:rPr>
        <w:t xml:space="preserve"> a casos </w:t>
      </w:r>
      <w:r w:rsidR="00E92E2A" w:rsidRPr="005C133F">
        <w:rPr>
          <w:rFonts w:eastAsiaTheme="minorEastAsia"/>
          <w:b/>
          <w:bCs/>
          <w:lang w:val="es-DO"/>
        </w:rPr>
        <w:t xml:space="preserve">relacionadas </w:t>
      </w:r>
      <w:r w:rsidR="00082815" w:rsidRPr="005C133F">
        <w:rPr>
          <w:rFonts w:eastAsiaTheme="minorEastAsia"/>
          <w:b/>
          <w:bCs/>
          <w:lang w:val="es-DO"/>
        </w:rPr>
        <w:t xml:space="preserve">con el Seguro de Riesgos Laborales </w:t>
      </w:r>
    </w:p>
    <w:p w14:paraId="3CD328D8" w14:textId="77777777" w:rsidR="00CC0D07" w:rsidRPr="005C133F" w:rsidRDefault="00CC0D07" w:rsidP="00CC0D07">
      <w:pPr>
        <w:pStyle w:val="Prrafodelista"/>
        <w:spacing w:after="0" w:line="360" w:lineRule="auto"/>
        <w:jc w:val="both"/>
        <w:rPr>
          <w:rFonts w:eastAsiaTheme="minorEastAsia"/>
          <w:b/>
          <w:bCs/>
          <w:lang w:val="es-DO"/>
        </w:rPr>
      </w:pPr>
    </w:p>
    <w:p w14:paraId="304B48BF" w14:textId="4B2213F3" w:rsidR="0032119C" w:rsidRPr="00291603" w:rsidRDefault="007F6D74" w:rsidP="00291603">
      <w:pPr>
        <w:spacing w:after="0" w:line="360" w:lineRule="auto"/>
        <w:jc w:val="both"/>
        <w:rPr>
          <w:lang w:val="es-ES"/>
        </w:rPr>
      </w:pPr>
      <w:r w:rsidRPr="00291603">
        <w:rPr>
          <w:lang w:val="es-ES"/>
        </w:rPr>
        <w:t>También, se dio respuesta en tiempo oportuno a</w:t>
      </w:r>
      <w:r w:rsidR="00504E98" w:rsidRPr="00291603">
        <w:rPr>
          <w:lang w:val="es-ES"/>
        </w:rPr>
        <w:t xml:space="preserve"> </w:t>
      </w:r>
      <w:r w:rsidR="007F14A9">
        <w:rPr>
          <w:lang w:val="es-ES"/>
        </w:rPr>
        <w:t>303</w:t>
      </w:r>
      <w:r w:rsidR="0032119C" w:rsidRPr="00291603">
        <w:rPr>
          <w:lang w:val="es-ES"/>
        </w:rPr>
        <w:t> </w:t>
      </w:r>
      <w:r w:rsidR="00504E98" w:rsidRPr="00291603">
        <w:rPr>
          <w:lang w:val="es-ES"/>
        </w:rPr>
        <w:t>casos</w:t>
      </w:r>
      <w:r w:rsidR="0032119C" w:rsidRPr="00291603">
        <w:rPr>
          <w:lang w:val="es-ES"/>
        </w:rPr>
        <w:t xml:space="preserve"> </w:t>
      </w:r>
      <w:r w:rsidR="004C75B9" w:rsidRPr="00291603">
        <w:rPr>
          <w:lang w:val="es-ES"/>
        </w:rPr>
        <w:t xml:space="preserve">relacionados </w:t>
      </w:r>
      <w:r w:rsidR="00CC0D07" w:rsidRPr="00291603">
        <w:rPr>
          <w:lang w:val="es-ES"/>
        </w:rPr>
        <w:t>específicamente</w:t>
      </w:r>
      <w:r w:rsidR="004C75B9" w:rsidRPr="00291603">
        <w:rPr>
          <w:lang w:val="es-ES"/>
        </w:rPr>
        <w:t xml:space="preserve"> con el Seguro de Riesgos Laborales. </w:t>
      </w:r>
    </w:p>
    <w:p w14:paraId="04E772B0" w14:textId="77777777" w:rsidR="005E3622" w:rsidRPr="005C133F" w:rsidRDefault="005E3622" w:rsidP="005C133F">
      <w:pPr>
        <w:spacing w:after="0" w:line="360" w:lineRule="auto"/>
        <w:rPr>
          <w:lang w:val="es-DO"/>
        </w:rPr>
      </w:pPr>
    </w:p>
    <w:p w14:paraId="10189144" w14:textId="37595C29" w:rsidR="005E3622" w:rsidRPr="005C133F" w:rsidRDefault="005E3622" w:rsidP="005C133F">
      <w:pPr>
        <w:spacing w:after="0" w:line="360" w:lineRule="auto"/>
        <w:rPr>
          <w:b/>
          <w:lang w:val="es-DO"/>
        </w:rPr>
      </w:pPr>
      <w:r w:rsidRPr="005C133F">
        <w:rPr>
          <w:b/>
          <w:bCs/>
          <w:lang w:val="es-DO"/>
        </w:rPr>
        <w:t>Resultados de Sistema de Quejas, Reclamos y Sugerencias</w:t>
      </w:r>
      <w:r w:rsidR="001D424C" w:rsidRPr="005C133F">
        <w:rPr>
          <w:b/>
          <w:bCs/>
          <w:lang w:val="es-DO"/>
        </w:rPr>
        <w:t xml:space="preserve"> gestionadas a través de la línea 311</w:t>
      </w:r>
    </w:p>
    <w:p w14:paraId="54CFE05B" w14:textId="77777777" w:rsidR="006E364F" w:rsidRPr="005C133F" w:rsidRDefault="006E364F" w:rsidP="005C133F">
      <w:pPr>
        <w:spacing w:after="0" w:line="360" w:lineRule="auto"/>
        <w:rPr>
          <w:b/>
          <w:lang w:val="es-DO"/>
        </w:rPr>
      </w:pPr>
    </w:p>
    <w:p w14:paraId="39E023F8" w14:textId="77777777" w:rsidR="007C3ABF" w:rsidRPr="005C133F" w:rsidRDefault="007C3ABF" w:rsidP="005C133F">
      <w:pPr>
        <w:spacing w:after="0" w:line="360" w:lineRule="auto"/>
        <w:ind w:left="-5" w:right="-10"/>
        <w:jc w:val="both"/>
        <w:rPr>
          <w:lang w:val="es-DO"/>
        </w:rPr>
      </w:pPr>
      <w:r w:rsidRPr="005C133F">
        <w:rPr>
          <w:lang w:val="es-DO"/>
        </w:rPr>
        <w:t xml:space="preserve">A continuación, se presentan las estadísticas correspondientes a las quejas, reclamos y sugerencias gestionadas a través de la línea 311 durante el período evaluado. </w:t>
      </w:r>
    </w:p>
    <w:p w14:paraId="2A5CD95D" w14:textId="7481F9F7" w:rsidR="00ED48EB" w:rsidRPr="005C133F" w:rsidRDefault="007C3ABF" w:rsidP="005C133F">
      <w:pPr>
        <w:spacing w:after="0" w:line="360" w:lineRule="auto"/>
        <w:ind w:left="-5" w:right="-10"/>
        <w:jc w:val="both"/>
        <w:rPr>
          <w:lang w:val="es-DO"/>
        </w:rPr>
      </w:pPr>
      <w:r w:rsidRPr="005C133F">
        <w:rPr>
          <w:lang w:val="es-DO"/>
        </w:rPr>
        <w:t xml:space="preserve">La información refleja el comportamiento de los usuarios y el nivel de respuesta brindado por la institución en cada trimestre, conforme a los mecanismos establecidos para la atención ciudadana, durante el periodo </w:t>
      </w:r>
      <w:r w:rsidR="00B5644D" w:rsidRPr="005C133F">
        <w:rPr>
          <w:lang w:val="es-DO"/>
        </w:rPr>
        <w:t>e</w:t>
      </w:r>
      <w:r w:rsidRPr="005C133F">
        <w:rPr>
          <w:lang w:val="es-DO"/>
        </w:rPr>
        <w:t xml:space="preserve">nero - </w:t>
      </w:r>
      <w:r w:rsidR="00B5644D" w:rsidRPr="005C133F">
        <w:rPr>
          <w:lang w:val="es-DO"/>
        </w:rPr>
        <w:t>diciembre</w:t>
      </w:r>
      <w:r w:rsidRPr="005C133F">
        <w:rPr>
          <w:lang w:val="es-DO"/>
        </w:rPr>
        <w:t xml:space="preserve"> 2025: </w:t>
      </w:r>
    </w:p>
    <w:p w14:paraId="44DC07BB" w14:textId="77777777" w:rsidR="004C4D73" w:rsidRPr="005C133F" w:rsidRDefault="004C4D73" w:rsidP="005C133F">
      <w:pPr>
        <w:spacing w:after="0" w:line="360" w:lineRule="auto"/>
        <w:ind w:left="-5" w:right="-10"/>
        <w:jc w:val="both"/>
        <w:rPr>
          <w:lang w:val="es-DO"/>
        </w:rPr>
      </w:pPr>
    </w:p>
    <w:p w14:paraId="0285EB17" w14:textId="0E15BDEA" w:rsidR="000D5E51" w:rsidRPr="005C133F" w:rsidRDefault="000D5E51" w:rsidP="005C133F">
      <w:pPr>
        <w:pStyle w:val="Descripcin"/>
        <w:keepNext/>
        <w:spacing w:after="0" w:line="360" w:lineRule="auto"/>
        <w:jc w:val="center"/>
        <w:rPr>
          <w:b/>
          <w:bCs/>
          <w:i w:val="0"/>
          <w:iCs w:val="0"/>
          <w:color w:val="767171"/>
          <w:sz w:val="24"/>
          <w:szCs w:val="24"/>
          <w:lang w:val="es-DO"/>
        </w:rPr>
      </w:pPr>
      <w:bookmarkStart w:id="149" w:name="_Toc218784196"/>
      <w:r w:rsidRPr="005C133F">
        <w:rPr>
          <w:b/>
          <w:bCs/>
          <w:i w:val="0"/>
          <w:iCs w:val="0"/>
          <w:color w:val="767171"/>
          <w:sz w:val="24"/>
          <w:szCs w:val="24"/>
          <w:lang w:val="es-DO"/>
        </w:rPr>
        <w:lastRenderedPageBreak/>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64</w:t>
      </w:r>
      <w:r w:rsidRPr="005C133F">
        <w:rPr>
          <w:b/>
          <w:bCs/>
          <w:i w:val="0"/>
          <w:iCs w:val="0"/>
          <w:color w:val="767171"/>
          <w:sz w:val="24"/>
          <w:szCs w:val="24"/>
          <w:lang w:val="es-DO"/>
        </w:rPr>
        <w:fldChar w:fldCharType="end"/>
      </w:r>
      <w:r w:rsidRPr="005C133F">
        <w:rPr>
          <w:b/>
          <w:bCs/>
          <w:i w:val="0"/>
          <w:iCs w:val="0"/>
          <w:color w:val="767171"/>
          <w:sz w:val="24"/>
          <w:szCs w:val="24"/>
          <w:lang w:val="es-DO"/>
        </w:rPr>
        <w:t>. Gestión PQRS a través de la línea 3-1-1</w:t>
      </w:r>
      <w:bookmarkEnd w:id="149"/>
    </w:p>
    <w:tbl>
      <w:tblPr>
        <w:tblW w:w="0" w:type="auto"/>
        <w:tblCellMar>
          <w:left w:w="70" w:type="dxa"/>
          <w:right w:w="70" w:type="dxa"/>
        </w:tblCellMar>
        <w:tblLook w:val="04A0" w:firstRow="1" w:lastRow="0" w:firstColumn="1" w:lastColumn="0" w:noHBand="0" w:noVBand="1"/>
      </w:tblPr>
      <w:tblGrid>
        <w:gridCol w:w="1275"/>
        <w:gridCol w:w="547"/>
        <w:gridCol w:w="693"/>
        <w:gridCol w:w="693"/>
        <w:gridCol w:w="693"/>
        <w:gridCol w:w="694"/>
        <w:gridCol w:w="694"/>
        <w:gridCol w:w="694"/>
        <w:gridCol w:w="693"/>
        <w:gridCol w:w="430"/>
        <w:gridCol w:w="809"/>
      </w:tblGrid>
      <w:tr w:rsidR="007828EF" w:rsidRPr="007828EF" w14:paraId="109610E5" w14:textId="77777777" w:rsidTr="00A435E4">
        <w:trPr>
          <w:trHeight w:val="620"/>
          <w:tblHeader/>
        </w:trPr>
        <w:tc>
          <w:tcPr>
            <w:tcW w:w="1276" w:type="dxa"/>
            <w:tcBorders>
              <w:top w:val="nil"/>
              <w:left w:val="nil"/>
              <w:bottom w:val="nil"/>
              <w:right w:val="nil"/>
            </w:tcBorders>
            <w:noWrap/>
            <w:vAlign w:val="bottom"/>
            <w:hideMark/>
          </w:tcPr>
          <w:p w14:paraId="4D3F7A81" w14:textId="77777777" w:rsidR="007828EF" w:rsidRPr="007828EF" w:rsidRDefault="007828EF" w:rsidP="00A435E4">
            <w:pPr>
              <w:spacing w:after="0" w:line="240" w:lineRule="auto"/>
              <w:rPr>
                <w:rFonts w:eastAsia="Times New Roman"/>
                <w:color w:val="auto"/>
                <w:spacing w:val="0"/>
                <w:lang w:val="es-DO" w:eastAsia="es-DO"/>
              </w:rPr>
            </w:pPr>
          </w:p>
        </w:tc>
        <w:tc>
          <w:tcPr>
            <w:tcW w:w="1240" w:type="dxa"/>
            <w:gridSpan w:val="2"/>
            <w:tcBorders>
              <w:top w:val="single" w:sz="4" w:space="0" w:color="767171"/>
              <w:left w:val="single" w:sz="4" w:space="0" w:color="767171"/>
              <w:bottom w:val="single" w:sz="4" w:space="0" w:color="767171"/>
              <w:right w:val="single" w:sz="4" w:space="0" w:color="767171"/>
            </w:tcBorders>
            <w:shd w:val="clear" w:color="000000" w:fill="011C50"/>
            <w:noWrap/>
            <w:vAlign w:val="bottom"/>
            <w:hideMark/>
          </w:tcPr>
          <w:p w14:paraId="174B92FD" w14:textId="77777777" w:rsidR="007828EF" w:rsidRPr="007828EF" w:rsidRDefault="007828EF" w:rsidP="00A435E4">
            <w:pPr>
              <w:spacing w:after="0" w:line="240" w:lineRule="auto"/>
              <w:jc w:val="center"/>
              <w:rPr>
                <w:rFonts w:eastAsia="Times New Roman"/>
                <w:b/>
                <w:bCs/>
                <w:color w:val="FFFFFF"/>
                <w:spacing w:val="0"/>
                <w:lang w:val="es-DO" w:eastAsia="es-DO"/>
              </w:rPr>
            </w:pPr>
            <w:r w:rsidRPr="007828EF">
              <w:rPr>
                <w:rFonts w:eastAsia="Times New Roman"/>
                <w:b/>
                <w:bCs/>
                <w:color w:val="FFFFFF"/>
                <w:spacing w:val="0"/>
                <w:lang w:val="es-DO" w:eastAsia="es-DO"/>
              </w:rPr>
              <w:t>Enero-Marzo</w:t>
            </w:r>
          </w:p>
        </w:tc>
        <w:tc>
          <w:tcPr>
            <w:tcW w:w="1386" w:type="dxa"/>
            <w:gridSpan w:val="2"/>
            <w:tcBorders>
              <w:top w:val="single" w:sz="4" w:space="0" w:color="767171"/>
              <w:left w:val="nil"/>
              <w:bottom w:val="single" w:sz="4" w:space="0" w:color="767171"/>
              <w:right w:val="single" w:sz="4" w:space="0" w:color="767171"/>
            </w:tcBorders>
            <w:shd w:val="clear" w:color="000000" w:fill="011C50"/>
            <w:noWrap/>
            <w:vAlign w:val="bottom"/>
            <w:hideMark/>
          </w:tcPr>
          <w:p w14:paraId="4952AB82" w14:textId="77777777" w:rsidR="007828EF" w:rsidRPr="007828EF" w:rsidRDefault="007828EF" w:rsidP="00A435E4">
            <w:pPr>
              <w:spacing w:after="0" w:line="240" w:lineRule="auto"/>
              <w:jc w:val="center"/>
              <w:rPr>
                <w:rFonts w:eastAsia="Times New Roman"/>
                <w:b/>
                <w:bCs/>
                <w:color w:val="FFFFFF"/>
                <w:spacing w:val="0"/>
                <w:lang w:val="es-DO" w:eastAsia="es-DO"/>
              </w:rPr>
            </w:pPr>
            <w:r w:rsidRPr="007828EF">
              <w:rPr>
                <w:rFonts w:eastAsia="Times New Roman"/>
                <w:b/>
                <w:bCs/>
                <w:color w:val="FFFFFF"/>
                <w:spacing w:val="0"/>
                <w:lang w:val="es-DO" w:eastAsia="es-DO"/>
              </w:rPr>
              <w:t>Abril-Junio</w:t>
            </w:r>
          </w:p>
        </w:tc>
        <w:tc>
          <w:tcPr>
            <w:tcW w:w="1388" w:type="dxa"/>
            <w:gridSpan w:val="2"/>
            <w:tcBorders>
              <w:top w:val="single" w:sz="4" w:space="0" w:color="767171"/>
              <w:left w:val="nil"/>
              <w:bottom w:val="single" w:sz="4" w:space="0" w:color="767171"/>
              <w:right w:val="single" w:sz="4" w:space="0" w:color="767171"/>
            </w:tcBorders>
            <w:shd w:val="clear" w:color="000000" w:fill="011C50"/>
            <w:noWrap/>
            <w:vAlign w:val="bottom"/>
            <w:hideMark/>
          </w:tcPr>
          <w:p w14:paraId="038A6B87" w14:textId="77777777" w:rsidR="007828EF" w:rsidRPr="007828EF" w:rsidRDefault="007828EF" w:rsidP="00A435E4">
            <w:pPr>
              <w:spacing w:after="0" w:line="240" w:lineRule="auto"/>
              <w:jc w:val="center"/>
              <w:rPr>
                <w:rFonts w:eastAsia="Times New Roman"/>
                <w:b/>
                <w:bCs/>
                <w:color w:val="FFFFFF"/>
                <w:spacing w:val="0"/>
                <w:lang w:val="es-DO" w:eastAsia="es-DO"/>
              </w:rPr>
            </w:pPr>
            <w:r w:rsidRPr="007828EF">
              <w:rPr>
                <w:rFonts w:eastAsia="Times New Roman"/>
                <w:b/>
                <w:bCs/>
                <w:color w:val="FFFFFF"/>
                <w:spacing w:val="0"/>
                <w:lang w:val="es-DO" w:eastAsia="es-DO"/>
              </w:rPr>
              <w:t>Julio-Septiembre</w:t>
            </w:r>
          </w:p>
        </w:tc>
        <w:tc>
          <w:tcPr>
            <w:tcW w:w="1387" w:type="dxa"/>
            <w:gridSpan w:val="2"/>
            <w:tcBorders>
              <w:top w:val="single" w:sz="4" w:space="0" w:color="767171"/>
              <w:left w:val="nil"/>
              <w:bottom w:val="single" w:sz="4" w:space="0" w:color="767171"/>
              <w:right w:val="single" w:sz="4" w:space="0" w:color="767171"/>
            </w:tcBorders>
            <w:shd w:val="clear" w:color="000000" w:fill="011C50"/>
            <w:noWrap/>
            <w:vAlign w:val="bottom"/>
            <w:hideMark/>
          </w:tcPr>
          <w:p w14:paraId="704BD097" w14:textId="77777777" w:rsidR="007828EF" w:rsidRPr="007828EF" w:rsidRDefault="007828EF" w:rsidP="00A435E4">
            <w:pPr>
              <w:spacing w:after="0" w:line="240" w:lineRule="auto"/>
              <w:jc w:val="center"/>
              <w:rPr>
                <w:rFonts w:eastAsia="Times New Roman"/>
                <w:b/>
                <w:bCs/>
                <w:color w:val="FFFFFF"/>
                <w:spacing w:val="0"/>
                <w:lang w:val="es-DO" w:eastAsia="es-DO"/>
              </w:rPr>
            </w:pPr>
            <w:r w:rsidRPr="007828EF">
              <w:rPr>
                <w:rFonts w:eastAsia="Times New Roman"/>
                <w:b/>
                <w:bCs/>
                <w:color w:val="FFFFFF"/>
                <w:spacing w:val="0"/>
                <w:lang w:val="es-DO" w:eastAsia="es-DO"/>
              </w:rPr>
              <w:t xml:space="preserve">Octubre-Diciembre </w:t>
            </w:r>
          </w:p>
        </w:tc>
        <w:tc>
          <w:tcPr>
            <w:tcW w:w="1238" w:type="dxa"/>
            <w:gridSpan w:val="2"/>
            <w:tcBorders>
              <w:top w:val="single" w:sz="4" w:space="0" w:color="767171"/>
              <w:left w:val="nil"/>
              <w:bottom w:val="single" w:sz="4" w:space="0" w:color="767171"/>
              <w:right w:val="single" w:sz="4" w:space="0" w:color="767171"/>
            </w:tcBorders>
            <w:shd w:val="clear" w:color="000000" w:fill="011C50"/>
            <w:noWrap/>
            <w:vAlign w:val="bottom"/>
            <w:hideMark/>
          </w:tcPr>
          <w:p w14:paraId="278E13B0" w14:textId="77777777" w:rsidR="007828EF" w:rsidRPr="007828EF" w:rsidRDefault="007828EF" w:rsidP="00A435E4">
            <w:pPr>
              <w:spacing w:after="0" w:line="240" w:lineRule="auto"/>
              <w:jc w:val="center"/>
              <w:rPr>
                <w:rFonts w:eastAsia="Times New Roman"/>
                <w:b/>
                <w:bCs/>
                <w:color w:val="FFFFFF"/>
                <w:spacing w:val="0"/>
                <w:lang w:val="es-DO" w:eastAsia="es-DO"/>
              </w:rPr>
            </w:pPr>
            <w:r w:rsidRPr="007828EF">
              <w:rPr>
                <w:rFonts w:eastAsia="Times New Roman"/>
                <w:b/>
                <w:bCs/>
                <w:color w:val="FFFFFF"/>
                <w:spacing w:val="0"/>
                <w:lang w:val="es-DO" w:eastAsia="es-DO"/>
              </w:rPr>
              <w:t xml:space="preserve">Total </w:t>
            </w:r>
          </w:p>
        </w:tc>
      </w:tr>
      <w:tr w:rsidR="007828EF" w:rsidRPr="007828EF" w14:paraId="235BBD70" w14:textId="77777777" w:rsidTr="00A435E4">
        <w:trPr>
          <w:trHeight w:val="1380"/>
          <w:tblHeader/>
        </w:trPr>
        <w:tc>
          <w:tcPr>
            <w:tcW w:w="1276" w:type="dxa"/>
            <w:tcBorders>
              <w:top w:val="single" w:sz="4" w:space="0" w:color="767171"/>
              <w:left w:val="single" w:sz="4" w:space="0" w:color="767171"/>
              <w:bottom w:val="single" w:sz="4" w:space="0" w:color="767171"/>
              <w:right w:val="single" w:sz="4" w:space="0" w:color="767171"/>
            </w:tcBorders>
            <w:shd w:val="clear" w:color="000000" w:fill="011C50"/>
            <w:noWrap/>
            <w:vAlign w:val="center"/>
            <w:hideMark/>
          </w:tcPr>
          <w:p w14:paraId="6812DF61"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Vía de entrada </w:t>
            </w:r>
          </w:p>
        </w:tc>
        <w:tc>
          <w:tcPr>
            <w:tcW w:w="547" w:type="dxa"/>
            <w:tcBorders>
              <w:top w:val="nil"/>
              <w:left w:val="nil"/>
              <w:bottom w:val="single" w:sz="4" w:space="0" w:color="767171"/>
              <w:right w:val="single" w:sz="4" w:space="0" w:color="767171"/>
            </w:tcBorders>
            <w:shd w:val="clear" w:color="000000" w:fill="011C50"/>
            <w:textDirection w:val="btLr"/>
            <w:vAlign w:val="center"/>
            <w:hideMark/>
          </w:tcPr>
          <w:p w14:paraId="3710834D"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Solicitudes Recibidas </w:t>
            </w:r>
          </w:p>
        </w:tc>
        <w:tc>
          <w:tcPr>
            <w:tcW w:w="693" w:type="dxa"/>
            <w:tcBorders>
              <w:top w:val="nil"/>
              <w:left w:val="nil"/>
              <w:bottom w:val="single" w:sz="4" w:space="0" w:color="767171"/>
              <w:right w:val="single" w:sz="4" w:space="0" w:color="767171"/>
            </w:tcBorders>
            <w:shd w:val="clear" w:color="000000" w:fill="011C50"/>
            <w:textDirection w:val="btLr"/>
            <w:vAlign w:val="center"/>
            <w:hideMark/>
          </w:tcPr>
          <w:p w14:paraId="0F89EC81" w14:textId="06AC748D"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Solicitudes concluidas</w:t>
            </w:r>
          </w:p>
        </w:tc>
        <w:tc>
          <w:tcPr>
            <w:tcW w:w="693" w:type="dxa"/>
            <w:tcBorders>
              <w:top w:val="nil"/>
              <w:left w:val="nil"/>
              <w:bottom w:val="single" w:sz="4" w:space="0" w:color="767171"/>
              <w:right w:val="single" w:sz="4" w:space="0" w:color="767171"/>
            </w:tcBorders>
            <w:shd w:val="clear" w:color="000000" w:fill="011C50"/>
            <w:textDirection w:val="btLr"/>
            <w:vAlign w:val="center"/>
            <w:hideMark/>
          </w:tcPr>
          <w:p w14:paraId="3942C7F0"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Solicitudes Recibidas </w:t>
            </w:r>
          </w:p>
        </w:tc>
        <w:tc>
          <w:tcPr>
            <w:tcW w:w="693" w:type="dxa"/>
            <w:tcBorders>
              <w:top w:val="nil"/>
              <w:left w:val="nil"/>
              <w:bottom w:val="single" w:sz="4" w:space="0" w:color="767171"/>
              <w:right w:val="single" w:sz="4" w:space="0" w:color="767171"/>
            </w:tcBorders>
            <w:shd w:val="clear" w:color="000000" w:fill="011C50"/>
            <w:textDirection w:val="btLr"/>
            <w:vAlign w:val="center"/>
            <w:hideMark/>
          </w:tcPr>
          <w:p w14:paraId="51FD0912" w14:textId="5B384C4F"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Solicitudes concluidas</w:t>
            </w:r>
          </w:p>
        </w:tc>
        <w:tc>
          <w:tcPr>
            <w:tcW w:w="694" w:type="dxa"/>
            <w:tcBorders>
              <w:top w:val="nil"/>
              <w:left w:val="nil"/>
              <w:bottom w:val="single" w:sz="4" w:space="0" w:color="767171"/>
              <w:right w:val="single" w:sz="4" w:space="0" w:color="767171"/>
            </w:tcBorders>
            <w:shd w:val="clear" w:color="000000" w:fill="011C50"/>
            <w:textDirection w:val="btLr"/>
            <w:vAlign w:val="center"/>
            <w:hideMark/>
          </w:tcPr>
          <w:p w14:paraId="7351CAEE"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Solicitudes Recibidas </w:t>
            </w:r>
          </w:p>
        </w:tc>
        <w:tc>
          <w:tcPr>
            <w:tcW w:w="694" w:type="dxa"/>
            <w:tcBorders>
              <w:top w:val="nil"/>
              <w:left w:val="nil"/>
              <w:bottom w:val="single" w:sz="4" w:space="0" w:color="767171"/>
              <w:right w:val="single" w:sz="4" w:space="0" w:color="767171"/>
            </w:tcBorders>
            <w:shd w:val="clear" w:color="000000" w:fill="011C50"/>
            <w:textDirection w:val="btLr"/>
            <w:vAlign w:val="center"/>
            <w:hideMark/>
          </w:tcPr>
          <w:p w14:paraId="23E31309" w14:textId="5576E9E9"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Solicitudes concluidas</w:t>
            </w:r>
          </w:p>
        </w:tc>
        <w:tc>
          <w:tcPr>
            <w:tcW w:w="694" w:type="dxa"/>
            <w:tcBorders>
              <w:top w:val="nil"/>
              <w:left w:val="nil"/>
              <w:bottom w:val="single" w:sz="4" w:space="0" w:color="767171"/>
              <w:right w:val="single" w:sz="4" w:space="0" w:color="767171"/>
            </w:tcBorders>
            <w:shd w:val="clear" w:color="000000" w:fill="011C50"/>
            <w:textDirection w:val="btLr"/>
            <w:vAlign w:val="center"/>
            <w:hideMark/>
          </w:tcPr>
          <w:p w14:paraId="595DFC70"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Solicitudes Recibidas </w:t>
            </w:r>
          </w:p>
        </w:tc>
        <w:tc>
          <w:tcPr>
            <w:tcW w:w="693" w:type="dxa"/>
            <w:tcBorders>
              <w:top w:val="nil"/>
              <w:left w:val="nil"/>
              <w:bottom w:val="single" w:sz="4" w:space="0" w:color="767171"/>
              <w:right w:val="single" w:sz="4" w:space="0" w:color="767171"/>
            </w:tcBorders>
            <w:shd w:val="clear" w:color="000000" w:fill="011C50"/>
            <w:textDirection w:val="btLr"/>
            <w:vAlign w:val="center"/>
            <w:hideMark/>
          </w:tcPr>
          <w:p w14:paraId="05AA2910" w14:textId="7DA7052C"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Solicitudes concluidas</w:t>
            </w:r>
          </w:p>
        </w:tc>
        <w:tc>
          <w:tcPr>
            <w:tcW w:w="429" w:type="dxa"/>
            <w:tcBorders>
              <w:top w:val="nil"/>
              <w:left w:val="nil"/>
              <w:bottom w:val="single" w:sz="4" w:space="0" w:color="767171"/>
              <w:right w:val="single" w:sz="4" w:space="0" w:color="767171"/>
            </w:tcBorders>
            <w:shd w:val="clear" w:color="000000" w:fill="011C50"/>
            <w:textDirection w:val="btLr"/>
            <w:vAlign w:val="center"/>
            <w:hideMark/>
          </w:tcPr>
          <w:p w14:paraId="6BF5EC27" w14:textId="77777777"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 xml:space="preserve">Solicitudes Recibidas </w:t>
            </w:r>
          </w:p>
        </w:tc>
        <w:tc>
          <w:tcPr>
            <w:tcW w:w="809" w:type="dxa"/>
            <w:tcBorders>
              <w:top w:val="nil"/>
              <w:left w:val="nil"/>
              <w:bottom w:val="single" w:sz="4" w:space="0" w:color="767171"/>
              <w:right w:val="single" w:sz="4" w:space="0" w:color="767171"/>
            </w:tcBorders>
            <w:shd w:val="clear" w:color="000000" w:fill="011C50"/>
            <w:textDirection w:val="btLr"/>
            <w:vAlign w:val="center"/>
            <w:hideMark/>
          </w:tcPr>
          <w:p w14:paraId="54718DDA" w14:textId="37872C55" w:rsidR="007828EF" w:rsidRPr="007828EF" w:rsidRDefault="007828EF" w:rsidP="00A435E4">
            <w:pPr>
              <w:spacing w:after="0" w:line="240" w:lineRule="auto"/>
              <w:jc w:val="center"/>
              <w:rPr>
                <w:rFonts w:eastAsia="Times New Roman"/>
                <w:color w:val="FFFFFF"/>
                <w:spacing w:val="0"/>
                <w:lang w:val="es-DO" w:eastAsia="es-DO"/>
              </w:rPr>
            </w:pPr>
            <w:r w:rsidRPr="007828EF">
              <w:rPr>
                <w:rFonts w:eastAsia="Times New Roman"/>
                <w:color w:val="FFFFFF"/>
                <w:spacing w:val="0"/>
                <w:lang w:val="es-DO" w:eastAsia="es-DO"/>
              </w:rPr>
              <w:t>Solicitudes concluidas</w:t>
            </w:r>
          </w:p>
        </w:tc>
      </w:tr>
      <w:tr w:rsidR="007828EF" w:rsidRPr="007828EF" w14:paraId="7C0E7566" w14:textId="77777777" w:rsidTr="00A435E4">
        <w:trPr>
          <w:trHeight w:val="1380"/>
        </w:trPr>
        <w:tc>
          <w:tcPr>
            <w:tcW w:w="1276" w:type="dxa"/>
            <w:tcBorders>
              <w:top w:val="nil"/>
              <w:left w:val="single" w:sz="4" w:space="0" w:color="767171"/>
              <w:bottom w:val="single" w:sz="4" w:space="0" w:color="767171"/>
              <w:right w:val="single" w:sz="4" w:space="0" w:color="767171"/>
            </w:tcBorders>
            <w:vAlign w:val="center"/>
            <w:hideMark/>
          </w:tcPr>
          <w:p w14:paraId="117F31FB"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 xml:space="preserve">Sistema Nacional de </w:t>
            </w:r>
            <w:r w:rsidRPr="007828EF">
              <w:rPr>
                <w:rFonts w:eastAsia="Times New Roman"/>
                <w:spacing w:val="0"/>
                <w:lang w:val="es-DO" w:eastAsia="es-DO"/>
              </w:rPr>
              <w:br/>
              <w:t xml:space="preserve">Atención Ciudadana 3-1-1 </w:t>
            </w:r>
          </w:p>
        </w:tc>
        <w:tc>
          <w:tcPr>
            <w:tcW w:w="547" w:type="dxa"/>
            <w:tcBorders>
              <w:top w:val="nil"/>
              <w:left w:val="nil"/>
              <w:bottom w:val="single" w:sz="4" w:space="0" w:color="767171"/>
              <w:right w:val="single" w:sz="4" w:space="0" w:color="767171"/>
            </w:tcBorders>
            <w:noWrap/>
            <w:vAlign w:val="center"/>
            <w:hideMark/>
          </w:tcPr>
          <w:p w14:paraId="57AD17D0"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6</w:t>
            </w:r>
          </w:p>
        </w:tc>
        <w:tc>
          <w:tcPr>
            <w:tcW w:w="693" w:type="dxa"/>
            <w:tcBorders>
              <w:top w:val="nil"/>
              <w:left w:val="nil"/>
              <w:bottom w:val="single" w:sz="4" w:space="0" w:color="767171"/>
              <w:right w:val="single" w:sz="4" w:space="0" w:color="767171"/>
            </w:tcBorders>
            <w:noWrap/>
            <w:vAlign w:val="center"/>
            <w:hideMark/>
          </w:tcPr>
          <w:p w14:paraId="26777828"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6</w:t>
            </w:r>
          </w:p>
        </w:tc>
        <w:tc>
          <w:tcPr>
            <w:tcW w:w="693" w:type="dxa"/>
            <w:tcBorders>
              <w:top w:val="nil"/>
              <w:left w:val="nil"/>
              <w:bottom w:val="single" w:sz="4" w:space="0" w:color="767171"/>
              <w:right w:val="single" w:sz="4" w:space="0" w:color="767171"/>
            </w:tcBorders>
            <w:noWrap/>
            <w:vAlign w:val="center"/>
            <w:hideMark/>
          </w:tcPr>
          <w:p w14:paraId="50495818"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3</w:t>
            </w:r>
          </w:p>
        </w:tc>
        <w:tc>
          <w:tcPr>
            <w:tcW w:w="693" w:type="dxa"/>
            <w:tcBorders>
              <w:top w:val="nil"/>
              <w:left w:val="nil"/>
              <w:bottom w:val="single" w:sz="4" w:space="0" w:color="767171"/>
              <w:right w:val="single" w:sz="4" w:space="0" w:color="767171"/>
            </w:tcBorders>
            <w:noWrap/>
            <w:vAlign w:val="center"/>
            <w:hideMark/>
          </w:tcPr>
          <w:p w14:paraId="28C56816"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3</w:t>
            </w:r>
          </w:p>
        </w:tc>
        <w:tc>
          <w:tcPr>
            <w:tcW w:w="694" w:type="dxa"/>
            <w:tcBorders>
              <w:top w:val="nil"/>
              <w:left w:val="nil"/>
              <w:bottom w:val="single" w:sz="4" w:space="0" w:color="767171"/>
              <w:right w:val="single" w:sz="4" w:space="0" w:color="767171"/>
            </w:tcBorders>
            <w:noWrap/>
            <w:vAlign w:val="center"/>
            <w:hideMark/>
          </w:tcPr>
          <w:p w14:paraId="3836E5E4"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6</w:t>
            </w:r>
          </w:p>
        </w:tc>
        <w:tc>
          <w:tcPr>
            <w:tcW w:w="694" w:type="dxa"/>
            <w:tcBorders>
              <w:top w:val="nil"/>
              <w:left w:val="nil"/>
              <w:bottom w:val="single" w:sz="4" w:space="0" w:color="767171"/>
              <w:right w:val="single" w:sz="4" w:space="0" w:color="767171"/>
            </w:tcBorders>
            <w:noWrap/>
            <w:vAlign w:val="center"/>
            <w:hideMark/>
          </w:tcPr>
          <w:p w14:paraId="2D1E23C3"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6</w:t>
            </w:r>
          </w:p>
        </w:tc>
        <w:tc>
          <w:tcPr>
            <w:tcW w:w="694" w:type="dxa"/>
            <w:tcBorders>
              <w:top w:val="nil"/>
              <w:left w:val="nil"/>
              <w:bottom w:val="single" w:sz="4" w:space="0" w:color="767171"/>
              <w:right w:val="single" w:sz="4" w:space="0" w:color="767171"/>
            </w:tcBorders>
            <w:noWrap/>
            <w:vAlign w:val="center"/>
            <w:hideMark/>
          </w:tcPr>
          <w:p w14:paraId="784EB1B3"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8</w:t>
            </w:r>
          </w:p>
        </w:tc>
        <w:tc>
          <w:tcPr>
            <w:tcW w:w="693" w:type="dxa"/>
            <w:tcBorders>
              <w:top w:val="nil"/>
              <w:left w:val="nil"/>
              <w:bottom w:val="single" w:sz="4" w:space="0" w:color="767171"/>
              <w:right w:val="single" w:sz="4" w:space="0" w:color="767171"/>
            </w:tcBorders>
            <w:noWrap/>
            <w:vAlign w:val="center"/>
            <w:hideMark/>
          </w:tcPr>
          <w:p w14:paraId="7E041343" w14:textId="77777777" w:rsidR="007828EF" w:rsidRPr="007828EF" w:rsidRDefault="007828EF" w:rsidP="007828EF">
            <w:pPr>
              <w:spacing w:after="0" w:line="240" w:lineRule="auto"/>
              <w:jc w:val="center"/>
              <w:rPr>
                <w:rFonts w:eastAsia="Times New Roman"/>
                <w:spacing w:val="0"/>
                <w:lang w:val="es-DO" w:eastAsia="es-DO"/>
              </w:rPr>
            </w:pPr>
            <w:r w:rsidRPr="007828EF">
              <w:rPr>
                <w:rFonts w:eastAsia="Times New Roman"/>
                <w:spacing w:val="0"/>
                <w:lang w:val="es-DO" w:eastAsia="es-DO"/>
              </w:rPr>
              <w:t>8</w:t>
            </w:r>
          </w:p>
        </w:tc>
        <w:tc>
          <w:tcPr>
            <w:tcW w:w="429" w:type="dxa"/>
            <w:tcBorders>
              <w:top w:val="nil"/>
              <w:left w:val="nil"/>
              <w:bottom w:val="single" w:sz="4" w:space="0" w:color="767171"/>
              <w:right w:val="single" w:sz="4" w:space="0" w:color="767171"/>
            </w:tcBorders>
            <w:noWrap/>
            <w:vAlign w:val="center"/>
            <w:hideMark/>
          </w:tcPr>
          <w:p w14:paraId="7D63FFA0" w14:textId="77777777" w:rsidR="007828EF" w:rsidRPr="007828EF" w:rsidRDefault="007828EF" w:rsidP="007828EF">
            <w:pPr>
              <w:spacing w:after="0" w:line="240" w:lineRule="auto"/>
              <w:jc w:val="center"/>
              <w:rPr>
                <w:rFonts w:eastAsia="Times New Roman"/>
                <w:b/>
                <w:bCs/>
                <w:spacing w:val="0"/>
                <w:lang w:val="es-DO" w:eastAsia="es-DO"/>
              </w:rPr>
            </w:pPr>
            <w:r w:rsidRPr="007828EF">
              <w:rPr>
                <w:rFonts w:eastAsia="Times New Roman"/>
                <w:b/>
                <w:bCs/>
                <w:spacing w:val="0"/>
                <w:lang w:val="es-DO" w:eastAsia="es-DO"/>
              </w:rPr>
              <w:t>23</w:t>
            </w:r>
          </w:p>
        </w:tc>
        <w:tc>
          <w:tcPr>
            <w:tcW w:w="809" w:type="dxa"/>
            <w:tcBorders>
              <w:top w:val="nil"/>
              <w:left w:val="nil"/>
              <w:bottom w:val="single" w:sz="4" w:space="0" w:color="767171"/>
              <w:right w:val="single" w:sz="4" w:space="0" w:color="767171"/>
            </w:tcBorders>
            <w:noWrap/>
            <w:vAlign w:val="center"/>
            <w:hideMark/>
          </w:tcPr>
          <w:p w14:paraId="00529AEF" w14:textId="77777777" w:rsidR="007828EF" w:rsidRPr="007828EF" w:rsidRDefault="007828EF" w:rsidP="007828EF">
            <w:pPr>
              <w:spacing w:after="0" w:line="240" w:lineRule="auto"/>
              <w:jc w:val="center"/>
              <w:rPr>
                <w:rFonts w:eastAsia="Times New Roman"/>
                <w:b/>
                <w:bCs/>
                <w:spacing w:val="0"/>
                <w:lang w:val="es-DO" w:eastAsia="es-DO"/>
              </w:rPr>
            </w:pPr>
            <w:r w:rsidRPr="007828EF">
              <w:rPr>
                <w:rFonts w:eastAsia="Times New Roman"/>
                <w:b/>
                <w:bCs/>
                <w:spacing w:val="0"/>
                <w:lang w:val="es-DO" w:eastAsia="es-DO"/>
              </w:rPr>
              <w:t>23</w:t>
            </w:r>
          </w:p>
        </w:tc>
      </w:tr>
    </w:tbl>
    <w:p w14:paraId="77DF2B55" w14:textId="77777777" w:rsidR="007828EF" w:rsidRPr="00291603" w:rsidRDefault="007828EF" w:rsidP="007828EF">
      <w:pPr>
        <w:spacing w:after="0" w:line="240" w:lineRule="auto"/>
        <w:rPr>
          <w:sz w:val="18"/>
          <w:szCs w:val="18"/>
          <w:lang w:val="es-DO"/>
        </w:rPr>
      </w:pPr>
      <w:r>
        <w:rPr>
          <w:sz w:val="18"/>
          <w:szCs w:val="18"/>
          <w:lang w:val="es-DO"/>
        </w:rPr>
        <w:t xml:space="preserve">Nota: esta tabla hace referencia a las solicitudes concluidas en el plazo establecido. </w:t>
      </w:r>
    </w:p>
    <w:p w14:paraId="0B3A4C0E" w14:textId="01252EF8" w:rsidR="007C3ABF" w:rsidRDefault="001D424C" w:rsidP="007828EF">
      <w:pPr>
        <w:spacing w:after="0" w:line="240" w:lineRule="auto"/>
        <w:rPr>
          <w:sz w:val="18"/>
          <w:szCs w:val="18"/>
          <w:lang w:val="es-DO"/>
        </w:rPr>
      </w:pPr>
      <w:r w:rsidRPr="00291603">
        <w:rPr>
          <w:sz w:val="18"/>
          <w:szCs w:val="18"/>
          <w:lang w:val="es-DO"/>
        </w:rPr>
        <w:t xml:space="preserve">Fuente: Oficina de Acceso a la Información, SISALRIL. </w:t>
      </w:r>
    </w:p>
    <w:p w14:paraId="38A436A7" w14:textId="22A3FB56" w:rsidR="00152B47" w:rsidRPr="005C133F" w:rsidRDefault="00DB1B87" w:rsidP="005C133F">
      <w:pPr>
        <w:pStyle w:val="SUBTITULITO"/>
        <w:spacing w:after="0"/>
        <w:rPr>
          <w:rFonts w:eastAsia="Calibri"/>
          <w:noProof/>
        </w:rPr>
      </w:pPr>
      <w:bookmarkStart w:id="150" w:name="_Toc219121862"/>
      <w:r w:rsidRPr="005C133F">
        <w:rPr>
          <w:rFonts w:eastAsia="Calibri"/>
          <w:noProof/>
        </w:rPr>
        <w:t>5.4 Resultado mediciones del portal de transparencia</w:t>
      </w:r>
      <w:bookmarkEnd w:id="150"/>
    </w:p>
    <w:p w14:paraId="27157249" w14:textId="77777777" w:rsidR="00146B91" w:rsidRPr="005C133F" w:rsidRDefault="00146B91" w:rsidP="005C133F">
      <w:pPr>
        <w:spacing w:after="0" w:line="360" w:lineRule="auto"/>
        <w:ind w:left="-5" w:right="-10"/>
        <w:jc w:val="both"/>
        <w:rPr>
          <w:lang w:val="es-DO"/>
        </w:rPr>
      </w:pPr>
    </w:p>
    <w:p w14:paraId="6BE1DBB2" w14:textId="77777777" w:rsidR="0066781C" w:rsidRPr="005C133F" w:rsidRDefault="0066781C" w:rsidP="005C133F">
      <w:pPr>
        <w:spacing w:after="0" w:line="360" w:lineRule="auto"/>
        <w:ind w:left="-5" w:right="-10"/>
        <w:jc w:val="both"/>
        <w:rPr>
          <w:lang w:val="es-DO"/>
        </w:rPr>
      </w:pPr>
      <w:r w:rsidRPr="005C133F">
        <w:rPr>
          <w:lang w:val="es-DO"/>
        </w:rPr>
        <w:t xml:space="preserve">A continuación, se presentan las calificaciones obtenidas por el portal de transparencia durante el período evaluado, en cumplimiento de lo establecido en la Ley 200-04 de Libre Acceso a la Información Pública y su reglamento de aplicación. </w:t>
      </w:r>
    </w:p>
    <w:p w14:paraId="4E25DB70" w14:textId="77777777" w:rsidR="004C4D73" w:rsidRPr="005C133F" w:rsidRDefault="004C4D73" w:rsidP="005C133F">
      <w:pPr>
        <w:spacing w:after="0" w:line="360" w:lineRule="auto"/>
        <w:ind w:left="-5" w:right="-10"/>
        <w:jc w:val="both"/>
        <w:rPr>
          <w:lang w:val="es-DO"/>
        </w:rPr>
      </w:pPr>
    </w:p>
    <w:p w14:paraId="3AE95CC6" w14:textId="499B6C3A" w:rsidR="0066781C" w:rsidRPr="005C133F" w:rsidRDefault="0066781C" w:rsidP="005C133F">
      <w:pPr>
        <w:spacing w:after="0" w:line="360" w:lineRule="auto"/>
        <w:ind w:left="-5" w:right="-10"/>
        <w:jc w:val="both"/>
        <w:rPr>
          <w:lang w:val="es-DO"/>
        </w:rPr>
      </w:pPr>
      <w:r w:rsidRPr="005C133F">
        <w:rPr>
          <w:lang w:val="es-DO"/>
        </w:rPr>
        <w:t>Estas mediciones reflejan el comportamiento del portal institucional y constituyen un indicador clave del fortalecimiento de la transparencia y la rendición de cuentas frente a la ciudadanía.</w:t>
      </w:r>
    </w:p>
    <w:p w14:paraId="475D04D5" w14:textId="77777777" w:rsidR="004C4D73" w:rsidRPr="005C133F" w:rsidRDefault="004C4D73" w:rsidP="005C133F">
      <w:pPr>
        <w:spacing w:after="0" w:line="360" w:lineRule="auto"/>
        <w:ind w:left="-5" w:right="-10"/>
        <w:jc w:val="both"/>
        <w:rPr>
          <w:lang w:val="es-DO"/>
        </w:rPr>
      </w:pPr>
    </w:p>
    <w:p w14:paraId="46C760BE" w14:textId="65353DA2" w:rsidR="000D5E51" w:rsidRPr="005C133F" w:rsidRDefault="000D5E51" w:rsidP="007828EF">
      <w:pPr>
        <w:pStyle w:val="Descripcin"/>
        <w:keepNext/>
        <w:spacing w:after="0"/>
        <w:jc w:val="center"/>
        <w:rPr>
          <w:b/>
          <w:bCs/>
          <w:i w:val="0"/>
          <w:iCs w:val="0"/>
          <w:color w:val="767171"/>
          <w:sz w:val="24"/>
          <w:szCs w:val="24"/>
          <w:lang w:val="es-DO"/>
        </w:rPr>
      </w:pPr>
      <w:bookmarkStart w:id="151" w:name="_Toc218784197"/>
      <w:r w:rsidRPr="005C133F">
        <w:rPr>
          <w:b/>
          <w:bCs/>
          <w:i w:val="0"/>
          <w:iCs w:val="0"/>
          <w:color w:val="767171"/>
          <w:sz w:val="24"/>
          <w:szCs w:val="24"/>
          <w:lang w:val="es-DO"/>
        </w:rPr>
        <w:t xml:space="preserve">Tabla </w:t>
      </w:r>
      <w:r w:rsidRPr="005C133F">
        <w:rPr>
          <w:b/>
          <w:bCs/>
          <w:i w:val="0"/>
          <w:iCs w:val="0"/>
          <w:color w:val="767171"/>
          <w:sz w:val="24"/>
          <w:szCs w:val="24"/>
          <w:lang w:val="es-DO"/>
        </w:rPr>
        <w:fldChar w:fldCharType="begin"/>
      </w:r>
      <w:r w:rsidRPr="005C133F">
        <w:rPr>
          <w:b/>
          <w:bCs/>
          <w:i w:val="0"/>
          <w:iCs w:val="0"/>
          <w:color w:val="767171"/>
          <w:sz w:val="24"/>
          <w:szCs w:val="24"/>
          <w:lang w:val="es-DO"/>
        </w:rPr>
        <w:instrText xml:space="preserve"> SEQ Tabla \* ARABIC </w:instrText>
      </w:r>
      <w:r w:rsidRPr="005C133F">
        <w:rPr>
          <w:b/>
          <w:bCs/>
          <w:i w:val="0"/>
          <w:iCs w:val="0"/>
          <w:color w:val="767171"/>
          <w:sz w:val="24"/>
          <w:szCs w:val="24"/>
          <w:lang w:val="es-DO"/>
        </w:rPr>
        <w:fldChar w:fldCharType="separate"/>
      </w:r>
      <w:r w:rsidR="00814341">
        <w:rPr>
          <w:b/>
          <w:bCs/>
          <w:i w:val="0"/>
          <w:iCs w:val="0"/>
          <w:noProof/>
          <w:color w:val="767171"/>
          <w:sz w:val="24"/>
          <w:szCs w:val="24"/>
          <w:lang w:val="es-DO"/>
        </w:rPr>
        <w:t>65</w:t>
      </w:r>
      <w:r w:rsidRPr="005C133F">
        <w:rPr>
          <w:b/>
          <w:bCs/>
          <w:i w:val="0"/>
          <w:iCs w:val="0"/>
          <w:color w:val="767171"/>
          <w:sz w:val="24"/>
          <w:szCs w:val="24"/>
          <w:lang w:val="es-DO"/>
        </w:rPr>
        <w:fldChar w:fldCharType="end"/>
      </w:r>
      <w:r w:rsidRPr="005C133F">
        <w:rPr>
          <w:b/>
          <w:bCs/>
          <w:i w:val="0"/>
          <w:iCs w:val="0"/>
          <w:color w:val="767171"/>
          <w:sz w:val="24"/>
          <w:szCs w:val="24"/>
          <w:lang w:val="es-DO"/>
        </w:rPr>
        <w:t xml:space="preserve">. Calificación Cumplimiento Ley 200-04, </w:t>
      </w:r>
      <w:r w:rsidR="00B5644D" w:rsidRPr="005C133F">
        <w:rPr>
          <w:b/>
          <w:bCs/>
          <w:i w:val="0"/>
          <w:iCs w:val="0"/>
          <w:color w:val="767171"/>
          <w:sz w:val="24"/>
          <w:szCs w:val="24"/>
          <w:lang w:val="es-DO"/>
        </w:rPr>
        <w:t>enero</w:t>
      </w:r>
      <w:r w:rsidRPr="005C133F">
        <w:rPr>
          <w:b/>
          <w:bCs/>
          <w:i w:val="0"/>
          <w:iCs w:val="0"/>
          <w:color w:val="767171"/>
          <w:sz w:val="24"/>
          <w:szCs w:val="24"/>
          <w:lang w:val="es-DO"/>
        </w:rPr>
        <w:t xml:space="preserve"> - </w:t>
      </w:r>
      <w:r w:rsidR="00B5644D" w:rsidRPr="005C133F">
        <w:rPr>
          <w:b/>
          <w:bCs/>
          <w:i w:val="0"/>
          <w:iCs w:val="0"/>
          <w:color w:val="767171"/>
          <w:sz w:val="24"/>
          <w:szCs w:val="24"/>
          <w:lang w:val="es-DO"/>
        </w:rPr>
        <w:t>d</w:t>
      </w:r>
      <w:r w:rsidRPr="005C133F">
        <w:rPr>
          <w:b/>
          <w:bCs/>
          <w:i w:val="0"/>
          <w:iCs w:val="0"/>
          <w:color w:val="767171"/>
          <w:sz w:val="24"/>
          <w:szCs w:val="24"/>
          <w:lang w:val="es-DO"/>
        </w:rPr>
        <w:t>iciembre 2025</w:t>
      </w:r>
      <w:bookmarkEnd w:id="151"/>
    </w:p>
    <w:tbl>
      <w:tblPr>
        <w:tblStyle w:val="TableGrid"/>
        <w:tblW w:w="7910" w:type="dxa"/>
        <w:tblInd w:w="6" w:type="dxa"/>
        <w:tblCellMar>
          <w:top w:w="38" w:type="dxa"/>
          <w:left w:w="115" w:type="dxa"/>
          <w:right w:w="115" w:type="dxa"/>
        </w:tblCellMar>
        <w:tblLook w:val="04A0" w:firstRow="1" w:lastRow="0" w:firstColumn="1" w:lastColumn="0" w:noHBand="0" w:noVBand="1"/>
      </w:tblPr>
      <w:tblGrid>
        <w:gridCol w:w="3451"/>
        <w:gridCol w:w="4459"/>
      </w:tblGrid>
      <w:tr w:rsidR="004C4D73" w:rsidRPr="005C133F" w14:paraId="0AB1F301" w14:textId="77777777" w:rsidTr="00D11C32">
        <w:trPr>
          <w:trHeight w:val="643"/>
          <w:tblHeader/>
        </w:trPr>
        <w:tc>
          <w:tcPr>
            <w:tcW w:w="3451"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2598DF9A" w14:textId="77777777" w:rsidR="0066781C" w:rsidRPr="005C133F" w:rsidRDefault="0066781C" w:rsidP="007828EF">
            <w:pPr>
              <w:ind w:right="7"/>
              <w:jc w:val="center"/>
              <w:rPr>
                <w:rFonts w:ascii="Times New Roman" w:hAnsi="Times New Roman" w:cs="Times New Roman"/>
                <w:b/>
                <w:bCs/>
                <w:color w:val="FFFFFF" w:themeColor="background1"/>
              </w:rPr>
            </w:pPr>
            <w:r w:rsidRPr="005C133F">
              <w:rPr>
                <w:rFonts w:ascii="Times New Roman" w:hAnsi="Times New Roman" w:cs="Times New Roman"/>
                <w:b/>
                <w:color w:val="FFFFFF" w:themeColor="background1"/>
              </w:rPr>
              <w:t xml:space="preserve">Período evaluado </w:t>
            </w:r>
          </w:p>
        </w:tc>
        <w:tc>
          <w:tcPr>
            <w:tcW w:w="4459" w:type="dxa"/>
            <w:tcBorders>
              <w:top w:val="single" w:sz="4" w:space="0" w:color="767171"/>
              <w:left w:val="single" w:sz="4" w:space="0" w:color="767171"/>
              <w:bottom w:val="single" w:sz="4" w:space="0" w:color="767171"/>
              <w:right w:val="single" w:sz="4" w:space="0" w:color="767171"/>
            </w:tcBorders>
            <w:shd w:val="clear" w:color="auto" w:fill="011C50"/>
            <w:vAlign w:val="center"/>
          </w:tcPr>
          <w:p w14:paraId="74C6D3A2" w14:textId="77777777" w:rsidR="0066781C" w:rsidRPr="005C133F" w:rsidRDefault="0066781C" w:rsidP="007828EF">
            <w:pPr>
              <w:ind w:right="4"/>
              <w:jc w:val="center"/>
              <w:rPr>
                <w:rFonts w:ascii="Times New Roman" w:hAnsi="Times New Roman" w:cs="Times New Roman"/>
                <w:b/>
                <w:bCs/>
                <w:color w:val="FFFFFF" w:themeColor="background1"/>
              </w:rPr>
            </w:pPr>
            <w:r w:rsidRPr="005C133F">
              <w:rPr>
                <w:rFonts w:ascii="Times New Roman" w:hAnsi="Times New Roman" w:cs="Times New Roman"/>
                <w:b/>
                <w:color w:val="FFFFFF" w:themeColor="background1"/>
              </w:rPr>
              <w:t xml:space="preserve">Portal de Transparencia 2025 </w:t>
            </w:r>
          </w:p>
        </w:tc>
      </w:tr>
      <w:tr w:rsidR="004921FF" w:rsidRPr="005C133F" w14:paraId="331EE926" w14:textId="77777777">
        <w:trPr>
          <w:trHeight w:val="337"/>
        </w:trPr>
        <w:tc>
          <w:tcPr>
            <w:tcW w:w="3451" w:type="dxa"/>
            <w:tcBorders>
              <w:top w:val="single" w:sz="4" w:space="0" w:color="767171"/>
              <w:left w:val="single" w:sz="4" w:space="0" w:color="767171"/>
              <w:bottom w:val="single" w:sz="4" w:space="0" w:color="767171"/>
              <w:right w:val="single" w:sz="4" w:space="0" w:color="767171"/>
            </w:tcBorders>
          </w:tcPr>
          <w:p w14:paraId="67C4184C" w14:textId="77777777" w:rsidR="0066781C" w:rsidRPr="005C133F" w:rsidRDefault="0066781C" w:rsidP="007828EF">
            <w:pPr>
              <w:ind w:right="6"/>
              <w:jc w:val="center"/>
              <w:rPr>
                <w:rFonts w:ascii="Times New Roman" w:hAnsi="Times New Roman" w:cs="Times New Roman"/>
                <w:color w:val="767171"/>
              </w:rPr>
            </w:pPr>
            <w:r w:rsidRPr="005C133F">
              <w:rPr>
                <w:rFonts w:ascii="Times New Roman" w:hAnsi="Times New Roman" w:cs="Times New Roman"/>
                <w:color w:val="767171"/>
              </w:rPr>
              <w:t xml:space="preserve">Enero </w:t>
            </w:r>
          </w:p>
        </w:tc>
        <w:tc>
          <w:tcPr>
            <w:tcW w:w="4459" w:type="dxa"/>
            <w:tcBorders>
              <w:top w:val="single" w:sz="4" w:space="0" w:color="767171"/>
              <w:left w:val="single" w:sz="4" w:space="0" w:color="767171"/>
              <w:bottom w:val="single" w:sz="4" w:space="0" w:color="767171"/>
              <w:right w:val="single" w:sz="4" w:space="0" w:color="767171"/>
            </w:tcBorders>
          </w:tcPr>
          <w:p w14:paraId="68E4F885"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91.11 </w:t>
            </w:r>
          </w:p>
        </w:tc>
      </w:tr>
      <w:tr w:rsidR="004921FF" w:rsidRPr="005C133F" w14:paraId="21A474B7"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43E320AF" w14:textId="77777777" w:rsidR="0066781C" w:rsidRPr="005C133F" w:rsidRDefault="0066781C" w:rsidP="007828EF">
            <w:pPr>
              <w:ind w:right="6"/>
              <w:jc w:val="center"/>
              <w:rPr>
                <w:rFonts w:ascii="Times New Roman" w:hAnsi="Times New Roman" w:cs="Times New Roman"/>
                <w:color w:val="767171"/>
              </w:rPr>
            </w:pPr>
            <w:r w:rsidRPr="005C133F">
              <w:rPr>
                <w:rFonts w:ascii="Times New Roman" w:hAnsi="Times New Roman" w:cs="Times New Roman"/>
                <w:color w:val="767171"/>
              </w:rPr>
              <w:t xml:space="preserve">Febrero </w:t>
            </w:r>
          </w:p>
        </w:tc>
        <w:tc>
          <w:tcPr>
            <w:tcW w:w="4459" w:type="dxa"/>
            <w:tcBorders>
              <w:top w:val="single" w:sz="4" w:space="0" w:color="767171"/>
              <w:left w:val="single" w:sz="4" w:space="0" w:color="767171"/>
              <w:bottom w:val="single" w:sz="4" w:space="0" w:color="767171"/>
              <w:right w:val="single" w:sz="4" w:space="0" w:color="767171"/>
            </w:tcBorders>
          </w:tcPr>
          <w:p w14:paraId="7B69B728"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97.52 </w:t>
            </w:r>
          </w:p>
        </w:tc>
      </w:tr>
      <w:tr w:rsidR="004921FF" w:rsidRPr="005C133F" w14:paraId="46797EB0"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3D1E5BA2" w14:textId="77777777" w:rsidR="0066781C" w:rsidRPr="005C133F" w:rsidRDefault="0066781C" w:rsidP="007828EF">
            <w:pPr>
              <w:ind w:right="4"/>
              <w:jc w:val="center"/>
              <w:rPr>
                <w:rFonts w:ascii="Times New Roman" w:hAnsi="Times New Roman" w:cs="Times New Roman"/>
                <w:color w:val="767171"/>
              </w:rPr>
            </w:pPr>
            <w:r w:rsidRPr="005C133F">
              <w:rPr>
                <w:rFonts w:ascii="Times New Roman" w:hAnsi="Times New Roman" w:cs="Times New Roman"/>
                <w:color w:val="767171"/>
              </w:rPr>
              <w:t xml:space="preserve">Marzo </w:t>
            </w:r>
          </w:p>
        </w:tc>
        <w:tc>
          <w:tcPr>
            <w:tcW w:w="4459" w:type="dxa"/>
            <w:tcBorders>
              <w:top w:val="single" w:sz="4" w:space="0" w:color="767171"/>
              <w:left w:val="single" w:sz="4" w:space="0" w:color="767171"/>
              <w:bottom w:val="single" w:sz="4" w:space="0" w:color="767171"/>
              <w:right w:val="single" w:sz="4" w:space="0" w:color="767171"/>
            </w:tcBorders>
          </w:tcPr>
          <w:p w14:paraId="50AE36CF"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88.33 </w:t>
            </w:r>
          </w:p>
        </w:tc>
      </w:tr>
      <w:tr w:rsidR="004921FF" w:rsidRPr="005C133F" w14:paraId="70096141"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3DFDF776" w14:textId="77777777" w:rsidR="0066781C" w:rsidRPr="005C133F" w:rsidRDefault="0066781C" w:rsidP="007828EF">
            <w:pPr>
              <w:ind w:right="5"/>
              <w:jc w:val="center"/>
              <w:rPr>
                <w:rFonts w:ascii="Times New Roman" w:hAnsi="Times New Roman" w:cs="Times New Roman"/>
                <w:color w:val="767171"/>
              </w:rPr>
            </w:pPr>
            <w:r w:rsidRPr="005C133F">
              <w:rPr>
                <w:rFonts w:ascii="Times New Roman" w:hAnsi="Times New Roman" w:cs="Times New Roman"/>
                <w:color w:val="767171"/>
              </w:rPr>
              <w:t xml:space="preserve">Abril </w:t>
            </w:r>
          </w:p>
        </w:tc>
        <w:tc>
          <w:tcPr>
            <w:tcW w:w="4459" w:type="dxa"/>
            <w:tcBorders>
              <w:top w:val="single" w:sz="4" w:space="0" w:color="767171"/>
              <w:left w:val="single" w:sz="4" w:space="0" w:color="767171"/>
              <w:bottom w:val="single" w:sz="4" w:space="0" w:color="767171"/>
              <w:right w:val="single" w:sz="4" w:space="0" w:color="767171"/>
            </w:tcBorders>
          </w:tcPr>
          <w:p w14:paraId="530B3552"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97.13 </w:t>
            </w:r>
          </w:p>
        </w:tc>
      </w:tr>
      <w:tr w:rsidR="004921FF" w:rsidRPr="005C133F" w14:paraId="4545C17E"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32E4EBFB" w14:textId="77777777" w:rsidR="0066781C" w:rsidRPr="005C133F" w:rsidRDefault="0066781C" w:rsidP="007828EF">
            <w:pPr>
              <w:ind w:right="7"/>
              <w:jc w:val="center"/>
              <w:rPr>
                <w:rFonts w:ascii="Times New Roman" w:hAnsi="Times New Roman" w:cs="Times New Roman"/>
                <w:color w:val="767171"/>
              </w:rPr>
            </w:pPr>
            <w:r w:rsidRPr="005C133F">
              <w:rPr>
                <w:rFonts w:ascii="Times New Roman" w:hAnsi="Times New Roman" w:cs="Times New Roman"/>
                <w:color w:val="767171"/>
              </w:rPr>
              <w:lastRenderedPageBreak/>
              <w:t xml:space="preserve">Mayo </w:t>
            </w:r>
          </w:p>
        </w:tc>
        <w:tc>
          <w:tcPr>
            <w:tcW w:w="4459" w:type="dxa"/>
            <w:tcBorders>
              <w:top w:val="single" w:sz="4" w:space="0" w:color="767171"/>
              <w:left w:val="single" w:sz="4" w:space="0" w:color="767171"/>
              <w:bottom w:val="single" w:sz="4" w:space="0" w:color="767171"/>
              <w:right w:val="single" w:sz="4" w:space="0" w:color="767171"/>
            </w:tcBorders>
          </w:tcPr>
          <w:p w14:paraId="133DCF48"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95.35 </w:t>
            </w:r>
          </w:p>
        </w:tc>
      </w:tr>
      <w:tr w:rsidR="004921FF" w:rsidRPr="005C133F" w14:paraId="3620BC63"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201CCB6D" w14:textId="77777777" w:rsidR="0066781C" w:rsidRPr="005C133F" w:rsidRDefault="0066781C" w:rsidP="007828EF">
            <w:pPr>
              <w:ind w:right="2"/>
              <w:jc w:val="center"/>
              <w:rPr>
                <w:rFonts w:ascii="Times New Roman" w:hAnsi="Times New Roman" w:cs="Times New Roman"/>
                <w:color w:val="767171"/>
              </w:rPr>
            </w:pPr>
            <w:r w:rsidRPr="005C133F">
              <w:rPr>
                <w:rFonts w:ascii="Times New Roman" w:hAnsi="Times New Roman" w:cs="Times New Roman"/>
                <w:color w:val="767171"/>
              </w:rPr>
              <w:t xml:space="preserve">Junio </w:t>
            </w:r>
          </w:p>
        </w:tc>
        <w:tc>
          <w:tcPr>
            <w:tcW w:w="4459" w:type="dxa"/>
            <w:tcBorders>
              <w:top w:val="single" w:sz="4" w:space="0" w:color="767171"/>
              <w:left w:val="single" w:sz="4" w:space="0" w:color="767171"/>
              <w:bottom w:val="single" w:sz="4" w:space="0" w:color="767171"/>
              <w:right w:val="single" w:sz="4" w:space="0" w:color="767171"/>
            </w:tcBorders>
          </w:tcPr>
          <w:p w14:paraId="0BB4E779"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97.67 </w:t>
            </w:r>
          </w:p>
        </w:tc>
      </w:tr>
      <w:tr w:rsidR="004921FF" w:rsidRPr="005C133F" w14:paraId="188BCAD2" w14:textId="77777777">
        <w:trPr>
          <w:trHeight w:val="336"/>
        </w:trPr>
        <w:tc>
          <w:tcPr>
            <w:tcW w:w="3451" w:type="dxa"/>
            <w:tcBorders>
              <w:top w:val="single" w:sz="4" w:space="0" w:color="767171"/>
              <w:left w:val="single" w:sz="4" w:space="0" w:color="767171"/>
              <w:bottom w:val="single" w:sz="4" w:space="0" w:color="767171"/>
              <w:right w:val="single" w:sz="4" w:space="0" w:color="767171"/>
            </w:tcBorders>
          </w:tcPr>
          <w:p w14:paraId="20E7FAFB" w14:textId="77777777" w:rsidR="0066781C" w:rsidRPr="005C133F" w:rsidRDefault="0066781C" w:rsidP="007828EF">
            <w:pPr>
              <w:ind w:right="5"/>
              <w:jc w:val="center"/>
              <w:rPr>
                <w:rFonts w:ascii="Times New Roman" w:hAnsi="Times New Roman" w:cs="Times New Roman"/>
                <w:color w:val="767171"/>
              </w:rPr>
            </w:pPr>
            <w:r w:rsidRPr="005C133F">
              <w:rPr>
                <w:rFonts w:ascii="Times New Roman" w:hAnsi="Times New Roman" w:cs="Times New Roman"/>
                <w:color w:val="767171"/>
              </w:rPr>
              <w:t xml:space="preserve">Julio </w:t>
            </w:r>
          </w:p>
        </w:tc>
        <w:tc>
          <w:tcPr>
            <w:tcW w:w="4459" w:type="dxa"/>
            <w:tcBorders>
              <w:top w:val="single" w:sz="4" w:space="0" w:color="767171"/>
              <w:left w:val="single" w:sz="4" w:space="0" w:color="767171"/>
              <w:bottom w:val="single" w:sz="4" w:space="0" w:color="767171"/>
              <w:right w:val="single" w:sz="4" w:space="0" w:color="767171"/>
            </w:tcBorders>
          </w:tcPr>
          <w:p w14:paraId="7E9440ED"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97.15 </w:t>
            </w:r>
          </w:p>
        </w:tc>
      </w:tr>
      <w:tr w:rsidR="004921FF" w:rsidRPr="005C133F" w14:paraId="65374E86"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45F0A48B" w14:textId="77777777" w:rsidR="0066781C" w:rsidRPr="005C133F" w:rsidRDefault="0066781C" w:rsidP="007828EF">
            <w:pPr>
              <w:ind w:right="7"/>
              <w:jc w:val="center"/>
              <w:rPr>
                <w:rFonts w:ascii="Times New Roman" w:hAnsi="Times New Roman" w:cs="Times New Roman"/>
                <w:color w:val="767171"/>
              </w:rPr>
            </w:pPr>
            <w:r w:rsidRPr="005C133F">
              <w:rPr>
                <w:rFonts w:ascii="Times New Roman" w:hAnsi="Times New Roman" w:cs="Times New Roman"/>
                <w:color w:val="767171"/>
              </w:rPr>
              <w:t xml:space="preserve">Agosto </w:t>
            </w:r>
          </w:p>
        </w:tc>
        <w:tc>
          <w:tcPr>
            <w:tcW w:w="4459" w:type="dxa"/>
            <w:tcBorders>
              <w:top w:val="single" w:sz="4" w:space="0" w:color="767171"/>
              <w:left w:val="single" w:sz="4" w:space="0" w:color="767171"/>
              <w:bottom w:val="single" w:sz="4" w:space="0" w:color="767171"/>
              <w:right w:val="single" w:sz="4" w:space="0" w:color="767171"/>
            </w:tcBorders>
          </w:tcPr>
          <w:p w14:paraId="3BE5428F"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99.56 </w:t>
            </w:r>
          </w:p>
        </w:tc>
      </w:tr>
      <w:tr w:rsidR="004921FF" w:rsidRPr="005C133F" w14:paraId="5DD29704"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15CC5E12" w14:textId="77777777" w:rsidR="0066781C" w:rsidRPr="005C133F" w:rsidRDefault="0066781C" w:rsidP="007828EF">
            <w:pPr>
              <w:ind w:right="3"/>
              <w:jc w:val="center"/>
              <w:rPr>
                <w:rFonts w:ascii="Times New Roman" w:hAnsi="Times New Roman" w:cs="Times New Roman"/>
                <w:color w:val="767171"/>
              </w:rPr>
            </w:pPr>
            <w:r w:rsidRPr="005C133F">
              <w:rPr>
                <w:rFonts w:ascii="Times New Roman" w:hAnsi="Times New Roman" w:cs="Times New Roman"/>
                <w:color w:val="767171"/>
              </w:rPr>
              <w:t xml:space="preserve">Septiembre </w:t>
            </w:r>
          </w:p>
        </w:tc>
        <w:tc>
          <w:tcPr>
            <w:tcW w:w="4459" w:type="dxa"/>
            <w:tcBorders>
              <w:top w:val="single" w:sz="4" w:space="0" w:color="767171"/>
              <w:left w:val="single" w:sz="4" w:space="0" w:color="767171"/>
              <w:bottom w:val="single" w:sz="4" w:space="0" w:color="767171"/>
              <w:right w:val="single" w:sz="4" w:space="0" w:color="767171"/>
            </w:tcBorders>
          </w:tcPr>
          <w:p w14:paraId="5C41A7E3"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 xml:space="preserve">100 </w:t>
            </w:r>
          </w:p>
        </w:tc>
      </w:tr>
      <w:tr w:rsidR="004921FF" w:rsidRPr="005C133F" w14:paraId="55662F3B"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72F84F57" w14:textId="77777777" w:rsidR="0066781C" w:rsidRPr="005C133F" w:rsidRDefault="0066781C" w:rsidP="007828EF">
            <w:pPr>
              <w:ind w:right="8"/>
              <w:jc w:val="center"/>
              <w:rPr>
                <w:rFonts w:ascii="Times New Roman" w:hAnsi="Times New Roman" w:cs="Times New Roman"/>
                <w:color w:val="767171"/>
              </w:rPr>
            </w:pPr>
            <w:r w:rsidRPr="005C133F">
              <w:rPr>
                <w:rFonts w:ascii="Times New Roman" w:hAnsi="Times New Roman" w:cs="Times New Roman"/>
                <w:color w:val="767171"/>
              </w:rPr>
              <w:t xml:space="preserve">Octubre </w:t>
            </w:r>
          </w:p>
        </w:tc>
        <w:tc>
          <w:tcPr>
            <w:tcW w:w="4459" w:type="dxa"/>
            <w:tcBorders>
              <w:top w:val="single" w:sz="4" w:space="0" w:color="767171"/>
              <w:left w:val="single" w:sz="4" w:space="0" w:color="767171"/>
              <w:bottom w:val="single" w:sz="4" w:space="0" w:color="767171"/>
              <w:right w:val="single" w:sz="4" w:space="0" w:color="767171"/>
            </w:tcBorders>
          </w:tcPr>
          <w:p w14:paraId="3B08A31C"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99</w:t>
            </w:r>
          </w:p>
        </w:tc>
      </w:tr>
      <w:tr w:rsidR="004921FF" w:rsidRPr="005C133F" w14:paraId="5E4D2D20" w14:textId="77777777">
        <w:trPr>
          <w:trHeight w:val="334"/>
        </w:trPr>
        <w:tc>
          <w:tcPr>
            <w:tcW w:w="3451" w:type="dxa"/>
            <w:tcBorders>
              <w:top w:val="single" w:sz="4" w:space="0" w:color="767171"/>
              <w:left w:val="single" w:sz="4" w:space="0" w:color="767171"/>
              <w:bottom w:val="single" w:sz="4" w:space="0" w:color="767171"/>
              <w:right w:val="single" w:sz="4" w:space="0" w:color="767171"/>
            </w:tcBorders>
          </w:tcPr>
          <w:p w14:paraId="4C2EBDE7" w14:textId="153E44EC" w:rsidR="0066781C" w:rsidRPr="005C133F" w:rsidRDefault="0066781C" w:rsidP="007828EF">
            <w:pPr>
              <w:ind w:right="8"/>
              <w:jc w:val="center"/>
              <w:rPr>
                <w:rFonts w:ascii="Times New Roman" w:hAnsi="Times New Roman" w:cs="Times New Roman"/>
                <w:color w:val="767171"/>
              </w:rPr>
            </w:pPr>
            <w:r w:rsidRPr="005C133F">
              <w:rPr>
                <w:rFonts w:ascii="Times New Roman" w:hAnsi="Times New Roman" w:cs="Times New Roman"/>
                <w:color w:val="767171"/>
              </w:rPr>
              <w:t>Noviembr</w:t>
            </w:r>
            <w:r w:rsidR="007828EF">
              <w:rPr>
                <w:rFonts w:ascii="Times New Roman" w:hAnsi="Times New Roman" w:cs="Times New Roman"/>
                <w:color w:val="767171"/>
              </w:rPr>
              <w:t>e</w:t>
            </w:r>
          </w:p>
        </w:tc>
        <w:tc>
          <w:tcPr>
            <w:tcW w:w="4459" w:type="dxa"/>
            <w:tcBorders>
              <w:top w:val="single" w:sz="4" w:space="0" w:color="767171"/>
              <w:left w:val="single" w:sz="4" w:space="0" w:color="767171"/>
              <w:bottom w:val="single" w:sz="4" w:space="0" w:color="767171"/>
              <w:right w:val="single" w:sz="4" w:space="0" w:color="767171"/>
            </w:tcBorders>
          </w:tcPr>
          <w:p w14:paraId="38382E18"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99</w:t>
            </w:r>
          </w:p>
        </w:tc>
      </w:tr>
      <w:tr w:rsidR="004921FF" w:rsidRPr="005C133F" w14:paraId="606ADAC3" w14:textId="77777777">
        <w:trPr>
          <w:trHeight w:val="336"/>
        </w:trPr>
        <w:tc>
          <w:tcPr>
            <w:tcW w:w="3451" w:type="dxa"/>
            <w:tcBorders>
              <w:top w:val="single" w:sz="4" w:space="0" w:color="767171"/>
              <w:left w:val="single" w:sz="4" w:space="0" w:color="767171"/>
              <w:bottom w:val="single" w:sz="4" w:space="0" w:color="767171"/>
              <w:right w:val="single" w:sz="4" w:space="0" w:color="767171"/>
            </w:tcBorders>
          </w:tcPr>
          <w:p w14:paraId="51C91FBB" w14:textId="0175EB4B" w:rsidR="0066781C" w:rsidRPr="005C133F" w:rsidRDefault="0066781C" w:rsidP="007828EF">
            <w:pPr>
              <w:ind w:right="8"/>
              <w:jc w:val="center"/>
              <w:rPr>
                <w:rFonts w:ascii="Times New Roman" w:hAnsi="Times New Roman" w:cs="Times New Roman"/>
                <w:color w:val="767171"/>
              </w:rPr>
            </w:pPr>
            <w:r w:rsidRPr="005C133F">
              <w:rPr>
                <w:rFonts w:ascii="Times New Roman" w:hAnsi="Times New Roman" w:cs="Times New Roman"/>
                <w:color w:val="767171"/>
              </w:rPr>
              <w:t>Diciembre</w:t>
            </w:r>
          </w:p>
        </w:tc>
        <w:tc>
          <w:tcPr>
            <w:tcW w:w="4459" w:type="dxa"/>
            <w:tcBorders>
              <w:top w:val="single" w:sz="4" w:space="0" w:color="767171"/>
              <w:left w:val="single" w:sz="4" w:space="0" w:color="767171"/>
              <w:bottom w:val="single" w:sz="4" w:space="0" w:color="767171"/>
              <w:right w:val="single" w:sz="4" w:space="0" w:color="767171"/>
            </w:tcBorders>
          </w:tcPr>
          <w:p w14:paraId="2BD3337C" w14:textId="77777777" w:rsidR="0066781C" w:rsidRPr="005C133F" w:rsidRDefault="0066781C" w:rsidP="007828EF">
            <w:pPr>
              <w:ind w:right="1"/>
              <w:jc w:val="center"/>
              <w:rPr>
                <w:rFonts w:ascii="Times New Roman" w:hAnsi="Times New Roman" w:cs="Times New Roman"/>
                <w:color w:val="767171"/>
              </w:rPr>
            </w:pPr>
            <w:r w:rsidRPr="005C133F">
              <w:rPr>
                <w:rFonts w:ascii="Times New Roman" w:hAnsi="Times New Roman" w:cs="Times New Roman"/>
                <w:color w:val="767171"/>
              </w:rPr>
              <w:t>99</w:t>
            </w:r>
          </w:p>
        </w:tc>
      </w:tr>
    </w:tbl>
    <w:p w14:paraId="5E5C9FCC" w14:textId="5AFAE4C3" w:rsidR="009B4ED1" w:rsidRPr="00A435E4" w:rsidRDefault="00D11C32" w:rsidP="005C133F">
      <w:pPr>
        <w:spacing w:after="0" w:line="360" w:lineRule="auto"/>
        <w:rPr>
          <w:sz w:val="18"/>
          <w:szCs w:val="18"/>
          <w:lang w:val="es-DO"/>
        </w:rPr>
      </w:pPr>
      <w:r w:rsidRPr="00291603">
        <w:rPr>
          <w:b/>
          <w:bCs/>
          <w:sz w:val="18"/>
          <w:szCs w:val="18"/>
          <w:lang w:val="es-DO"/>
        </w:rPr>
        <w:t>Fuente:</w:t>
      </w:r>
      <w:r w:rsidRPr="00291603">
        <w:rPr>
          <w:sz w:val="18"/>
          <w:szCs w:val="18"/>
          <w:lang w:val="es-DO"/>
        </w:rPr>
        <w:t xml:space="preserve"> Oficina de Acceso a la Información, SISALRIL. </w:t>
      </w:r>
    </w:p>
    <w:p w14:paraId="04795784" w14:textId="77777777" w:rsidR="009B4ED1" w:rsidRPr="005C133F" w:rsidRDefault="009B4ED1" w:rsidP="005C133F">
      <w:pPr>
        <w:spacing w:after="0" w:line="360" w:lineRule="auto"/>
        <w:rPr>
          <w:lang w:val="es-DO"/>
        </w:rPr>
      </w:pPr>
    </w:p>
    <w:p w14:paraId="7F6C11E3" w14:textId="4CC70051" w:rsidR="00152B47" w:rsidRPr="005C133F" w:rsidRDefault="00A62318" w:rsidP="005C133F">
      <w:pPr>
        <w:tabs>
          <w:tab w:val="left" w:pos="6919"/>
        </w:tabs>
        <w:spacing w:after="0" w:line="360" w:lineRule="auto"/>
        <w:jc w:val="center"/>
        <w:rPr>
          <w:rFonts w:eastAsia="Calibri"/>
          <w:b/>
          <w:bCs/>
          <w:noProof/>
          <w:lang w:val="es-DO"/>
        </w:rPr>
      </w:pPr>
      <w:r w:rsidRPr="005C133F">
        <w:rPr>
          <w:rFonts w:eastAsia="Calibri"/>
          <w:b/>
          <w:bCs/>
          <w:noProof/>
          <w:lang w:val="es-DO"/>
        </w:rPr>
        <w:t>Índice de Transparencia (Ley 200-04 Transparencia)</w:t>
      </w:r>
    </w:p>
    <w:p w14:paraId="4F3A79A4" w14:textId="77777777" w:rsidR="005C377F" w:rsidRPr="005C133F" w:rsidRDefault="005C377F" w:rsidP="005C133F">
      <w:pPr>
        <w:tabs>
          <w:tab w:val="left" w:pos="6919"/>
        </w:tabs>
        <w:spacing w:after="0" w:line="360" w:lineRule="auto"/>
        <w:rPr>
          <w:rFonts w:eastAsia="Calibri"/>
          <w:b/>
          <w:bCs/>
          <w:noProof/>
          <w:lang w:val="es-DO"/>
        </w:rPr>
      </w:pPr>
    </w:p>
    <w:p w14:paraId="3FC1CA20" w14:textId="68944C4C" w:rsidR="005C377F" w:rsidRPr="005C133F" w:rsidRDefault="005C377F" w:rsidP="005C133F">
      <w:pPr>
        <w:spacing w:after="0" w:line="360" w:lineRule="auto"/>
        <w:ind w:left="38"/>
        <w:jc w:val="both"/>
        <w:rPr>
          <w:rFonts w:eastAsia="Calibri"/>
          <w:b/>
          <w:bCs/>
          <w:noProof/>
          <w:lang w:val="es-DO"/>
        </w:rPr>
      </w:pPr>
      <w:r w:rsidRPr="005C133F">
        <w:rPr>
          <w:lang w:val="es-DO"/>
        </w:rPr>
        <w:t>El Portal de Transparencia de la SISALRIL mantuvo durante el período enero–diciembre de 2025 calificaciones favorables en las evaluaciones realizadas por la Dirección General de Ética e Integridad Gubernamental (DIGEIG), evidenciando el cumplimiento sostenido de los lineamientos establecidos en la Ley 200-04 de Libre Acceso a la Información Pública. Entre los resultados más destacados se encuentra la calificación de 100% obtenida durante el mes de septiembre, reflejando el nivel de actualización y estandarización del portal institucional.</w:t>
      </w:r>
      <w:r w:rsidR="006E4F2D" w:rsidRPr="005C133F">
        <w:rPr>
          <w:lang w:val="es-DO"/>
        </w:rPr>
        <w:t xml:space="preserve"> </w:t>
      </w:r>
      <w:r w:rsidRPr="005C133F">
        <w:rPr>
          <w:lang w:val="es-DO"/>
        </w:rPr>
        <w:t>A lo largo de los meses evaluados, la SISALRIL mostró un comportamiento estable y consistente en materia de transparencia, garantizando la disponibilidad y actualización oportuna de la información pública. Las evaluaciones correspondientes a los meses de octubre, noviembre y diciembre son una proyección basada en los meses y años anteriores.</w:t>
      </w:r>
    </w:p>
    <w:p w14:paraId="61D42454" w14:textId="77777777" w:rsidR="00A62318" w:rsidRPr="005C133F" w:rsidRDefault="00A62318" w:rsidP="005C133F">
      <w:pPr>
        <w:spacing w:after="0" w:line="360" w:lineRule="auto"/>
        <w:rPr>
          <w:rFonts w:eastAsia="Calibri"/>
          <w:b/>
          <w:bCs/>
          <w:noProof/>
          <w:lang w:val="es-DO"/>
        </w:rPr>
      </w:pPr>
    </w:p>
    <w:p w14:paraId="2FE7FEE6" w14:textId="77777777" w:rsidR="00E1206A" w:rsidRPr="005C133F" w:rsidRDefault="00E1206A" w:rsidP="005C133F">
      <w:pPr>
        <w:spacing w:after="0" w:line="360" w:lineRule="auto"/>
        <w:rPr>
          <w:rFonts w:eastAsia="Calibri"/>
          <w:b/>
          <w:bCs/>
          <w:noProof/>
          <w:lang w:val="es-DO"/>
        </w:rPr>
      </w:pPr>
    </w:p>
    <w:p w14:paraId="0AFBFC46" w14:textId="77777777" w:rsidR="00E1206A" w:rsidRPr="005C133F" w:rsidRDefault="00E1206A" w:rsidP="005C133F">
      <w:pPr>
        <w:spacing w:after="0" w:line="360" w:lineRule="auto"/>
        <w:rPr>
          <w:rFonts w:eastAsia="Calibri"/>
          <w:b/>
          <w:bCs/>
          <w:noProof/>
          <w:lang w:val="es-DO"/>
        </w:rPr>
      </w:pPr>
    </w:p>
    <w:bookmarkStart w:id="152" w:name="_Toc219121863"/>
    <w:p w14:paraId="1F109EAC" w14:textId="115785BC" w:rsidR="00DF3DCE" w:rsidRPr="00291603" w:rsidRDefault="000D4D13" w:rsidP="005C133F">
      <w:pPr>
        <w:pStyle w:val="Ttulo1"/>
        <w:rPr>
          <w:rFonts w:cs="Times New Roman"/>
          <w:color w:val="767171"/>
          <w:szCs w:val="28"/>
          <w:lang w:val="es-DO"/>
        </w:rPr>
      </w:pPr>
      <w:r w:rsidRPr="005C133F">
        <w:rPr>
          <w:rFonts w:eastAsia="Calibri"/>
          <w:noProof/>
          <w:lang w:val="es-DO" w:eastAsia="es-DO"/>
        </w:rPr>
        <w:lastRenderedPageBreak/>
        <mc:AlternateContent>
          <mc:Choice Requires="wps">
            <w:drawing>
              <wp:anchor distT="0" distB="0" distL="114300" distR="114300" simplePos="0" relativeHeight="251658246" behindDoc="0" locked="0" layoutInCell="1" allowOverlap="1" wp14:anchorId="36386066" wp14:editId="65B238F0">
                <wp:simplePos x="0" y="0"/>
                <wp:positionH relativeFrom="margin">
                  <wp:align>center</wp:align>
                </wp:positionH>
                <wp:positionV relativeFrom="paragraph">
                  <wp:posOffset>285239</wp:posOffset>
                </wp:positionV>
                <wp:extent cx="463550" cy="0"/>
                <wp:effectExtent l="0" t="19050" r="31750" b="19050"/>
                <wp:wrapNone/>
                <wp:docPr id="168525924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321B6" id="Straight Connector 8" o:spid="_x0000_s1026" style="position:absolute;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45pt" to="36.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MC1x82QAAAAUBAAAP&#10;AAAAZHJzL2Rvd25yZXYueG1sTI/LTsMwEEX3SPyDNUjsqANELQ1xKoSExAYohQXLaTx5QDyOYjcJ&#10;f8+gLmB5dEf3nsk3s+vUSENoPRu4XCSgiEtvW64NvL89XNyAChHZYueZDHxTgE1xepJjZv3ErzTu&#10;Yq2khEOGBpoY+0zrUDbkMCx8TyxZ5QeHUXCotR1wknLX6askWWqHLctCgz3dN1R+7Q5Odl+e/Koa&#10;H5dp3H5+oF1P7XO1Neb8bL67BRVpjn/H8Ksv6lCI094f2AbVGZBHooE0XYOSdHUtvD+yLnL93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AwLXHzZAAAABQEAAA8AAAAAAAAAAAAA&#10;AAAAIAQAAGRycy9kb3ducmV2LnhtbFBLBQYAAAAABAAEAPMAAAAmBQAAAAA=&#10;" strokecolor="#ee2a24" strokeweight="2.25pt">
                <v:stroke joinstyle="miter"/>
                <w10:wrap anchorx="margin"/>
              </v:line>
            </w:pict>
          </mc:Fallback>
        </mc:AlternateContent>
      </w:r>
      <w:r w:rsidR="00CF64DD" w:rsidRPr="00291603">
        <w:rPr>
          <w:rFonts w:cs="Times New Roman"/>
          <w:color w:val="767171"/>
          <w:szCs w:val="28"/>
          <w:lang w:val="es-DO"/>
        </w:rPr>
        <w:t>VI.</w:t>
      </w:r>
      <w:r>
        <w:rPr>
          <w:rFonts w:cs="Times New Roman"/>
          <w:color w:val="767171"/>
          <w:szCs w:val="28"/>
          <w:lang w:val="es-DO"/>
        </w:rPr>
        <w:t xml:space="preserve"> </w:t>
      </w:r>
      <w:r w:rsidR="00CF64DD" w:rsidRPr="00291603">
        <w:rPr>
          <w:rFonts w:cs="Times New Roman"/>
          <w:color w:val="767171"/>
          <w:szCs w:val="28"/>
          <w:lang w:val="es-DO"/>
        </w:rPr>
        <w:t>PROYECCIONES</w:t>
      </w:r>
      <w:bookmarkEnd w:id="152"/>
    </w:p>
    <w:p w14:paraId="39AD80BC" w14:textId="1CF580B6" w:rsidR="00DF3DCE" w:rsidRPr="005C133F" w:rsidRDefault="00DF3DCE" w:rsidP="005C133F">
      <w:pPr>
        <w:spacing w:after="0" w:line="360" w:lineRule="auto"/>
        <w:rPr>
          <w:rFonts w:eastAsia="Calibri"/>
          <w:b/>
          <w:bCs/>
          <w:noProof/>
          <w:lang w:val="es-DO"/>
        </w:rPr>
      </w:pPr>
    </w:p>
    <w:p w14:paraId="6B433DA1" w14:textId="77777777" w:rsidR="000D4D13" w:rsidRPr="005C133F" w:rsidRDefault="000D4D13" w:rsidP="000D4D13">
      <w:pPr>
        <w:spacing w:after="0" w:line="360" w:lineRule="auto"/>
        <w:jc w:val="center"/>
        <w:rPr>
          <w:lang w:val="es-DO"/>
        </w:rPr>
      </w:pPr>
      <w:r w:rsidRPr="005C133F">
        <w:rPr>
          <w:lang w:val="es-DO"/>
        </w:rPr>
        <w:t>Memoria Institucional 2025</w:t>
      </w:r>
    </w:p>
    <w:p w14:paraId="4CB8DEAC" w14:textId="77777777" w:rsidR="000D4D13" w:rsidRDefault="000D4D13" w:rsidP="005C133F">
      <w:pPr>
        <w:spacing w:after="0" w:line="360" w:lineRule="auto"/>
        <w:jc w:val="both"/>
        <w:rPr>
          <w:lang w:val="es-DO"/>
        </w:rPr>
      </w:pPr>
    </w:p>
    <w:p w14:paraId="155E75C4" w14:textId="61DBEA50" w:rsidR="00696165" w:rsidRPr="005C133F" w:rsidRDefault="003A771A" w:rsidP="005C133F">
      <w:pPr>
        <w:spacing w:after="0" w:line="360" w:lineRule="auto"/>
        <w:jc w:val="both"/>
        <w:rPr>
          <w:kern w:val="24"/>
          <w:lang w:val="es-DO"/>
        </w:rPr>
      </w:pPr>
      <w:r w:rsidRPr="005C133F">
        <w:rPr>
          <w:lang w:val="es-DO"/>
        </w:rPr>
        <w:t>E</w:t>
      </w:r>
      <w:r w:rsidR="00B9660A" w:rsidRPr="005C133F">
        <w:rPr>
          <w:lang w:val="es-DO"/>
        </w:rPr>
        <w:t xml:space="preserve">n consonancia con </w:t>
      </w:r>
      <w:r w:rsidR="00EA45FD" w:rsidRPr="005C133F">
        <w:rPr>
          <w:kern w:val="24"/>
          <w:lang w:val="es-DO"/>
        </w:rPr>
        <w:t xml:space="preserve">los </w:t>
      </w:r>
      <w:r w:rsidR="00B5644D" w:rsidRPr="005C133F">
        <w:rPr>
          <w:kern w:val="24"/>
          <w:lang w:val="es-DO"/>
        </w:rPr>
        <w:t>resultados</w:t>
      </w:r>
      <w:r w:rsidR="00EA45FD" w:rsidRPr="005C133F">
        <w:rPr>
          <w:kern w:val="24"/>
          <w:lang w:val="es-DO"/>
        </w:rPr>
        <w:t xml:space="preserve"> </w:t>
      </w:r>
      <w:r w:rsidR="004F1FEF" w:rsidRPr="005C133F">
        <w:rPr>
          <w:kern w:val="24"/>
          <w:lang w:val="es-DO"/>
        </w:rPr>
        <w:t>esperados</w:t>
      </w:r>
      <w:r w:rsidR="00EA45FD" w:rsidRPr="005C133F">
        <w:rPr>
          <w:kern w:val="24"/>
          <w:lang w:val="es-DO"/>
        </w:rPr>
        <w:t xml:space="preserve"> y las</w:t>
      </w:r>
      <w:r w:rsidR="00B9660A" w:rsidRPr="005C133F">
        <w:rPr>
          <w:lang w:val="es-DO"/>
        </w:rPr>
        <w:t xml:space="preserve"> metas incluidas</w:t>
      </w:r>
      <w:r w:rsidR="004E382E" w:rsidRPr="005C133F">
        <w:rPr>
          <w:lang w:val="es-DO"/>
        </w:rPr>
        <w:t xml:space="preserve"> </w:t>
      </w:r>
      <w:r w:rsidR="00B9660A" w:rsidRPr="005C133F">
        <w:rPr>
          <w:lang w:val="es-DO"/>
        </w:rPr>
        <w:t xml:space="preserve">en el Plan </w:t>
      </w:r>
      <w:r w:rsidR="00BE4F46" w:rsidRPr="005C133F">
        <w:rPr>
          <w:lang w:val="es-DO"/>
        </w:rPr>
        <w:t>E</w:t>
      </w:r>
      <w:r w:rsidR="00B9660A" w:rsidRPr="005C133F">
        <w:rPr>
          <w:lang w:val="es-DO"/>
        </w:rPr>
        <w:t>stratégico</w:t>
      </w:r>
      <w:r w:rsidR="00BE4F46" w:rsidRPr="005C133F">
        <w:rPr>
          <w:lang w:val="es-DO"/>
        </w:rPr>
        <w:t xml:space="preserve"> Instit</w:t>
      </w:r>
      <w:r w:rsidR="00B4649F" w:rsidRPr="005C133F">
        <w:rPr>
          <w:lang w:val="es-DO"/>
        </w:rPr>
        <w:t>ucional (PEI)</w:t>
      </w:r>
      <w:r w:rsidR="00B9660A" w:rsidRPr="005C133F">
        <w:rPr>
          <w:lang w:val="es-DO"/>
        </w:rPr>
        <w:t xml:space="preserve"> </w:t>
      </w:r>
      <w:r w:rsidR="004E382E" w:rsidRPr="005C133F">
        <w:rPr>
          <w:lang w:val="es-DO"/>
        </w:rPr>
        <w:t>2025-2028</w:t>
      </w:r>
      <w:r w:rsidR="00EA45FD" w:rsidRPr="005C133F">
        <w:rPr>
          <w:lang w:val="es-DO"/>
        </w:rPr>
        <w:t xml:space="preserve">, </w:t>
      </w:r>
      <w:r w:rsidR="004F1FEF" w:rsidRPr="005C133F">
        <w:rPr>
          <w:lang w:val="es-DO"/>
        </w:rPr>
        <w:t xml:space="preserve">y con el objetivo </w:t>
      </w:r>
      <w:r w:rsidR="00BD760D" w:rsidRPr="005C133F">
        <w:rPr>
          <w:lang w:val="es-DO"/>
        </w:rPr>
        <w:t>de continuar garantizando</w:t>
      </w:r>
      <w:r w:rsidR="0047709C" w:rsidRPr="005C133F">
        <w:rPr>
          <w:lang w:val="es-DO"/>
        </w:rPr>
        <w:t xml:space="preserve"> </w:t>
      </w:r>
      <w:r w:rsidR="00951D3B" w:rsidRPr="005C133F">
        <w:rPr>
          <w:lang w:val="es-DO"/>
        </w:rPr>
        <w:t>efectivamente</w:t>
      </w:r>
      <w:r w:rsidR="00715CE0" w:rsidRPr="005C133F">
        <w:rPr>
          <w:lang w:val="es-DO"/>
        </w:rPr>
        <w:t xml:space="preserve"> el aseguramiento en salud y riesgos laborales</w:t>
      </w:r>
      <w:r w:rsidR="005B3C7C" w:rsidRPr="005C133F">
        <w:rPr>
          <w:lang w:val="es-DO"/>
        </w:rPr>
        <w:t xml:space="preserve"> de los afiliados del Sistema Dominicano </w:t>
      </w:r>
      <w:r w:rsidR="000B1CE4" w:rsidRPr="005C133F">
        <w:rPr>
          <w:lang w:val="es-DO"/>
        </w:rPr>
        <w:t>de Seguridad Social</w:t>
      </w:r>
      <w:r w:rsidR="00427618" w:rsidRPr="005C133F">
        <w:rPr>
          <w:lang w:val="es-DO"/>
        </w:rPr>
        <w:t xml:space="preserve">, </w:t>
      </w:r>
      <w:r w:rsidR="00E8168F" w:rsidRPr="005C133F">
        <w:rPr>
          <w:lang w:val="es-DO"/>
        </w:rPr>
        <w:t>velando por su accesibilidad</w:t>
      </w:r>
      <w:r w:rsidR="00F45C21" w:rsidRPr="005C133F">
        <w:rPr>
          <w:lang w:val="es-DO"/>
        </w:rPr>
        <w:t>, confiabilidad y sostenibilidad.  En ese orden</w:t>
      </w:r>
      <w:r w:rsidR="00EA45FD" w:rsidRPr="005C133F">
        <w:rPr>
          <w:lang w:val="es-DO"/>
        </w:rPr>
        <w:t>,</w:t>
      </w:r>
      <w:r w:rsidR="00EA45FD" w:rsidRPr="005C133F">
        <w:rPr>
          <w:kern w:val="24"/>
          <w:lang w:val="es-DO"/>
        </w:rPr>
        <w:t xml:space="preserve"> </w:t>
      </w:r>
      <w:r w:rsidR="00B4649F" w:rsidRPr="005C133F">
        <w:rPr>
          <w:kern w:val="24"/>
          <w:lang w:val="es-DO"/>
        </w:rPr>
        <w:t>para el año 2026</w:t>
      </w:r>
      <w:r w:rsidR="00EA45FD" w:rsidRPr="005C133F">
        <w:rPr>
          <w:kern w:val="24"/>
          <w:lang w:val="es-DO"/>
        </w:rPr>
        <w:t xml:space="preserve"> </w:t>
      </w:r>
      <w:r w:rsidR="00B4649F" w:rsidRPr="005C133F">
        <w:rPr>
          <w:kern w:val="24"/>
          <w:lang w:val="es-DO"/>
        </w:rPr>
        <w:t xml:space="preserve">la institución proyecta: </w:t>
      </w:r>
    </w:p>
    <w:p w14:paraId="0AB9BCF1" w14:textId="24958429" w:rsidR="00696165" w:rsidRPr="005C133F" w:rsidRDefault="001F3959">
      <w:pPr>
        <w:pStyle w:val="Prrafodelista"/>
        <w:numPr>
          <w:ilvl w:val="0"/>
          <w:numId w:val="205"/>
        </w:numPr>
        <w:spacing w:after="0" w:line="360" w:lineRule="auto"/>
        <w:jc w:val="both"/>
        <w:rPr>
          <w:iCs/>
          <w:kern w:val="24"/>
          <w:lang w:val="es-DO"/>
        </w:rPr>
      </w:pPr>
      <w:r w:rsidRPr="005C133F">
        <w:rPr>
          <w:b/>
          <w:kern w:val="24"/>
          <w:lang w:val="es-DO"/>
        </w:rPr>
        <w:t>Amplia</w:t>
      </w:r>
      <w:r w:rsidR="00653D29" w:rsidRPr="005C133F">
        <w:rPr>
          <w:b/>
          <w:kern w:val="24"/>
          <w:lang w:val="es-DO"/>
        </w:rPr>
        <w:t xml:space="preserve">r </w:t>
      </w:r>
      <w:r w:rsidR="00653D29" w:rsidRPr="005C133F">
        <w:rPr>
          <w:b/>
          <w:bCs/>
          <w:kern w:val="24"/>
          <w:lang w:val="es-DO"/>
        </w:rPr>
        <w:t>a</w:t>
      </w:r>
      <w:r w:rsidR="0017076C" w:rsidRPr="005C133F">
        <w:rPr>
          <w:b/>
          <w:bCs/>
          <w:kern w:val="24"/>
          <w:lang w:val="es-DO"/>
        </w:rPr>
        <w:t>l</w:t>
      </w:r>
      <w:r w:rsidR="00653D29" w:rsidRPr="005C133F">
        <w:rPr>
          <w:b/>
          <w:kern w:val="24"/>
          <w:lang w:val="es-DO"/>
        </w:rPr>
        <w:t xml:space="preserve"> 90%</w:t>
      </w:r>
      <w:r w:rsidRPr="005C133F">
        <w:rPr>
          <w:b/>
          <w:kern w:val="24"/>
          <w:lang w:val="es-DO"/>
        </w:rPr>
        <w:t xml:space="preserve"> el aseguramiento de los pensionados y jubilados</w:t>
      </w:r>
      <w:r w:rsidRPr="005C133F">
        <w:rPr>
          <w:iCs/>
          <w:kern w:val="24"/>
          <w:lang w:val="es-DO"/>
        </w:rPr>
        <w:t xml:space="preserve"> que reciben su pensión a través de la Dirección General de Jubilaciones y Pensiones del Ministerio de Hacienda, que no cuentan con la cobertura del Plan Básico de Salud del Seguro Familiar de Salud.</w:t>
      </w:r>
    </w:p>
    <w:p w14:paraId="290303D0" w14:textId="5ED1B8B2" w:rsidR="001F3959" w:rsidRPr="005C133F" w:rsidRDefault="001F3959">
      <w:pPr>
        <w:pStyle w:val="Prrafodelista"/>
        <w:numPr>
          <w:ilvl w:val="0"/>
          <w:numId w:val="205"/>
        </w:numPr>
        <w:spacing w:after="0" w:line="360" w:lineRule="auto"/>
        <w:jc w:val="both"/>
        <w:rPr>
          <w:iCs/>
          <w:kern w:val="24"/>
          <w:lang w:val="es-DO"/>
        </w:rPr>
      </w:pPr>
      <w:r w:rsidRPr="005C133F">
        <w:rPr>
          <w:b/>
          <w:kern w:val="24"/>
          <w:lang w:val="es-DO"/>
        </w:rPr>
        <w:t>Mejora</w:t>
      </w:r>
      <w:r w:rsidR="004D6112" w:rsidRPr="005C133F">
        <w:rPr>
          <w:b/>
          <w:kern w:val="24"/>
          <w:lang w:val="es-DO"/>
        </w:rPr>
        <w:t>r</w:t>
      </w:r>
      <w:r w:rsidRPr="005C133F">
        <w:rPr>
          <w:b/>
          <w:kern w:val="24"/>
          <w:lang w:val="es-DO"/>
        </w:rPr>
        <w:t xml:space="preserve"> las condiciones de acceso a los servicios de salud</w:t>
      </w:r>
      <w:r w:rsidR="00302891" w:rsidRPr="005C133F">
        <w:rPr>
          <w:iCs/>
          <w:kern w:val="24"/>
          <w:lang w:val="es-DO"/>
        </w:rPr>
        <w:t xml:space="preserve">, a través de la implementación de 13 iniciativas priorizadas </w:t>
      </w:r>
      <w:r w:rsidR="008D0CD7" w:rsidRPr="005C133F">
        <w:rPr>
          <w:iCs/>
          <w:kern w:val="24"/>
          <w:lang w:val="es-DO"/>
        </w:rPr>
        <w:t xml:space="preserve">y la gestión oportuna </w:t>
      </w:r>
      <w:r w:rsidR="00EB4FE6" w:rsidRPr="005C133F">
        <w:rPr>
          <w:iCs/>
          <w:kern w:val="24"/>
          <w:lang w:val="es-DO"/>
        </w:rPr>
        <w:t xml:space="preserve">de casos </w:t>
      </w:r>
      <w:r w:rsidR="00A45CBC" w:rsidRPr="005C133F">
        <w:rPr>
          <w:iCs/>
          <w:kern w:val="24"/>
          <w:lang w:val="es-DO"/>
        </w:rPr>
        <w:t xml:space="preserve">por negación cobertura. </w:t>
      </w:r>
    </w:p>
    <w:p w14:paraId="40BF1E04" w14:textId="4E8425AA" w:rsidR="001F3959" w:rsidRPr="005C133F" w:rsidRDefault="00D925EA">
      <w:pPr>
        <w:pStyle w:val="Prrafodelista"/>
        <w:numPr>
          <w:ilvl w:val="0"/>
          <w:numId w:val="205"/>
        </w:numPr>
        <w:spacing w:after="0" w:line="360" w:lineRule="auto"/>
        <w:jc w:val="both"/>
        <w:rPr>
          <w:iCs/>
          <w:kern w:val="24"/>
          <w:lang w:val="es-DO"/>
        </w:rPr>
      </w:pPr>
      <w:r w:rsidRPr="005C133F">
        <w:rPr>
          <w:b/>
          <w:kern w:val="24"/>
          <w:lang w:val="es-DO"/>
        </w:rPr>
        <w:t>Amplia</w:t>
      </w:r>
      <w:r w:rsidR="00974240" w:rsidRPr="005C133F">
        <w:rPr>
          <w:b/>
          <w:kern w:val="24"/>
          <w:lang w:val="es-DO"/>
        </w:rPr>
        <w:t>r</w:t>
      </w:r>
      <w:r w:rsidRPr="005C133F">
        <w:rPr>
          <w:b/>
          <w:kern w:val="24"/>
          <w:lang w:val="es-DO"/>
        </w:rPr>
        <w:t xml:space="preserve"> la cobertura efectiva de los servicios básicos de salud</w:t>
      </w:r>
      <w:r w:rsidR="008C70D5" w:rsidRPr="005C133F">
        <w:rPr>
          <w:iCs/>
          <w:kern w:val="24"/>
          <w:lang w:val="es-DO"/>
        </w:rPr>
        <w:t>, a través e</w:t>
      </w:r>
      <w:r w:rsidR="007D7A7B" w:rsidRPr="005C133F">
        <w:rPr>
          <w:iCs/>
          <w:kern w:val="24"/>
          <w:lang w:val="es-DO"/>
        </w:rPr>
        <w:t xml:space="preserve">laboración y gestión de aprobación de </w:t>
      </w:r>
      <w:r w:rsidR="008F39BD" w:rsidRPr="005C133F">
        <w:rPr>
          <w:iCs/>
          <w:kern w:val="24"/>
          <w:lang w:val="es-DO"/>
        </w:rPr>
        <w:t xml:space="preserve">3 propuestas para inclusión de nuevos beneficios den Plan Básico de Salud. </w:t>
      </w:r>
    </w:p>
    <w:p w14:paraId="6D5921F2" w14:textId="7F8CDA47" w:rsidR="00D925EA" w:rsidRPr="005C133F" w:rsidRDefault="00E77D82">
      <w:pPr>
        <w:pStyle w:val="Prrafodelista"/>
        <w:numPr>
          <w:ilvl w:val="0"/>
          <w:numId w:val="205"/>
        </w:numPr>
        <w:spacing w:after="0" w:line="360" w:lineRule="auto"/>
        <w:jc w:val="both"/>
        <w:rPr>
          <w:iCs/>
          <w:kern w:val="24"/>
          <w:lang w:val="es-DO"/>
        </w:rPr>
      </w:pPr>
      <w:r w:rsidRPr="005C133F">
        <w:rPr>
          <w:b/>
          <w:kern w:val="24"/>
          <w:lang w:val="es-DO"/>
        </w:rPr>
        <w:t>Fortalecer</w:t>
      </w:r>
      <w:r w:rsidR="00D925EA" w:rsidRPr="005C133F">
        <w:rPr>
          <w:b/>
          <w:kern w:val="24"/>
          <w:lang w:val="es-DO"/>
        </w:rPr>
        <w:t xml:space="preserve"> la protección social y los beneficios del sistema de aseguramiento de los riesgos laborales del SDSS</w:t>
      </w:r>
      <w:r w:rsidR="008F39BD" w:rsidRPr="005C133F">
        <w:rPr>
          <w:iCs/>
          <w:kern w:val="24"/>
          <w:lang w:val="es-DO"/>
        </w:rPr>
        <w:t>, a través</w:t>
      </w:r>
      <w:r w:rsidR="00974240" w:rsidRPr="005C133F">
        <w:rPr>
          <w:iCs/>
          <w:kern w:val="24"/>
          <w:lang w:val="es-DO"/>
        </w:rPr>
        <w:t xml:space="preserve"> de la</w:t>
      </w:r>
      <w:r w:rsidR="005664A4" w:rsidRPr="005C133F">
        <w:rPr>
          <w:iCs/>
          <w:kern w:val="24"/>
          <w:lang w:val="es-DO"/>
        </w:rPr>
        <w:t xml:space="preserve"> elaboración y gestión de aprobación de 4 propuestas </w:t>
      </w:r>
      <w:r w:rsidR="00974240" w:rsidRPr="005C133F">
        <w:rPr>
          <w:iCs/>
          <w:kern w:val="24"/>
          <w:lang w:val="es-DO"/>
        </w:rPr>
        <w:t xml:space="preserve">para </w:t>
      </w:r>
      <w:r w:rsidR="0012719E" w:rsidRPr="005C133F">
        <w:rPr>
          <w:iCs/>
          <w:kern w:val="24"/>
          <w:lang w:val="es-DO"/>
        </w:rPr>
        <w:t xml:space="preserve">ampliar los beneficios del Seguro de Riegos Laborales (SRL). </w:t>
      </w:r>
    </w:p>
    <w:p w14:paraId="371F2695" w14:textId="4E09F745" w:rsidR="00E72F46" w:rsidRPr="005C133F" w:rsidRDefault="00795E4A">
      <w:pPr>
        <w:pStyle w:val="Prrafodelista"/>
        <w:numPr>
          <w:ilvl w:val="0"/>
          <w:numId w:val="205"/>
        </w:numPr>
        <w:spacing w:after="0" w:line="360" w:lineRule="auto"/>
        <w:jc w:val="both"/>
        <w:rPr>
          <w:iCs/>
          <w:kern w:val="24"/>
          <w:lang w:val="es-DO"/>
        </w:rPr>
      </w:pPr>
      <w:r w:rsidRPr="005C133F">
        <w:rPr>
          <w:b/>
          <w:kern w:val="24"/>
          <w:lang w:val="es-DO"/>
        </w:rPr>
        <w:t>Aumenta</w:t>
      </w:r>
      <w:r w:rsidR="00974240" w:rsidRPr="005C133F">
        <w:rPr>
          <w:b/>
          <w:kern w:val="24"/>
          <w:lang w:val="es-DO"/>
        </w:rPr>
        <w:t>r</w:t>
      </w:r>
      <w:r w:rsidRPr="005C133F">
        <w:rPr>
          <w:b/>
          <w:kern w:val="24"/>
          <w:lang w:val="es-DO"/>
        </w:rPr>
        <w:t xml:space="preserve"> la eficiencia en la supervisión y regulación del uso de los recursos financieros de aseguramiento en salud</w:t>
      </w:r>
      <w:r w:rsidRPr="005C133F">
        <w:rPr>
          <w:iCs/>
          <w:kern w:val="24"/>
          <w:lang w:val="es-DO"/>
        </w:rPr>
        <w:t xml:space="preserve"> </w:t>
      </w:r>
      <w:r w:rsidR="005D2B0D" w:rsidRPr="005C133F">
        <w:rPr>
          <w:iCs/>
          <w:kern w:val="24"/>
          <w:lang w:val="es-DO"/>
        </w:rPr>
        <w:lastRenderedPageBreak/>
        <w:t xml:space="preserve">mediante la realización </w:t>
      </w:r>
      <w:r w:rsidR="00FA5919" w:rsidRPr="005C133F">
        <w:rPr>
          <w:iCs/>
          <w:kern w:val="24"/>
          <w:lang w:val="es-DO"/>
        </w:rPr>
        <w:t>monitoreos a las ARS y el IDOPPRIL, respecto al</w:t>
      </w:r>
      <w:r w:rsidR="001064AC" w:rsidRPr="005C133F">
        <w:rPr>
          <w:iCs/>
          <w:kern w:val="24"/>
          <w:lang w:val="es-DO"/>
        </w:rPr>
        <w:t xml:space="preserve"> uso de los recursos financieros. </w:t>
      </w:r>
    </w:p>
    <w:p w14:paraId="103A0FF0" w14:textId="7EA7C2E4" w:rsidR="00795E4A" w:rsidRPr="005C133F" w:rsidRDefault="00A02D96">
      <w:pPr>
        <w:pStyle w:val="Prrafodelista"/>
        <w:numPr>
          <w:ilvl w:val="0"/>
          <w:numId w:val="205"/>
        </w:numPr>
        <w:spacing w:after="0" w:line="360" w:lineRule="auto"/>
        <w:jc w:val="both"/>
        <w:rPr>
          <w:kern w:val="24"/>
          <w:lang w:val="es-DO"/>
        </w:rPr>
      </w:pPr>
      <w:r w:rsidRPr="005C133F">
        <w:rPr>
          <w:b/>
          <w:kern w:val="24"/>
          <w:lang w:val="es-DO"/>
        </w:rPr>
        <w:t>Fortale</w:t>
      </w:r>
      <w:r w:rsidR="009600EE" w:rsidRPr="005C133F">
        <w:rPr>
          <w:b/>
          <w:kern w:val="24"/>
          <w:lang w:val="es-DO"/>
        </w:rPr>
        <w:t>ce</w:t>
      </w:r>
      <w:r w:rsidR="001064AC" w:rsidRPr="005C133F">
        <w:rPr>
          <w:b/>
          <w:kern w:val="24"/>
          <w:lang w:val="es-DO"/>
        </w:rPr>
        <w:t>r</w:t>
      </w:r>
      <w:r w:rsidRPr="005C133F">
        <w:rPr>
          <w:b/>
          <w:kern w:val="24"/>
          <w:lang w:val="es-DO"/>
        </w:rPr>
        <w:t xml:space="preserve"> el cumplimiento de las normativas del </w:t>
      </w:r>
      <w:r w:rsidR="00B67171" w:rsidRPr="005C133F">
        <w:rPr>
          <w:b/>
          <w:bCs/>
          <w:kern w:val="24"/>
          <w:lang w:val="es-DO"/>
        </w:rPr>
        <w:t>Seguro Familiar de Salud (</w:t>
      </w:r>
      <w:r w:rsidRPr="005C133F">
        <w:rPr>
          <w:b/>
          <w:kern w:val="24"/>
          <w:lang w:val="es-DO"/>
        </w:rPr>
        <w:t>SFS</w:t>
      </w:r>
      <w:r w:rsidR="00B67171" w:rsidRPr="005C133F">
        <w:rPr>
          <w:b/>
          <w:bCs/>
          <w:kern w:val="24"/>
          <w:lang w:val="es-DO"/>
        </w:rPr>
        <w:t>)</w:t>
      </w:r>
      <w:r w:rsidRPr="005C133F">
        <w:rPr>
          <w:b/>
          <w:kern w:val="24"/>
          <w:lang w:val="es-DO"/>
        </w:rPr>
        <w:t xml:space="preserve"> y </w:t>
      </w:r>
      <w:r w:rsidR="00B67171" w:rsidRPr="005C133F">
        <w:rPr>
          <w:b/>
          <w:bCs/>
          <w:kern w:val="24"/>
          <w:lang w:val="es-DO"/>
        </w:rPr>
        <w:t>del Seguro de Riesgos Laborales (</w:t>
      </w:r>
      <w:r w:rsidRPr="005C133F">
        <w:rPr>
          <w:b/>
          <w:kern w:val="24"/>
          <w:lang w:val="es-DO"/>
        </w:rPr>
        <w:t>SRL</w:t>
      </w:r>
      <w:r w:rsidR="00B67171" w:rsidRPr="005C133F">
        <w:rPr>
          <w:b/>
          <w:bCs/>
          <w:kern w:val="24"/>
          <w:lang w:val="es-DO"/>
        </w:rPr>
        <w:t>)</w:t>
      </w:r>
      <w:r w:rsidRPr="005C133F">
        <w:rPr>
          <w:b/>
          <w:kern w:val="24"/>
          <w:lang w:val="es-DO"/>
        </w:rPr>
        <w:t xml:space="preserve"> </w:t>
      </w:r>
      <w:r w:rsidRPr="005C133F">
        <w:rPr>
          <w:kern w:val="24"/>
          <w:lang w:val="es-DO"/>
        </w:rPr>
        <w:t xml:space="preserve">por parte de los actores regulados </w:t>
      </w:r>
      <w:r w:rsidR="00B67171" w:rsidRPr="005C133F">
        <w:rPr>
          <w:kern w:val="24"/>
          <w:lang w:val="es-DO"/>
        </w:rPr>
        <w:t>a través de</w:t>
      </w:r>
      <w:r w:rsidRPr="005C133F">
        <w:rPr>
          <w:kern w:val="24"/>
          <w:lang w:val="es-DO"/>
        </w:rPr>
        <w:t xml:space="preserve"> mecanismos efectivos de supervisión y control</w:t>
      </w:r>
      <w:r w:rsidR="00FD7A43" w:rsidRPr="005C133F">
        <w:rPr>
          <w:kern w:val="24"/>
          <w:lang w:val="es-DO"/>
        </w:rPr>
        <w:t xml:space="preserve">, realizando </w:t>
      </w:r>
      <w:r w:rsidR="00C661FE" w:rsidRPr="005C133F">
        <w:rPr>
          <w:kern w:val="24"/>
          <w:lang w:val="es-DO"/>
        </w:rPr>
        <w:t xml:space="preserve">jornadas de supervisión y monitoreo a las Administradoras de Riesgos de Salud (ARS), al </w:t>
      </w:r>
      <w:r w:rsidR="00B64BD7" w:rsidRPr="005C133F">
        <w:rPr>
          <w:kern w:val="24"/>
          <w:lang w:val="es-DO"/>
        </w:rPr>
        <w:t>Instituto Dominicano de Prevención y Protección de Riesgos Laborales (IDOPPRIL),</w:t>
      </w:r>
      <w:r w:rsidR="00C661FE" w:rsidRPr="005C133F">
        <w:rPr>
          <w:kern w:val="24"/>
          <w:lang w:val="es-DO"/>
        </w:rPr>
        <w:t xml:space="preserve"> y a los Prestadores de Servicios de Salud, así como la emisión de instrumentos y normativas de cumplimiento obligatorio. </w:t>
      </w:r>
    </w:p>
    <w:p w14:paraId="2B7CF7A1" w14:textId="786FE040" w:rsidR="00AA3309" w:rsidRPr="005C133F" w:rsidRDefault="002A3844">
      <w:pPr>
        <w:pStyle w:val="Prrafodelista"/>
        <w:numPr>
          <w:ilvl w:val="0"/>
          <w:numId w:val="205"/>
        </w:numPr>
        <w:spacing w:after="0" w:line="360" w:lineRule="auto"/>
        <w:jc w:val="both"/>
        <w:rPr>
          <w:kern w:val="24"/>
          <w:lang w:val="es-DO"/>
        </w:rPr>
      </w:pPr>
      <w:r w:rsidRPr="005C133F">
        <w:rPr>
          <w:b/>
          <w:bCs/>
          <w:kern w:val="24"/>
          <w:lang w:val="es-DO"/>
        </w:rPr>
        <w:t xml:space="preserve">Implementar un modelo de supervisión </w:t>
      </w:r>
      <w:r w:rsidR="00AA3309" w:rsidRPr="005C133F">
        <w:rPr>
          <w:b/>
          <w:bCs/>
          <w:kern w:val="24"/>
          <w:lang w:val="es-DO"/>
        </w:rPr>
        <w:t xml:space="preserve">basada en riesgos </w:t>
      </w:r>
      <w:r w:rsidR="00DD4E0A" w:rsidRPr="005C133F">
        <w:rPr>
          <w:kern w:val="24"/>
          <w:lang w:val="es-DO"/>
        </w:rPr>
        <w:t xml:space="preserve">facilitando la identificación y mitigación </w:t>
      </w:r>
      <w:r w:rsidR="007D75C5" w:rsidRPr="005C133F">
        <w:rPr>
          <w:kern w:val="24"/>
          <w:lang w:val="es-DO"/>
        </w:rPr>
        <w:t>proactiva de riesgos operativos</w:t>
      </w:r>
      <w:r w:rsidR="007651FA" w:rsidRPr="005C133F">
        <w:rPr>
          <w:kern w:val="24"/>
          <w:lang w:val="es-DO"/>
        </w:rPr>
        <w:t xml:space="preserve"> y sistémicos que afecten a las ARS</w:t>
      </w:r>
      <w:r w:rsidR="0086736C" w:rsidRPr="005C133F">
        <w:rPr>
          <w:kern w:val="24"/>
          <w:lang w:val="es-DO"/>
        </w:rPr>
        <w:t>, SeNaSa e IDOPRI</w:t>
      </w:r>
      <w:r w:rsidR="004F172F" w:rsidRPr="005C133F">
        <w:rPr>
          <w:kern w:val="24"/>
          <w:lang w:val="es-DO"/>
        </w:rPr>
        <w:t>L.</w:t>
      </w:r>
    </w:p>
    <w:p w14:paraId="19584B79" w14:textId="35FC4F5A" w:rsidR="00A02D96" w:rsidRPr="005C133F" w:rsidRDefault="00A02D96">
      <w:pPr>
        <w:pStyle w:val="Prrafodelista"/>
        <w:numPr>
          <w:ilvl w:val="0"/>
          <w:numId w:val="205"/>
        </w:numPr>
        <w:spacing w:after="0" w:line="360" w:lineRule="auto"/>
        <w:jc w:val="both"/>
        <w:rPr>
          <w:kern w:val="24"/>
          <w:lang w:val="es-DO"/>
        </w:rPr>
      </w:pPr>
      <w:r w:rsidRPr="005C133F">
        <w:rPr>
          <w:b/>
          <w:kern w:val="24"/>
          <w:lang w:val="es-DO"/>
        </w:rPr>
        <w:t>Fortale</w:t>
      </w:r>
      <w:r w:rsidR="00C661FE" w:rsidRPr="005C133F">
        <w:rPr>
          <w:b/>
          <w:kern w:val="24"/>
          <w:lang w:val="es-DO"/>
        </w:rPr>
        <w:t>cer</w:t>
      </w:r>
      <w:r w:rsidRPr="005C133F">
        <w:rPr>
          <w:b/>
          <w:kern w:val="24"/>
          <w:lang w:val="es-DO"/>
        </w:rPr>
        <w:t xml:space="preserve"> la coordinación para la gestión de convenios en el régimen contributivo de los prestadores públicos</w:t>
      </w:r>
      <w:r w:rsidRPr="005C133F">
        <w:rPr>
          <w:kern w:val="24"/>
          <w:lang w:val="es-DO"/>
        </w:rPr>
        <w:t xml:space="preserve"> que cumplan con los requisitos de contratación</w:t>
      </w:r>
      <w:r w:rsidR="00AB4362" w:rsidRPr="005C133F">
        <w:rPr>
          <w:kern w:val="24"/>
          <w:lang w:val="es-DO"/>
        </w:rPr>
        <w:t xml:space="preserve">, </w:t>
      </w:r>
      <w:r w:rsidR="00513432" w:rsidRPr="005C133F">
        <w:rPr>
          <w:kern w:val="24"/>
          <w:lang w:val="es-DO"/>
        </w:rPr>
        <w:t>gestionando la contratación de</w:t>
      </w:r>
      <w:r w:rsidR="00B10AF4" w:rsidRPr="005C133F">
        <w:rPr>
          <w:kern w:val="24"/>
          <w:lang w:val="es-DO"/>
        </w:rPr>
        <w:t>l</w:t>
      </w:r>
      <w:r w:rsidR="00513432" w:rsidRPr="005C133F">
        <w:rPr>
          <w:kern w:val="24"/>
          <w:lang w:val="es-DO"/>
        </w:rPr>
        <w:t xml:space="preserve"> 10% de los centros de primer nivel y el 55% de los centros de segundo y tercer nivel del Servicio Nacional de Salud, a partir de la lista de centros priorizados. </w:t>
      </w:r>
    </w:p>
    <w:p w14:paraId="729EA659" w14:textId="23F18995" w:rsidR="00A02D96" w:rsidRPr="005C133F" w:rsidRDefault="009C6AD5">
      <w:pPr>
        <w:pStyle w:val="Prrafodelista"/>
        <w:numPr>
          <w:ilvl w:val="0"/>
          <w:numId w:val="205"/>
        </w:numPr>
        <w:spacing w:after="0" w:line="360" w:lineRule="auto"/>
        <w:jc w:val="both"/>
        <w:rPr>
          <w:kern w:val="24"/>
          <w:lang w:val="es-DO"/>
        </w:rPr>
      </w:pPr>
      <w:r w:rsidRPr="005C133F">
        <w:rPr>
          <w:b/>
          <w:kern w:val="24"/>
          <w:lang w:val="es-DO"/>
        </w:rPr>
        <w:t>Mejora</w:t>
      </w:r>
      <w:r w:rsidR="00302A49" w:rsidRPr="005C133F">
        <w:rPr>
          <w:b/>
          <w:kern w:val="24"/>
          <w:lang w:val="es-DO"/>
        </w:rPr>
        <w:t>r</w:t>
      </w:r>
      <w:r w:rsidRPr="005C133F">
        <w:rPr>
          <w:b/>
          <w:kern w:val="24"/>
          <w:lang w:val="es-DO"/>
        </w:rPr>
        <w:t xml:space="preserve"> la supervisión del recaudo y la entrega oportuna</w:t>
      </w:r>
      <w:r w:rsidRPr="005C133F">
        <w:rPr>
          <w:kern w:val="24"/>
          <w:lang w:val="es-DO"/>
        </w:rPr>
        <w:t xml:space="preserve"> de </w:t>
      </w:r>
      <w:r w:rsidRPr="005C133F">
        <w:rPr>
          <w:b/>
          <w:kern w:val="24"/>
          <w:lang w:val="es-DO"/>
        </w:rPr>
        <w:t>los subsidios</w:t>
      </w:r>
      <w:r w:rsidRPr="005C133F">
        <w:rPr>
          <w:kern w:val="24"/>
          <w:lang w:val="es-DO"/>
        </w:rPr>
        <w:t xml:space="preserve"> de Maternidad, Lactancia y enfermedad común</w:t>
      </w:r>
      <w:r w:rsidR="00714BE0" w:rsidRPr="005C133F">
        <w:rPr>
          <w:kern w:val="24"/>
          <w:lang w:val="es-DO"/>
        </w:rPr>
        <w:t>, garantizando mayor eficiencia, control y transparencia en estos procesos</w:t>
      </w:r>
      <w:r w:rsidR="00855A74" w:rsidRPr="005C133F">
        <w:rPr>
          <w:kern w:val="24"/>
          <w:lang w:val="es-DO"/>
        </w:rPr>
        <w:t xml:space="preserve">. </w:t>
      </w:r>
    </w:p>
    <w:p w14:paraId="03B709AB" w14:textId="3860AAA1" w:rsidR="009C6AD5" w:rsidRPr="005C133F" w:rsidRDefault="00192786">
      <w:pPr>
        <w:pStyle w:val="Prrafodelista"/>
        <w:numPr>
          <w:ilvl w:val="0"/>
          <w:numId w:val="205"/>
        </w:numPr>
        <w:spacing w:after="0" w:line="360" w:lineRule="auto"/>
        <w:jc w:val="both"/>
        <w:rPr>
          <w:kern w:val="24"/>
          <w:lang w:val="es-DO"/>
        </w:rPr>
      </w:pPr>
      <w:r w:rsidRPr="005C133F">
        <w:rPr>
          <w:b/>
          <w:bCs/>
          <w:kern w:val="24"/>
          <w:lang w:val="es-DO"/>
        </w:rPr>
        <w:t>Optimizar</w:t>
      </w:r>
      <w:r w:rsidR="002D11DE" w:rsidRPr="005C133F">
        <w:rPr>
          <w:b/>
          <w:kern w:val="24"/>
          <w:lang w:val="es-DO"/>
        </w:rPr>
        <w:t xml:space="preserve"> la gestión de las peticiones, quejas, reclamos y sugerencias (PQRS)</w:t>
      </w:r>
      <w:r w:rsidR="00203E9F" w:rsidRPr="005C133F">
        <w:rPr>
          <w:kern w:val="24"/>
          <w:lang w:val="es-DO"/>
        </w:rPr>
        <w:t xml:space="preserve">, </w:t>
      </w:r>
      <w:r w:rsidR="00F833CB" w:rsidRPr="005C133F">
        <w:rPr>
          <w:kern w:val="24"/>
          <w:lang w:val="es-DO"/>
        </w:rPr>
        <w:t>respondiendo de manera oportuna a al menos el 87% de los casos</w:t>
      </w:r>
      <w:r w:rsidR="000A205C" w:rsidRPr="005C133F">
        <w:rPr>
          <w:kern w:val="24"/>
          <w:lang w:val="es-DO"/>
        </w:rPr>
        <w:t xml:space="preserve">. </w:t>
      </w:r>
    </w:p>
    <w:p w14:paraId="3AC0488C" w14:textId="03C67714" w:rsidR="002D11DE" w:rsidRPr="005C133F" w:rsidRDefault="002D11DE">
      <w:pPr>
        <w:pStyle w:val="Prrafodelista"/>
        <w:numPr>
          <w:ilvl w:val="0"/>
          <w:numId w:val="205"/>
        </w:numPr>
        <w:spacing w:after="0" w:line="360" w:lineRule="auto"/>
        <w:jc w:val="both"/>
        <w:rPr>
          <w:kern w:val="24"/>
          <w:lang w:val="es-DO"/>
        </w:rPr>
      </w:pPr>
      <w:r w:rsidRPr="005C133F">
        <w:rPr>
          <w:b/>
          <w:kern w:val="24"/>
          <w:lang w:val="es-DO"/>
        </w:rPr>
        <w:t>Amplia</w:t>
      </w:r>
      <w:r w:rsidR="00B44999" w:rsidRPr="005C133F">
        <w:rPr>
          <w:b/>
          <w:kern w:val="24"/>
          <w:lang w:val="es-DO"/>
        </w:rPr>
        <w:t>r</w:t>
      </w:r>
      <w:r w:rsidRPr="005C133F">
        <w:rPr>
          <w:b/>
          <w:kern w:val="24"/>
          <w:lang w:val="es-DO"/>
        </w:rPr>
        <w:t xml:space="preserve"> el alcance de los programas de información y sensibilización</w:t>
      </w:r>
      <w:r w:rsidRPr="005C133F">
        <w:rPr>
          <w:kern w:val="24"/>
          <w:lang w:val="es-DO"/>
        </w:rPr>
        <w:t xml:space="preserve"> sobre derechos, deberes, funcionamiento del </w:t>
      </w:r>
      <w:r w:rsidRPr="005C133F">
        <w:rPr>
          <w:kern w:val="24"/>
          <w:lang w:val="es-DO"/>
        </w:rPr>
        <w:lastRenderedPageBreak/>
        <w:t>SFS y SRL y canales institucionales disponibles</w:t>
      </w:r>
      <w:r w:rsidR="00931DB7" w:rsidRPr="005C133F">
        <w:rPr>
          <w:kern w:val="24"/>
          <w:lang w:val="es-DO"/>
        </w:rPr>
        <w:t xml:space="preserve"> para la ciudadanía</w:t>
      </w:r>
      <w:r w:rsidRPr="005C133F">
        <w:rPr>
          <w:kern w:val="24"/>
          <w:lang w:val="es-DO"/>
        </w:rPr>
        <w:t>.</w:t>
      </w:r>
    </w:p>
    <w:p w14:paraId="6CDF5BC7" w14:textId="515A6ADC" w:rsidR="002D11DE" w:rsidRPr="005C133F" w:rsidRDefault="005E0266">
      <w:pPr>
        <w:pStyle w:val="Prrafodelista"/>
        <w:numPr>
          <w:ilvl w:val="0"/>
          <w:numId w:val="205"/>
        </w:numPr>
        <w:spacing w:after="0" w:line="360" w:lineRule="auto"/>
        <w:jc w:val="both"/>
        <w:rPr>
          <w:kern w:val="24"/>
          <w:lang w:val="es-DO"/>
        </w:rPr>
      </w:pPr>
      <w:r w:rsidRPr="005C133F">
        <w:rPr>
          <w:b/>
          <w:kern w:val="24"/>
          <w:lang w:val="es-DO"/>
        </w:rPr>
        <w:t>Mejora</w:t>
      </w:r>
      <w:r w:rsidR="00B44999" w:rsidRPr="005C133F">
        <w:rPr>
          <w:b/>
          <w:kern w:val="24"/>
          <w:lang w:val="es-DO"/>
        </w:rPr>
        <w:t>r</w:t>
      </w:r>
      <w:r w:rsidRPr="005C133F">
        <w:rPr>
          <w:b/>
          <w:kern w:val="24"/>
          <w:lang w:val="es-DO"/>
        </w:rPr>
        <w:t xml:space="preserve"> el Desempeño Institucional en el Sistema de Monitoreo y Medición de la Gestión Pública</w:t>
      </w:r>
      <w:r w:rsidR="000263D9" w:rsidRPr="005C133F">
        <w:rPr>
          <w:kern w:val="24"/>
          <w:lang w:val="es-DO"/>
        </w:rPr>
        <w:t xml:space="preserve">, </w:t>
      </w:r>
      <w:r w:rsidR="00D75705" w:rsidRPr="005C133F">
        <w:rPr>
          <w:kern w:val="24"/>
          <w:lang w:val="es-DO"/>
        </w:rPr>
        <w:t>alcanzando al</w:t>
      </w:r>
      <w:r w:rsidR="000263D9" w:rsidRPr="005C133F">
        <w:rPr>
          <w:kern w:val="24"/>
          <w:lang w:val="es-DO"/>
        </w:rPr>
        <w:t xml:space="preserve"> menos un 90% de cumplimiento</w:t>
      </w:r>
      <w:r w:rsidR="00D75705" w:rsidRPr="005C133F">
        <w:rPr>
          <w:kern w:val="24"/>
          <w:lang w:val="es-DO"/>
        </w:rPr>
        <w:t xml:space="preserve"> en los indicadores evaluados</w:t>
      </w:r>
      <w:r w:rsidR="0026374A" w:rsidRPr="005C133F">
        <w:rPr>
          <w:kern w:val="24"/>
          <w:lang w:val="es-DO"/>
        </w:rPr>
        <w:t>.</w:t>
      </w:r>
    </w:p>
    <w:p w14:paraId="7E7A1C15" w14:textId="1471DF39" w:rsidR="005E0266" w:rsidRPr="005C133F" w:rsidRDefault="005E0266">
      <w:pPr>
        <w:pStyle w:val="Prrafodelista"/>
        <w:numPr>
          <w:ilvl w:val="0"/>
          <w:numId w:val="205"/>
        </w:numPr>
        <w:spacing w:after="0" w:line="360" w:lineRule="auto"/>
        <w:jc w:val="both"/>
        <w:rPr>
          <w:kern w:val="24"/>
          <w:lang w:val="es-DO"/>
        </w:rPr>
      </w:pPr>
      <w:r w:rsidRPr="005C133F">
        <w:rPr>
          <w:b/>
          <w:kern w:val="24"/>
          <w:lang w:val="es-DO"/>
        </w:rPr>
        <w:t>Implement</w:t>
      </w:r>
      <w:r w:rsidR="00F40811" w:rsidRPr="005C133F">
        <w:rPr>
          <w:b/>
          <w:kern w:val="24"/>
          <w:lang w:val="es-DO"/>
        </w:rPr>
        <w:t>ar</w:t>
      </w:r>
      <w:r w:rsidRPr="005C133F">
        <w:rPr>
          <w:b/>
          <w:kern w:val="24"/>
          <w:lang w:val="es-DO"/>
        </w:rPr>
        <w:t xml:space="preserve"> el sistema de interoperabilidad entre la SISALRIL, las ARS y las Prestadoras de Servicios de Salud (PSS)</w:t>
      </w:r>
      <w:r w:rsidRPr="005C133F">
        <w:rPr>
          <w:kern w:val="24"/>
          <w:lang w:val="es-DO"/>
        </w:rPr>
        <w:t>, que permite el intercambio automatizado, seguro y en tiempo real de informaciones relacionadas con los servicios de salud y riesgos laborales.</w:t>
      </w:r>
    </w:p>
    <w:p w14:paraId="5737BCE2" w14:textId="4A70DCA6" w:rsidR="00B6694A" w:rsidRPr="005C133F" w:rsidRDefault="00BA0E07">
      <w:pPr>
        <w:pStyle w:val="Prrafodelista"/>
        <w:numPr>
          <w:ilvl w:val="0"/>
          <w:numId w:val="205"/>
        </w:numPr>
        <w:spacing w:after="0" w:line="360" w:lineRule="auto"/>
        <w:jc w:val="both"/>
        <w:rPr>
          <w:kern w:val="24"/>
          <w:lang w:val="es-DO"/>
        </w:rPr>
      </w:pPr>
      <w:r w:rsidRPr="005C133F">
        <w:rPr>
          <w:b/>
          <w:kern w:val="24"/>
          <w:lang w:val="es-DO"/>
        </w:rPr>
        <w:t>Fortalec</w:t>
      </w:r>
      <w:r w:rsidR="00B6694A" w:rsidRPr="005C133F">
        <w:rPr>
          <w:b/>
          <w:kern w:val="24"/>
          <w:lang w:val="es-DO"/>
        </w:rPr>
        <w:t>er</w:t>
      </w:r>
      <w:r w:rsidRPr="005C133F">
        <w:rPr>
          <w:b/>
          <w:kern w:val="24"/>
          <w:lang w:val="es-DO"/>
        </w:rPr>
        <w:t xml:space="preserve"> de la imagen de la SISALRIL</w:t>
      </w:r>
      <w:r w:rsidRPr="005C133F">
        <w:rPr>
          <w:kern w:val="24"/>
          <w:lang w:val="es-DO"/>
        </w:rPr>
        <w:t xml:space="preserve"> </w:t>
      </w:r>
      <w:r w:rsidRPr="005C133F">
        <w:rPr>
          <w:b/>
          <w:kern w:val="24"/>
          <w:lang w:val="es-DO"/>
        </w:rPr>
        <w:t>y mejora</w:t>
      </w:r>
      <w:r w:rsidR="0079276A" w:rsidRPr="005C133F">
        <w:rPr>
          <w:b/>
          <w:kern w:val="24"/>
          <w:lang w:val="es-DO"/>
        </w:rPr>
        <w:t>r</w:t>
      </w:r>
      <w:r w:rsidRPr="005C133F">
        <w:rPr>
          <w:b/>
          <w:kern w:val="24"/>
          <w:lang w:val="es-DO"/>
        </w:rPr>
        <w:t xml:space="preserve"> la comunicación interna</w:t>
      </w:r>
      <w:r w:rsidR="00AC5116" w:rsidRPr="005C133F">
        <w:rPr>
          <w:kern w:val="24"/>
          <w:lang w:val="es-DO"/>
        </w:rPr>
        <w:t xml:space="preserve">, implementando en 100% la estrategia de comunicación </w:t>
      </w:r>
      <w:r w:rsidR="00F9032E" w:rsidRPr="005C133F">
        <w:rPr>
          <w:kern w:val="24"/>
          <w:lang w:val="es-DO"/>
        </w:rPr>
        <w:t>institucional</w:t>
      </w:r>
      <w:r w:rsidR="00AC5116" w:rsidRPr="005C133F">
        <w:rPr>
          <w:kern w:val="24"/>
          <w:lang w:val="es-DO"/>
        </w:rPr>
        <w:t xml:space="preserve"> establecida. </w:t>
      </w:r>
    </w:p>
    <w:p w14:paraId="3C9BA8A3" w14:textId="2E2B52D0" w:rsidR="00B6694A" w:rsidRPr="005C133F" w:rsidRDefault="00B6694A">
      <w:pPr>
        <w:pStyle w:val="Prrafodelista"/>
        <w:numPr>
          <w:ilvl w:val="0"/>
          <w:numId w:val="205"/>
        </w:numPr>
        <w:spacing w:after="0" w:line="360" w:lineRule="auto"/>
        <w:jc w:val="both"/>
        <w:rPr>
          <w:kern w:val="24"/>
          <w:lang w:val="es-DO"/>
        </w:rPr>
      </w:pPr>
      <w:r w:rsidRPr="005C133F">
        <w:rPr>
          <w:b/>
          <w:kern w:val="24"/>
          <w:lang w:val="es-DO"/>
        </w:rPr>
        <w:t>Implementar</w:t>
      </w:r>
      <w:r w:rsidR="007C21E4" w:rsidRPr="005C133F">
        <w:rPr>
          <w:b/>
          <w:kern w:val="24"/>
          <w:lang w:val="es-DO"/>
        </w:rPr>
        <w:t xml:space="preserve"> </w:t>
      </w:r>
      <w:r w:rsidR="003644BF" w:rsidRPr="005C133F">
        <w:rPr>
          <w:b/>
          <w:bCs/>
          <w:kern w:val="24"/>
          <w:lang w:val="es-DO"/>
        </w:rPr>
        <w:t>en su totalidad</w:t>
      </w:r>
      <w:r w:rsidR="007C21E4" w:rsidRPr="005C133F">
        <w:rPr>
          <w:b/>
          <w:bCs/>
          <w:kern w:val="24"/>
          <w:lang w:val="es-DO"/>
        </w:rPr>
        <w:t xml:space="preserve"> </w:t>
      </w:r>
      <w:r w:rsidR="00EB1526" w:rsidRPr="005C133F">
        <w:rPr>
          <w:b/>
          <w:bCs/>
          <w:kern w:val="24"/>
          <w:lang w:val="es-DO"/>
        </w:rPr>
        <w:t>e</w:t>
      </w:r>
      <w:r w:rsidR="00754CC8" w:rsidRPr="005C133F">
        <w:rPr>
          <w:b/>
          <w:bCs/>
          <w:kern w:val="24"/>
          <w:lang w:val="es-DO"/>
        </w:rPr>
        <w:t xml:space="preserve">l </w:t>
      </w:r>
      <w:r w:rsidR="003644BF" w:rsidRPr="005C133F">
        <w:rPr>
          <w:b/>
          <w:bCs/>
          <w:kern w:val="24"/>
          <w:lang w:val="es-DO"/>
        </w:rPr>
        <w:t>nuevo</w:t>
      </w:r>
      <w:r w:rsidR="00754CC8" w:rsidRPr="005C133F">
        <w:rPr>
          <w:b/>
          <w:kern w:val="24"/>
          <w:lang w:val="es-DO"/>
        </w:rPr>
        <w:t xml:space="preserve"> </w:t>
      </w:r>
      <w:r w:rsidR="007C21E4" w:rsidRPr="005C133F">
        <w:rPr>
          <w:b/>
          <w:kern w:val="24"/>
          <w:lang w:val="es-DO"/>
        </w:rPr>
        <w:t>S</w:t>
      </w:r>
      <w:r w:rsidR="00EB1526" w:rsidRPr="005C133F">
        <w:rPr>
          <w:b/>
          <w:kern w:val="24"/>
          <w:lang w:val="es-DO"/>
        </w:rPr>
        <w:t xml:space="preserve">istema de </w:t>
      </w:r>
      <w:r w:rsidR="007C21E4" w:rsidRPr="005C133F">
        <w:rPr>
          <w:b/>
          <w:kern w:val="24"/>
          <w:lang w:val="es-DO"/>
        </w:rPr>
        <w:t>C</w:t>
      </w:r>
      <w:r w:rsidR="00EB1526" w:rsidRPr="005C133F">
        <w:rPr>
          <w:b/>
          <w:kern w:val="24"/>
          <w:lang w:val="es-DO"/>
        </w:rPr>
        <w:t xml:space="preserve">ontrol de </w:t>
      </w:r>
      <w:r w:rsidR="007C21E4" w:rsidRPr="005C133F">
        <w:rPr>
          <w:b/>
          <w:kern w:val="24"/>
          <w:lang w:val="es-DO"/>
        </w:rPr>
        <w:t>S</w:t>
      </w:r>
      <w:r w:rsidR="00EB1526" w:rsidRPr="005C133F">
        <w:rPr>
          <w:b/>
          <w:kern w:val="24"/>
          <w:lang w:val="es-DO"/>
        </w:rPr>
        <w:t>ubsidios</w:t>
      </w:r>
      <w:r w:rsidR="00EB1526" w:rsidRPr="005C133F">
        <w:rPr>
          <w:kern w:val="24"/>
          <w:lang w:val="es-DO"/>
        </w:rPr>
        <w:t xml:space="preserve">, orientado a mejorar la eficiencia, </w:t>
      </w:r>
      <w:r w:rsidR="003644BF" w:rsidRPr="005C133F">
        <w:rPr>
          <w:kern w:val="24"/>
          <w:lang w:val="es-DO"/>
        </w:rPr>
        <w:t xml:space="preserve">la operatividad, </w:t>
      </w:r>
      <w:r w:rsidR="00EB1526" w:rsidRPr="005C133F">
        <w:rPr>
          <w:kern w:val="24"/>
          <w:lang w:val="es-DO"/>
        </w:rPr>
        <w:t xml:space="preserve">reducir errores y tiempos de respuesta, y fortalecer la transparencia y trazabilidad en la gestión de fondos </w:t>
      </w:r>
      <w:r w:rsidR="003644BF" w:rsidRPr="005C133F">
        <w:rPr>
          <w:kern w:val="24"/>
          <w:lang w:val="es-DO"/>
        </w:rPr>
        <w:t xml:space="preserve">incorporando </w:t>
      </w:r>
      <w:r w:rsidR="003B623E" w:rsidRPr="005C133F">
        <w:rPr>
          <w:kern w:val="24"/>
          <w:lang w:val="es-DO"/>
        </w:rPr>
        <w:t>mejora sustantiva en</w:t>
      </w:r>
      <w:r w:rsidR="00EB1526" w:rsidRPr="005C133F">
        <w:rPr>
          <w:kern w:val="24"/>
          <w:lang w:val="es-DO"/>
        </w:rPr>
        <w:t xml:space="preserve"> los procesos</w:t>
      </w:r>
      <w:r w:rsidR="003B623E" w:rsidRPr="005C133F">
        <w:rPr>
          <w:kern w:val="24"/>
          <w:lang w:val="es-DO"/>
        </w:rPr>
        <w:t xml:space="preserve"> institucionales</w:t>
      </w:r>
      <w:r w:rsidR="00EB1526" w:rsidRPr="005C133F">
        <w:rPr>
          <w:kern w:val="24"/>
          <w:lang w:val="es-DO"/>
        </w:rPr>
        <w:t xml:space="preserve">. </w:t>
      </w:r>
    </w:p>
    <w:p w14:paraId="4CC26998" w14:textId="0AF16141" w:rsidR="00511B94" w:rsidRPr="005C133F" w:rsidRDefault="00B6694A">
      <w:pPr>
        <w:pStyle w:val="Prrafodelista"/>
        <w:numPr>
          <w:ilvl w:val="0"/>
          <w:numId w:val="205"/>
        </w:numPr>
        <w:spacing w:after="0" w:line="360" w:lineRule="auto"/>
        <w:jc w:val="both"/>
        <w:rPr>
          <w:kern w:val="24"/>
          <w:lang w:val="es-DO"/>
        </w:rPr>
      </w:pPr>
      <w:r w:rsidRPr="005C133F">
        <w:rPr>
          <w:b/>
          <w:kern w:val="24"/>
          <w:lang w:val="es-DO"/>
        </w:rPr>
        <w:t>G</w:t>
      </w:r>
      <w:r w:rsidR="005513DE" w:rsidRPr="005C133F">
        <w:rPr>
          <w:b/>
          <w:kern w:val="24"/>
          <w:lang w:val="es-DO"/>
        </w:rPr>
        <w:t>estionar</w:t>
      </w:r>
      <w:r w:rsidR="00A214A1" w:rsidRPr="005C133F">
        <w:rPr>
          <w:b/>
          <w:kern w:val="24"/>
          <w:lang w:val="es-DO"/>
        </w:rPr>
        <w:t xml:space="preserve"> </w:t>
      </w:r>
      <w:r w:rsidR="00EE457A" w:rsidRPr="005C133F">
        <w:rPr>
          <w:b/>
          <w:kern w:val="24"/>
          <w:lang w:val="es-DO"/>
        </w:rPr>
        <w:t>la adquisición de una solución ERP</w:t>
      </w:r>
      <w:r w:rsidR="00EE457A" w:rsidRPr="005C133F">
        <w:rPr>
          <w:kern w:val="24"/>
          <w:lang w:val="es-DO"/>
        </w:rPr>
        <w:t xml:space="preserve">, una plataforma integral para </w:t>
      </w:r>
      <w:r w:rsidR="003B623E" w:rsidRPr="005C133F">
        <w:rPr>
          <w:kern w:val="24"/>
          <w:lang w:val="es-DO"/>
        </w:rPr>
        <w:t>la automatización</w:t>
      </w:r>
      <w:r w:rsidR="00EE457A" w:rsidRPr="005C133F">
        <w:rPr>
          <w:kern w:val="24"/>
          <w:lang w:val="es-DO"/>
        </w:rPr>
        <w:t xml:space="preserve"> y </w:t>
      </w:r>
      <w:r w:rsidR="003B623E" w:rsidRPr="005C133F">
        <w:rPr>
          <w:kern w:val="24"/>
          <w:lang w:val="es-DO"/>
        </w:rPr>
        <w:t>unificación</w:t>
      </w:r>
      <w:r w:rsidR="00EE457A" w:rsidRPr="005C133F">
        <w:rPr>
          <w:kern w:val="24"/>
          <w:lang w:val="es-DO"/>
        </w:rPr>
        <w:t xml:space="preserve"> los procesos administrativos clave de la SISALRIL, </w:t>
      </w:r>
      <w:r w:rsidR="004D6917" w:rsidRPr="005C133F">
        <w:rPr>
          <w:kern w:val="24"/>
          <w:lang w:val="es-DO"/>
        </w:rPr>
        <w:t>(</w:t>
      </w:r>
      <w:r w:rsidR="00EE457A" w:rsidRPr="005C133F">
        <w:rPr>
          <w:kern w:val="24"/>
          <w:lang w:val="es-DO"/>
        </w:rPr>
        <w:t>compras, inventario, contabilidad y finanzas</w:t>
      </w:r>
      <w:r w:rsidR="004D6917" w:rsidRPr="005C133F">
        <w:rPr>
          <w:kern w:val="24"/>
          <w:lang w:val="es-DO"/>
        </w:rPr>
        <w:t>), con el fin</w:t>
      </w:r>
      <w:r w:rsidR="00BC6C7A" w:rsidRPr="005C133F">
        <w:rPr>
          <w:kern w:val="24"/>
          <w:lang w:val="es-DO"/>
        </w:rPr>
        <w:t xml:space="preserve"> de fortalecer</w:t>
      </w:r>
      <w:r w:rsidR="00EE457A" w:rsidRPr="005C133F">
        <w:rPr>
          <w:kern w:val="24"/>
          <w:lang w:val="es-DO"/>
        </w:rPr>
        <w:t xml:space="preserve"> la transparencia</w:t>
      </w:r>
      <w:r w:rsidR="003E7C64" w:rsidRPr="005C133F">
        <w:rPr>
          <w:kern w:val="24"/>
          <w:lang w:val="es-DO"/>
        </w:rPr>
        <w:t>,</w:t>
      </w:r>
      <w:r w:rsidR="00EE457A" w:rsidRPr="005C133F">
        <w:rPr>
          <w:kern w:val="24"/>
          <w:lang w:val="es-DO"/>
        </w:rPr>
        <w:t xml:space="preserve"> la calidad del gasto</w:t>
      </w:r>
      <w:r w:rsidR="00FF1AF2" w:rsidRPr="005C133F">
        <w:rPr>
          <w:kern w:val="24"/>
          <w:lang w:val="es-DO"/>
        </w:rPr>
        <w:t>,</w:t>
      </w:r>
      <w:r w:rsidR="00EE457A" w:rsidRPr="005C133F">
        <w:rPr>
          <w:kern w:val="24"/>
          <w:lang w:val="es-DO"/>
        </w:rPr>
        <w:t xml:space="preserve"> el control de los activos institucionales</w:t>
      </w:r>
      <w:r w:rsidR="00FF1AF2" w:rsidRPr="005C133F">
        <w:rPr>
          <w:kern w:val="24"/>
          <w:lang w:val="es-DO"/>
        </w:rPr>
        <w:t xml:space="preserve"> y </w:t>
      </w:r>
      <w:r w:rsidR="00EE457A" w:rsidRPr="005C133F">
        <w:rPr>
          <w:kern w:val="24"/>
          <w:lang w:val="es-DO"/>
        </w:rPr>
        <w:t xml:space="preserve">la correcta dispersión de </w:t>
      </w:r>
      <w:r w:rsidR="00FF1AF2" w:rsidRPr="005C133F">
        <w:rPr>
          <w:kern w:val="24"/>
          <w:lang w:val="es-DO"/>
        </w:rPr>
        <w:t xml:space="preserve">los </w:t>
      </w:r>
      <w:r w:rsidR="00EE457A" w:rsidRPr="005C133F">
        <w:rPr>
          <w:kern w:val="24"/>
          <w:lang w:val="es-DO"/>
        </w:rPr>
        <w:t>fondos destinados a</w:t>
      </w:r>
      <w:r w:rsidR="00FF1AF2" w:rsidRPr="005C133F">
        <w:rPr>
          <w:kern w:val="24"/>
          <w:lang w:val="es-DO"/>
        </w:rPr>
        <w:t xml:space="preserve"> </w:t>
      </w:r>
      <w:r w:rsidR="00EE457A" w:rsidRPr="005C133F">
        <w:rPr>
          <w:kern w:val="24"/>
          <w:lang w:val="es-DO"/>
        </w:rPr>
        <w:t>l</w:t>
      </w:r>
      <w:r w:rsidR="00FF1AF2" w:rsidRPr="005C133F">
        <w:rPr>
          <w:kern w:val="24"/>
          <w:lang w:val="es-DO"/>
        </w:rPr>
        <w:t>a</w:t>
      </w:r>
      <w:r w:rsidR="00EE457A" w:rsidRPr="005C133F">
        <w:rPr>
          <w:kern w:val="24"/>
          <w:lang w:val="es-DO"/>
        </w:rPr>
        <w:t xml:space="preserve"> </w:t>
      </w:r>
      <w:r w:rsidR="00FF1AF2" w:rsidRPr="005C133F">
        <w:rPr>
          <w:kern w:val="24"/>
          <w:lang w:val="es-DO"/>
        </w:rPr>
        <w:t>ciudadanía</w:t>
      </w:r>
      <w:r w:rsidR="00EE457A" w:rsidRPr="005C133F">
        <w:rPr>
          <w:kern w:val="24"/>
          <w:lang w:val="es-DO"/>
        </w:rPr>
        <w:t xml:space="preserve">. </w:t>
      </w:r>
    </w:p>
    <w:p w14:paraId="20B9B31C" w14:textId="77777777" w:rsidR="00A144A2" w:rsidRPr="005C133F" w:rsidRDefault="00A144A2" w:rsidP="005C133F">
      <w:pPr>
        <w:spacing w:after="0" w:line="360" w:lineRule="auto"/>
        <w:ind w:left="360"/>
        <w:jc w:val="both"/>
        <w:rPr>
          <w:highlight w:val="yellow"/>
          <w:lang w:val="es-DO"/>
        </w:rPr>
      </w:pPr>
    </w:p>
    <w:p w14:paraId="4177B892" w14:textId="77777777" w:rsidR="00A144A2" w:rsidRPr="005C133F" w:rsidRDefault="00A144A2" w:rsidP="005C133F">
      <w:pPr>
        <w:pStyle w:val="Prrafodelista"/>
        <w:spacing w:after="0" w:line="360" w:lineRule="auto"/>
        <w:jc w:val="both"/>
        <w:rPr>
          <w:highlight w:val="lightGray"/>
          <w:lang w:val="es-ES"/>
        </w:rPr>
      </w:pPr>
    </w:p>
    <w:p w14:paraId="6D0138B4" w14:textId="77777777" w:rsidR="00511B94" w:rsidRPr="005C133F" w:rsidRDefault="00511B94" w:rsidP="005C133F">
      <w:pPr>
        <w:spacing w:after="0" w:line="360" w:lineRule="auto"/>
        <w:rPr>
          <w:rFonts w:eastAsia="Calibri"/>
          <w:b/>
          <w:bCs/>
          <w:noProof/>
          <w:lang w:val="es-ES"/>
        </w:rPr>
      </w:pPr>
    </w:p>
    <w:p w14:paraId="6BCE25CA" w14:textId="77777777" w:rsidR="00511B94" w:rsidRPr="005C133F" w:rsidRDefault="00511B94" w:rsidP="005C133F">
      <w:pPr>
        <w:spacing w:after="0" w:line="360" w:lineRule="auto"/>
        <w:rPr>
          <w:rFonts w:eastAsia="Calibri"/>
          <w:b/>
          <w:bCs/>
          <w:noProof/>
          <w:lang w:val="es-ES"/>
        </w:rPr>
      </w:pPr>
    </w:p>
    <w:p w14:paraId="4DA28B39" w14:textId="77777777" w:rsidR="00511B94" w:rsidRPr="005C133F" w:rsidRDefault="00511B94" w:rsidP="005C133F">
      <w:pPr>
        <w:spacing w:after="0" w:line="360" w:lineRule="auto"/>
        <w:rPr>
          <w:rFonts w:eastAsia="Calibri"/>
          <w:b/>
          <w:bCs/>
          <w:noProof/>
          <w:lang w:val="es-ES"/>
        </w:rPr>
        <w:sectPr w:rsidR="00511B94" w:rsidRPr="005C133F" w:rsidSect="004307AB">
          <w:footerReference w:type="default" r:id="rId73"/>
          <w:pgSz w:w="12240" w:h="15840"/>
          <w:pgMar w:top="1440" w:right="2160" w:bottom="1440" w:left="2160" w:header="720" w:footer="720" w:gutter="0"/>
          <w:cols w:space="720"/>
          <w:docGrid w:linePitch="360"/>
        </w:sectPr>
      </w:pPr>
    </w:p>
    <w:p w14:paraId="2F01BD01" w14:textId="72741C6A" w:rsidR="00DF3DCE" w:rsidRPr="00291603" w:rsidRDefault="004A787F" w:rsidP="005C133F">
      <w:pPr>
        <w:pStyle w:val="Ttulo1"/>
        <w:rPr>
          <w:rFonts w:cs="Times New Roman"/>
          <w:color w:val="767171"/>
          <w:szCs w:val="28"/>
          <w:lang w:val="es-DO"/>
        </w:rPr>
      </w:pPr>
      <w:bookmarkStart w:id="153" w:name="_Toc219121864"/>
      <w:r w:rsidRPr="00291603">
        <w:rPr>
          <w:rFonts w:cs="Times New Roman"/>
          <w:color w:val="767171"/>
          <w:szCs w:val="28"/>
          <w:lang w:val="es-DO"/>
        </w:rPr>
        <w:lastRenderedPageBreak/>
        <w:t>VII.</w:t>
      </w:r>
      <w:r w:rsidR="000D4D13">
        <w:rPr>
          <w:rFonts w:cs="Times New Roman"/>
          <w:color w:val="767171"/>
          <w:szCs w:val="28"/>
          <w:lang w:val="es-DO"/>
        </w:rPr>
        <w:t xml:space="preserve"> </w:t>
      </w:r>
      <w:r w:rsidRPr="00291603">
        <w:rPr>
          <w:rFonts w:cs="Times New Roman"/>
          <w:color w:val="767171"/>
          <w:szCs w:val="28"/>
          <w:lang w:val="es-DO"/>
        </w:rPr>
        <w:t>ANEXOS</w:t>
      </w:r>
      <w:bookmarkEnd w:id="153"/>
    </w:p>
    <w:p w14:paraId="31112D7B" w14:textId="7B0A923C" w:rsidR="00D11C32" w:rsidRPr="005C133F" w:rsidRDefault="00D11C32" w:rsidP="005C133F">
      <w:pPr>
        <w:spacing w:after="0" w:line="360" w:lineRule="auto"/>
        <w:rPr>
          <w:lang w:val="es-DO"/>
        </w:rPr>
      </w:pPr>
      <w:r w:rsidRPr="005C133F">
        <w:rPr>
          <w:rFonts w:eastAsia="Calibri"/>
          <w:noProof/>
          <w:lang w:val="es-DO" w:eastAsia="es-DO"/>
        </w:rPr>
        <mc:AlternateContent>
          <mc:Choice Requires="wps">
            <w:drawing>
              <wp:anchor distT="0" distB="0" distL="114300" distR="114300" simplePos="0" relativeHeight="251658250" behindDoc="0" locked="0" layoutInCell="1" allowOverlap="1" wp14:anchorId="5F98FDBB" wp14:editId="07391F0C">
                <wp:simplePos x="0" y="0"/>
                <wp:positionH relativeFrom="margin">
                  <wp:align>center</wp:align>
                </wp:positionH>
                <wp:positionV relativeFrom="paragraph">
                  <wp:posOffset>28575</wp:posOffset>
                </wp:positionV>
                <wp:extent cx="463550" cy="0"/>
                <wp:effectExtent l="0" t="19050" r="31750" b="19050"/>
                <wp:wrapNone/>
                <wp:docPr id="21997741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43258" id="Straight Connector 8" o:spid="_x0000_s1026" style="position:absolute;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T44y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pjfgJ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1E+OMtgAAAADAQAADwAAAAAAAAAAAAAA&#10;AAAgBAAAZHJzL2Rvd25yZXYueG1sUEsFBgAAAAAEAAQA8wAAACUFAAAAAA==&#10;" strokecolor="#ee2a24" strokeweight="2.25pt">
                <v:stroke joinstyle="miter"/>
                <w10:wrap anchorx="margin"/>
              </v:line>
            </w:pict>
          </mc:Fallback>
        </mc:AlternateContent>
      </w:r>
    </w:p>
    <w:p w14:paraId="246EA0B2" w14:textId="77777777" w:rsidR="000D4D13" w:rsidRPr="005C133F" w:rsidRDefault="000D4D13" w:rsidP="009B4ED1">
      <w:pPr>
        <w:spacing w:after="0" w:line="360" w:lineRule="auto"/>
        <w:jc w:val="center"/>
        <w:rPr>
          <w:lang w:val="es-DO"/>
        </w:rPr>
      </w:pPr>
      <w:r w:rsidRPr="005C133F">
        <w:rPr>
          <w:lang w:val="es-DO"/>
        </w:rPr>
        <w:t>Memoria Institucional 2025</w:t>
      </w:r>
    </w:p>
    <w:p w14:paraId="0E6384CA" w14:textId="77777777" w:rsidR="000D4D13" w:rsidRPr="000D4D13" w:rsidRDefault="000D4D13" w:rsidP="000D4D13"/>
    <w:p w14:paraId="34C373F1" w14:textId="755718EE" w:rsidR="001E07D4" w:rsidRPr="005C133F" w:rsidRDefault="00CD272C" w:rsidP="00553F23">
      <w:pPr>
        <w:pStyle w:val="SUBTITULITO"/>
        <w:numPr>
          <w:ilvl w:val="1"/>
          <w:numId w:val="142"/>
        </w:numPr>
        <w:spacing w:after="0"/>
        <w:jc w:val="left"/>
      </w:pPr>
      <w:bookmarkStart w:id="154" w:name="_Toc219121865"/>
      <w:r w:rsidRPr="005C133F">
        <w:rPr>
          <w:rFonts w:eastAsia="Calibri"/>
        </w:rPr>
        <w:t xml:space="preserve">Matriz de </w:t>
      </w:r>
      <w:r w:rsidR="00953CA0">
        <w:rPr>
          <w:rFonts w:eastAsia="Calibri"/>
        </w:rPr>
        <w:t>L</w:t>
      </w:r>
      <w:r w:rsidRPr="005C133F">
        <w:rPr>
          <w:rFonts w:eastAsia="Calibri"/>
        </w:rPr>
        <w:t xml:space="preserve">ogros </w:t>
      </w:r>
      <w:r w:rsidR="00953CA0">
        <w:rPr>
          <w:rFonts w:eastAsia="Calibri"/>
        </w:rPr>
        <w:t>R</w:t>
      </w:r>
      <w:r w:rsidRPr="005C133F">
        <w:rPr>
          <w:rFonts w:eastAsia="Calibri"/>
        </w:rPr>
        <w:t>elevantes</w:t>
      </w:r>
      <w:bookmarkEnd w:id="154"/>
    </w:p>
    <w:tbl>
      <w:tblPr>
        <w:tblW w:w="0" w:type="auto"/>
        <w:jc w:val="center"/>
        <w:tblCellMar>
          <w:left w:w="70" w:type="dxa"/>
          <w:right w:w="70" w:type="dxa"/>
        </w:tblCellMar>
        <w:tblLook w:val="04A0" w:firstRow="1" w:lastRow="0" w:firstColumn="1" w:lastColumn="0" w:noHBand="0" w:noVBand="1"/>
      </w:tblPr>
      <w:tblGrid>
        <w:gridCol w:w="2359"/>
        <w:gridCol w:w="1823"/>
        <w:gridCol w:w="1340"/>
        <w:gridCol w:w="1220"/>
        <w:gridCol w:w="1340"/>
        <w:gridCol w:w="1340"/>
        <w:gridCol w:w="1340"/>
        <w:gridCol w:w="1220"/>
        <w:gridCol w:w="1340"/>
        <w:gridCol w:w="1340"/>
        <w:gridCol w:w="1314"/>
        <w:gridCol w:w="1220"/>
        <w:gridCol w:w="1340"/>
        <w:gridCol w:w="1340"/>
        <w:gridCol w:w="1714"/>
      </w:tblGrid>
      <w:tr w:rsidR="004C4D73" w:rsidRPr="005C133F" w14:paraId="6AED1FCC" w14:textId="77777777" w:rsidTr="009B4ED1">
        <w:trPr>
          <w:trHeight w:val="320"/>
          <w:jc w:val="center"/>
        </w:trPr>
        <w:tc>
          <w:tcPr>
            <w:tcW w:w="0" w:type="auto"/>
            <w:gridSpan w:val="2"/>
            <w:tcBorders>
              <w:top w:val="single" w:sz="4" w:space="0" w:color="767171"/>
              <w:left w:val="single" w:sz="4" w:space="0" w:color="767171"/>
              <w:bottom w:val="single" w:sz="4" w:space="0" w:color="767171"/>
              <w:right w:val="single" w:sz="4" w:space="0" w:color="767171"/>
            </w:tcBorders>
            <w:shd w:val="clear" w:color="000000" w:fill="011C50"/>
            <w:noWrap/>
            <w:vAlign w:val="bottom"/>
            <w:hideMark/>
          </w:tcPr>
          <w:p w14:paraId="3BB0BF9E"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Producto/Servicio </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6B3F122"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Enero </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40366BEF"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Febrero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2D78DB7"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Marzo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22644973"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Abril</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7C627B72"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Mayo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6926BDDF"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Junio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E4EFECA"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Julio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79138A5"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Agosto</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6936BA53"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Septiembre</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7396FEAE"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Octubre</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2B55512"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Noviembre</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018D50C2" w14:textId="0F89D21D"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Diciembre</w:t>
            </w:r>
            <w:r w:rsidR="0028543E" w:rsidRPr="005C133F">
              <w:rPr>
                <w:rFonts w:eastAsia="Times New Roman"/>
                <w:b/>
                <w:bCs/>
                <w:color w:val="FFFFFF" w:themeColor="background1"/>
                <w:spacing w:val="0"/>
                <w:lang w:val="es-DO" w:eastAsia="es-DO"/>
              </w:rPr>
              <w:t>*</w:t>
            </w:r>
          </w:p>
        </w:tc>
        <w:tc>
          <w:tcPr>
            <w:tcW w:w="0" w:type="auto"/>
            <w:tcBorders>
              <w:top w:val="single" w:sz="4" w:space="0" w:color="767171"/>
              <w:left w:val="nil"/>
              <w:bottom w:val="single" w:sz="4" w:space="0" w:color="767171"/>
              <w:right w:val="single" w:sz="4" w:space="0" w:color="767171"/>
            </w:tcBorders>
            <w:shd w:val="clear" w:color="000000" w:fill="011C50"/>
            <w:noWrap/>
            <w:vAlign w:val="bottom"/>
            <w:hideMark/>
          </w:tcPr>
          <w:p w14:paraId="255FE551" w14:textId="77777777" w:rsidR="001E07D4" w:rsidRPr="005C133F" w:rsidRDefault="001E07D4"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Total Año 2025</w:t>
            </w:r>
          </w:p>
        </w:tc>
      </w:tr>
      <w:tr w:rsidR="004921FF" w:rsidRPr="005C133F" w14:paraId="09709649" w14:textId="77777777" w:rsidTr="009B4ED1">
        <w:trPr>
          <w:trHeight w:val="188"/>
          <w:jc w:val="center"/>
        </w:trPr>
        <w:tc>
          <w:tcPr>
            <w:tcW w:w="0" w:type="auto"/>
            <w:vMerge w:val="restart"/>
            <w:tcBorders>
              <w:top w:val="nil"/>
              <w:left w:val="single" w:sz="4" w:space="0" w:color="767171"/>
              <w:bottom w:val="single" w:sz="4" w:space="0" w:color="767171"/>
              <w:right w:val="single" w:sz="4" w:space="0" w:color="767171"/>
            </w:tcBorders>
            <w:vAlign w:val="center"/>
            <w:hideMark/>
          </w:tcPr>
          <w:p w14:paraId="25E9B7D4" w14:textId="77777777" w:rsidR="00706AC4" w:rsidRPr="005C133F" w:rsidRDefault="00706AC4" w:rsidP="007A103E">
            <w:pPr>
              <w:spacing w:after="0" w:line="240" w:lineRule="auto"/>
              <w:rPr>
                <w:rFonts w:eastAsia="Times New Roman"/>
                <w:spacing w:val="0"/>
                <w:lang w:val="es-DO" w:eastAsia="es-DO"/>
              </w:rPr>
            </w:pPr>
            <w:r w:rsidRPr="005C133F">
              <w:rPr>
                <w:rFonts w:eastAsia="Times New Roman"/>
                <w:spacing w:val="0"/>
                <w:lang w:val="es-DO" w:eastAsia="es-DO"/>
              </w:rPr>
              <w:t xml:space="preserve">6345-Ciudadanos con Protección en los Servicios de Salud y Riesgos Laborales </w:t>
            </w:r>
          </w:p>
        </w:tc>
        <w:tc>
          <w:tcPr>
            <w:tcW w:w="0" w:type="auto"/>
            <w:tcBorders>
              <w:top w:val="nil"/>
              <w:left w:val="nil"/>
              <w:bottom w:val="single" w:sz="4" w:space="0" w:color="767171"/>
              <w:right w:val="single" w:sz="4" w:space="0" w:color="767171"/>
            </w:tcBorders>
            <w:vAlign w:val="center"/>
            <w:hideMark/>
          </w:tcPr>
          <w:p w14:paraId="123E12AA" w14:textId="49D42AC4" w:rsidR="00706AC4" w:rsidRPr="005C133F" w:rsidRDefault="00867BA3"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Afiliados al </w:t>
            </w:r>
            <w:r w:rsidR="00706AC4" w:rsidRPr="005C133F">
              <w:rPr>
                <w:rFonts w:eastAsia="Times New Roman"/>
                <w:spacing w:val="0"/>
                <w:lang w:val="es-DO" w:eastAsia="es-DO"/>
              </w:rPr>
              <w:t>Seguro Familiar de Salud (SFS)</w:t>
            </w:r>
          </w:p>
        </w:tc>
        <w:tc>
          <w:tcPr>
            <w:tcW w:w="0" w:type="auto"/>
            <w:tcBorders>
              <w:top w:val="nil"/>
              <w:left w:val="nil"/>
              <w:bottom w:val="single" w:sz="4" w:space="0" w:color="767171"/>
              <w:right w:val="single" w:sz="4" w:space="0" w:color="767171"/>
            </w:tcBorders>
            <w:noWrap/>
            <w:vAlign w:val="center"/>
            <w:hideMark/>
          </w:tcPr>
          <w:p w14:paraId="5D680AA5" w14:textId="77777777" w:rsidR="00867BA3" w:rsidRPr="005C133F" w:rsidRDefault="00867BA3" w:rsidP="007A103E">
            <w:pPr>
              <w:spacing w:after="0" w:line="240" w:lineRule="auto"/>
              <w:jc w:val="center"/>
              <w:rPr>
                <w:rFonts w:eastAsia="Times New Roman"/>
                <w:spacing w:val="0"/>
                <w:lang w:val="es-DO" w:eastAsia="es-DO"/>
              </w:rPr>
            </w:pPr>
          </w:p>
          <w:p w14:paraId="725EC4A5"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10,538,353</w:t>
            </w:r>
          </w:p>
        </w:tc>
        <w:tc>
          <w:tcPr>
            <w:tcW w:w="0" w:type="auto"/>
            <w:tcBorders>
              <w:top w:val="nil"/>
              <w:left w:val="nil"/>
              <w:bottom w:val="single" w:sz="4" w:space="0" w:color="767171"/>
              <w:right w:val="single" w:sz="4" w:space="0" w:color="767171"/>
            </w:tcBorders>
            <w:noWrap/>
            <w:vAlign w:val="center"/>
            <w:hideMark/>
          </w:tcPr>
          <w:p w14:paraId="279863A0" w14:textId="77777777" w:rsidR="00867BA3" w:rsidRPr="005C133F" w:rsidRDefault="00867BA3" w:rsidP="007A103E">
            <w:pPr>
              <w:spacing w:after="0" w:line="240" w:lineRule="auto"/>
              <w:jc w:val="center"/>
              <w:rPr>
                <w:rFonts w:eastAsia="Times New Roman"/>
                <w:spacing w:val="0"/>
                <w:lang w:val="es-DO" w:eastAsia="es-DO"/>
              </w:rPr>
            </w:pPr>
          </w:p>
          <w:p w14:paraId="38AAD352"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10,513,916</w:t>
            </w:r>
          </w:p>
        </w:tc>
        <w:tc>
          <w:tcPr>
            <w:tcW w:w="0" w:type="auto"/>
            <w:tcBorders>
              <w:top w:val="nil"/>
              <w:left w:val="nil"/>
              <w:bottom w:val="single" w:sz="4" w:space="0" w:color="767171"/>
              <w:right w:val="single" w:sz="4" w:space="0" w:color="767171"/>
            </w:tcBorders>
            <w:noWrap/>
            <w:vAlign w:val="center"/>
            <w:hideMark/>
          </w:tcPr>
          <w:p w14:paraId="62A442C8" w14:textId="77777777" w:rsidR="00867BA3" w:rsidRPr="005C133F" w:rsidRDefault="00867BA3" w:rsidP="007A103E">
            <w:pPr>
              <w:spacing w:after="0" w:line="240" w:lineRule="auto"/>
              <w:jc w:val="center"/>
              <w:rPr>
                <w:rFonts w:eastAsia="Times New Roman"/>
                <w:spacing w:val="0"/>
                <w:lang w:val="es-DO" w:eastAsia="es-DO"/>
              </w:rPr>
            </w:pPr>
          </w:p>
          <w:p w14:paraId="0C79C17E"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10,554,463</w:t>
            </w:r>
          </w:p>
        </w:tc>
        <w:tc>
          <w:tcPr>
            <w:tcW w:w="0" w:type="auto"/>
            <w:tcBorders>
              <w:top w:val="nil"/>
              <w:left w:val="nil"/>
              <w:bottom w:val="single" w:sz="4" w:space="0" w:color="767171"/>
              <w:right w:val="single" w:sz="4" w:space="0" w:color="767171"/>
            </w:tcBorders>
            <w:noWrap/>
            <w:vAlign w:val="center"/>
            <w:hideMark/>
          </w:tcPr>
          <w:p w14:paraId="4D159895" w14:textId="77777777" w:rsidR="00867BA3" w:rsidRPr="005C133F" w:rsidRDefault="00867BA3" w:rsidP="007A103E">
            <w:pPr>
              <w:spacing w:after="0" w:line="240" w:lineRule="auto"/>
              <w:jc w:val="center"/>
              <w:rPr>
                <w:rFonts w:eastAsia="Times New Roman"/>
                <w:spacing w:val="0"/>
                <w:lang w:val="es-DO" w:eastAsia="es-DO"/>
              </w:rPr>
            </w:pPr>
          </w:p>
          <w:p w14:paraId="3600A3F0"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10,564,432</w:t>
            </w:r>
          </w:p>
        </w:tc>
        <w:tc>
          <w:tcPr>
            <w:tcW w:w="0" w:type="auto"/>
            <w:tcBorders>
              <w:top w:val="nil"/>
              <w:left w:val="nil"/>
              <w:bottom w:val="single" w:sz="4" w:space="0" w:color="767171"/>
              <w:right w:val="single" w:sz="4" w:space="0" w:color="767171"/>
            </w:tcBorders>
            <w:noWrap/>
            <w:vAlign w:val="center"/>
            <w:hideMark/>
          </w:tcPr>
          <w:p w14:paraId="0D2A3FE9" w14:textId="77777777" w:rsidR="00867BA3" w:rsidRPr="005C133F" w:rsidRDefault="00867BA3" w:rsidP="007A103E">
            <w:pPr>
              <w:spacing w:after="0" w:line="240" w:lineRule="auto"/>
              <w:jc w:val="center"/>
              <w:rPr>
                <w:rFonts w:eastAsia="Times New Roman"/>
                <w:spacing w:val="0"/>
                <w:lang w:val="es-DO" w:eastAsia="es-DO"/>
              </w:rPr>
            </w:pPr>
          </w:p>
          <w:p w14:paraId="519E0B9F"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10,560,004</w:t>
            </w:r>
          </w:p>
        </w:tc>
        <w:tc>
          <w:tcPr>
            <w:tcW w:w="0" w:type="auto"/>
            <w:tcBorders>
              <w:top w:val="nil"/>
              <w:left w:val="nil"/>
              <w:bottom w:val="single" w:sz="4" w:space="0" w:color="767171"/>
              <w:right w:val="single" w:sz="4" w:space="0" w:color="767171"/>
            </w:tcBorders>
            <w:noWrap/>
            <w:vAlign w:val="center"/>
            <w:hideMark/>
          </w:tcPr>
          <w:p w14:paraId="285F84B0" w14:textId="77777777" w:rsidR="00867BA3" w:rsidRPr="005C133F" w:rsidRDefault="00867BA3" w:rsidP="007A103E">
            <w:pPr>
              <w:spacing w:after="0" w:line="240" w:lineRule="auto"/>
              <w:jc w:val="center"/>
              <w:rPr>
                <w:rFonts w:eastAsia="Times New Roman"/>
                <w:spacing w:val="0"/>
                <w:lang w:val="es-DO" w:eastAsia="es-DO"/>
              </w:rPr>
            </w:pPr>
          </w:p>
          <w:p w14:paraId="3730C002"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10,539,174</w:t>
            </w:r>
          </w:p>
        </w:tc>
        <w:tc>
          <w:tcPr>
            <w:tcW w:w="0" w:type="auto"/>
            <w:tcBorders>
              <w:top w:val="nil"/>
              <w:left w:val="nil"/>
              <w:bottom w:val="single" w:sz="4" w:space="0" w:color="767171"/>
              <w:right w:val="single" w:sz="4" w:space="0" w:color="767171"/>
            </w:tcBorders>
            <w:noWrap/>
            <w:vAlign w:val="center"/>
            <w:hideMark/>
          </w:tcPr>
          <w:p w14:paraId="653BBCA3" w14:textId="77777777" w:rsidR="00171257" w:rsidRPr="005C133F" w:rsidRDefault="00171257" w:rsidP="007A103E">
            <w:pPr>
              <w:spacing w:after="0" w:line="240" w:lineRule="auto"/>
              <w:jc w:val="center"/>
              <w:rPr>
                <w:rFonts w:eastAsia="Times New Roman"/>
                <w:spacing w:val="0"/>
                <w:lang w:val="es-DO" w:eastAsia="es-DO"/>
              </w:rPr>
            </w:pPr>
          </w:p>
          <w:p w14:paraId="6442E01F"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10,600,452</w:t>
            </w:r>
          </w:p>
        </w:tc>
        <w:tc>
          <w:tcPr>
            <w:tcW w:w="0" w:type="auto"/>
            <w:tcBorders>
              <w:top w:val="nil"/>
              <w:left w:val="nil"/>
              <w:bottom w:val="single" w:sz="4" w:space="0" w:color="767171"/>
              <w:right w:val="single" w:sz="4" w:space="0" w:color="767171"/>
            </w:tcBorders>
            <w:noWrap/>
            <w:vAlign w:val="center"/>
            <w:hideMark/>
          </w:tcPr>
          <w:p w14:paraId="0E1F40EE" w14:textId="77777777" w:rsidR="00171257" w:rsidRPr="005C133F" w:rsidRDefault="00171257" w:rsidP="007A103E">
            <w:pPr>
              <w:spacing w:after="0" w:line="240" w:lineRule="auto"/>
              <w:jc w:val="center"/>
              <w:rPr>
                <w:rFonts w:eastAsia="Times New Roman"/>
                <w:spacing w:val="0"/>
                <w:lang w:val="es-DO" w:eastAsia="es-DO"/>
              </w:rPr>
            </w:pPr>
          </w:p>
          <w:p w14:paraId="749CE577"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10,587,564</w:t>
            </w:r>
          </w:p>
        </w:tc>
        <w:tc>
          <w:tcPr>
            <w:tcW w:w="0" w:type="auto"/>
            <w:tcBorders>
              <w:top w:val="nil"/>
              <w:left w:val="nil"/>
              <w:bottom w:val="single" w:sz="4" w:space="0" w:color="767171"/>
              <w:right w:val="single" w:sz="4" w:space="0" w:color="767171"/>
            </w:tcBorders>
            <w:noWrap/>
            <w:vAlign w:val="center"/>
            <w:hideMark/>
          </w:tcPr>
          <w:p w14:paraId="139BC361" w14:textId="77777777" w:rsidR="00171257" w:rsidRPr="005C133F" w:rsidRDefault="00171257" w:rsidP="007A103E">
            <w:pPr>
              <w:spacing w:after="0" w:line="240" w:lineRule="auto"/>
              <w:jc w:val="center"/>
              <w:rPr>
                <w:rFonts w:eastAsia="Times New Roman"/>
                <w:spacing w:val="0"/>
                <w:lang w:val="es-DO" w:eastAsia="es-DO"/>
              </w:rPr>
            </w:pPr>
          </w:p>
          <w:p w14:paraId="421C0F20"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10,572,716</w:t>
            </w:r>
          </w:p>
        </w:tc>
        <w:tc>
          <w:tcPr>
            <w:tcW w:w="0" w:type="auto"/>
            <w:tcBorders>
              <w:top w:val="nil"/>
              <w:left w:val="nil"/>
              <w:bottom w:val="single" w:sz="4" w:space="0" w:color="767171"/>
              <w:right w:val="single" w:sz="4" w:space="0" w:color="767171"/>
            </w:tcBorders>
            <w:noWrap/>
            <w:vAlign w:val="center"/>
            <w:hideMark/>
          </w:tcPr>
          <w:p w14:paraId="53F38622" w14:textId="77777777" w:rsidR="00171257" w:rsidRPr="005C133F" w:rsidRDefault="00171257" w:rsidP="007A103E">
            <w:pPr>
              <w:spacing w:after="0" w:line="240" w:lineRule="auto"/>
              <w:jc w:val="center"/>
              <w:rPr>
                <w:rFonts w:eastAsia="Times New Roman"/>
                <w:spacing w:val="0"/>
                <w:lang w:val="es-DO" w:eastAsia="es-DO"/>
              </w:rPr>
            </w:pPr>
          </w:p>
          <w:p w14:paraId="497D1312"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10,615,164</w:t>
            </w:r>
          </w:p>
        </w:tc>
        <w:tc>
          <w:tcPr>
            <w:tcW w:w="0" w:type="auto"/>
            <w:tcBorders>
              <w:top w:val="nil"/>
              <w:left w:val="nil"/>
              <w:bottom w:val="single" w:sz="4" w:space="0" w:color="767171"/>
              <w:right w:val="single" w:sz="4" w:space="0" w:color="767171"/>
            </w:tcBorders>
            <w:noWrap/>
            <w:vAlign w:val="center"/>
            <w:hideMark/>
          </w:tcPr>
          <w:p w14:paraId="23799063" w14:textId="77777777" w:rsidR="00171257" w:rsidRPr="005C133F" w:rsidRDefault="00171257" w:rsidP="007A103E">
            <w:pPr>
              <w:spacing w:after="0" w:line="240" w:lineRule="auto"/>
              <w:jc w:val="center"/>
              <w:rPr>
                <w:rFonts w:eastAsia="Times New Roman"/>
                <w:spacing w:val="0"/>
                <w:lang w:val="es-DO" w:eastAsia="es-DO"/>
              </w:rPr>
            </w:pPr>
          </w:p>
          <w:p w14:paraId="5E516836"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10,603,197</w:t>
            </w:r>
          </w:p>
        </w:tc>
        <w:tc>
          <w:tcPr>
            <w:tcW w:w="0" w:type="auto"/>
            <w:tcBorders>
              <w:top w:val="nil"/>
              <w:left w:val="nil"/>
              <w:bottom w:val="single" w:sz="4" w:space="0" w:color="767171"/>
              <w:right w:val="single" w:sz="4" w:space="0" w:color="767171"/>
            </w:tcBorders>
            <w:noWrap/>
            <w:vAlign w:val="bottom"/>
          </w:tcPr>
          <w:p w14:paraId="7417D52D" w14:textId="2CA6D3DA"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10,60</w:t>
            </w:r>
            <w:r w:rsidR="00946D45">
              <w:rPr>
                <w:rFonts w:eastAsia="Times New Roman"/>
                <w:spacing w:val="0"/>
                <w:lang w:val="es-DO" w:eastAsia="es-DO"/>
              </w:rPr>
              <w:t>8</w:t>
            </w:r>
            <w:r w:rsidRPr="005C133F">
              <w:rPr>
                <w:rFonts w:eastAsia="Times New Roman"/>
                <w:spacing w:val="0"/>
                <w:lang w:val="es-DO" w:eastAsia="es-DO"/>
              </w:rPr>
              <w:t>,</w:t>
            </w:r>
            <w:r w:rsidR="00946D45">
              <w:rPr>
                <w:rFonts w:eastAsia="Times New Roman"/>
                <w:spacing w:val="0"/>
                <w:lang w:val="es-DO" w:eastAsia="es-DO"/>
              </w:rPr>
              <w:t>360</w:t>
            </w:r>
          </w:p>
        </w:tc>
        <w:tc>
          <w:tcPr>
            <w:tcW w:w="0" w:type="auto"/>
            <w:tcBorders>
              <w:top w:val="nil"/>
              <w:left w:val="nil"/>
              <w:bottom w:val="single" w:sz="4" w:space="0" w:color="767171"/>
              <w:right w:val="single" w:sz="4" w:space="0" w:color="767171"/>
            </w:tcBorders>
            <w:noWrap/>
            <w:vAlign w:val="bottom"/>
            <w:hideMark/>
          </w:tcPr>
          <w:p w14:paraId="515A1F53" w14:textId="510F47ED" w:rsidR="00706AC4" w:rsidRPr="005C133F" w:rsidRDefault="00706AC4" w:rsidP="007A103E">
            <w:pPr>
              <w:spacing w:after="0" w:line="240" w:lineRule="auto"/>
              <w:jc w:val="right"/>
              <w:rPr>
                <w:rFonts w:eastAsia="Times New Roman"/>
                <w:b/>
                <w:bCs/>
                <w:spacing w:val="0"/>
                <w:lang w:val="es-DO" w:eastAsia="es-DO"/>
              </w:rPr>
            </w:pPr>
            <w:r w:rsidRPr="005C133F">
              <w:rPr>
                <w:rFonts w:eastAsia="Times New Roman"/>
                <w:b/>
                <w:bCs/>
                <w:spacing w:val="0"/>
                <w:lang w:val="es-DO" w:eastAsia="es-DO"/>
              </w:rPr>
              <w:t> 10,60</w:t>
            </w:r>
            <w:r w:rsidR="006030FF">
              <w:rPr>
                <w:rFonts w:eastAsia="Times New Roman"/>
                <w:b/>
                <w:bCs/>
                <w:spacing w:val="0"/>
                <w:lang w:val="es-DO" w:eastAsia="es-DO"/>
              </w:rPr>
              <w:t>8</w:t>
            </w:r>
            <w:r w:rsidRPr="005C133F">
              <w:rPr>
                <w:rFonts w:eastAsia="Times New Roman"/>
                <w:b/>
                <w:bCs/>
                <w:spacing w:val="0"/>
                <w:lang w:val="es-DO" w:eastAsia="es-DO"/>
              </w:rPr>
              <w:t>,</w:t>
            </w:r>
            <w:r w:rsidR="006030FF">
              <w:rPr>
                <w:rFonts w:eastAsia="Times New Roman"/>
                <w:b/>
                <w:bCs/>
                <w:spacing w:val="0"/>
                <w:lang w:val="es-DO" w:eastAsia="es-DO"/>
              </w:rPr>
              <w:t>360</w:t>
            </w:r>
          </w:p>
        </w:tc>
      </w:tr>
      <w:tr w:rsidR="004921FF" w:rsidRPr="005C133F" w14:paraId="5F287B26" w14:textId="77777777" w:rsidTr="009B4ED1">
        <w:trPr>
          <w:trHeight w:val="899"/>
          <w:jc w:val="center"/>
        </w:trPr>
        <w:tc>
          <w:tcPr>
            <w:tcW w:w="0" w:type="auto"/>
            <w:vMerge/>
            <w:tcBorders>
              <w:top w:val="nil"/>
              <w:left w:val="single" w:sz="4" w:space="0" w:color="767171"/>
              <w:bottom w:val="single" w:sz="4" w:space="0" w:color="767171"/>
              <w:right w:val="single" w:sz="4" w:space="0" w:color="767171"/>
            </w:tcBorders>
            <w:vAlign w:val="center"/>
            <w:hideMark/>
          </w:tcPr>
          <w:p w14:paraId="3F422DE9" w14:textId="77777777" w:rsidR="00706AC4" w:rsidRPr="005C133F" w:rsidRDefault="00706AC4" w:rsidP="007A103E">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68E810BE" w14:textId="6BC316BD" w:rsidR="00706AC4" w:rsidRPr="005C133F" w:rsidRDefault="00867BA3" w:rsidP="007A103E">
            <w:pPr>
              <w:spacing w:after="0" w:line="240" w:lineRule="auto"/>
              <w:rPr>
                <w:rFonts w:eastAsia="Times New Roman"/>
                <w:spacing w:val="0"/>
                <w:lang w:val="es-DO" w:eastAsia="es-DO"/>
              </w:rPr>
            </w:pPr>
            <w:r w:rsidRPr="005C133F">
              <w:rPr>
                <w:rFonts w:eastAsia="Times New Roman"/>
                <w:spacing w:val="0"/>
                <w:lang w:val="es-DO" w:eastAsia="es-DO"/>
              </w:rPr>
              <w:t xml:space="preserve">Cotizantes en el </w:t>
            </w:r>
            <w:r w:rsidR="00706AC4" w:rsidRPr="005C133F">
              <w:rPr>
                <w:rFonts w:eastAsia="Times New Roman"/>
                <w:spacing w:val="0"/>
                <w:lang w:val="es-DO" w:eastAsia="es-DO"/>
              </w:rPr>
              <w:t>Seguro de Riesgos Laborales (SRL)</w:t>
            </w:r>
          </w:p>
        </w:tc>
        <w:tc>
          <w:tcPr>
            <w:tcW w:w="0" w:type="auto"/>
            <w:tcBorders>
              <w:top w:val="nil"/>
              <w:left w:val="nil"/>
              <w:bottom w:val="single" w:sz="4" w:space="0" w:color="767171"/>
              <w:right w:val="single" w:sz="4" w:space="0" w:color="767171"/>
            </w:tcBorders>
            <w:noWrap/>
            <w:vAlign w:val="bottom"/>
            <w:hideMark/>
          </w:tcPr>
          <w:p w14:paraId="29D745B5"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2,392,138</w:t>
            </w:r>
          </w:p>
        </w:tc>
        <w:tc>
          <w:tcPr>
            <w:tcW w:w="0" w:type="auto"/>
            <w:tcBorders>
              <w:top w:val="nil"/>
              <w:left w:val="nil"/>
              <w:bottom w:val="single" w:sz="4" w:space="0" w:color="767171"/>
              <w:right w:val="single" w:sz="4" w:space="0" w:color="767171"/>
            </w:tcBorders>
            <w:noWrap/>
            <w:vAlign w:val="bottom"/>
            <w:hideMark/>
          </w:tcPr>
          <w:p w14:paraId="4299EDD2"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2,393,427</w:t>
            </w:r>
          </w:p>
        </w:tc>
        <w:tc>
          <w:tcPr>
            <w:tcW w:w="0" w:type="auto"/>
            <w:tcBorders>
              <w:top w:val="nil"/>
              <w:left w:val="nil"/>
              <w:bottom w:val="single" w:sz="4" w:space="0" w:color="767171"/>
              <w:right w:val="single" w:sz="4" w:space="0" w:color="767171"/>
            </w:tcBorders>
            <w:noWrap/>
            <w:vAlign w:val="bottom"/>
            <w:hideMark/>
          </w:tcPr>
          <w:p w14:paraId="26456C8E"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2,402,881</w:t>
            </w:r>
          </w:p>
        </w:tc>
        <w:tc>
          <w:tcPr>
            <w:tcW w:w="0" w:type="auto"/>
            <w:tcBorders>
              <w:top w:val="nil"/>
              <w:left w:val="nil"/>
              <w:bottom w:val="single" w:sz="4" w:space="0" w:color="767171"/>
              <w:right w:val="single" w:sz="4" w:space="0" w:color="767171"/>
            </w:tcBorders>
            <w:noWrap/>
            <w:vAlign w:val="bottom"/>
            <w:hideMark/>
          </w:tcPr>
          <w:p w14:paraId="50624034"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2,419,814</w:t>
            </w:r>
          </w:p>
        </w:tc>
        <w:tc>
          <w:tcPr>
            <w:tcW w:w="0" w:type="auto"/>
            <w:tcBorders>
              <w:top w:val="nil"/>
              <w:left w:val="nil"/>
              <w:bottom w:val="single" w:sz="4" w:space="0" w:color="767171"/>
              <w:right w:val="single" w:sz="4" w:space="0" w:color="767171"/>
            </w:tcBorders>
            <w:noWrap/>
            <w:vAlign w:val="bottom"/>
            <w:hideMark/>
          </w:tcPr>
          <w:p w14:paraId="6445E2B4"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2,434,792</w:t>
            </w:r>
          </w:p>
        </w:tc>
        <w:tc>
          <w:tcPr>
            <w:tcW w:w="0" w:type="auto"/>
            <w:tcBorders>
              <w:top w:val="nil"/>
              <w:left w:val="nil"/>
              <w:bottom w:val="single" w:sz="4" w:space="0" w:color="767171"/>
              <w:right w:val="single" w:sz="4" w:space="0" w:color="767171"/>
            </w:tcBorders>
            <w:noWrap/>
            <w:vAlign w:val="bottom"/>
            <w:hideMark/>
          </w:tcPr>
          <w:p w14:paraId="68170F18"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2,424,728</w:t>
            </w:r>
          </w:p>
        </w:tc>
        <w:tc>
          <w:tcPr>
            <w:tcW w:w="0" w:type="auto"/>
            <w:tcBorders>
              <w:top w:val="nil"/>
              <w:left w:val="nil"/>
              <w:bottom w:val="single" w:sz="4" w:space="0" w:color="767171"/>
              <w:right w:val="single" w:sz="4" w:space="0" w:color="767171"/>
            </w:tcBorders>
            <w:noWrap/>
            <w:vAlign w:val="bottom"/>
            <w:hideMark/>
          </w:tcPr>
          <w:p w14:paraId="57AB07A6"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2,423,430</w:t>
            </w:r>
          </w:p>
        </w:tc>
        <w:tc>
          <w:tcPr>
            <w:tcW w:w="0" w:type="auto"/>
            <w:tcBorders>
              <w:top w:val="nil"/>
              <w:left w:val="nil"/>
              <w:bottom w:val="single" w:sz="4" w:space="0" w:color="767171"/>
              <w:right w:val="single" w:sz="4" w:space="0" w:color="767171"/>
            </w:tcBorders>
            <w:noWrap/>
            <w:vAlign w:val="bottom"/>
            <w:hideMark/>
          </w:tcPr>
          <w:p w14:paraId="575155C7"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2,438,784</w:t>
            </w:r>
          </w:p>
        </w:tc>
        <w:tc>
          <w:tcPr>
            <w:tcW w:w="0" w:type="auto"/>
            <w:tcBorders>
              <w:top w:val="nil"/>
              <w:left w:val="nil"/>
              <w:bottom w:val="single" w:sz="4" w:space="0" w:color="767171"/>
              <w:right w:val="single" w:sz="4" w:space="0" w:color="767171"/>
            </w:tcBorders>
            <w:noWrap/>
            <w:vAlign w:val="bottom"/>
            <w:hideMark/>
          </w:tcPr>
          <w:p w14:paraId="66549167"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2,450,729</w:t>
            </w:r>
          </w:p>
        </w:tc>
        <w:tc>
          <w:tcPr>
            <w:tcW w:w="0" w:type="auto"/>
            <w:tcBorders>
              <w:top w:val="nil"/>
              <w:left w:val="nil"/>
              <w:bottom w:val="single" w:sz="4" w:space="0" w:color="767171"/>
              <w:right w:val="single" w:sz="4" w:space="0" w:color="767171"/>
            </w:tcBorders>
            <w:noWrap/>
            <w:vAlign w:val="bottom"/>
            <w:hideMark/>
          </w:tcPr>
          <w:p w14:paraId="555AFBA7"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2,465,140</w:t>
            </w:r>
          </w:p>
        </w:tc>
        <w:tc>
          <w:tcPr>
            <w:tcW w:w="0" w:type="auto"/>
            <w:tcBorders>
              <w:top w:val="nil"/>
              <w:left w:val="nil"/>
              <w:bottom w:val="single" w:sz="4" w:space="0" w:color="767171"/>
              <w:right w:val="single" w:sz="4" w:space="0" w:color="767171"/>
            </w:tcBorders>
            <w:noWrap/>
            <w:vAlign w:val="bottom"/>
            <w:hideMark/>
          </w:tcPr>
          <w:p w14:paraId="1E750A57" w14:textId="77777777"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2,467,510</w:t>
            </w:r>
          </w:p>
        </w:tc>
        <w:tc>
          <w:tcPr>
            <w:tcW w:w="0" w:type="auto"/>
            <w:tcBorders>
              <w:top w:val="nil"/>
              <w:left w:val="nil"/>
              <w:bottom w:val="single" w:sz="4" w:space="0" w:color="767171"/>
              <w:right w:val="single" w:sz="4" w:space="0" w:color="767171"/>
            </w:tcBorders>
            <w:noWrap/>
            <w:vAlign w:val="bottom"/>
            <w:hideMark/>
          </w:tcPr>
          <w:p w14:paraId="0B1A68D3" w14:textId="06C066BE" w:rsidR="00706AC4" w:rsidRPr="005C133F" w:rsidRDefault="00706AC4" w:rsidP="007A103E">
            <w:pPr>
              <w:spacing w:after="0" w:line="240" w:lineRule="auto"/>
              <w:jc w:val="center"/>
              <w:rPr>
                <w:rFonts w:eastAsia="Times New Roman"/>
                <w:spacing w:val="0"/>
                <w:lang w:val="es-DO" w:eastAsia="es-DO"/>
              </w:rPr>
            </w:pPr>
            <w:r w:rsidRPr="005C133F">
              <w:rPr>
                <w:rFonts w:eastAsia="Times New Roman"/>
                <w:spacing w:val="0"/>
                <w:lang w:val="es-DO" w:eastAsia="es-DO"/>
              </w:rPr>
              <w:t>2,</w:t>
            </w:r>
            <w:r w:rsidR="006030FF">
              <w:rPr>
                <w:rFonts w:eastAsia="Times New Roman"/>
                <w:spacing w:val="0"/>
                <w:lang w:val="es-DO" w:eastAsia="es-DO"/>
              </w:rPr>
              <w:t>472,105</w:t>
            </w:r>
          </w:p>
        </w:tc>
        <w:tc>
          <w:tcPr>
            <w:tcW w:w="0" w:type="auto"/>
            <w:tcBorders>
              <w:top w:val="nil"/>
              <w:left w:val="nil"/>
              <w:bottom w:val="single" w:sz="4" w:space="0" w:color="767171"/>
              <w:right w:val="single" w:sz="4" w:space="0" w:color="767171"/>
            </w:tcBorders>
            <w:noWrap/>
            <w:vAlign w:val="bottom"/>
            <w:hideMark/>
          </w:tcPr>
          <w:p w14:paraId="0F34297E" w14:textId="1B3957F0" w:rsidR="00706AC4" w:rsidRPr="005C133F" w:rsidRDefault="00706AC4" w:rsidP="007A103E">
            <w:pPr>
              <w:spacing w:after="0" w:line="240" w:lineRule="auto"/>
              <w:jc w:val="right"/>
              <w:rPr>
                <w:rFonts w:eastAsia="Times New Roman"/>
                <w:b/>
                <w:bCs/>
                <w:spacing w:val="0"/>
                <w:lang w:val="es-DO" w:eastAsia="es-DO"/>
              </w:rPr>
            </w:pPr>
            <w:r w:rsidRPr="005C133F">
              <w:rPr>
                <w:rFonts w:eastAsia="Times New Roman"/>
                <w:b/>
                <w:bCs/>
                <w:spacing w:val="0"/>
                <w:lang w:val="es-DO" w:eastAsia="es-DO"/>
              </w:rPr>
              <w:t> 2,4</w:t>
            </w:r>
            <w:r w:rsidR="006030FF">
              <w:rPr>
                <w:rFonts w:eastAsia="Times New Roman"/>
                <w:b/>
                <w:bCs/>
                <w:spacing w:val="0"/>
                <w:lang w:val="es-DO" w:eastAsia="es-DO"/>
              </w:rPr>
              <w:t>72</w:t>
            </w:r>
            <w:r w:rsidRPr="005C133F">
              <w:rPr>
                <w:rFonts w:eastAsia="Times New Roman"/>
                <w:b/>
                <w:bCs/>
                <w:spacing w:val="0"/>
                <w:lang w:val="es-DO" w:eastAsia="es-DO"/>
              </w:rPr>
              <w:t>,</w:t>
            </w:r>
            <w:r w:rsidR="00A53849">
              <w:rPr>
                <w:rFonts w:eastAsia="Times New Roman"/>
                <w:b/>
                <w:bCs/>
                <w:spacing w:val="0"/>
                <w:lang w:val="es-DO" w:eastAsia="es-DO"/>
              </w:rPr>
              <w:t>105</w:t>
            </w:r>
          </w:p>
        </w:tc>
      </w:tr>
      <w:tr w:rsidR="004921FF" w:rsidRPr="005C133F" w14:paraId="45D63FDE" w14:textId="77777777" w:rsidTr="009B4ED1">
        <w:trPr>
          <w:trHeight w:val="812"/>
          <w:jc w:val="center"/>
        </w:trPr>
        <w:tc>
          <w:tcPr>
            <w:tcW w:w="0" w:type="auto"/>
            <w:gridSpan w:val="2"/>
            <w:tcBorders>
              <w:top w:val="nil"/>
              <w:left w:val="single" w:sz="4" w:space="0" w:color="767171"/>
              <w:bottom w:val="single" w:sz="4" w:space="0" w:color="767171"/>
              <w:right w:val="single" w:sz="4" w:space="0" w:color="767171"/>
            </w:tcBorders>
            <w:vAlign w:val="center"/>
            <w:hideMark/>
          </w:tcPr>
          <w:p w14:paraId="4916BCE8" w14:textId="09FD2883" w:rsidR="008C44F4" w:rsidRPr="005C133F" w:rsidRDefault="008C44F4" w:rsidP="007A103E">
            <w:pPr>
              <w:spacing w:after="0" w:line="240" w:lineRule="auto"/>
              <w:jc w:val="right"/>
              <w:rPr>
                <w:rFonts w:eastAsia="Times New Roman"/>
                <w:spacing w:val="0"/>
                <w:lang w:val="es-DO" w:eastAsia="es-DO"/>
              </w:rPr>
            </w:pPr>
            <w:r w:rsidRPr="005C133F">
              <w:rPr>
                <w:rFonts w:eastAsia="Times New Roman"/>
                <w:spacing w:val="0"/>
                <w:lang w:val="es-DO" w:eastAsia="es-DO"/>
              </w:rPr>
              <w:t>Inversión del producto</w:t>
            </w:r>
            <w:r w:rsidR="00490AC7" w:rsidRPr="005C133F">
              <w:rPr>
                <w:rFonts w:eastAsia="Times New Roman"/>
                <w:spacing w:val="0"/>
                <w:lang w:val="es-DO" w:eastAsia="es-DO"/>
              </w:rPr>
              <w:t xml:space="preserve"> (valores en RD$</w:t>
            </w:r>
            <w:r w:rsidR="000E714B" w:rsidRPr="005C133F">
              <w:rPr>
                <w:rFonts w:eastAsia="Times New Roman"/>
                <w:spacing w:val="0"/>
                <w:lang w:val="es-DO" w:eastAsia="es-DO"/>
              </w:rPr>
              <w:t>)</w:t>
            </w:r>
          </w:p>
          <w:p w14:paraId="0FEABFD1" w14:textId="47D17232" w:rsidR="00706AC4" w:rsidRPr="005C133F" w:rsidRDefault="00706AC4" w:rsidP="007A103E">
            <w:pPr>
              <w:spacing w:after="0" w:line="240" w:lineRule="auto"/>
              <w:jc w:val="right"/>
              <w:rPr>
                <w:rFonts w:eastAsia="Times New Roman"/>
                <w:spacing w:val="0"/>
                <w:lang w:val="es-DO" w:eastAsia="es-DO"/>
              </w:rPr>
            </w:pPr>
            <w:r w:rsidRPr="005C133F">
              <w:rPr>
                <w:rFonts w:eastAsia="Times New Roman"/>
                <w:spacing w:val="0"/>
                <w:lang w:val="es-DO" w:eastAsia="es-DO"/>
              </w:rPr>
              <w:t> </w:t>
            </w:r>
          </w:p>
        </w:tc>
        <w:tc>
          <w:tcPr>
            <w:tcW w:w="0" w:type="auto"/>
            <w:tcBorders>
              <w:top w:val="nil"/>
              <w:left w:val="nil"/>
              <w:bottom w:val="single" w:sz="4" w:space="0" w:color="767171"/>
              <w:right w:val="single" w:sz="4" w:space="0" w:color="767171"/>
            </w:tcBorders>
            <w:noWrap/>
            <w:vAlign w:val="bottom"/>
            <w:hideMark/>
          </w:tcPr>
          <w:p w14:paraId="3BCD6149" w14:textId="49512B17" w:rsidR="00706AC4" w:rsidRPr="005C133F" w:rsidRDefault="000C4919" w:rsidP="007A103E">
            <w:pPr>
              <w:spacing w:after="0" w:line="240" w:lineRule="auto"/>
              <w:rPr>
                <w:rFonts w:eastAsia="Times New Roman"/>
                <w:spacing w:val="0"/>
                <w:lang w:val="es-DO" w:eastAsia="es-DO"/>
              </w:rPr>
            </w:pPr>
            <w:r w:rsidRPr="000C4919">
              <w:rPr>
                <w:rFonts w:eastAsia="Times New Roman"/>
                <w:spacing w:val="0"/>
                <w:lang w:val="es-DO" w:eastAsia="es-DO"/>
              </w:rPr>
              <w:t>106,577,911</w:t>
            </w:r>
          </w:p>
        </w:tc>
        <w:tc>
          <w:tcPr>
            <w:tcW w:w="0" w:type="auto"/>
            <w:tcBorders>
              <w:top w:val="nil"/>
              <w:left w:val="nil"/>
              <w:bottom w:val="single" w:sz="4" w:space="0" w:color="767171"/>
              <w:right w:val="single" w:sz="4" w:space="0" w:color="767171"/>
            </w:tcBorders>
            <w:noWrap/>
            <w:vAlign w:val="bottom"/>
            <w:hideMark/>
          </w:tcPr>
          <w:p w14:paraId="5119F560" w14:textId="117AABA3" w:rsidR="00706AC4" w:rsidRPr="005C133F" w:rsidRDefault="006C6970" w:rsidP="007A103E">
            <w:pPr>
              <w:spacing w:after="0" w:line="240" w:lineRule="auto"/>
              <w:jc w:val="center"/>
              <w:rPr>
                <w:rFonts w:eastAsia="Times New Roman"/>
                <w:spacing w:val="0"/>
                <w:lang w:val="es-DO" w:eastAsia="es-DO"/>
              </w:rPr>
            </w:pPr>
            <w:r w:rsidRPr="006C6970">
              <w:rPr>
                <w:rFonts w:eastAsia="Times New Roman"/>
                <w:spacing w:val="0"/>
                <w:lang w:val="es-DO" w:eastAsia="es-DO"/>
              </w:rPr>
              <w:t>70,788,418</w:t>
            </w:r>
          </w:p>
        </w:tc>
        <w:tc>
          <w:tcPr>
            <w:tcW w:w="0" w:type="auto"/>
            <w:tcBorders>
              <w:top w:val="nil"/>
              <w:left w:val="nil"/>
              <w:bottom w:val="single" w:sz="4" w:space="0" w:color="767171"/>
              <w:right w:val="single" w:sz="4" w:space="0" w:color="767171"/>
            </w:tcBorders>
            <w:noWrap/>
            <w:vAlign w:val="bottom"/>
            <w:hideMark/>
          </w:tcPr>
          <w:p w14:paraId="6BE74521" w14:textId="4C7839BC" w:rsidR="00706AC4" w:rsidRPr="005C133F" w:rsidRDefault="00CC04DB" w:rsidP="007A103E">
            <w:pPr>
              <w:spacing w:after="0" w:line="240" w:lineRule="auto"/>
              <w:rPr>
                <w:rFonts w:eastAsia="Times New Roman"/>
                <w:spacing w:val="0"/>
                <w:lang w:val="es-DO" w:eastAsia="es-DO"/>
              </w:rPr>
            </w:pPr>
            <w:r w:rsidRPr="005C133F">
              <w:rPr>
                <w:rFonts w:eastAsia="Times New Roman"/>
                <w:spacing w:val="0"/>
                <w:lang w:val="es-DO" w:eastAsia="es-DO"/>
              </w:rPr>
              <w:t>111,361,399</w:t>
            </w:r>
          </w:p>
        </w:tc>
        <w:tc>
          <w:tcPr>
            <w:tcW w:w="0" w:type="auto"/>
            <w:tcBorders>
              <w:top w:val="nil"/>
              <w:left w:val="nil"/>
              <w:bottom w:val="single" w:sz="4" w:space="0" w:color="767171"/>
              <w:right w:val="single" w:sz="4" w:space="0" w:color="767171"/>
            </w:tcBorders>
            <w:noWrap/>
            <w:vAlign w:val="bottom"/>
            <w:hideMark/>
          </w:tcPr>
          <w:p w14:paraId="2253FA5A" w14:textId="2BA13E9D" w:rsidR="00706AC4" w:rsidRPr="005C133F" w:rsidRDefault="00F648A9" w:rsidP="007A103E">
            <w:pPr>
              <w:spacing w:after="0" w:line="240" w:lineRule="auto"/>
              <w:rPr>
                <w:rFonts w:eastAsia="Times New Roman"/>
                <w:spacing w:val="0"/>
                <w:lang w:val="es-DO" w:eastAsia="es-DO"/>
              </w:rPr>
            </w:pPr>
            <w:r w:rsidRPr="005C133F">
              <w:rPr>
                <w:rFonts w:eastAsia="Times New Roman"/>
                <w:spacing w:val="0"/>
                <w:lang w:val="es-DO" w:eastAsia="es-DO"/>
              </w:rPr>
              <w:t>109,392,845</w:t>
            </w:r>
          </w:p>
        </w:tc>
        <w:tc>
          <w:tcPr>
            <w:tcW w:w="0" w:type="auto"/>
            <w:tcBorders>
              <w:top w:val="nil"/>
              <w:left w:val="nil"/>
              <w:bottom w:val="single" w:sz="4" w:space="0" w:color="767171"/>
              <w:right w:val="single" w:sz="4" w:space="0" w:color="767171"/>
            </w:tcBorders>
            <w:noWrap/>
            <w:vAlign w:val="bottom"/>
            <w:hideMark/>
          </w:tcPr>
          <w:p w14:paraId="0AB80FD0" w14:textId="39FA4308" w:rsidR="00706AC4" w:rsidRPr="005C133F" w:rsidRDefault="009A3736" w:rsidP="007A103E">
            <w:pPr>
              <w:spacing w:after="0" w:line="240" w:lineRule="auto"/>
              <w:rPr>
                <w:rFonts w:eastAsia="Times New Roman"/>
                <w:spacing w:val="0"/>
                <w:lang w:val="es-DO" w:eastAsia="es-DO"/>
              </w:rPr>
            </w:pPr>
            <w:r w:rsidRPr="005C133F">
              <w:rPr>
                <w:rFonts w:eastAsia="Times New Roman"/>
                <w:spacing w:val="0"/>
                <w:lang w:val="es-DO" w:eastAsia="es-DO"/>
              </w:rPr>
              <w:t>135,122,125</w:t>
            </w:r>
          </w:p>
        </w:tc>
        <w:tc>
          <w:tcPr>
            <w:tcW w:w="0" w:type="auto"/>
            <w:tcBorders>
              <w:top w:val="nil"/>
              <w:left w:val="nil"/>
              <w:bottom w:val="single" w:sz="4" w:space="0" w:color="767171"/>
              <w:right w:val="single" w:sz="4" w:space="0" w:color="767171"/>
            </w:tcBorders>
            <w:noWrap/>
            <w:vAlign w:val="bottom"/>
            <w:hideMark/>
          </w:tcPr>
          <w:p w14:paraId="52434C1E" w14:textId="74687F16" w:rsidR="00706AC4" w:rsidRPr="005C133F" w:rsidRDefault="002A57E1" w:rsidP="007A103E">
            <w:pPr>
              <w:spacing w:after="0" w:line="240" w:lineRule="auto"/>
              <w:jc w:val="center"/>
              <w:rPr>
                <w:rFonts w:eastAsia="Times New Roman"/>
                <w:spacing w:val="0"/>
                <w:lang w:val="es-DO" w:eastAsia="es-DO"/>
              </w:rPr>
            </w:pPr>
            <w:r w:rsidRPr="005C133F">
              <w:rPr>
                <w:rFonts w:eastAsia="Times New Roman"/>
                <w:spacing w:val="0"/>
                <w:lang w:val="es-DO" w:eastAsia="es-DO"/>
              </w:rPr>
              <w:t>81,652,652</w:t>
            </w:r>
          </w:p>
        </w:tc>
        <w:tc>
          <w:tcPr>
            <w:tcW w:w="0" w:type="auto"/>
            <w:tcBorders>
              <w:top w:val="nil"/>
              <w:left w:val="nil"/>
              <w:bottom w:val="single" w:sz="4" w:space="0" w:color="767171"/>
              <w:right w:val="single" w:sz="4" w:space="0" w:color="767171"/>
            </w:tcBorders>
            <w:noWrap/>
            <w:vAlign w:val="bottom"/>
            <w:hideMark/>
          </w:tcPr>
          <w:p w14:paraId="7ACC0585" w14:textId="38D0BF55" w:rsidR="00706AC4" w:rsidRPr="005C133F" w:rsidRDefault="00F32574" w:rsidP="007A103E">
            <w:pPr>
              <w:spacing w:after="0" w:line="240" w:lineRule="auto"/>
              <w:jc w:val="center"/>
              <w:rPr>
                <w:rFonts w:eastAsia="Times New Roman"/>
                <w:spacing w:val="0"/>
                <w:lang w:val="es-DO" w:eastAsia="es-DO"/>
              </w:rPr>
            </w:pPr>
            <w:r w:rsidRPr="005C133F">
              <w:rPr>
                <w:rFonts w:eastAsia="Times New Roman"/>
                <w:spacing w:val="0"/>
                <w:lang w:val="es-DO" w:eastAsia="es-DO"/>
              </w:rPr>
              <w:t>128,697,107</w:t>
            </w:r>
          </w:p>
        </w:tc>
        <w:tc>
          <w:tcPr>
            <w:tcW w:w="0" w:type="auto"/>
            <w:tcBorders>
              <w:top w:val="nil"/>
              <w:left w:val="nil"/>
              <w:bottom w:val="single" w:sz="4" w:space="0" w:color="767171"/>
              <w:right w:val="single" w:sz="4" w:space="0" w:color="767171"/>
            </w:tcBorders>
            <w:noWrap/>
            <w:vAlign w:val="bottom"/>
            <w:hideMark/>
          </w:tcPr>
          <w:p w14:paraId="7FFCAB5C" w14:textId="69D2044F" w:rsidR="00706AC4" w:rsidRPr="005C133F" w:rsidRDefault="003C0D53" w:rsidP="007A103E">
            <w:pPr>
              <w:spacing w:after="0" w:line="240" w:lineRule="auto"/>
              <w:rPr>
                <w:rFonts w:eastAsia="Times New Roman"/>
                <w:spacing w:val="0"/>
                <w:lang w:val="es-DO" w:eastAsia="es-DO"/>
              </w:rPr>
            </w:pPr>
            <w:r w:rsidRPr="005C133F">
              <w:rPr>
                <w:rFonts w:eastAsia="Times New Roman"/>
                <w:spacing w:val="0"/>
                <w:lang w:val="es-DO" w:eastAsia="es-DO"/>
              </w:rPr>
              <w:t>135,313,732</w:t>
            </w:r>
          </w:p>
        </w:tc>
        <w:tc>
          <w:tcPr>
            <w:tcW w:w="0" w:type="auto"/>
            <w:tcBorders>
              <w:top w:val="nil"/>
              <w:left w:val="nil"/>
              <w:bottom w:val="single" w:sz="4" w:space="0" w:color="767171"/>
              <w:right w:val="single" w:sz="4" w:space="0" w:color="767171"/>
            </w:tcBorders>
            <w:noWrap/>
            <w:vAlign w:val="bottom"/>
            <w:hideMark/>
          </w:tcPr>
          <w:p w14:paraId="1B46E5EE" w14:textId="2173F9ED" w:rsidR="00706AC4" w:rsidRPr="005C133F" w:rsidRDefault="000B047A" w:rsidP="007A103E">
            <w:pPr>
              <w:spacing w:after="0" w:line="240" w:lineRule="auto"/>
              <w:jc w:val="center"/>
              <w:rPr>
                <w:rFonts w:eastAsia="Times New Roman"/>
                <w:spacing w:val="0"/>
                <w:lang w:val="es-DO" w:eastAsia="es-DO"/>
              </w:rPr>
            </w:pPr>
            <w:r w:rsidRPr="005C133F">
              <w:rPr>
                <w:rFonts w:eastAsia="Times New Roman"/>
                <w:spacing w:val="0"/>
                <w:lang w:val="es-DO" w:eastAsia="es-DO"/>
              </w:rPr>
              <w:t>96,206,445</w:t>
            </w:r>
          </w:p>
        </w:tc>
        <w:tc>
          <w:tcPr>
            <w:tcW w:w="0" w:type="auto"/>
            <w:tcBorders>
              <w:top w:val="nil"/>
              <w:left w:val="nil"/>
              <w:bottom w:val="single" w:sz="4" w:space="0" w:color="767171"/>
              <w:right w:val="single" w:sz="4" w:space="0" w:color="767171"/>
            </w:tcBorders>
            <w:noWrap/>
            <w:vAlign w:val="bottom"/>
            <w:hideMark/>
          </w:tcPr>
          <w:p w14:paraId="09EF9888" w14:textId="74792BC3" w:rsidR="00706AC4" w:rsidRPr="005C133F" w:rsidRDefault="00C674FC" w:rsidP="007A103E">
            <w:pPr>
              <w:spacing w:after="0" w:line="240" w:lineRule="auto"/>
              <w:jc w:val="center"/>
              <w:rPr>
                <w:rFonts w:eastAsia="Times New Roman"/>
                <w:spacing w:val="0"/>
                <w:lang w:val="es-DO" w:eastAsia="es-DO"/>
              </w:rPr>
            </w:pPr>
            <w:r w:rsidRPr="005C133F">
              <w:rPr>
                <w:rFonts w:eastAsia="Times New Roman"/>
                <w:spacing w:val="0"/>
                <w:lang w:val="es-DO" w:eastAsia="es-DO"/>
              </w:rPr>
              <w:t>90,742,564</w:t>
            </w:r>
          </w:p>
        </w:tc>
        <w:tc>
          <w:tcPr>
            <w:tcW w:w="0" w:type="auto"/>
            <w:tcBorders>
              <w:top w:val="nil"/>
              <w:left w:val="nil"/>
              <w:bottom w:val="single" w:sz="4" w:space="0" w:color="767171"/>
              <w:right w:val="single" w:sz="4" w:space="0" w:color="767171"/>
            </w:tcBorders>
            <w:noWrap/>
            <w:vAlign w:val="bottom"/>
            <w:hideMark/>
          </w:tcPr>
          <w:p w14:paraId="47BB4E4E" w14:textId="70697FD7" w:rsidR="00706AC4" w:rsidRPr="005C133F" w:rsidRDefault="005869A0" w:rsidP="007A103E">
            <w:pPr>
              <w:spacing w:after="0" w:line="240" w:lineRule="auto"/>
              <w:jc w:val="center"/>
              <w:rPr>
                <w:rFonts w:eastAsia="Times New Roman"/>
                <w:spacing w:val="0"/>
                <w:lang w:val="es-DO" w:eastAsia="es-DO"/>
              </w:rPr>
            </w:pPr>
            <w:r w:rsidRPr="005869A0">
              <w:rPr>
                <w:rFonts w:eastAsia="Times New Roman"/>
                <w:spacing w:val="0"/>
                <w:lang w:val="es-DO" w:eastAsia="es-DO"/>
              </w:rPr>
              <w:t>133,695,978</w:t>
            </w:r>
          </w:p>
        </w:tc>
        <w:tc>
          <w:tcPr>
            <w:tcW w:w="0" w:type="auto"/>
            <w:tcBorders>
              <w:top w:val="nil"/>
              <w:left w:val="nil"/>
              <w:bottom w:val="single" w:sz="4" w:space="0" w:color="767171"/>
              <w:right w:val="single" w:sz="4" w:space="0" w:color="767171"/>
            </w:tcBorders>
            <w:noWrap/>
            <w:vAlign w:val="bottom"/>
            <w:hideMark/>
          </w:tcPr>
          <w:p w14:paraId="77B7E950" w14:textId="7DD0613C" w:rsidR="00706AC4" w:rsidRPr="005C133F" w:rsidRDefault="00711101" w:rsidP="007A103E">
            <w:pPr>
              <w:spacing w:after="0" w:line="240" w:lineRule="auto"/>
              <w:jc w:val="center"/>
              <w:rPr>
                <w:rFonts w:eastAsia="Times New Roman"/>
                <w:spacing w:val="0"/>
                <w:lang w:val="es-DO" w:eastAsia="es-DO"/>
              </w:rPr>
            </w:pPr>
            <w:r w:rsidRPr="00711101">
              <w:rPr>
                <w:rFonts w:eastAsia="Times New Roman"/>
                <w:spacing w:val="0"/>
                <w:lang w:val="es-DO" w:eastAsia="es-DO"/>
              </w:rPr>
              <w:t>165,474,980</w:t>
            </w:r>
          </w:p>
        </w:tc>
        <w:tc>
          <w:tcPr>
            <w:tcW w:w="0" w:type="auto"/>
            <w:tcBorders>
              <w:top w:val="nil"/>
              <w:left w:val="nil"/>
              <w:bottom w:val="single" w:sz="4" w:space="0" w:color="767171"/>
              <w:right w:val="single" w:sz="4" w:space="0" w:color="767171"/>
            </w:tcBorders>
            <w:noWrap/>
            <w:vAlign w:val="bottom"/>
            <w:hideMark/>
          </w:tcPr>
          <w:p w14:paraId="657EA03D" w14:textId="4EB938C8" w:rsidR="00706AC4" w:rsidRPr="005C133F" w:rsidRDefault="00B82A19" w:rsidP="007A103E">
            <w:pPr>
              <w:spacing w:after="0" w:line="240" w:lineRule="auto"/>
              <w:jc w:val="right"/>
              <w:rPr>
                <w:rFonts w:eastAsia="Times New Roman"/>
                <w:b/>
                <w:spacing w:val="0"/>
                <w:lang w:val="es-DO" w:eastAsia="es-DO"/>
              </w:rPr>
            </w:pPr>
            <w:r w:rsidRPr="00B82A19">
              <w:rPr>
                <w:rFonts w:eastAsia="Times New Roman"/>
                <w:b/>
                <w:spacing w:val="0"/>
                <w:lang w:val="es-DO" w:eastAsia="es-DO"/>
              </w:rPr>
              <w:t>1,365,026,157</w:t>
            </w:r>
          </w:p>
        </w:tc>
      </w:tr>
    </w:tbl>
    <w:p w14:paraId="58FA6A4B" w14:textId="02DEB5B4" w:rsidR="001E07D4" w:rsidRPr="00291603" w:rsidRDefault="005622DC" w:rsidP="007A103E">
      <w:pPr>
        <w:spacing w:after="0" w:line="240" w:lineRule="auto"/>
        <w:rPr>
          <w:sz w:val="18"/>
          <w:szCs w:val="18"/>
          <w:lang w:val="es-DO"/>
        </w:rPr>
      </w:pPr>
      <w:r w:rsidRPr="00291603">
        <w:rPr>
          <w:sz w:val="18"/>
          <w:szCs w:val="18"/>
          <w:lang w:val="es-DO"/>
        </w:rPr>
        <w:t xml:space="preserve">Fuente: </w:t>
      </w:r>
      <w:hyperlink r:id="rId74" w:history="1">
        <w:r w:rsidR="005A6513" w:rsidRPr="00291603">
          <w:rPr>
            <w:rStyle w:val="Hipervnculo"/>
            <w:color w:val="767171"/>
            <w:sz w:val="18"/>
            <w:szCs w:val="18"/>
            <w:lang w:val="es-DO"/>
          </w:rPr>
          <w:t xml:space="preserve">Cifras del Seguro Familiar de Salud </w:t>
        </w:r>
        <w:r w:rsidR="00CD7E24" w:rsidRPr="00291603">
          <w:rPr>
            <w:rStyle w:val="Hipervnculo"/>
            <w:color w:val="767171"/>
            <w:sz w:val="18"/>
            <w:szCs w:val="18"/>
            <w:lang w:val="es-DO"/>
          </w:rPr>
          <w:t>y del Seguro de Riesgos Laborales</w:t>
        </w:r>
      </w:hyperlink>
      <w:r w:rsidR="00CD7E24" w:rsidRPr="00291603">
        <w:rPr>
          <w:sz w:val="18"/>
          <w:szCs w:val="18"/>
          <w:lang w:val="es-DO"/>
        </w:rPr>
        <w:t xml:space="preserve"> </w:t>
      </w:r>
    </w:p>
    <w:p w14:paraId="2F2C098F" w14:textId="7230FFE4" w:rsidR="00FF16F0" w:rsidRPr="00C73EB1" w:rsidRDefault="00C357A5" w:rsidP="007A103E">
      <w:pPr>
        <w:spacing w:after="0" w:line="240" w:lineRule="auto"/>
        <w:rPr>
          <w:sz w:val="18"/>
          <w:szCs w:val="18"/>
          <w:lang w:val="es-DO"/>
        </w:rPr>
      </w:pPr>
      <w:r w:rsidRPr="00C73EB1">
        <w:rPr>
          <w:sz w:val="18"/>
          <w:szCs w:val="18"/>
          <w:lang w:val="es-DO"/>
        </w:rPr>
        <w:t>Nota: Las cifras</w:t>
      </w:r>
      <w:r w:rsidR="00343E05" w:rsidRPr="00C73EB1">
        <w:rPr>
          <w:sz w:val="18"/>
          <w:szCs w:val="18"/>
          <w:lang w:val="es-DO"/>
        </w:rPr>
        <w:t xml:space="preserve"> mensuales</w:t>
      </w:r>
      <w:r w:rsidRPr="00C73EB1">
        <w:rPr>
          <w:sz w:val="18"/>
          <w:szCs w:val="18"/>
          <w:lang w:val="es-DO"/>
        </w:rPr>
        <w:t xml:space="preserve"> de </w:t>
      </w:r>
      <w:r w:rsidR="00343E05" w:rsidRPr="00C73EB1">
        <w:rPr>
          <w:sz w:val="18"/>
          <w:szCs w:val="18"/>
          <w:lang w:val="es-DO"/>
        </w:rPr>
        <w:t xml:space="preserve">los </w:t>
      </w:r>
      <w:r w:rsidRPr="00C73EB1">
        <w:rPr>
          <w:sz w:val="18"/>
          <w:szCs w:val="18"/>
          <w:lang w:val="es-DO"/>
        </w:rPr>
        <w:t xml:space="preserve">afiliados </w:t>
      </w:r>
      <w:r w:rsidR="00250181" w:rsidRPr="00C73EB1">
        <w:rPr>
          <w:sz w:val="18"/>
          <w:szCs w:val="18"/>
          <w:lang w:val="es-DO"/>
        </w:rPr>
        <w:t xml:space="preserve">al SFS y </w:t>
      </w:r>
      <w:r w:rsidR="005F30F2" w:rsidRPr="00C73EB1">
        <w:rPr>
          <w:sz w:val="18"/>
          <w:szCs w:val="18"/>
          <w:lang w:val="es-DO"/>
        </w:rPr>
        <w:t xml:space="preserve">de los </w:t>
      </w:r>
      <w:r w:rsidR="00250181" w:rsidRPr="00C73EB1">
        <w:rPr>
          <w:sz w:val="18"/>
          <w:szCs w:val="18"/>
          <w:lang w:val="es-DO"/>
        </w:rPr>
        <w:t>cotizantes del S</w:t>
      </w:r>
      <w:r w:rsidR="00343E05" w:rsidRPr="00C73EB1">
        <w:rPr>
          <w:sz w:val="18"/>
          <w:szCs w:val="18"/>
          <w:lang w:val="es-DO"/>
        </w:rPr>
        <w:t xml:space="preserve">RL </w:t>
      </w:r>
      <w:r w:rsidR="005F30F2" w:rsidRPr="00C73EB1">
        <w:rPr>
          <w:sz w:val="18"/>
          <w:szCs w:val="18"/>
          <w:lang w:val="es-DO"/>
        </w:rPr>
        <w:t>no se totalizan a</w:t>
      </w:r>
      <w:r w:rsidR="00E4411D" w:rsidRPr="00C73EB1">
        <w:rPr>
          <w:sz w:val="18"/>
          <w:szCs w:val="18"/>
          <w:lang w:val="es-DO"/>
        </w:rPr>
        <w:t>l final del año, sino que se toma el último valor</w:t>
      </w:r>
      <w:r w:rsidR="003E5C5F" w:rsidRPr="00C73EB1">
        <w:rPr>
          <w:sz w:val="18"/>
          <w:szCs w:val="18"/>
          <w:lang w:val="es-DO"/>
        </w:rPr>
        <w:t xml:space="preserve">. </w:t>
      </w:r>
      <w:r w:rsidR="002521C1" w:rsidRPr="00C73EB1">
        <w:rPr>
          <w:sz w:val="18"/>
          <w:szCs w:val="18"/>
          <w:lang w:val="es-DO"/>
        </w:rPr>
        <w:t xml:space="preserve"> </w:t>
      </w:r>
    </w:p>
    <w:p w14:paraId="34BFFE26" w14:textId="43AD55F2" w:rsidR="009D3330" w:rsidRPr="005C133F" w:rsidRDefault="00023577" w:rsidP="00023577">
      <w:pPr>
        <w:pStyle w:val="SUBTITULITO"/>
        <w:spacing w:after="0"/>
        <w:ind w:left="2160"/>
        <w:jc w:val="left"/>
        <w:rPr>
          <w:rFonts w:eastAsia="Calibri"/>
        </w:rPr>
      </w:pPr>
      <w:bookmarkStart w:id="155" w:name="_Toc219121866"/>
      <w:r>
        <w:rPr>
          <w:rFonts w:eastAsia="Calibri"/>
        </w:rPr>
        <w:t xml:space="preserve">A.2. </w:t>
      </w:r>
      <w:r w:rsidR="00C93B9B">
        <w:rPr>
          <w:rFonts w:eastAsia="Calibri"/>
        </w:rPr>
        <w:t xml:space="preserve"> </w:t>
      </w:r>
      <w:r w:rsidR="0099173C" w:rsidRPr="005C133F">
        <w:rPr>
          <w:rFonts w:eastAsia="Calibri"/>
        </w:rPr>
        <w:t xml:space="preserve">Matriz de </w:t>
      </w:r>
      <w:r w:rsidR="00FA3178">
        <w:rPr>
          <w:rFonts w:eastAsia="Calibri"/>
        </w:rPr>
        <w:t>producción operativa</w:t>
      </w:r>
      <w:r w:rsidR="00CA696A">
        <w:rPr>
          <w:rFonts w:eastAsia="Calibri"/>
        </w:rPr>
        <w:t xml:space="preserve"> 2025</w:t>
      </w:r>
      <w:bookmarkEnd w:id="155"/>
    </w:p>
    <w:tbl>
      <w:tblPr>
        <w:tblW w:w="0" w:type="auto"/>
        <w:jc w:val="center"/>
        <w:tblCellMar>
          <w:top w:w="15" w:type="dxa"/>
          <w:left w:w="70" w:type="dxa"/>
          <w:bottom w:w="15" w:type="dxa"/>
          <w:right w:w="70" w:type="dxa"/>
        </w:tblCellMar>
        <w:tblLook w:val="04A0" w:firstRow="1" w:lastRow="0" w:firstColumn="1" w:lastColumn="0" w:noHBand="0" w:noVBand="1"/>
      </w:tblPr>
      <w:tblGrid>
        <w:gridCol w:w="3034"/>
        <w:gridCol w:w="1718"/>
        <w:gridCol w:w="1206"/>
        <w:gridCol w:w="967"/>
        <w:gridCol w:w="2097"/>
        <w:gridCol w:w="800"/>
        <w:gridCol w:w="800"/>
        <w:gridCol w:w="2103"/>
        <w:gridCol w:w="800"/>
        <w:gridCol w:w="847"/>
        <w:gridCol w:w="1675"/>
        <w:gridCol w:w="994"/>
        <w:gridCol w:w="1273"/>
        <w:gridCol w:w="1427"/>
        <w:gridCol w:w="1849"/>
      </w:tblGrid>
      <w:tr w:rsidR="004C4D73" w:rsidRPr="005C133F" w14:paraId="3E7115AE" w14:textId="77777777" w:rsidTr="009B4ED1">
        <w:trPr>
          <w:trHeight w:val="675"/>
          <w:tblHeader/>
          <w:jc w:val="center"/>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6068A53C" w14:textId="60813F2B" w:rsidR="00FC137F" w:rsidRPr="005C133F" w:rsidRDefault="00D802CC" w:rsidP="007A103E">
            <w:pPr>
              <w:spacing w:after="0" w:line="240" w:lineRule="auto"/>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Producto/Servicio</w:t>
            </w:r>
          </w:p>
        </w:tc>
        <w:tc>
          <w:tcPr>
            <w:tcW w:w="1718" w:type="dxa"/>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2997C6FD" w14:textId="21C9D385" w:rsidR="00FC137F" w:rsidRPr="005C133F" w:rsidRDefault="00C73014" w:rsidP="007A103E">
            <w:pPr>
              <w:spacing w:after="0" w:line="240" w:lineRule="auto"/>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 xml:space="preserve">Unidad de medida </w:t>
            </w:r>
          </w:p>
        </w:tc>
        <w:tc>
          <w:tcPr>
            <w:tcW w:w="1206" w:type="dxa"/>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73B15242"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Enero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74AD9A52"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Febrero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43062ECE"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Marzo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5F3E67C8"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Abril</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7820406A"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Mayo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08541DC5"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Junio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1E06BA67"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Julio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0329BEDD"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Agosto</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738BD5A9"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Septiembre</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5690A922"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Octubre</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06B56E1F"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Noviembre</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794E5CE5"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Diciembre</w:t>
            </w:r>
          </w:p>
        </w:tc>
        <w:tc>
          <w:tcPr>
            <w:tcW w:w="0" w:type="auto"/>
            <w:tcBorders>
              <w:top w:val="single" w:sz="4" w:space="0" w:color="808080"/>
              <w:left w:val="single" w:sz="4" w:space="0" w:color="808080"/>
              <w:bottom w:val="single" w:sz="4" w:space="0" w:color="808080"/>
              <w:right w:val="single" w:sz="4" w:space="0" w:color="808080"/>
            </w:tcBorders>
            <w:shd w:val="clear" w:color="auto" w:fill="011C50"/>
            <w:noWrap/>
            <w:vAlign w:val="center"/>
            <w:hideMark/>
          </w:tcPr>
          <w:p w14:paraId="4E4EC1E4" w14:textId="77777777" w:rsidR="00FC137F" w:rsidRPr="005C133F" w:rsidRDefault="00FC137F" w:rsidP="007A103E">
            <w:pPr>
              <w:spacing w:after="0" w:line="240" w:lineRule="auto"/>
              <w:jc w:val="center"/>
              <w:rPr>
                <w:rFonts w:eastAsia="Times New Roman"/>
                <w:b/>
                <w:bCs/>
                <w:color w:val="FFFFFF" w:themeColor="background1"/>
                <w:spacing w:val="0"/>
                <w:lang w:val="es-DO" w:eastAsia="es-DO"/>
              </w:rPr>
            </w:pPr>
            <w:r w:rsidRPr="005C133F">
              <w:rPr>
                <w:rFonts w:eastAsia="Times New Roman"/>
                <w:b/>
                <w:bCs/>
                <w:color w:val="FFFFFF" w:themeColor="background1"/>
                <w:spacing w:val="0"/>
                <w:lang w:val="es-DO" w:eastAsia="es-DO"/>
              </w:rPr>
              <w:t>Total Año 2025</w:t>
            </w:r>
          </w:p>
        </w:tc>
      </w:tr>
      <w:tr w:rsidR="004921FF" w:rsidRPr="005C133F" w14:paraId="532C917C"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1359837D"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ARS SENASA supervisada respecto a la gestión de la afiliación al Régimen Subsidiado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6C160CA1"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Supervisiones respecto a afiliaciones realizadas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0D95FD4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E21E34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519293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14FA1B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6FC995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392811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66FC9F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9A4DF4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517787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0766CB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A35746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FBEAD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113799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5</w:t>
            </w:r>
          </w:p>
        </w:tc>
      </w:tr>
      <w:tr w:rsidR="004921FF" w:rsidRPr="005C133F" w14:paraId="147992DF" w14:textId="77777777" w:rsidTr="00553F23">
        <w:trPr>
          <w:trHeight w:val="39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6FD63702"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CNSS recibe propuestas para la reducción de barreras de acceso a los servicios de salud  en  los sectores o grupos vulnerables, en cumplimiento con el marco legal vigente, consensuada con los actores del SFS</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08093653"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Propuestas elaboradas y sometidas al CNSS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527887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8A9F39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F3164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AAAE95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9C60A3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D81C92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70E9E5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6DDE3F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97EA16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A034BE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B84BCE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E50DDA3" w14:textId="77777777" w:rsidR="00FC137F" w:rsidRPr="005C133F" w:rsidRDefault="00FC137F" w:rsidP="007A103E">
            <w:pPr>
              <w:spacing w:after="0" w:line="240" w:lineRule="auto"/>
              <w:jc w:val="center"/>
              <w:rPr>
                <w:rFonts w:eastAsia="Times New Roman"/>
                <w:spacing w:val="0"/>
                <w:lang w:val="es-DO" w:eastAsia="es-DO"/>
              </w:rPr>
            </w:pP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F5394A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r>
      <w:tr w:rsidR="004921FF" w:rsidRPr="005C133F" w14:paraId="1D566131"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17043933"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lastRenderedPageBreak/>
              <w:t>CNSS recibe propuestas para actualización y mejora del Catálogo de Prestaciones de Servicios de Salud (PDSS), consensuada con los actores del SFS y del SRL</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813183F"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Propuestas elaboradas y sometidas al CNSS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23648B4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33F430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CFB84D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824EEE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BEDB48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932DFF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FC66FB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AB9157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979BA2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DE7DD1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3196A3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10B7B1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07D2DE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7</w:t>
            </w:r>
          </w:p>
        </w:tc>
      </w:tr>
      <w:tr w:rsidR="004921FF" w:rsidRPr="005C133F" w14:paraId="7884B7C5"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15DB54B8"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ARS y PSS disponen Catálogo de Prestaciones de Servicios de Salud (PDSS) actualizado.</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A4DC800"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Actualizaciones del Catálogo de Prestaciones de Servicios de Salud (PDSS) publicadas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DEE1EA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31A88E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C03653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94E60D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EE5257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7DB23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CEE5E5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FA5EBD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B55BF2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393BE9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602BAE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1C853C2" w14:textId="77777777" w:rsidR="00FC137F" w:rsidRPr="005C133F" w:rsidRDefault="00FC137F" w:rsidP="007A103E">
            <w:pPr>
              <w:spacing w:after="0" w:line="240" w:lineRule="auto"/>
              <w:jc w:val="center"/>
              <w:rPr>
                <w:rFonts w:eastAsia="Times New Roman"/>
                <w:spacing w:val="0"/>
                <w:lang w:val="es-DO" w:eastAsia="es-DO"/>
              </w:rPr>
            </w:pP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D42034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r>
      <w:tr w:rsidR="004921FF" w:rsidRPr="005C133F" w14:paraId="1714458F"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168AFFDF"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CNSS recibe estudios actuariales y propuestas para la mejora de coberturas y capitas del SFS y SRL</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6D86D8DD"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Propuestas elaboradas y sometidas al CNSS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048FCF0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C072A0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9E4DFA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C650CF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BAE5C6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1AE57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1E27D4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8EC94E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718939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4E3F55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8487F8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051EF63" w14:textId="77777777" w:rsidR="00FC137F" w:rsidRPr="005C133F" w:rsidRDefault="00FC137F" w:rsidP="007A103E">
            <w:pPr>
              <w:spacing w:after="0" w:line="240" w:lineRule="auto"/>
              <w:jc w:val="center"/>
              <w:rPr>
                <w:rFonts w:eastAsia="Times New Roman"/>
                <w:spacing w:val="0"/>
                <w:lang w:val="es-DO" w:eastAsia="es-DO"/>
              </w:rPr>
            </w:pP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2594E0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r>
      <w:tr w:rsidR="004921FF" w:rsidRPr="005C133F" w14:paraId="1C1EA7F8"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7FBD31F9"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Actores del SDSS reciben propuestas normativas para mejorar y ampliar los beneficios del Seguro de Riesgos Laborales (SRL)</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833120C"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Propuestas normativas entregadas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3C517E8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D6F48A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141DE3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6F6D7B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6BF863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C8CBEE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E8566D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EC7DAD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422560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44BE73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EF1450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8F1EB8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3E610C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w:t>
            </w:r>
          </w:p>
        </w:tc>
      </w:tr>
      <w:tr w:rsidR="004921FF" w:rsidRPr="005C133F" w14:paraId="4D855609" w14:textId="77777777" w:rsidTr="009B4ED1">
        <w:trPr>
          <w:trHeight w:val="1140"/>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5F1E8A5E"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ARS e IDOPPRIL monitoreadas respecto uso de los recursos financieros para aseguramiento en salud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31AF179C"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Monitoreos realizados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43F57B5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88BCC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7BDE1E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91023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80EA58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4F1636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B7EDF5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D4C3D0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0CDA5E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C61AA7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9D474B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68E44C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AF17E4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10</w:t>
            </w:r>
          </w:p>
        </w:tc>
      </w:tr>
      <w:tr w:rsidR="004921FF" w:rsidRPr="005C133F" w14:paraId="552684C5"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0F42699E"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ARS supervisadas y/o monitoreadas respecto al cumplimiento del marco normativo del Seguro Familiar de Salud (SFS)</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01DA9DC8"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Supervisiones y monitoreos realizados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4B1BFCD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BC0E0A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177919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318C0F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7AFBAA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9814F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46A584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ECA376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EBC0B1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F022C5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16B443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B23F60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DA319E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68</w:t>
            </w:r>
          </w:p>
        </w:tc>
      </w:tr>
      <w:tr w:rsidR="004921FF" w:rsidRPr="005C133F" w14:paraId="1E86898E" w14:textId="77777777" w:rsidTr="009B4ED1">
        <w:trPr>
          <w:trHeight w:val="1155"/>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41C05414"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ARS SeNaSa supervisada y/o monitoreada respecto al cumplimiento del marco normativo del Seguro Familiar de Salud (SFS)</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0A666D4B"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Supervisiones y monitoreos realizados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C7EEE7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C8ED0E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DF1E67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4226EC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801313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0CB0D0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8BEFEB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23F598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35B40B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ECF71E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752A2D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83DAA6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0BE45C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w:t>
            </w:r>
          </w:p>
        </w:tc>
      </w:tr>
      <w:tr w:rsidR="004921FF" w:rsidRPr="005C133F" w14:paraId="7CF38DBF" w14:textId="77777777" w:rsidTr="009B4ED1">
        <w:trPr>
          <w:trHeight w:val="1200"/>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2A57C5E9"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lastRenderedPageBreak/>
              <w:t>PSS supervisadas y/o monitoreadas respecto al cumplimiento del marco normativo del Seguro Familiar de Salud (SFS)</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045038E7"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Supervisiones y/o monitoreos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659969F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98241A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51E09B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C66E3E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242FB6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EB26A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34</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DAD1F3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5939C4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E04AE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98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9A76A3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6A1E2E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B8B3AA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755ADA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134</w:t>
            </w:r>
          </w:p>
        </w:tc>
      </w:tr>
      <w:tr w:rsidR="004921FF" w:rsidRPr="005C133F" w14:paraId="1790C624" w14:textId="77777777" w:rsidTr="009B4ED1">
        <w:trPr>
          <w:trHeight w:val="1590"/>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2691CD6D"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PSS supervisadas y/o monitoreadas respecto al cumplimiento del marco normativo del Seguro Familiar de Salud (SFS) con contratación con ARS SeNaSa para los afiliados del Régimen Subsidiado</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42829DF2"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PSS supervisadas y monitoreadas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1D3941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CE6296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4CF1A7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8378DD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64A456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A56674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FC3D75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72A182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4EE46D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41FC34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1933E3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8C7233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A9DECC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15</w:t>
            </w:r>
          </w:p>
        </w:tc>
      </w:tr>
      <w:tr w:rsidR="004921FF" w:rsidRPr="005C133F" w14:paraId="7770374B"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vAlign w:val="center"/>
            <w:hideMark/>
          </w:tcPr>
          <w:p w14:paraId="280E09B4"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IDOPPRIL supervisado y/o monitoreado respecto al cumplimiento del marco normativo del Seguro de Riesgos Laborales (SRL)</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3D9701D4"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Supervisiones realizadas de acuerdo a la planificación prevista</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2D2174E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78E201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273488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B2929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CAEE7D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D00673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38563F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F595F5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2AB473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FD74B2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16B69B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0C37B0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6549F4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w:t>
            </w:r>
          </w:p>
        </w:tc>
      </w:tr>
      <w:tr w:rsidR="004921FF" w:rsidRPr="005C133F" w14:paraId="671D0A80"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27062EC9"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IDOPPRIL supervisado y/o monitoreado respecto al cumplimiento del pago de las prestaciones por discapacidad permanente</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333D9648"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Certificaciones de discapacidad permanente emitidas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3479779" w14:textId="77777777" w:rsidR="00FC137F" w:rsidRPr="005C133F" w:rsidRDefault="00FC137F" w:rsidP="007A103E">
            <w:pPr>
              <w:spacing w:after="0" w:line="240" w:lineRule="auto"/>
              <w:jc w:val="center"/>
              <w:rPr>
                <w:rFonts w:eastAsia="Times New Roman"/>
                <w:spacing w:val="0"/>
                <w:lang w:val="es-DO" w:eastAsia="es-DO"/>
              </w:rPr>
            </w:pP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C8AC36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276A34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410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C62AD5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0A1A91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4DFDAA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289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AD4EF1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5E55A2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AC0CD3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253</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18D3CD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2634AF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63E9C53" w14:textId="42E48BAA" w:rsidR="00FC137F" w:rsidRPr="005C133F" w:rsidRDefault="003B0E42" w:rsidP="007A103E">
            <w:pPr>
              <w:spacing w:after="0" w:line="240" w:lineRule="auto"/>
              <w:jc w:val="center"/>
              <w:rPr>
                <w:rFonts w:eastAsia="Times New Roman"/>
                <w:spacing w:val="0"/>
                <w:lang w:val="es-DO" w:eastAsia="es-DO"/>
              </w:rPr>
            </w:pPr>
            <w:r>
              <w:rPr>
                <w:rFonts w:eastAsia="Times New Roman"/>
                <w:spacing w:val="0"/>
                <w:lang w:val="es-DO" w:eastAsia="es-DO"/>
              </w:rPr>
              <w:t>341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FFEC68" w14:textId="6B720685" w:rsidR="00FC137F" w:rsidRPr="005C133F" w:rsidRDefault="003B0E42" w:rsidP="007A103E">
            <w:pPr>
              <w:spacing w:after="0" w:line="240" w:lineRule="auto"/>
              <w:jc w:val="center"/>
              <w:rPr>
                <w:rFonts w:eastAsia="Times New Roman"/>
                <w:spacing w:val="0"/>
                <w:lang w:val="es-DO" w:eastAsia="es-DO"/>
              </w:rPr>
            </w:pPr>
            <w:r>
              <w:rPr>
                <w:rFonts w:eastAsia="Times New Roman"/>
                <w:spacing w:val="0"/>
                <w:lang w:val="es-DO" w:eastAsia="es-DO"/>
              </w:rPr>
              <w:t>1,293</w:t>
            </w:r>
          </w:p>
        </w:tc>
      </w:tr>
      <w:tr w:rsidR="004921FF" w:rsidRPr="005C133F" w14:paraId="651DE09F"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6028BD98"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Entes supervisados respecto al cumplimiento del marco normativo del SFS y el SRL en el marco de los riesgos operativos y financieros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5FE5C0B"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Entidades evaluadas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455E0B6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3E8968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CE4B68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D3A426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F1398C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DD8FF4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8C54F3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47C81F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793A9A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6E0C80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866BC9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85EA77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24BE85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162</w:t>
            </w:r>
          </w:p>
        </w:tc>
      </w:tr>
      <w:tr w:rsidR="004921FF" w:rsidRPr="005C133F" w14:paraId="3E2CD14E"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463F0D73"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Entidades (ARS, PSS, IDOPPRIL o Promotor de Seguros de Salud) reciben instrucciones y normativas de cumplimiento obligatorio a la administración del SFS y SRL</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7BF3DEDF"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Instrumentos regulatorios emitidos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5F5E2F4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48908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9DE88A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92D4C2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9D04E8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762B99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176903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C87C7A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0032F8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54424E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249060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679901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0998FC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15</w:t>
            </w:r>
          </w:p>
        </w:tc>
      </w:tr>
      <w:tr w:rsidR="004921FF" w:rsidRPr="005C133F" w14:paraId="226F2626" w14:textId="77777777" w:rsidTr="009B4ED1">
        <w:trPr>
          <w:trHeight w:val="1875"/>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58667048" w14:textId="55867ECA"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lastRenderedPageBreak/>
              <w:t xml:space="preserve">Entidades (ARS, PSS, IDOPPRIL o Promotor de Seguros de Salud) reciben resoluciones sancionadoras, de inconformidad y arbitrales sobre incumplimientos de la Ley 87-01 y aquellos vinculados al SFS y el SRL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6CEE56EA"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Resoluciones emitidas y notificadas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43F2E4E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8442F5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AD9B42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CE17DA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19D898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3B25D3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CAF821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41D93A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DB6407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3D3E40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2E0CA3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4BABE1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5C6B5D6" w14:textId="77777777" w:rsidR="00FC444E"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19</w:t>
            </w:r>
            <w:r w:rsidR="00C249EE" w:rsidRPr="005C133F">
              <w:rPr>
                <w:rFonts w:eastAsia="Times New Roman"/>
                <w:spacing w:val="0"/>
                <w:lang w:val="es-DO" w:eastAsia="es-DO"/>
              </w:rPr>
              <w:t xml:space="preserve"> </w:t>
            </w:r>
          </w:p>
          <w:p w14:paraId="24CF7765" w14:textId="46243309" w:rsidR="00FC444E" w:rsidRPr="005C133F" w:rsidRDefault="00C249EE" w:rsidP="007A103E">
            <w:pPr>
              <w:spacing w:after="0" w:line="240" w:lineRule="auto"/>
              <w:jc w:val="center"/>
              <w:rPr>
                <w:rFonts w:eastAsia="Times New Roman"/>
                <w:spacing w:val="0"/>
                <w:lang w:val="es-DO" w:eastAsia="es-DO"/>
              </w:rPr>
            </w:pPr>
            <w:r w:rsidRPr="005C133F">
              <w:rPr>
                <w:rFonts w:eastAsia="Times New Roman"/>
                <w:spacing w:val="0"/>
                <w:lang w:val="es-DO" w:eastAsia="es-DO"/>
              </w:rPr>
              <w:t>(18 sanciones</w:t>
            </w:r>
          </w:p>
          <w:p w14:paraId="0B1AE927" w14:textId="64AF5C38" w:rsidR="00FC137F" w:rsidRPr="005C133F" w:rsidRDefault="00C249EE" w:rsidP="007A103E">
            <w:pPr>
              <w:spacing w:after="0" w:line="240" w:lineRule="auto"/>
              <w:jc w:val="center"/>
              <w:rPr>
                <w:rFonts w:eastAsia="Times New Roman"/>
                <w:spacing w:val="0"/>
                <w:lang w:val="es-DO" w:eastAsia="es-DO"/>
              </w:rPr>
            </w:pPr>
            <w:r w:rsidRPr="005C133F">
              <w:rPr>
                <w:rFonts w:eastAsia="Times New Roman"/>
                <w:spacing w:val="0"/>
                <w:lang w:val="es-DO" w:eastAsia="es-DO"/>
              </w:rPr>
              <w:t xml:space="preserve"> y </w:t>
            </w:r>
            <w:r w:rsidR="00E212AB" w:rsidRPr="005C133F">
              <w:rPr>
                <w:rFonts w:eastAsia="Times New Roman"/>
                <w:spacing w:val="0"/>
                <w:lang w:val="es-DO" w:eastAsia="es-DO"/>
              </w:rPr>
              <w:t xml:space="preserve">1 </w:t>
            </w:r>
            <w:r w:rsidR="00FC444E" w:rsidRPr="005C133F">
              <w:rPr>
                <w:rFonts w:eastAsia="Times New Roman"/>
                <w:spacing w:val="0"/>
                <w:lang w:val="es-DO" w:eastAsia="es-DO"/>
              </w:rPr>
              <w:t>normativa)</w:t>
            </w:r>
            <w:r w:rsidR="00E212AB" w:rsidRPr="005C133F">
              <w:rPr>
                <w:rFonts w:eastAsia="Times New Roman"/>
                <w:spacing w:val="0"/>
                <w:lang w:val="es-DO" w:eastAsia="es-DO"/>
              </w:rPr>
              <w:t xml:space="preserve"> </w:t>
            </w:r>
          </w:p>
        </w:tc>
      </w:tr>
      <w:tr w:rsidR="004921FF" w:rsidRPr="005C133F" w14:paraId="5BCBEA87" w14:textId="77777777" w:rsidTr="009B4ED1">
        <w:trPr>
          <w:trHeight w:val="1380"/>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1D1731BD"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Prestadores públicos de salud (PSS) disponen de requisitos de contratación y sistema de facturación para su integración en el régimen contributivo.</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DDBD982"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Contrataciones de PSS públicas en el régimen contributivo gestionadas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65CC530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A9B54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40645A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FAA577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4E9E3C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BD4B6B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A73624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78D192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B0BAAB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9A1006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098512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E6EC6D8" w14:textId="3B50D2CA" w:rsidR="00FC137F" w:rsidRPr="005C133F" w:rsidRDefault="00DF3C8D" w:rsidP="007A103E">
            <w:pPr>
              <w:spacing w:after="0" w:line="240" w:lineRule="auto"/>
              <w:jc w:val="center"/>
              <w:rPr>
                <w:rFonts w:eastAsia="Times New Roman"/>
                <w:spacing w:val="0"/>
                <w:lang w:val="es-DO" w:eastAsia="es-DO"/>
              </w:rPr>
            </w:pPr>
            <w:r w:rsidRPr="005C133F">
              <w:rPr>
                <w:rFonts w:eastAsia="Times New Roman"/>
                <w:spacing w:val="0"/>
                <w:lang w:val="es-DO" w:eastAsia="es-DO"/>
              </w:rPr>
              <w:t>75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ACF3FB5" w14:textId="53B48D95" w:rsidR="00FC137F" w:rsidRPr="005C133F" w:rsidRDefault="00DF3C8D" w:rsidP="007A103E">
            <w:pPr>
              <w:spacing w:after="0" w:line="240" w:lineRule="auto"/>
              <w:jc w:val="center"/>
              <w:rPr>
                <w:rFonts w:eastAsia="Times New Roman"/>
                <w:spacing w:val="0"/>
                <w:lang w:val="es-DO" w:eastAsia="es-DO"/>
              </w:rPr>
            </w:pPr>
            <w:r w:rsidRPr="005C133F">
              <w:rPr>
                <w:rFonts w:eastAsia="Times New Roman"/>
                <w:spacing w:val="0"/>
                <w:lang w:val="es-DO" w:eastAsia="es-DO"/>
              </w:rPr>
              <w:t>75</w:t>
            </w:r>
          </w:p>
        </w:tc>
      </w:tr>
      <w:tr w:rsidR="004921FF" w:rsidRPr="005C133F" w14:paraId="4F6596C1" w14:textId="77777777" w:rsidTr="009B4ED1">
        <w:trPr>
          <w:trHeight w:val="1875"/>
          <w:jc w:val="center"/>
        </w:trPr>
        <w:tc>
          <w:tcPr>
            <w:tcW w:w="0" w:type="auto"/>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38F12CD6"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Evaluada la suficiencia del recaudo para los Subsidios de Maternidad, Lactancia y Enfermedad Común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1751E7E2"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Reportes de evaluación generados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0761096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0B36A5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E02AFD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81FD19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7B7B69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DE39B2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FC36C0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714FC8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B2782F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5D7BD4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085498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4636A4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4F03D1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w:t>
            </w:r>
          </w:p>
        </w:tc>
      </w:tr>
      <w:tr w:rsidR="004921FF" w:rsidRPr="005C133F" w14:paraId="0CC693CF" w14:textId="77777777" w:rsidTr="009B4ED1">
        <w:trPr>
          <w:trHeight w:val="1980"/>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07554D06"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Trabajadores y/o madres trabajadoras con hijos recién nacidos se benefician de subsidios por Maternidad, Lactancia y Enfermedad Común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6E7889A9"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Número de beneficiarios y Monto pagado de solicitudes por Maternidad</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91C180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5D3804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DED815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B885E2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99176D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3C89843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br/>
              <w:t xml:space="preserve">Beneficiarios 30,676 </w:t>
            </w:r>
            <w:r w:rsidRPr="005C133F">
              <w:rPr>
                <w:rFonts w:eastAsia="Times New Roman"/>
                <w:spacing w:val="0"/>
                <w:lang w:val="es-DO" w:eastAsia="es-DO"/>
              </w:rPr>
              <w:br/>
              <w:t xml:space="preserve">Monto pagado </w:t>
            </w:r>
            <w:r w:rsidRPr="005C133F">
              <w:rPr>
                <w:rFonts w:eastAsia="Times New Roman"/>
                <w:spacing w:val="0"/>
                <w:lang w:val="es-DO" w:eastAsia="es-DO"/>
              </w:rPr>
              <w:br/>
              <w:t>RD$ 533,782,438.87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2A288A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061318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1BB4FC9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Beneficiarios 9,896</w:t>
            </w:r>
            <w:r w:rsidRPr="005C133F">
              <w:rPr>
                <w:rFonts w:eastAsia="Times New Roman"/>
                <w:spacing w:val="0"/>
                <w:lang w:val="es-DO" w:eastAsia="es-DO"/>
              </w:rPr>
              <w:br/>
              <w:t xml:space="preserve">Monto pagado </w:t>
            </w:r>
            <w:r w:rsidRPr="005C133F">
              <w:rPr>
                <w:rFonts w:eastAsia="Times New Roman"/>
                <w:spacing w:val="0"/>
                <w:lang w:val="es-DO" w:eastAsia="es-DO"/>
              </w:rPr>
              <w:br/>
              <w:t>RD$ 235,965,431.60</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94B8F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2CD803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0BB84F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04E97F5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 xml:space="preserve">Beneficiarios </w:t>
            </w:r>
            <w:r w:rsidRPr="005C133F">
              <w:rPr>
                <w:rFonts w:eastAsia="Times New Roman"/>
                <w:spacing w:val="0"/>
                <w:lang w:val="es-DO" w:eastAsia="es-DO"/>
              </w:rPr>
              <w:br/>
              <w:t>40,572</w:t>
            </w:r>
            <w:r w:rsidRPr="005C133F">
              <w:rPr>
                <w:rFonts w:eastAsia="Times New Roman"/>
                <w:spacing w:val="0"/>
                <w:lang w:val="es-DO" w:eastAsia="es-DO"/>
              </w:rPr>
              <w:br/>
              <w:t xml:space="preserve">Monto pagado </w:t>
            </w:r>
            <w:r w:rsidRPr="005C133F">
              <w:rPr>
                <w:rFonts w:eastAsia="Times New Roman"/>
                <w:spacing w:val="0"/>
                <w:lang w:val="es-DO" w:eastAsia="es-DO"/>
              </w:rPr>
              <w:br/>
              <w:t>RD$ 769,747,870.47</w:t>
            </w:r>
          </w:p>
        </w:tc>
      </w:tr>
      <w:tr w:rsidR="004921FF" w:rsidRPr="005C133F" w14:paraId="1DBC5189" w14:textId="77777777" w:rsidTr="009B4ED1">
        <w:trPr>
          <w:trHeight w:val="1620"/>
          <w:jc w:val="center"/>
        </w:trPr>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39211AF5" w14:textId="77777777" w:rsidR="00FC137F" w:rsidRPr="005C133F" w:rsidRDefault="00FC137F" w:rsidP="007A103E">
            <w:pPr>
              <w:spacing w:after="0" w:line="240" w:lineRule="auto"/>
              <w:rPr>
                <w:rFonts w:eastAsia="Times New Roman"/>
                <w:spacing w:val="0"/>
                <w:lang w:val="es-DO" w:eastAsia="es-DO"/>
              </w:rPr>
            </w:pP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4613E9AB"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Número de beneficiarios y Monto pagado de solicitudes por Lactancia</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3C61453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AA8C5B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37B4DD0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Beneficiarios</w:t>
            </w:r>
            <w:r w:rsidRPr="005C133F">
              <w:rPr>
                <w:rFonts w:eastAsia="Times New Roman"/>
                <w:spacing w:val="0"/>
                <w:lang w:val="es-DO" w:eastAsia="es-DO"/>
              </w:rPr>
              <w:br/>
              <w:t>144,241</w:t>
            </w:r>
            <w:r w:rsidRPr="005C133F">
              <w:rPr>
                <w:rFonts w:eastAsia="Times New Roman"/>
                <w:spacing w:val="0"/>
                <w:lang w:val="es-DO" w:eastAsia="es-DO"/>
              </w:rPr>
              <w:br/>
              <w:t xml:space="preserve">Monto pagado </w:t>
            </w:r>
            <w:r w:rsidRPr="005C133F">
              <w:rPr>
                <w:rFonts w:eastAsia="Times New Roman"/>
                <w:spacing w:val="0"/>
                <w:lang w:val="es-DO" w:eastAsia="es-DO"/>
              </w:rPr>
              <w:br/>
              <w:t>RD$ 545,133,906.3</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091667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5157B5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342884DB"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br/>
              <w:t>Beneficiarios 125,461</w:t>
            </w:r>
            <w:r w:rsidRPr="005C133F">
              <w:rPr>
                <w:rFonts w:eastAsia="Times New Roman"/>
                <w:spacing w:val="0"/>
                <w:lang w:val="es-DO" w:eastAsia="es-DO"/>
              </w:rPr>
              <w:br/>
              <w:t xml:space="preserve">Monto pagado </w:t>
            </w:r>
            <w:r w:rsidRPr="005C133F">
              <w:rPr>
                <w:rFonts w:eastAsia="Times New Roman"/>
                <w:spacing w:val="0"/>
                <w:lang w:val="es-DO" w:eastAsia="es-DO"/>
              </w:rPr>
              <w:br/>
              <w:t>RD$433,728,766.17</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17D826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7006FC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06CCEE4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Beneficiarios 113,624</w:t>
            </w:r>
            <w:r w:rsidRPr="005C133F">
              <w:rPr>
                <w:rFonts w:eastAsia="Times New Roman"/>
                <w:spacing w:val="0"/>
                <w:lang w:val="es-DO" w:eastAsia="es-DO"/>
              </w:rPr>
              <w:br/>
              <w:t xml:space="preserve">Monto pagado </w:t>
            </w:r>
            <w:r w:rsidRPr="005C133F">
              <w:rPr>
                <w:rFonts w:eastAsia="Times New Roman"/>
                <w:spacing w:val="0"/>
                <w:lang w:val="es-DO" w:eastAsia="es-DO"/>
              </w:rPr>
              <w:br/>
              <w:t>RD$ 443,236,698.49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EDDCA1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D9FE72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7449A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7A39FD6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 xml:space="preserve">Beneficiarios </w:t>
            </w:r>
            <w:r w:rsidRPr="005C133F">
              <w:rPr>
                <w:rFonts w:eastAsia="Times New Roman"/>
                <w:spacing w:val="0"/>
                <w:lang w:val="es-DO" w:eastAsia="es-DO"/>
              </w:rPr>
              <w:br/>
              <w:t>383,326</w:t>
            </w:r>
            <w:r w:rsidRPr="005C133F">
              <w:rPr>
                <w:rFonts w:eastAsia="Times New Roman"/>
                <w:spacing w:val="0"/>
                <w:lang w:val="es-DO" w:eastAsia="es-DO"/>
              </w:rPr>
              <w:br/>
              <w:t xml:space="preserve">Monto pagado </w:t>
            </w:r>
            <w:r w:rsidRPr="005C133F">
              <w:rPr>
                <w:rFonts w:eastAsia="Times New Roman"/>
                <w:spacing w:val="0"/>
                <w:lang w:val="es-DO" w:eastAsia="es-DO"/>
              </w:rPr>
              <w:br/>
              <w:t>RD$ 1,422,099,370.97</w:t>
            </w:r>
          </w:p>
        </w:tc>
      </w:tr>
      <w:tr w:rsidR="004921FF" w:rsidRPr="005C133F" w14:paraId="0F5502F0" w14:textId="77777777" w:rsidTr="009B4ED1">
        <w:trPr>
          <w:trHeight w:val="1890"/>
          <w:jc w:val="center"/>
        </w:trPr>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5C90AFE3" w14:textId="77777777" w:rsidR="00FC137F" w:rsidRPr="005C133F" w:rsidRDefault="00FC137F" w:rsidP="007A103E">
            <w:pPr>
              <w:spacing w:after="0" w:line="240" w:lineRule="auto"/>
              <w:rPr>
                <w:rFonts w:eastAsia="Times New Roman"/>
                <w:spacing w:val="0"/>
                <w:lang w:val="es-DO" w:eastAsia="es-DO"/>
              </w:rPr>
            </w:pP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35B87D5E"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Número de beneficiarios y Monto pagado de solicitudes por Enfermedad Común</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18C6B18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994D2C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7D66BAC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Beneficiarios 51,041</w:t>
            </w:r>
            <w:r w:rsidRPr="005C133F">
              <w:rPr>
                <w:rFonts w:eastAsia="Times New Roman"/>
                <w:spacing w:val="0"/>
                <w:lang w:val="es-DO" w:eastAsia="es-DO"/>
              </w:rPr>
              <w:br/>
              <w:t xml:space="preserve">Monto pagado </w:t>
            </w:r>
            <w:r w:rsidRPr="005C133F">
              <w:rPr>
                <w:rFonts w:eastAsia="Times New Roman"/>
                <w:spacing w:val="0"/>
                <w:lang w:val="es-DO" w:eastAsia="es-DO"/>
              </w:rPr>
              <w:br/>
              <w:t>RD$359,814,011.66</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918AE7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2E94E5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nil"/>
              <w:left w:val="nil"/>
              <w:bottom w:val="nil"/>
              <w:right w:val="nil"/>
            </w:tcBorders>
            <w:vAlign w:val="center"/>
            <w:hideMark/>
          </w:tcPr>
          <w:p w14:paraId="7B6E396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br/>
              <w:t>Beneficiarios 63,440</w:t>
            </w:r>
            <w:r w:rsidRPr="005C133F">
              <w:rPr>
                <w:rFonts w:eastAsia="Times New Roman"/>
                <w:spacing w:val="0"/>
                <w:lang w:val="es-DO" w:eastAsia="es-DO"/>
              </w:rPr>
              <w:br/>
              <w:t xml:space="preserve">Monto pagado </w:t>
            </w:r>
            <w:r w:rsidRPr="005C133F">
              <w:rPr>
                <w:rFonts w:eastAsia="Times New Roman"/>
                <w:spacing w:val="0"/>
                <w:lang w:val="es-DO" w:eastAsia="es-DO"/>
              </w:rPr>
              <w:br/>
              <w:t>RD$ 611,952,935.28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E9D762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9CA2CC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2C2599A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Beneficiarios 32,611</w:t>
            </w:r>
            <w:r w:rsidRPr="005C133F">
              <w:rPr>
                <w:rFonts w:eastAsia="Times New Roman"/>
                <w:spacing w:val="0"/>
                <w:lang w:val="es-DO" w:eastAsia="es-DO"/>
              </w:rPr>
              <w:br/>
              <w:t xml:space="preserve">Monto pagado </w:t>
            </w:r>
            <w:r w:rsidRPr="005C133F">
              <w:rPr>
                <w:rFonts w:eastAsia="Times New Roman"/>
                <w:spacing w:val="0"/>
                <w:lang w:val="es-DO" w:eastAsia="es-DO"/>
              </w:rPr>
              <w:br/>
              <w:t>RD$ 274,311,968.4</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983713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29ACF2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80AD1C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221EB6BC"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 xml:space="preserve">Beneficiarios </w:t>
            </w:r>
            <w:r w:rsidRPr="005C133F">
              <w:rPr>
                <w:rFonts w:eastAsia="Times New Roman"/>
                <w:spacing w:val="0"/>
                <w:lang w:val="es-DO" w:eastAsia="es-DO"/>
              </w:rPr>
              <w:br/>
              <w:t>147,092</w:t>
            </w:r>
            <w:r w:rsidRPr="005C133F">
              <w:rPr>
                <w:rFonts w:eastAsia="Times New Roman"/>
                <w:spacing w:val="0"/>
                <w:lang w:val="es-DO" w:eastAsia="es-DO"/>
              </w:rPr>
              <w:br/>
              <w:t xml:space="preserve">Monto pagado </w:t>
            </w:r>
            <w:r w:rsidRPr="005C133F">
              <w:rPr>
                <w:rFonts w:eastAsia="Times New Roman"/>
                <w:spacing w:val="0"/>
                <w:lang w:val="es-DO" w:eastAsia="es-DO"/>
              </w:rPr>
              <w:br/>
              <w:t>RD$ 1,246,078,915.34</w:t>
            </w:r>
          </w:p>
        </w:tc>
      </w:tr>
      <w:tr w:rsidR="004921FF" w:rsidRPr="005C133F" w14:paraId="092B0004" w14:textId="77777777" w:rsidTr="009B4ED1">
        <w:trPr>
          <w:trHeight w:val="945"/>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B5E61B4"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Afiliados reciben atención y respuesta a sus PQRS, a través de los diferentes canales habilitados. (ATENCIONES DIAU)</w:t>
            </w:r>
          </w:p>
        </w:tc>
        <w:tc>
          <w:tcPr>
            <w:tcW w:w="1718" w:type="dxa"/>
            <w:tcBorders>
              <w:top w:val="single" w:sz="4" w:space="0" w:color="808080"/>
              <w:left w:val="nil"/>
              <w:bottom w:val="single" w:sz="4" w:space="0" w:color="808080"/>
              <w:right w:val="single" w:sz="4" w:space="0" w:color="808080"/>
            </w:tcBorders>
            <w:vAlign w:val="center"/>
            <w:hideMark/>
          </w:tcPr>
          <w:p w14:paraId="7ED71489"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Personas (casos únicos) atendidas a través de los diferentes canales habilitados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3B8312F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30,772</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E7C9D1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28,772</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DA3A77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32,061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A5C62D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29,065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548871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33,356</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A72F43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30,149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70FB5A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31,999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0B98391"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28,873</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7F923B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29,581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1BDC4614"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C7926E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ED5A01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46B731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274,628</w:t>
            </w:r>
          </w:p>
        </w:tc>
      </w:tr>
      <w:tr w:rsidR="004921FF" w:rsidRPr="005C133F" w14:paraId="6976A251" w14:textId="77777777" w:rsidTr="009B4ED1">
        <w:trPr>
          <w:trHeight w:val="1290"/>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1AC57F1"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Actores del SFS y SRL  reciben atención y respuesta oportuna en relación a sus PQRS, a través de los diferentes canales habilitados.</w:t>
            </w:r>
          </w:p>
        </w:tc>
        <w:tc>
          <w:tcPr>
            <w:tcW w:w="1718" w:type="dxa"/>
            <w:tcBorders>
              <w:top w:val="single" w:sz="4" w:space="0" w:color="808080"/>
              <w:left w:val="nil"/>
              <w:bottom w:val="single" w:sz="4" w:space="0" w:color="808080"/>
              <w:right w:val="single" w:sz="4" w:space="0" w:color="808080"/>
            </w:tcBorders>
            <w:vAlign w:val="center"/>
            <w:hideMark/>
          </w:tcPr>
          <w:p w14:paraId="5BB6A51F"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Personas o entidades (casos únicos) atendidos</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7FA0BA0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40E8A3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4CDA60BD"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DIAU: 8,518</w:t>
            </w:r>
            <w:r w:rsidRPr="005C133F">
              <w:rPr>
                <w:rFonts w:eastAsia="Times New Roman"/>
                <w:spacing w:val="0"/>
                <w:lang w:val="es-DO" w:eastAsia="es-DO"/>
              </w:rPr>
              <w:br/>
              <w:t>DARCP: 144</w:t>
            </w:r>
            <w:r w:rsidRPr="005C133F">
              <w:rPr>
                <w:rFonts w:eastAsia="Times New Roman"/>
                <w:spacing w:val="0"/>
                <w:lang w:val="es-DO" w:eastAsia="es-DO"/>
              </w:rPr>
              <w:br/>
              <w:t>DARL: 79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0BE01EF"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45D0E68"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40FE8ADE"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DIAU: 5,668</w:t>
            </w:r>
            <w:r w:rsidRPr="005C133F">
              <w:rPr>
                <w:rFonts w:eastAsia="Times New Roman"/>
                <w:spacing w:val="0"/>
                <w:lang w:val="es-DO" w:eastAsia="es-DO"/>
              </w:rPr>
              <w:br/>
              <w:t>DARCP:  92</w:t>
            </w:r>
            <w:r w:rsidRPr="005C133F">
              <w:rPr>
                <w:rFonts w:eastAsia="Times New Roman"/>
                <w:spacing w:val="0"/>
                <w:lang w:val="es-DO" w:eastAsia="es-DO"/>
              </w:rPr>
              <w:br/>
              <w:t>DARL: 78</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0222D6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3A33CE1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7074FDE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DIAU: 2,803</w:t>
            </w:r>
            <w:r w:rsidRPr="005C133F">
              <w:rPr>
                <w:rFonts w:eastAsia="Times New Roman"/>
                <w:spacing w:val="0"/>
                <w:lang w:val="es-DO" w:eastAsia="es-DO"/>
              </w:rPr>
              <w:br/>
              <w:t>DARCP: 217</w:t>
            </w:r>
            <w:r w:rsidRPr="005C133F">
              <w:rPr>
                <w:rFonts w:eastAsia="Times New Roman"/>
                <w:spacing w:val="0"/>
                <w:lang w:val="es-DO" w:eastAsia="es-DO"/>
              </w:rPr>
              <w:br/>
              <w:t>DARL: 65</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33D50B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24E9FE5"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4D591A76" w14:textId="733BA5DF" w:rsidR="00FC137F" w:rsidRPr="005C133F" w:rsidRDefault="00770B3D" w:rsidP="007A103E">
            <w:pPr>
              <w:spacing w:after="0" w:line="240" w:lineRule="auto"/>
              <w:jc w:val="center"/>
              <w:rPr>
                <w:rFonts w:eastAsia="Times New Roman"/>
                <w:spacing w:val="0"/>
                <w:lang w:val="es-DO" w:eastAsia="es-DO"/>
              </w:rPr>
            </w:pPr>
            <w:r w:rsidRPr="005C133F">
              <w:rPr>
                <w:rFonts w:eastAsia="Times New Roman"/>
                <w:spacing w:val="0"/>
                <w:lang w:val="es-DO" w:eastAsia="es-DO"/>
              </w:rPr>
              <w:t>DIAU:</w:t>
            </w:r>
            <w:r w:rsidRPr="005C133F">
              <w:rPr>
                <w:rFonts w:eastAsia="Times New Roman"/>
                <w:spacing w:val="0"/>
                <w:lang w:val="es-DO" w:eastAsia="es-DO"/>
              </w:rPr>
              <w:br/>
              <w:t xml:space="preserve">DARCP: </w:t>
            </w:r>
            <w:r w:rsidR="007F14A9">
              <w:rPr>
                <w:rFonts w:eastAsia="Times New Roman"/>
                <w:spacing w:val="0"/>
                <w:lang w:val="es-DO" w:eastAsia="es-DO"/>
              </w:rPr>
              <w:t>164</w:t>
            </w:r>
            <w:r w:rsidRPr="005C133F">
              <w:rPr>
                <w:rFonts w:eastAsia="Times New Roman"/>
                <w:spacing w:val="0"/>
                <w:lang w:val="es-DO" w:eastAsia="es-DO"/>
              </w:rPr>
              <w:br/>
              <w:t xml:space="preserve">DARL: </w:t>
            </w:r>
            <w:r>
              <w:rPr>
                <w:rFonts w:eastAsia="Times New Roman"/>
                <w:spacing w:val="0"/>
                <w:lang w:val="es-DO" w:eastAsia="es-DO"/>
              </w:rPr>
              <w:t>81</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6E590DE3" w14:textId="07D20971"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DIAU: 16,989</w:t>
            </w:r>
            <w:r w:rsidRPr="005C133F">
              <w:rPr>
                <w:rFonts w:eastAsia="Times New Roman"/>
                <w:spacing w:val="0"/>
                <w:lang w:val="es-DO" w:eastAsia="es-DO"/>
              </w:rPr>
              <w:br/>
              <w:t xml:space="preserve">DARCP: </w:t>
            </w:r>
            <w:r w:rsidR="007F14A9">
              <w:rPr>
                <w:rFonts w:eastAsia="Times New Roman"/>
                <w:spacing w:val="0"/>
                <w:lang w:val="es-DO" w:eastAsia="es-DO"/>
              </w:rPr>
              <w:t>617</w:t>
            </w:r>
            <w:r w:rsidRPr="005C133F">
              <w:rPr>
                <w:rFonts w:eastAsia="Times New Roman"/>
                <w:spacing w:val="0"/>
                <w:lang w:val="es-DO" w:eastAsia="es-DO"/>
              </w:rPr>
              <w:br/>
              <w:t>DARL:</w:t>
            </w:r>
            <w:r w:rsidR="00770B3D">
              <w:rPr>
                <w:rFonts w:eastAsia="Times New Roman"/>
                <w:spacing w:val="0"/>
                <w:lang w:val="es-DO" w:eastAsia="es-DO"/>
              </w:rPr>
              <w:t>303</w:t>
            </w:r>
          </w:p>
        </w:tc>
      </w:tr>
      <w:tr w:rsidR="004921FF" w:rsidRPr="005C133F" w14:paraId="068F0F6B" w14:textId="77777777" w:rsidTr="009B4ED1">
        <w:trPr>
          <w:trHeight w:val="1065"/>
          <w:jc w:val="center"/>
        </w:trPr>
        <w:tc>
          <w:tcPr>
            <w:tcW w:w="0" w:type="auto"/>
            <w:tcBorders>
              <w:top w:val="nil"/>
              <w:left w:val="single" w:sz="4" w:space="0" w:color="808080"/>
              <w:bottom w:val="single" w:sz="4" w:space="0" w:color="808080"/>
              <w:right w:val="single" w:sz="4" w:space="0" w:color="808080"/>
            </w:tcBorders>
            <w:shd w:val="clear" w:color="000000" w:fill="FFFFFF"/>
            <w:vAlign w:val="center"/>
            <w:hideMark/>
          </w:tcPr>
          <w:p w14:paraId="073DEA27"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Afiliados al SFS y SRL reciben información sobre beneficios del SFS y SRL a través de actividades de divulgación y promoción </w:t>
            </w:r>
          </w:p>
        </w:tc>
        <w:tc>
          <w:tcPr>
            <w:tcW w:w="1718" w:type="dxa"/>
            <w:tcBorders>
              <w:top w:val="single" w:sz="4" w:space="0" w:color="808080"/>
              <w:left w:val="single" w:sz="4" w:space="0" w:color="808080"/>
              <w:bottom w:val="single" w:sz="4" w:space="0" w:color="808080"/>
              <w:right w:val="single" w:sz="4" w:space="0" w:color="808080"/>
            </w:tcBorders>
            <w:vAlign w:val="center"/>
            <w:hideMark/>
          </w:tcPr>
          <w:p w14:paraId="6D4C7CC8" w14:textId="77777777" w:rsidR="00FC137F" w:rsidRPr="005C133F" w:rsidRDefault="00FC137F" w:rsidP="007A103E">
            <w:pPr>
              <w:spacing w:after="0" w:line="240" w:lineRule="auto"/>
              <w:rPr>
                <w:rFonts w:eastAsia="Times New Roman"/>
                <w:spacing w:val="0"/>
                <w:lang w:val="es-DO" w:eastAsia="es-DO"/>
              </w:rPr>
            </w:pPr>
            <w:r w:rsidRPr="005C133F">
              <w:rPr>
                <w:rFonts w:eastAsia="Times New Roman"/>
                <w:spacing w:val="0"/>
                <w:lang w:val="es-DO" w:eastAsia="es-DO"/>
              </w:rPr>
              <w:t xml:space="preserve">Afiliados impactados </w:t>
            </w:r>
          </w:p>
        </w:tc>
        <w:tc>
          <w:tcPr>
            <w:tcW w:w="1206" w:type="dxa"/>
            <w:tcBorders>
              <w:top w:val="single" w:sz="4" w:space="0" w:color="808080"/>
              <w:left w:val="single" w:sz="4" w:space="0" w:color="808080"/>
              <w:bottom w:val="single" w:sz="4" w:space="0" w:color="808080"/>
              <w:right w:val="single" w:sz="4" w:space="0" w:color="808080"/>
            </w:tcBorders>
            <w:noWrap/>
            <w:vAlign w:val="center"/>
            <w:hideMark/>
          </w:tcPr>
          <w:p w14:paraId="26BA831A"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C444A1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42DA754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br/>
              <w:t>326</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1D1C50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77FE1F9"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000CFE2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829</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0D7ED8D7"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56516C33"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vAlign w:val="center"/>
            <w:hideMark/>
          </w:tcPr>
          <w:p w14:paraId="0CB0BB96"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411</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73192FB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2847C770"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4BACC4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w:t>
            </w:r>
          </w:p>
        </w:tc>
        <w:tc>
          <w:tcPr>
            <w:tcW w:w="0" w:type="auto"/>
            <w:tcBorders>
              <w:top w:val="single" w:sz="4" w:space="0" w:color="808080"/>
              <w:left w:val="single" w:sz="4" w:space="0" w:color="808080"/>
              <w:bottom w:val="single" w:sz="4" w:space="0" w:color="808080"/>
              <w:right w:val="single" w:sz="4" w:space="0" w:color="808080"/>
            </w:tcBorders>
            <w:noWrap/>
            <w:vAlign w:val="center"/>
            <w:hideMark/>
          </w:tcPr>
          <w:p w14:paraId="6D3ADF22" w14:textId="77777777" w:rsidR="00FC137F" w:rsidRPr="005C133F" w:rsidRDefault="00FC137F" w:rsidP="007A103E">
            <w:pPr>
              <w:spacing w:after="0" w:line="240" w:lineRule="auto"/>
              <w:jc w:val="center"/>
              <w:rPr>
                <w:rFonts w:eastAsia="Times New Roman"/>
                <w:spacing w:val="0"/>
                <w:lang w:val="es-DO" w:eastAsia="es-DO"/>
              </w:rPr>
            </w:pPr>
            <w:r w:rsidRPr="005C133F">
              <w:rPr>
                <w:rFonts w:eastAsia="Times New Roman"/>
                <w:spacing w:val="0"/>
                <w:lang w:val="es-DO" w:eastAsia="es-DO"/>
              </w:rPr>
              <w:t>1240</w:t>
            </w:r>
          </w:p>
        </w:tc>
      </w:tr>
    </w:tbl>
    <w:p w14:paraId="71751C3F" w14:textId="3245B77D" w:rsidR="007D39D6" w:rsidRPr="00291603" w:rsidRDefault="00C73014" w:rsidP="007A103E">
      <w:pPr>
        <w:spacing w:after="0" w:line="240" w:lineRule="auto"/>
        <w:rPr>
          <w:sz w:val="18"/>
          <w:szCs w:val="18"/>
          <w:lang w:val="es-DO"/>
        </w:rPr>
      </w:pPr>
      <w:r w:rsidRPr="00291603">
        <w:rPr>
          <w:sz w:val="18"/>
          <w:szCs w:val="18"/>
          <w:lang w:val="es-DO"/>
        </w:rPr>
        <w:t xml:space="preserve">Fuente: Dirección de Planificación y Desarrollo de la SISALRIL </w:t>
      </w:r>
    </w:p>
    <w:p w14:paraId="1D2F53D3" w14:textId="3A08C9FF" w:rsidR="00C73014" w:rsidRDefault="00C73014" w:rsidP="007A103E">
      <w:pPr>
        <w:spacing w:after="0" w:line="240" w:lineRule="auto"/>
        <w:rPr>
          <w:sz w:val="18"/>
          <w:szCs w:val="18"/>
          <w:lang w:val="es-DO"/>
        </w:rPr>
      </w:pPr>
      <w:r w:rsidRPr="00291603">
        <w:rPr>
          <w:sz w:val="18"/>
          <w:szCs w:val="18"/>
          <w:lang w:val="es-DO"/>
        </w:rPr>
        <w:t xml:space="preserve">Nota: </w:t>
      </w:r>
      <w:r w:rsidR="004D72BC" w:rsidRPr="00291603">
        <w:rPr>
          <w:sz w:val="18"/>
          <w:szCs w:val="18"/>
          <w:lang w:val="es-DO"/>
        </w:rPr>
        <w:t xml:space="preserve">Esta </w:t>
      </w:r>
      <w:r w:rsidR="003C3DD2" w:rsidRPr="00291603">
        <w:rPr>
          <w:sz w:val="18"/>
          <w:szCs w:val="18"/>
          <w:lang w:val="es-DO"/>
        </w:rPr>
        <w:t xml:space="preserve">producción </w:t>
      </w:r>
      <w:r w:rsidR="0000651A" w:rsidRPr="00291603">
        <w:rPr>
          <w:sz w:val="18"/>
          <w:szCs w:val="18"/>
          <w:lang w:val="es-DO"/>
        </w:rPr>
        <w:t xml:space="preserve">genera con periodicidad </w:t>
      </w:r>
      <w:r w:rsidR="00B10109" w:rsidRPr="00291603">
        <w:rPr>
          <w:sz w:val="18"/>
          <w:szCs w:val="18"/>
          <w:lang w:val="es-DO"/>
        </w:rPr>
        <w:t>trimestral, semestral o anual, por lo que s</w:t>
      </w:r>
      <w:r w:rsidR="006026A5" w:rsidRPr="00291603">
        <w:rPr>
          <w:sz w:val="18"/>
          <w:szCs w:val="18"/>
          <w:lang w:val="es-DO"/>
        </w:rPr>
        <w:t xml:space="preserve">e colocan valores solamente en los meses </w:t>
      </w:r>
      <w:r w:rsidR="00B10109" w:rsidRPr="00291603">
        <w:rPr>
          <w:sz w:val="18"/>
          <w:szCs w:val="18"/>
          <w:lang w:val="es-DO"/>
        </w:rPr>
        <w:t xml:space="preserve">donde hubo ejecución. </w:t>
      </w:r>
    </w:p>
    <w:p w14:paraId="7A4ABEDF" w14:textId="77777777" w:rsidR="007A103E" w:rsidRDefault="007A103E" w:rsidP="007A103E">
      <w:pPr>
        <w:spacing w:after="0" w:line="240" w:lineRule="auto"/>
        <w:rPr>
          <w:sz w:val="18"/>
          <w:szCs w:val="18"/>
          <w:lang w:val="es-DO"/>
        </w:rPr>
      </w:pPr>
    </w:p>
    <w:p w14:paraId="67C30EB5" w14:textId="77777777" w:rsidR="007A103E" w:rsidRDefault="007A103E" w:rsidP="009B4ED1">
      <w:pPr>
        <w:spacing w:after="0" w:line="240" w:lineRule="auto"/>
        <w:jc w:val="center"/>
        <w:rPr>
          <w:sz w:val="18"/>
          <w:szCs w:val="18"/>
          <w:lang w:val="es-DO"/>
        </w:rPr>
      </w:pPr>
    </w:p>
    <w:p w14:paraId="273BBCBB" w14:textId="77777777" w:rsidR="00C93B9B" w:rsidRDefault="00C93B9B" w:rsidP="009B4ED1">
      <w:pPr>
        <w:spacing w:after="0" w:line="240" w:lineRule="auto"/>
        <w:jc w:val="center"/>
        <w:rPr>
          <w:sz w:val="18"/>
          <w:szCs w:val="18"/>
          <w:lang w:val="es-DO"/>
        </w:rPr>
      </w:pPr>
    </w:p>
    <w:p w14:paraId="35997F0F" w14:textId="77777777" w:rsidR="00C93B9B" w:rsidRDefault="00C93B9B" w:rsidP="009B4ED1">
      <w:pPr>
        <w:spacing w:after="0" w:line="240" w:lineRule="auto"/>
        <w:jc w:val="center"/>
        <w:rPr>
          <w:sz w:val="18"/>
          <w:szCs w:val="18"/>
          <w:lang w:val="es-DO"/>
        </w:rPr>
      </w:pPr>
    </w:p>
    <w:p w14:paraId="7F971752" w14:textId="77777777" w:rsidR="00C93B9B" w:rsidRDefault="00C93B9B" w:rsidP="009B4ED1">
      <w:pPr>
        <w:spacing w:after="0" w:line="240" w:lineRule="auto"/>
        <w:jc w:val="center"/>
        <w:rPr>
          <w:sz w:val="18"/>
          <w:szCs w:val="18"/>
          <w:lang w:val="es-DO"/>
        </w:rPr>
      </w:pPr>
    </w:p>
    <w:p w14:paraId="4D20D302" w14:textId="77777777" w:rsidR="00C93B9B" w:rsidRDefault="00C93B9B" w:rsidP="009B4ED1">
      <w:pPr>
        <w:spacing w:after="0" w:line="240" w:lineRule="auto"/>
        <w:jc w:val="center"/>
        <w:rPr>
          <w:sz w:val="18"/>
          <w:szCs w:val="18"/>
          <w:lang w:val="es-DO"/>
        </w:rPr>
      </w:pPr>
    </w:p>
    <w:p w14:paraId="1534AA5C" w14:textId="77777777" w:rsidR="00C93B9B" w:rsidRDefault="00C93B9B" w:rsidP="009B4ED1">
      <w:pPr>
        <w:spacing w:after="0" w:line="240" w:lineRule="auto"/>
        <w:jc w:val="center"/>
        <w:rPr>
          <w:sz w:val="18"/>
          <w:szCs w:val="18"/>
          <w:lang w:val="es-DO"/>
        </w:rPr>
      </w:pPr>
    </w:p>
    <w:p w14:paraId="54C667B5" w14:textId="77777777" w:rsidR="00C93B9B" w:rsidRDefault="00C93B9B" w:rsidP="009B4ED1">
      <w:pPr>
        <w:spacing w:after="0" w:line="240" w:lineRule="auto"/>
        <w:jc w:val="center"/>
        <w:rPr>
          <w:sz w:val="18"/>
          <w:szCs w:val="18"/>
          <w:lang w:val="es-DO"/>
        </w:rPr>
      </w:pPr>
    </w:p>
    <w:p w14:paraId="3F8E9F5A" w14:textId="77777777" w:rsidR="00C93B9B" w:rsidRDefault="00C93B9B" w:rsidP="009B4ED1">
      <w:pPr>
        <w:spacing w:after="0" w:line="240" w:lineRule="auto"/>
        <w:jc w:val="center"/>
        <w:rPr>
          <w:sz w:val="18"/>
          <w:szCs w:val="18"/>
          <w:lang w:val="es-DO"/>
        </w:rPr>
      </w:pPr>
    </w:p>
    <w:p w14:paraId="09B8D83F" w14:textId="2DCE218D" w:rsidR="00C93B9B" w:rsidRPr="00C93B9B" w:rsidRDefault="00C93B9B" w:rsidP="00C93B9B">
      <w:pPr>
        <w:pStyle w:val="SUBTITULITO"/>
        <w:numPr>
          <w:ilvl w:val="1"/>
          <w:numId w:val="141"/>
        </w:numPr>
        <w:spacing w:after="0"/>
        <w:jc w:val="left"/>
        <w:rPr>
          <w:rFonts w:eastAsia="Calibri"/>
        </w:rPr>
      </w:pPr>
      <w:bookmarkStart w:id="156" w:name="_Toc219121867"/>
      <w:r w:rsidRPr="005C133F">
        <w:rPr>
          <w:rFonts w:eastAsia="Calibri"/>
        </w:rPr>
        <w:lastRenderedPageBreak/>
        <w:t xml:space="preserve">Matriz de </w:t>
      </w:r>
      <w:r w:rsidR="00953CA0">
        <w:rPr>
          <w:rFonts w:eastAsia="Calibri"/>
        </w:rPr>
        <w:t xml:space="preserve">Ejecución Presupuestaria </w:t>
      </w:r>
      <w:r w:rsidR="00C46A1C">
        <w:rPr>
          <w:rFonts w:eastAsia="Calibri"/>
        </w:rPr>
        <w:t>2025</w:t>
      </w:r>
      <w:bookmarkEnd w:id="156"/>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0" w:type="dxa"/>
          <w:right w:w="0" w:type="dxa"/>
        </w:tblCellMar>
        <w:tblLook w:val="04A0" w:firstRow="1" w:lastRow="0" w:firstColumn="1" w:lastColumn="0" w:noHBand="0" w:noVBand="1"/>
      </w:tblPr>
      <w:tblGrid>
        <w:gridCol w:w="2784"/>
        <w:gridCol w:w="4464"/>
        <w:gridCol w:w="3147"/>
        <w:gridCol w:w="2810"/>
        <w:gridCol w:w="3444"/>
        <w:gridCol w:w="1916"/>
        <w:gridCol w:w="3025"/>
      </w:tblGrid>
      <w:tr w:rsidR="00C93B9B" w:rsidRPr="005C133F" w14:paraId="389FEF1A" w14:textId="77777777" w:rsidTr="009A208C">
        <w:trPr>
          <w:trHeight w:val="1165"/>
          <w:jc w:val="center"/>
        </w:trPr>
        <w:tc>
          <w:tcPr>
            <w:tcW w:w="0" w:type="auto"/>
            <w:shd w:val="clear" w:color="auto" w:fill="011C50"/>
            <w:vAlign w:val="center"/>
            <w:hideMark/>
          </w:tcPr>
          <w:p w14:paraId="134CA282" w14:textId="77777777" w:rsidR="00C93B9B" w:rsidRPr="005C133F" w:rsidRDefault="00C93B9B" w:rsidP="009A208C">
            <w:pPr>
              <w:spacing w:after="0" w:line="240" w:lineRule="auto"/>
              <w:jc w:val="center"/>
              <w:rPr>
                <w:color w:val="FFFFFF" w:themeColor="background1"/>
              </w:rPr>
            </w:pPr>
            <w:r w:rsidRPr="005C133F">
              <w:rPr>
                <w:b/>
                <w:bCs/>
                <w:color w:val="FFFFFF" w:themeColor="background1"/>
              </w:rPr>
              <w:t xml:space="preserve">Código </w:t>
            </w:r>
            <w:proofErr w:type="spellStart"/>
            <w:r w:rsidRPr="005C133F">
              <w:rPr>
                <w:b/>
                <w:bCs/>
                <w:color w:val="FFFFFF" w:themeColor="background1"/>
              </w:rPr>
              <w:t>Programa</w:t>
            </w:r>
            <w:proofErr w:type="spellEnd"/>
            <w:r w:rsidRPr="005C133F">
              <w:rPr>
                <w:b/>
                <w:bCs/>
                <w:color w:val="FFFFFF" w:themeColor="background1"/>
              </w:rPr>
              <w:t xml:space="preserve"> / </w:t>
            </w:r>
            <w:proofErr w:type="spellStart"/>
            <w:r w:rsidRPr="005C133F">
              <w:rPr>
                <w:b/>
                <w:bCs/>
                <w:color w:val="FFFFFF" w:themeColor="background1"/>
              </w:rPr>
              <w:t>Subprograma</w:t>
            </w:r>
            <w:proofErr w:type="spellEnd"/>
          </w:p>
        </w:tc>
        <w:tc>
          <w:tcPr>
            <w:tcW w:w="0" w:type="auto"/>
            <w:shd w:val="clear" w:color="auto" w:fill="011C50"/>
            <w:vAlign w:val="center"/>
            <w:hideMark/>
          </w:tcPr>
          <w:p w14:paraId="7E0322D9" w14:textId="77777777" w:rsidR="00C93B9B" w:rsidRPr="005C133F" w:rsidRDefault="00C93B9B" w:rsidP="009A208C">
            <w:pPr>
              <w:spacing w:after="0" w:line="240" w:lineRule="auto"/>
              <w:jc w:val="center"/>
              <w:rPr>
                <w:color w:val="FFFFFF" w:themeColor="background1"/>
              </w:rPr>
            </w:pPr>
            <w:r w:rsidRPr="005C133F">
              <w:rPr>
                <w:b/>
                <w:bCs/>
                <w:color w:val="FFFFFF" w:themeColor="background1"/>
              </w:rPr>
              <w:t xml:space="preserve">Nombre del </w:t>
            </w:r>
            <w:proofErr w:type="spellStart"/>
            <w:r w:rsidRPr="005C133F">
              <w:rPr>
                <w:b/>
                <w:bCs/>
                <w:color w:val="FFFFFF" w:themeColor="background1"/>
              </w:rPr>
              <w:t>Programa</w:t>
            </w:r>
            <w:proofErr w:type="spellEnd"/>
          </w:p>
        </w:tc>
        <w:tc>
          <w:tcPr>
            <w:tcW w:w="0" w:type="auto"/>
            <w:shd w:val="clear" w:color="auto" w:fill="011C50"/>
            <w:vAlign w:val="center"/>
            <w:hideMark/>
          </w:tcPr>
          <w:p w14:paraId="595CE5ED" w14:textId="77777777" w:rsidR="00C93B9B" w:rsidRPr="005C133F" w:rsidRDefault="00C93B9B" w:rsidP="009A208C">
            <w:pPr>
              <w:spacing w:after="0" w:line="240" w:lineRule="auto"/>
              <w:jc w:val="center"/>
              <w:rPr>
                <w:color w:val="FFFFFF" w:themeColor="background1"/>
              </w:rPr>
            </w:pPr>
            <w:proofErr w:type="spellStart"/>
            <w:r w:rsidRPr="005C133F">
              <w:rPr>
                <w:b/>
                <w:bCs/>
                <w:color w:val="FFFFFF" w:themeColor="background1"/>
              </w:rPr>
              <w:t>Asignación</w:t>
            </w:r>
            <w:proofErr w:type="spellEnd"/>
            <w:r w:rsidRPr="005C133F">
              <w:rPr>
                <w:b/>
                <w:bCs/>
                <w:color w:val="FFFFFF" w:themeColor="background1"/>
              </w:rPr>
              <w:t xml:space="preserve"> </w:t>
            </w:r>
            <w:proofErr w:type="spellStart"/>
            <w:r w:rsidRPr="005C133F">
              <w:rPr>
                <w:b/>
                <w:bCs/>
                <w:color w:val="FFFFFF" w:themeColor="background1"/>
              </w:rPr>
              <w:t>presupuestaria</w:t>
            </w:r>
            <w:proofErr w:type="spellEnd"/>
            <w:r w:rsidRPr="005C133F">
              <w:rPr>
                <w:b/>
                <w:bCs/>
                <w:color w:val="FFFFFF" w:themeColor="background1"/>
              </w:rPr>
              <w:t xml:space="preserve"> 2025 (RD$)</w:t>
            </w:r>
          </w:p>
        </w:tc>
        <w:tc>
          <w:tcPr>
            <w:tcW w:w="0" w:type="auto"/>
            <w:shd w:val="clear" w:color="auto" w:fill="011C50"/>
            <w:vAlign w:val="center"/>
            <w:hideMark/>
          </w:tcPr>
          <w:p w14:paraId="5BEDA21E" w14:textId="41E45BBE" w:rsidR="00C93B9B" w:rsidRPr="005C133F" w:rsidRDefault="00C93B9B" w:rsidP="009A208C">
            <w:pPr>
              <w:spacing w:after="0" w:line="240" w:lineRule="auto"/>
              <w:jc w:val="center"/>
              <w:rPr>
                <w:color w:val="FFFFFF" w:themeColor="background1"/>
              </w:rPr>
            </w:pPr>
            <w:proofErr w:type="spellStart"/>
            <w:r w:rsidRPr="005C133F">
              <w:rPr>
                <w:b/>
                <w:bCs/>
                <w:color w:val="FFFFFF" w:themeColor="background1"/>
              </w:rPr>
              <w:t>Ejecución</w:t>
            </w:r>
            <w:proofErr w:type="spellEnd"/>
            <w:r w:rsidRPr="005C133F">
              <w:rPr>
                <w:b/>
                <w:bCs/>
                <w:color w:val="FFFFFF" w:themeColor="background1"/>
              </w:rPr>
              <w:t xml:space="preserve"> a </w:t>
            </w:r>
            <w:proofErr w:type="spellStart"/>
            <w:r w:rsidRPr="005C133F">
              <w:rPr>
                <w:b/>
                <w:bCs/>
                <w:color w:val="FFFFFF" w:themeColor="background1"/>
              </w:rPr>
              <w:t>diciembre</w:t>
            </w:r>
            <w:proofErr w:type="spellEnd"/>
            <w:r w:rsidRPr="005C133F">
              <w:rPr>
                <w:b/>
                <w:bCs/>
                <w:color w:val="FFFFFF" w:themeColor="background1"/>
              </w:rPr>
              <w:t xml:space="preserve"> 2025 (RD$)</w:t>
            </w:r>
          </w:p>
        </w:tc>
        <w:tc>
          <w:tcPr>
            <w:tcW w:w="0" w:type="auto"/>
            <w:shd w:val="clear" w:color="auto" w:fill="011C50"/>
            <w:vAlign w:val="center"/>
            <w:hideMark/>
          </w:tcPr>
          <w:p w14:paraId="46713DC0" w14:textId="77777777" w:rsidR="00C93B9B" w:rsidRPr="005C133F" w:rsidRDefault="00C93B9B" w:rsidP="009A208C">
            <w:pPr>
              <w:spacing w:after="0" w:line="240" w:lineRule="auto"/>
              <w:jc w:val="center"/>
              <w:rPr>
                <w:color w:val="FFFFFF" w:themeColor="background1"/>
                <w:lang w:val="es-DO"/>
              </w:rPr>
            </w:pPr>
            <w:r w:rsidRPr="005C133F">
              <w:rPr>
                <w:b/>
                <w:bCs/>
                <w:color w:val="FFFFFF" w:themeColor="background1"/>
                <w:lang w:val="es-DO"/>
              </w:rPr>
              <w:t>Cantidad de Productos Generados por Programa</w:t>
            </w:r>
          </w:p>
        </w:tc>
        <w:tc>
          <w:tcPr>
            <w:tcW w:w="0" w:type="auto"/>
            <w:shd w:val="clear" w:color="auto" w:fill="011C50"/>
            <w:vAlign w:val="center"/>
            <w:hideMark/>
          </w:tcPr>
          <w:p w14:paraId="015ADB53" w14:textId="77777777" w:rsidR="00C93B9B" w:rsidRPr="005C133F" w:rsidRDefault="00C93B9B" w:rsidP="009A208C">
            <w:pPr>
              <w:spacing w:after="0" w:line="240" w:lineRule="auto"/>
              <w:jc w:val="center"/>
              <w:rPr>
                <w:color w:val="FFFFFF" w:themeColor="background1"/>
              </w:rPr>
            </w:pPr>
            <w:proofErr w:type="spellStart"/>
            <w:r w:rsidRPr="005C133F">
              <w:rPr>
                <w:b/>
                <w:bCs/>
                <w:color w:val="FFFFFF" w:themeColor="background1"/>
              </w:rPr>
              <w:t>Índice</w:t>
            </w:r>
            <w:proofErr w:type="spellEnd"/>
            <w:r w:rsidRPr="005C133F">
              <w:rPr>
                <w:b/>
                <w:bCs/>
                <w:color w:val="FFFFFF" w:themeColor="background1"/>
              </w:rPr>
              <w:t xml:space="preserve"> de </w:t>
            </w:r>
            <w:proofErr w:type="spellStart"/>
            <w:r w:rsidRPr="005C133F">
              <w:rPr>
                <w:b/>
                <w:bCs/>
                <w:color w:val="FFFFFF" w:themeColor="background1"/>
              </w:rPr>
              <w:t>Ejecución</w:t>
            </w:r>
            <w:proofErr w:type="spellEnd"/>
            <w:r w:rsidRPr="005C133F">
              <w:rPr>
                <w:b/>
                <w:bCs/>
                <w:color w:val="FFFFFF" w:themeColor="background1"/>
              </w:rPr>
              <w:t xml:space="preserve"> %</w:t>
            </w:r>
          </w:p>
        </w:tc>
        <w:tc>
          <w:tcPr>
            <w:tcW w:w="0" w:type="auto"/>
            <w:shd w:val="clear" w:color="auto" w:fill="011C50"/>
            <w:vAlign w:val="center"/>
            <w:hideMark/>
          </w:tcPr>
          <w:p w14:paraId="159CBA33" w14:textId="77777777" w:rsidR="00C93B9B" w:rsidRPr="005C133F" w:rsidRDefault="00C93B9B" w:rsidP="009A208C">
            <w:pPr>
              <w:spacing w:after="0" w:line="240" w:lineRule="auto"/>
              <w:jc w:val="center"/>
              <w:rPr>
                <w:color w:val="FFFFFF" w:themeColor="background1"/>
              </w:rPr>
            </w:pPr>
            <w:proofErr w:type="spellStart"/>
            <w:r w:rsidRPr="005C133F">
              <w:rPr>
                <w:b/>
                <w:bCs/>
                <w:color w:val="FFFFFF" w:themeColor="background1"/>
              </w:rPr>
              <w:t>Participación</w:t>
            </w:r>
            <w:proofErr w:type="spellEnd"/>
            <w:r w:rsidRPr="005C133F">
              <w:rPr>
                <w:b/>
                <w:bCs/>
                <w:color w:val="FFFFFF" w:themeColor="background1"/>
              </w:rPr>
              <w:t xml:space="preserve"> </w:t>
            </w:r>
            <w:proofErr w:type="spellStart"/>
            <w:r w:rsidRPr="005C133F">
              <w:rPr>
                <w:b/>
                <w:bCs/>
                <w:color w:val="FFFFFF" w:themeColor="background1"/>
              </w:rPr>
              <w:t>ejecución</w:t>
            </w:r>
            <w:proofErr w:type="spellEnd"/>
            <w:r w:rsidRPr="005C133F">
              <w:rPr>
                <w:b/>
                <w:bCs/>
                <w:color w:val="FFFFFF" w:themeColor="background1"/>
              </w:rPr>
              <w:t xml:space="preserve"> </w:t>
            </w:r>
            <w:proofErr w:type="spellStart"/>
            <w:r w:rsidRPr="005C133F">
              <w:rPr>
                <w:b/>
                <w:bCs/>
                <w:color w:val="FFFFFF" w:themeColor="background1"/>
              </w:rPr>
              <w:t>por</w:t>
            </w:r>
            <w:proofErr w:type="spellEnd"/>
            <w:r w:rsidRPr="005C133F">
              <w:rPr>
                <w:b/>
                <w:bCs/>
                <w:color w:val="FFFFFF" w:themeColor="background1"/>
              </w:rPr>
              <w:t xml:space="preserve"> </w:t>
            </w:r>
            <w:proofErr w:type="spellStart"/>
            <w:r w:rsidRPr="005C133F">
              <w:rPr>
                <w:b/>
                <w:bCs/>
                <w:color w:val="FFFFFF" w:themeColor="background1"/>
              </w:rPr>
              <w:t>programa</w:t>
            </w:r>
            <w:proofErr w:type="spellEnd"/>
          </w:p>
        </w:tc>
      </w:tr>
      <w:tr w:rsidR="00C93B9B" w:rsidRPr="005C133F" w14:paraId="6E6FA0EC" w14:textId="77777777" w:rsidTr="009A208C">
        <w:trPr>
          <w:trHeight w:val="361"/>
          <w:jc w:val="center"/>
        </w:trPr>
        <w:tc>
          <w:tcPr>
            <w:tcW w:w="0" w:type="auto"/>
            <w:vAlign w:val="center"/>
            <w:hideMark/>
          </w:tcPr>
          <w:p w14:paraId="6AA47CBD" w14:textId="77777777" w:rsidR="00C93B9B" w:rsidRPr="005C133F" w:rsidRDefault="00C93B9B" w:rsidP="009A208C">
            <w:pPr>
              <w:spacing w:after="0" w:line="240" w:lineRule="auto"/>
              <w:jc w:val="center"/>
            </w:pPr>
            <w:r w:rsidRPr="005C133F">
              <w:t>11</w:t>
            </w:r>
          </w:p>
        </w:tc>
        <w:tc>
          <w:tcPr>
            <w:tcW w:w="0" w:type="auto"/>
            <w:vAlign w:val="center"/>
            <w:hideMark/>
          </w:tcPr>
          <w:p w14:paraId="43526156" w14:textId="77777777" w:rsidR="00C93B9B" w:rsidRPr="005C133F" w:rsidRDefault="00C93B9B" w:rsidP="009A208C">
            <w:pPr>
              <w:spacing w:after="0" w:line="240" w:lineRule="auto"/>
              <w:jc w:val="center"/>
              <w:rPr>
                <w:lang w:val="es-DO"/>
              </w:rPr>
            </w:pPr>
            <w:r w:rsidRPr="005C133F">
              <w:rPr>
                <w:lang w:val="es-DO"/>
              </w:rPr>
              <w:t>Supervisión y regulación de los servicios de salud y riesgos laborales</w:t>
            </w:r>
          </w:p>
        </w:tc>
        <w:tc>
          <w:tcPr>
            <w:tcW w:w="0" w:type="auto"/>
            <w:vAlign w:val="center"/>
            <w:hideMark/>
          </w:tcPr>
          <w:p w14:paraId="4A6CF1B0" w14:textId="77777777" w:rsidR="00C93B9B" w:rsidRPr="005C133F" w:rsidRDefault="00C93B9B" w:rsidP="009A208C">
            <w:pPr>
              <w:spacing w:after="0" w:line="240" w:lineRule="auto"/>
              <w:jc w:val="center"/>
            </w:pPr>
            <w:r w:rsidRPr="005C133F">
              <w:t>1,554,562,280</w:t>
            </w:r>
          </w:p>
        </w:tc>
        <w:tc>
          <w:tcPr>
            <w:tcW w:w="0" w:type="auto"/>
            <w:vAlign w:val="center"/>
            <w:hideMark/>
          </w:tcPr>
          <w:p w14:paraId="5080D7C9" w14:textId="0DCC21CC" w:rsidR="00C93B9B" w:rsidRPr="005C133F" w:rsidRDefault="00DD432C" w:rsidP="009A208C">
            <w:pPr>
              <w:spacing w:after="0" w:line="240" w:lineRule="auto"/>
              <w:jc w:val="center"/>
            </w:pPr>
            <w:r w:rsidRPr="00DD432C">
              <w:t>1,365,026,156</w:t>
            </w:r>
          </w:p>
        </w:tc>
        <w:tc>
          <w:tcPr>
            <w:tcW w:w="0" w:type="auto"/>
            <w:vAlign w:val="center"/>
            <w:hideMark/>
          </w:tcPr>
          <w:p w14:paraId="79E3149B" w14:textId="77777777" w:rsidR="00C93B9B" w:rsidRPr="005C133F" w:rsidRDefault="00C93B9B" w:rsidP="009A208C">
            <w:pPr>
              <w:spacing w:after="0" w:line="240" w:lineRule="auto"/>
              <w:jc w:val="center"/>
            </w:pPr>
            <w:r w:rsidRPr="005C133F">
              <w:t>1</w:t>
            </w:r>
          </w:p>
        </w:tc>
        <w:tc>
          <w:tcPr>
            <w:tcW w:w="0" w:type="auto"/>
            <w:vAlign w:val="center"/>
            <w:hideMark/>
          </w:tcPr>
          <w:p w14:paraId="179A6F4E" w14:textId="7388ECD5" w:rsidR="00C93B9B" w:rsidRPr="005C133F" w:rsidRDefault="00DD432C" w:rsidP="009A208C">
            <w:pPr>
              <w:spacing w:after="0" w:line="240" w:lineRule="auto"/>
              <w:jc w:val="center"/>
            </w:pPr>
            <w:r>
              <w:t>88</w:t>
            </w:r>
            <w:r w:rsidR="00C93B9B" w:rsidRPr="005C133F">
              <w:t>%</w:t>
            </w:r>
          </w:p>
        </w:tc>
        <w:tc>
          <w:tcPr>
            <w:tcW w:w="0" w:type="auto"/>
            <w:vAlign w:val="center"/>
            <w:hideMark/>
          </w:tcPr>
          <w:p w14:paraId="1AACB384" w14:textId="31C55E15" w:rsidR="00C93B9B" w:rsidRPr="005C133F" w:rsidRDefault="00DD432C" w:rsidP="009A208C">
            <w:pPr>
              <w:spacing w:after="0" w:line="240" w:lineRule="auto"/>
              <w:jc w:val="center"/>
            </w:pPr>
            <w:r>
              <w:t>88</w:t>
            </w:r>
            <w:r w:rsidR="00C93B9B" w:rsidRPr="005C133F">
              <w:t>%</w:t>
            </w:r>
          </w:p>
        </w:tc>
      </w:tr>
      <w:tr w:rsidR="00C93B9B" w:rsidRPr="005C133F" w14:paraId="05F419CE" w14:textId="77777777" w:rsidTr="009A208C">
        <w:trPr>
          <w:trHeight w:val="361"/>
          <w:jc w:val="center"/>
        </w:trPr>
        <w:tc>
          <w:tcPr>
            <w:tcW w:w="0" w:type="auto"/>
            <w:shd w:val="clear" w:color="auto" w:fill="011C50"/>
            <w:vAlign w:val="center"/>
            <w:hideMark/>
          </w:tcPr>
          <w:p w14:paraId="4B7D72FF" w14:textId="77777777" w:rsidR="00C93B9B" w:rsidRPr="005C133F" w:rsidRDefault="00C93B9B" w:rsidP="009A208C">
            <w:pPr>
              <w:spacing w:after="0" w:line="240" w:lineRule="auto"/>
              <w:jc w:val="center"/>
              <w:rPr>
                <w:color w:val="FFFFFF" w:themeColor="background1"/>
              </w:rPr>
            </w:pPr>
            <w:r w:rsidRPr="005C133F">
              <w:rPr>
                <w:b/>
                <w:bCs/>
                <w:color w:val="FFFFFF" w:themeColor="background1"/>
              </w:rPr>
              <w:t>Total General</w:t>
            </w:r>
          </w:p>
        </w:tc>
        <w:tc>
          <w:tcPr>
            <w:tcW w:w="0" w:type="auto"/>
            <w:shd w:val="clear" w:color="auto" w:fill="011C50"/>
            <w:vAlign w:val="center"/>
            <w:hideMark/>
          </w:tcPr>
          <w:p w14:paraId="26B184D1" w14:textId="77777777" w:rsidR="00C93B9B" w:rsidRPr="005C133F" w:rsidRDefault="00C93B9B" w:rsidP="009A208C">
            <w:pPr>
              <w:spacing w:after="0" w:line="240" w:lineRule="auto"/>
              <w:jc w:val="center"/>
              <w:rPr>
                <w:color w:val="FFFFFF" w:themeColor="background1"/>
              </w:rPr>
            </w:pPr>
          </w:p>
        </w:tc>
        <w:tc>
          <w:tcPr>
            <w:tcW w:w="0" w:type="auto"/>
            <w:shd w:val="clear" w:color="auto" w:fill="011C50"/>
            <w:vAlign w:val="center"/>
            <w:hideMark/>
          </w:tcPr>
          <w:p w14:paraId="03411A26" w14:textId="77777777" w:rsidR="00C93B9B" w:rsidRPr="005C133F" w:rsidRDefault="00C93B9B" w:rsidP="009A208C">
            <w:pPr>
              <w:spacing w:after="0" w:line="240" w:lineRule="auto"/>
              <w:jc w:val="center"/>
              <w:rPr>
                <w:color w:val="FFFFFF" w:themeColor="background1"/>
              </w:rPr>
            </w:pPr>
            <w:r w:rsidRPr="005C133F">
              <w:rPr>
                <w:b/>
                <w:bCs/>
                <w:color w:val="FFFFFF" w:themeColor="background1"/>
              </w:rPr>
              <w:t>1,554,562,280</w:t>
            </w:r>
          </w:p>
        </w:tc>
        <w:tc>
          <w:tcPr>
            <w:tcW w:w="0" w:type="auto"/>
            <w:shd w:val="clear" w:color="auto" w:fill="011C50"/>
            <w:vAlign w:val="center"/>
            <w:hideMark/>
          </w:tcPr>
          <w:p w14:paraId="7394DD92" w14:textId="341A4008" w:rsidR="00C93B9B" w:rsidRPr="00DD432C" w:rsidRDefault="00DD432C" w:rsidP="009A208C">
            <w:pPr>
              <w:spacing w:after="0" w:line="240" w:lineRule="auto"/>
              <w:jc w:val="center"/>
              <w:rPr>
                <w:b/>
                <w:bCs/>
                <w:color w:val="FFFFFF" w:themeColor="background1"/>
              </w:rPr>
            </w:pPr>
            <w:r w:rsidRPr="00DD432C">
              <w:rPr>
                <w:b/>
                <w:bCs/>
                <w:color w:val="FFFFFF" w:themeColor="background1"/>
              </w:rPr>
              <w:t>1,365,026,156</w:t>
            </w:r>
          </w:p>
        </w:tc>
        <w:tc>
          <w:tcPr>
            <w:tcW w:w="0" w:type="auto"/>
            <w:shd w:val="clear" w:color="auto" w:fill="011C50"/>
            <w:vAlign w:val="center"/>
            <w:hideMark/>
          </w:tcPr>
          <w:p w14:paraId="31052BF8" w14:textId="77777777" w:rsidR="00C93B9B" w:rsidRPr="005C133F" w:rsidRDefault="00C93B9B" w:rsidP="009A208C">
            <w:pPr>
              <w:spacing w:after="0" w:line="240" w:lineRule="auto"/>
              <w:jc w:val="center"/>
              <w:rPr>
                <w:color w:val="FFFFFF" w:themeColor="background1"/>
              </w:rPr>
            </w:pPr>
            <w:r w:rsidRPr="005C133F">
              <w:rPr>
                <w:color w:val="FFFFFF" w:themeColor="background1"/>
              </w:rPr>
              <w:t>1</w:t>
            </w:r>
          </w:p>
        </w:tc>
        <w:tc>
          <w:tcPr>
            <w:tcW w:w="0" w:type="auto"/>
            <w:shd w:val="clear" w:color="auto" w:fill="011C50"/>
            <w:vAlign w:val="center"/>
            <w:hideMark/>
          </w:tcPr>
          <w:p w14:paraId="2E74924D" w14:textId="01AD8104" w:rsidR="00C93B9B" w:rsidRPr="00106301" w:rsidRDefault="00DD432C" w:rsidP="009A208C">
            <w:pPr>
              <w:spacing w:after="0" w:line="240" w:lineRule="auto"/>
              <w:jc w:val="center"/>
              <w:rPr>
                <w:b/>
                <w:bCs/>
                <w:color w:val="FFFFFF" w:themeColor="background1"/>
              </w:rPr>
            </w:pPr>
            <w:r>
              <w:rPr>
                <w:b/>
                <w:bCs/>
                <w:color w:val="FFFFFF" w:themeColor="background1"/>
              </w:rPr>
              <w:t>88</w:t>
            </w:r>
            <w:r w:rsidR="00106301" w:rsidRPr="00106301">
              <w:rPr>
                <w:b/>
                <w:bCs/>
                <w:color w:val="FFFFFF" w:themeColor="background1"/>
              </w:rPr>
              <w:t>%</w:t>
            </w:r>
          </w:p>
        </w:tc>
        <w:tc>
          <w:tcPr>
            <w:tcW w:w="0" w:type="auto"/>
            <w:shd w:val="clear" w:color="auto" w:fill="011C50"/>
            <w:vAlign w:val="center"/>
            <w:hideMark/>
          </w:tcPr>
          <w:p w14:paraId="491D5935" w14:textId="77777777" w:rsidR="00C93B9B" w:rsidRPr="005C133F" w:rsidRDefault="00C93B9B" w:rsidP="009A208C">
            <w:pPr>
              <w:spacing w:after="0" w:line="240" w:lineRule="auto"/>
              <w:jc w:val="center"/>
              <w:rPr>
                <w:color w:val="FFFFFF" w:themeColor="background1"/>
              </w:rPr>
            </w:pPr>
          </w:p>
        </w:tc>
      </w:tr>
    </w:tbl>
    <w:p w14:paraId="6A5A7FD7" w14:textId="77777777" w:rsidR="00C93B9B" w:rsidRPr="00A77167" w:rsidRDefault="00C93B9B" w:rsidP="00C93B9B">
      <w:pPr>
        <w:tabs>
          <w:tab w:val="left" w:pos="4650"/>
        </w:tabs>
        <w:spacing w:after="0" w:line="240" w:lineRule="auto"/>
        <w:jc w:val="both"/>
        <w:rPr>
          <w:rFonts w:eastAsia="Calibri"/>
          <w:noProof/>
          <w:sz w:val="18"/>
          <w:szCs w:val="18"/>
          <w:lang w:val="es-DO"/>
        </w:rPr>
      </w:pPr>
      <w:r w:rsidRPr="00A77167">
        <w:rPr>
          <w:rFonts w:eastAsia="Calibri"/>
          <w:noProof/>
          <w:sz w:val="18"/>
          <w:szCs w:val="18"/>
          <w:lang w:val="es-DO"/>
        </w:rPr>
        <w:t xml:space="preserve">Fuente: Dirección Administrataiva y Financiera de la SISALRIL </w:t>
      </w:r>
    </w:p>
    <w:p w14:paraId="05E18108" w14:textId="7BE134F0" w:rsidR="00C93B9B" w:rsidRDefault="00C93B9B" w:rsidP="00C93B9B">
      <w:pPr>
        <w:tabs>
          <w:tab w:val="left" w:pos="2557"/>
        </w:tabs>
        <w:spacing w:after="0" w:line="240" w:lineRule="auto"/>
        <w:rPr>
          <w:sz w:val="18"/>
          <w:szCs w:val="18"/>
          <w:lang w:val="es-DO"/>
        </w:rPr>
      </w:pPr>
    </w:p>
    <w:p w14:paraId="6FA6F8F2" w14:textId="632B3B56" w:rsidR="00E11502" w:rsidRPr="005C133F" w:rsidRDefault="00E11502" w:rsidP="00C93B9B">
      <w:pPr>
        <w:pStyle w:val="SUBTITULITO"/>
        <w:numPr>
          <w:ilvl w:val="1"/>
          <w:numId w:val="141"/>
        </w:numPr>
        <w:spacing w:after="0"/>
        <w:jc w:val="left"/>
        <w:rPr>
          <w:rFonts w:eastAsia="Calibri"/>
        </w:rPr>
      </w:pPr>
      <w:bookmarkStart w:id="157" w:name="_Toc219121868"/>
      <w:r w:rsidRPr="005C133F">
        <w:rPr>
          <w:rFonts w:eastAsia="Calibri"/>
          <w:noProof/>
        </w:rPr>
        <w:t xml:space="preserve">Matriz de </w:t>
      </w:r>
      <w:r w:rsidR="00A13F01">
        <w:rPr>
          <w:rFonts w:eastAsia="Calibri"/>
          <w:noProof/>
        </w:rPr>
        <w:t>P</w:t>
      </w:r>
      <w:r w:rsidRPr="005C133F">
        <w:rPr>
          <w:rFonts w:eastAsia="Calibri"/>
          <w:noProof/>
        </w:rPr>
        <w:t xml:space="preserve">rincipales </w:t>
      </w:r>
      <w:r w:rsidR="00A13F01">
        <w:rPr>
          <w:rFonts w:eastAsia="Calibri"/>
          <w:noProof/>
        </w:rPr>
        <w:t>I</w:t>
      </w:r>
      <w:r w:rsidRPr="005C133F">
        <w:rPr>
          <w:rFonts w:eastAsia="Calibri"/>
          <w:noProof/>
        </w:rPr>
        <w:t xml:space="preserve">ndicadores de </w:t>
      </w:r>
      <w:r w:rsidR="00A13F01">
        <w:rPr>
          <w:rFonts w:eastAsia="Calibri"/>
          <w:noProof/>
        </w:rPr>
        <w:t>G</w:t>
      </w:r>
      <w:r w:rsidRPr="005C133F">
        <w:rPr>
          <w:rFonts w:eastAsia="Calibri"/>
          <w:noProof/>
        </w:rPr>
        <w:t xml:space="preserve">estión por </w:t>
      </w:r>
      <w:r w:rsidR="00A13F01">
        <w:rPr>
          <w:rFonts w:eastAsia="Calibri"/>
          <w:noProof/>
        </w:rPr>
        <w:t>P</w:t>
      </w:r>
      <w:r w:rsidRPr="005C133F">
        <w:rPr>
          <w:rFonts w:eastAsia="Calibri"/>
          <w:noProof/>
        </w:rPr>
        <w:t>rocesos</w:t>
      </w:r>
      <w:bookmarkEnd w:id="157"/>
    </w:p>
    <w:tbl>
      <w:tblPr>
        <w:tblW w:w="0" w:type="auto"/>
        <w:tblCellMar>
          <w:left w:w="70" w:type="dxa"/>
          <w:right w:w="70" w:type="dxa"/>
        </w:tblCellMar>
        <w:tblLook w:val="04A0" w:firstRow="1" w:lastRow="0" w:firstColumn="1" w:lastColumn="0" w:noHBand="0" w:noVBand="1"/>
      </w:tblPr>
      <w:tblGrid>
        <w:gridCol w:w="380"/>
        <w:gridCol w:w="3616"/>
        <w:gridCol w:w="3192"/>
        <w:gridCol w:w="940"/>
        <w:gridCol w:w="6736"/>
        <w:gridCol w:w="1623"/>
        <w:gridCol w:w="1459"/>
        <w:gridCol w:w="700"/>
        <w:gridCol w:w="1409"/>
        <w:gridCol w:w="1535"/>
      </w:tblGrid>
      <w:tr w:rsidR="006C0AE4" w:rsidRPr="006C0AE4" w14:paraId="52066267" w14:textId="77777777" w:rsidTr="006C0AE4">
        <w:trPr>
          <w:trHeight w:val="795"/>
          <w:tblHeader/>
        </w:trPr>
        <w:tc>
          <w:tcPr>
            <w:tcW w:w="0" w:type="auto"/>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48613C64"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5556A1DE"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Área</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78C9DCF"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Proceso</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88EF812" w14:textId="77777777" w:rsidR="006C0AE4" w:rsidRPr="006C0AE4" w:rsidRDefault="006C0AE4" w:rsidP="006C0AE4">
            <w:pPr>
              <w:spacing w:after="0" w:line="240" w:lineRule="auto"/>
              <w:rPr>
                <w:rFonts w:eastAsia="Times New Roman"/>
                <w:b/>
                <w:bCs/>
                <w:color w:val="FFFFFF"/>
                <w:spacing w:val="0"/>
                <w:lang w:val="es-DO" w:eastAsia="es-DO"/>
              </w:rPr>
            </w:pPr>
            <w:r w:rsidRPr="006C0AE4">
              <w:rPr>
                <w:rFonts w:eastAsia="Times New Roman"/>
                <w:b/>
                <w:bCs/>
                <w:color w:val="FFFFFF"/>
                <w:spacing w:val="0"/>
                <w:lang w:val="es-DO" w:eastAsia="es-DO"/>
              </w:rPr>
              <w:t>Tipo</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4FCFBDB4"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Nombre del indicador</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FAD8332"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Frecuencia de medición</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E8F0913"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Resultado 2024</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005C1E1C"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Meta</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68FBC38E"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Resultado 2025</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1D89FEF3" w14:textId="77777777" w:rsidR="006C0AE4" w:rsidRPr="006C0AE4" w:rsidRDefault="006C0AE4" w:rsidP="006C0AE4">
            <w:pPr>
              <w:spacing w:after="0" w:line="240" w:lineRule="auto"/>
              <w:jc w:val="center"/>
              <w:rPr>
                <w:rFonts w:eastAsia="Times New Roman"/>
                <w:b/>
                <w:bCs/>
                <w:color w:val="FFFFFF"/>
                <w:spacing w:val="0"/>
                <w:lang w:val="es-DO" w:eastAsia="es-DO"/>
              </w:rPr>
            </w:pPr>
            <w:r w:rsidRPr="006C0AE4">
              <w:rPr>
                <w:rFonts w:eastAsia="Times New Roman"/>
                <w:b/>
                <w:bCs/>
                <w:color w:val="FFFFFF"/>
                <w:spacing w:val="0"/>
                <w:lang w:val="es-DO" w:eastAsia="es-DO"/>
              </w:rPr>
              <w:t>Porcentaje de avance</w:t>
            </w:r>
          </w:p>
        </w:tc>
      </w:tr>
      <w:tr w:rsidR="006C0AE4" w:rsidRPr="006C0AE4" w14:paraId="7FD1DD77"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59F9F71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w:t>
            </w:r>
          </w:p>
        </w:tc>
        <w:tc>
          <w:tcPr>
            <w:tcW w:w="0" w:type="auto"/>
            <w:tcBorders>
              <w:top w:val="nil"/>
              <w:left w:val="nil"/>
              <w:bottom w:val="single" w:sz="4" w:space="0" w:color="767171"/>
              <w:right w:val="single" w:sz="4" w:space="0" w:color="767171"/>
            </w:tcBorders>
            <w:vAlign w:val="center"/>
            <w:hideMark/>
          </w:tcPr>
          <w:p w14:paraId="6589EA6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DCS  - Dirección de Control de Subsidios</w:t>
            </w:r>
          </w:p>
        </w:tc>
        <w:tc>
          <w:tcPr>
            <w:tcW w:w="0" w:type="auto"/>
            <w:tcBorders>
              <w:top w:val="nil"/>
              <w:left w:val="nil"/>
              <w:bottom w:val="single" w:sz="4" w:space="0" w:color="767171"/>
              <w:right w:val="single" w:sz="4" w:space="0" w:color="767171"/>
            </w:tcBorders>
            <w:shd w:val="clear" w:color="000000" w:fill="FFFFFF"/>
            <w:vAlign w:val="center"/>
            <w:hideMark/>
          </w:tcPr>
          <w:p w14:paraId="76F152B8"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AS - Gestión y Control de los Subsidios.</w:t>
            </w:r>
          </w:p>
        </w:tc>
        <w:tc>
          <w:tcPr>
            <w:tcW w:w="0" w:type="auto"/>
            <w:tcBorders>
              <w:top w:val="nil"/>
              <w:left w:val="nil"/>
              <w:bottom w:val="single" w:sz="4" w:space="0" w:color="767171"/>
              <w:right w:val="single" w:sz="4" w:space="0" w:color="767171"/>
            </w:tcBorders>
            <w:shd w:val="clear" w:color="000000" w:fill="FFFFFF"/>
            <w:vAlign w:val="center"/>
            <w:hideMark/>
          </w:tcPr>
          <w:p w14:paraId="22FF41A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3585567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Cumplimiento en 100% con la fecha de pagos de subsidios por lactancia, maternidad y enfermedad común, que cumplen con los requisitos de entrega a los usuarios.</w:t>
            </w:r>
          </w:p>
        </w:tc>
        <w:tc>
          <w:tcPr>
            <w:tcW w:w="0" w:type="auto"/>
            <w:tcBorders>
              <w:top w:val="nil"/>
              <w:left w:val="nil"/>
              <w:bottom w:val="single" w:sz="4" w:space="0" w:color="767171"/>
              <w:right w:val="single" w:sz="4" w:space="0" w:color="767171"/>
            </w:tcBorders>
            <w:shd w:val="clear" w:color="000000" w:fill="FFFFFF"/>
            <w:vAlign w:val="center"/>
            <w:hideMark/>
          </w:tcPr>
          <w:p w14:paraId="5751F32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7DEB2C8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Indicador nuevo 2025</w:t>
            </w:r>
          </w:p>
        </w:tc>
        <w:tc>
          <w:tcPr>
            <w:tcW w:w="0" w:type="auto"/>
            <w:tcBorders>
              <w:top w:val="nil"/>
              <w:left w:val="nil"/>
              <w:bottom w:val="single" w:sz="4" w:space="0" w:color="767171"/>
              <w:right w:val="single" w:sz="4" w:space="0" w:color="767171"/>
            </w:tcBorders>
            <w:shd w:val="clear" w:color="000000" w:fill="FFFFFF"/>
            <w:vAlign w:val="center"/>
            <w:hideMark/>
          </w:tcPr>
          <w:p w14:paraId="421780A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1AAF18E1"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58%</w:t>
            </w:r>
          </w:p>
        </w:tc>
        <w:tc>
          <w:tcPr>
            <w:tcW w:w="0" w:type="auto"/>
            <w:tcBorders>
              <w:top w:val="nil"/>
              <w:left w:val="nil"/>
              <w:bottom w:val="single" w:sz="4" w:space="0" w:color="767171"/>
              <w:right w:val="single" w:sz="4" w:space="0" w:color="767171"/>
            </w:tcBorders>
            <w:vAlign w:val="center"/>
            <w:hideMark/>
          </w:tcPr>
          <w:p w14:paraId="4A5A288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58%</w:t>
            </w:r>
          </w:p>
        </w:tc>
      </w:tr>
      <w:tr w:rsidR="006C0AE4" w:rsidRPr="006C0AE4" w14:paraId="2D80951F" w14:textId="77777777" w:rsidTr="006C0AE4">
        <w:trPr>
          <w:trHeight w:val="1148"/>
        </w:trPr>
        <w:tc>
          <w:tcPr>
            <w:tcW w:w="0" w:type="auto"/>
            <w:tcBorders>
              <w:top w:val="nil"/>
              <w:left w:val="single" w:sz="4" w:space="0" w:color="767171"/>
              <w:bottom w:val="single" w:sz="4" w:space="0" w:color="767171"/>
              <w:right w:val="single" w:sz="4" w:space="0" w:color="767171"/>
            </w:tcBorders>
            <w:vAlign w:val="center"/>
            <w:hideMark/>
          </w:tcPr>
          <w:p w14:paraId="312A2C4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w:t>
            </w:r>
          </w:p>
        </w:tc>
        <w:tc>
          <w:tcPr>
            <w:tcW w:w="0" w:type="auto"/>
            <w:tcBorders>
              <w:top w:val="nil"/>
              <w:left w:val="nil"/>
              <w:bottom w:val="single" w:sz="4" w:space="0" w:color="767171"/>
              <w:right w:val="single" w:sz="4" w:space="0" w:color="767171"/>
            </w:tcBorders>
            <w:vAlign w:val="center"/>
            <w:hideMark/>
          </w:tcPr>
          <w:p w14:paraId="39F2221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DCS  - Dirección de Control de Subsidios</w:t>
            </w:r>
          </w:p>
        </w:tc>
        <w:tc>
          <w:tcPr>
            <w:tcW w:w="0" w:type="auto"/>
            <w:tcBorders>
              <w:top w:val="nil"/>
              <w:left w:val="nil"/>
              <w:bottom w:val="single" w:sz="4" w:space="0" w:color="767171"/>
              <w:right w:val="single" w:sz="4" w:space="0" w:color="767171"/>
            </w:tcBorders>
            <w:shd w:val="clear" w:color="000000" w:fill="FFFFFF"/>
            <w:vAlign w:val="center"/>
            <w:hideMark/>
          </w:tcPr>
          <w:p w14:paraId="1911EAC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AS - Gestión y Control de los Subsidios.</w:t>
            </w:r>
          </w:p>
        </w:tc>
        <w:tc>
          <w:tcPr>
            <w:tcW w:w="0" w:type="auto"/>
            <w:tcBorders>
              <w:top w:val="nil"/>
              <w:left w:val="nil"/>
              <w:bottom w:val="single" w:sz="4" w:space="0" w:color="767171"/>
              <w:right w:val="single" w:sz="4" w:space="0" w:color="767171"/>
            </w:tcBorders>
            <w:shd w:val="clear" w:color="000000" w:fill="FFFFFF"/>
            <w:vAlign w:val="center"/>
            <w:hideMark/>
          </w:tcPr>
          <w:p w14:paraId="5F69814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6D91739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Cerrar el 85% de las solicitudes en un tiempo no mayor a 140 días calendario, para la evaluación y pago de subsidios por maternidad, lactancia y enfermedad común.</w:t>
            </w:r>
          </w:p>
        </w:tc>
        <w:tc>
          <w:tcPr>
            <w:tcW w:w="0" w:type="auto"/>
            <w:tcBorders>
              <w:top w:val="nil"/>
              <w:left w:val="nil"/>
              <w:bottom w:val="single" w:sz="4" w:space="0" w:color="767171"/>
              <w:right w:val="single" w:sz="4" w:space="0" w:color="767171"/>
            </w:tcBorders>
            <w:shd w:val="clear" w:color="000000" w:fill="FFFFFF"/>
            <w:vAlign w:val="center"/>
            <w:hideMark/>
          </w:tcPr>
          <w:p w14:paraId="000BFF7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67540DB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Indicador nuevo 2025</w:t>
            </w:r>
          </w:p>
        </w:tc>
        <w:tc>
          <w:tcPr>
            <w:tcW w:w="0" w:type="auto"/>
            <w:tcBorders>
              <w:top w:val="nil"/>
              <w:left w:val="nil"/>
              <w:bottom w:val="single" w:sz="4" w:space="0" w:color="767171"/>
              <w:right w:val="single" w:sz="4" w:space="0" w:color="767171"/>
            </w:tcBorders>
            <w:shd w:val="clear" w:color="000000" w:fill="FFFFFF"/>
            <w:vAlign w:val="center"/>
            <w:hideMark/>
          </w:tcPr>
          <w:p w14:paraId="1E9FC42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vAlign w:val="center"/>
            <w:hideMark/>
          </w:tcPr>
          <w:p w14:paraId="7235185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38%</w:t>
            </w:r>
          </w:p>
        </w:tc>
        <w:tc>
          <w:tcPr>
            <w:tcW w:w="0" w:type="auto"/>
            <w:tcBorders>
              <w:top w:val="nil"/>
              <w:left w:val="nil"/>
              <w:bottom w:val="single" w:sz="4" w:space="0" w:color="767171"/>
              <w:right w:val="single" w:sz="4" w:space="0" w:color="767171"/>
            </w:tcBorders>
            <w:vAlign w:val="center"/>
            <w:hideMark/>
          </w:tcPr>
          <w:p w14:paraId="79F4557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44%</w:t>
            </w:r>
          </w:p>
        </w:tc>
      </w:tr>
      <w:tr w:rsidR="006C0AE4" w:rsidRPr="006C0AE4" w14:paraId="75F9910E" w14:textId="77777777" w:rsidTr="006C0AE4">
        <w:trPr>
          <w:trHeight w:val="624"/>
        </w:trPr>
        <w:tc>
          <w:tcPr>
            <w:tcW w:w="0" w:type="auto"/>
            <w:tcBorders>
              <w:top w:val="nil"/>
              <w:left w:val="single" w:sz="4" w:space="0" w:color="767171"/>
              <w:bottom w:val="single" w:sz="4" w:space="0" w:color="767171"/>
              <w:right w:val="single" w:sz="4" w:space="0" w:color="767171"/>
            </w:tcBorders>
            <w:vAlign w:val="center"/>
            <w:hideMark/>
          </w:tcPr>
          <w:p w14:paraId="38E591B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w:t>
            </w:r>
          </w:p>
        </w:tc>
        <w:tc>
          <w:tcPr>
            <w:tcW w:w="0" w:type="auto"/>
            <w:tcBorders>
              <w:top w:val="nil"/>
              <w:left w:val="nil"/>
              <w:bottom w:val="single" w:sz="4" w:space="0" w:color="767171"/>
              <w:right w:val="single" w:sz="4" w:space="0" w:color="767171"/>
            </w:tcBorders>
            <w:vAlign w:val="center"/>
            <w:hideMark/>
          </w:tcPr>
          <w:p w14:paraId="5A13EFF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49E90848"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0BEF852E"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vMerge w:val="restart"/>
            <w:tcBorders>
              <w:top w:val="nil"/>
              <w:left w:val="single" w:sz="4" w:space="0" w:color="767171"/>
              <w:bottom w:val="single" w:sz="4" w:space="0" w:color="767171"/>
              <w:right w:val="single" w:sz="4" w:space="0" w:color="767171"/>
            </w:tcBorders>
            <w:vAlign w:val="center"/>
            <w:hideMark/>
          </w:tcPr>
          <w:p w14:paraId="7ED4F31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Concluir el 90% de las solicitudes en 20 Minutos, tiempo de atención de usuarios (Presencial) en las Oficinas de Atención y Servicios.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4A7E170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6246AD4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98%</w:t>
            </w:r>
          </w:p>
        </w:tc>
        <w:tc>
          <w:tcPr>
            <w:tcW w:w="0" w:type="auto"/>
            <w:tcBorders>
              <w:top w:val="nil"/>
              <w:left w:val="nil"/>
              <w:bottom w:val="single" w:sz="4" w:space="0" w:color="767171"/>
              <w:right w:val="single" w:sz="4" w:space="0" w:color="767171"/>
            </w:tcBorders>
            <w:shd w:val="clear" w:color="000000" w:fill="FFFFFF"/>
            <w:vAlign w:val="center"/>
            <w:hideMark/>
          </w:tcPr>
          <w:p w14:paraId="4C72640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5B74DF5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99%</w:t>
            </w:r>
          </w:p>
        </w:tc>
        <w:tc>
          <w:tcPr>
            <w:tcW w:w="0" w:type="auto"/>
            <w:tcBorders>
              <w:top w:val="nil"/>
              <w:left w:val="nil"/>
              <w:bottom w:val="single" w:sz="4" w:space="0" w:color="767171"/>
              <w:right w:val="single" w:sz="4" w:space="0" w:color="767171"/>
            </w:tcBorders>
            <w:vAlign w:val="center"/>
            <w:hideMark/>
          </w:tcPr>
          <w:p w14:paraId="2DAA368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11B7A52B" w14:textId="77777777" w:rsidTr="006C0AE4">
        <w:trPr>
          <w:trHeight w:val="312"/>
        </w:trPr>
        <w:tc>
          <w:tcPr>
            <w:tcW w:w="0" w:type="auto"/>
            <w:tcBorders>
              <w:top w:val="nil"/>
              <w:left w:val="single" w:sz="4" w:space="0" w:color="767171"/>
              <w:bottom w:val="single" w:sz="4" w:space="0" w:color="767171"/>
              <w:right w:val="single" w:sz="4" w:space="0" w:color="767171"/>
            </w:tcBorders>
            <w:vAlign w:val="center"/>
            <w:hideMark/>
          </w:tcPr>
          <w:p w14:paraId="023ECE0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4</w:t>
            </w:r>
          </w:p>
        </w:tc>
        <w:tc>
          <w:tcPr>
            <w:tcW w:w="0" w:type="auto"/>
            <w:tcBorders>
              <w:top w:val="nil"/>
              <w:left w:val="nil"/>
              <w:bottom w:val="single" w:sz="4" w:space="0" w:color="767171"/>
              <w:right w:val="single" w:sz="4" w:space="0" w:color="767171"/>
            </w:tcBorders>
            <w:vAlign w:val="center"/>
            <w:hideMark/>
          </w:tcPr>
          <w:p w14:paraId="3E71E96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ORN  - Oficina Regional Norte</w:t>
            </w:r>
          </w:p>
        </w:tc>
        <w:tc>
          <w:tcPr>
            <w:tcW w:w="0" w:type="auto"/>
            <w:vMerge/>
            <w:tcBorders>
              <w:top w:val="nil"/>
              <w:left w:val="single" w:sz="4" w:space="0" w:color="767171"/>
              <w:bottom w:val="single" w:sz="4" w:space="0" w:color="767171"/>
              <w:right w:val="single" w:sz="4" w:space="0" w:color="767171"/>
            </w:tcBorders>
            <w:vAlign w:val="center"/>
            <w:hideMark/>
          </w:tcPr>
          <w:p w14:paraId="33133975"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3901AB8"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A5DB6D2"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83B760D"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6C2C8971"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03A1A12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6AAFF44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96%</w:t>
            </w:r>
          </w:p>
        </w:tc>
        <w:tc>
          <w:tcPr>
            <w:tcW w:w="0" w:type="auto"/>
            <w:tcBorders>
              <w:top w:val="nil"/>
              <w:left w:val="nil"/>
              <w:bottom w:val="single" w:sz="4" w:space="0" w:color="767171"/>
              <w:right w:val="single" w:sz="4" w:space="0" w:color="767171"/>
            </w:tcBorders>
            <w:vAlign w:val="center"/>
            <w:hideMark/>
          </w:tcPr>
          <w:p w14:paraId="7B3A96C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5BC1CC2B" w14:textId="77777777" w:rsidTr="006C0AE4">
        <w:trPr>
          <w:trHeight w:val="624"/>
        </w:trPr>
        <w:tc>
          <w:tcPr>
            <w:tcW w:w="0" w:type="auto"/>
            <w:tcBorders>
              <w:top w:val="nil"/>
              <w:left w:val="single" w:sz="4" w:space="0" w:color="767171"/>
              <w:bottom w:val="single" w:sz="4" w:space="0" w:color="767171"/>
              <w:right w:val="single" w:sz="4" w:space="0" w:color="767171"/>
            </w:tcBorders>
            <w:vAlign w:val="center"/>
            <w:hideMark/>
          </w:tcPr>
          <w:p w14:paraId="4D4817B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5</w:t>
            </w:r>
          </w:p>
        </w:tc>
        <w:tc>
          <w:tcPr>
            <w:tcW w:w="0" w:type="auto"/>
            <w:tcBorders>
              <w:top w:val="nil"/>
              <w:left w:val="nil"/>
              <w:bottom w:val="single" w:sz="4" w:space="0" w:color="767171"/>
              <w:right w:val="single" w:sz="4" w:space="0" w:color="767171"/>
            </w:tcBorders>
            <w:vAlign w:val="center"/>
            <w:hideMark/>
          </w:tcPr>
          <w:p w14:paraId="61C3CBE8"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2F72751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503168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vMerge w:val="restart"/>
            <w:tcBorders>
              <w:top w:val="nil"/>
              <w:left w:val="single" w:sz="4" w:space="0" w:color="767171"/>
              <w:bottom w:val="single" w:sz="4" w:space="0" w:color="767171"/>
              <w:right w:val="single" w:sz="4" w:space="0" w:color="767171"/>
            </w:tcBorders>
            <w:vAlign w:val="center"/>
            <w:hideMark/>
          </w:tcPr>
          <w:p w14:paraId="7284EA3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Concluir el 90% de los casos recibidos y procesados en el tiempo estimado (30 Días).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701A861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4497041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88%</w:t>
            </w:r>
          </w:p>
        </w:tc>
        <w:tc>
          <w:tcPr>
            <w:tcW w:w="0" w:type="auto"/>
            <w:tcBorders>
              <w:top w:val="nil"/>
              <w:left w:val="nil"/>
              <w:bottom w:val="single" w:sz="4" w:space="0" w:color="767171"/>
              <w:right w:val="single" w:sz="4" w:space="0" w:color="767171"/>
            </w:tcBorders>
            <w:shd w:val="clear" w:color="000000" w:fill="FFFFFF"/>
            <w:vAlign w:val="center"/>
            <w:hideMark/>
          </w:tcPr>
          <w:p w14:paraId="708490D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28B5619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99%</w:t>
            </w:r>
          </w:p>
        </w:tc>
        <w:tc>
          <w:tcPr>
            <w:tcW w:w="0" w:type="auto"/>
            <w:tcBorders>
              <w:top w:val="nil"/>
              <w:left w:val="nil"/>
              <w:bottom w:val="single" w:sz="4" w:space="0" w:color="767171"/>
              <w:right w:val="single" w:sz="4" w:space="0" w:color="767171"/>
            </w:tcBorders>
            <w:vAlign w:val="center"/>
            <w:hideMark/>
          </w:tcPr>
          <w:p w14:paraId="516CF36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F2BEB99" w14:textId="77777777" w:rsidTr="006C0AE4">
        <w:trPr>
          <w:trHeight w:val="312"/>
        </w:trPr>
        <w:tc>
          <w:tcPr>
            <w:tcW w:w="0" w:type="auto"/>
            <w:tcBorders>
              <w:top w:val="nil"/>
              <w:left w:val="single" w:sz="4" w:space="0" w:color="767171"/>
              <w:bottom w:val="single" w:sz="4" w:space="0" w:color="767171"/>
              <w:right w:val="single" w:sz="4" w:space="0" w:color="767171"/>
            </w:tcBorders>
            <w:vAlign w:val="center"/>
            <w:hideMark/>
          </w:tcPr>
          <w:p w14:paraId="34C2781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6</w:t>
            </w:r>
          </w:p>
        </w:tc>
        <w:tc>
          <w:tcPr>
            <w:tcW w:w="0" w:type="auto"/>
            <w:tcBorders>
              <w:top w:val="nil"/>
              <w:left w:val="nil"/>
              <w:bottom w:val="single" w:sz="4" w:space="0" w:color="767171"/>
              <w:right w:val="single" w:sz="4" w:space="0" w:color="767171"/>
            </w:tcBorders>
            <w:vAlign w:val="center"/>
            <w:hideMark/>
          </w:tcPr>
          <w:p w14:paraId="23860ED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ORN  - Oficina Regional Norte</w:t>
            </w:r>
          </w:p>
        </w:tc>
        <w:tc>
          <w:tcPr>
            <w:tcW w:w="0" w:type="auto"/>
            <w:vMerge/>
            <w:tcBorders>
              <w:top w:val="nil"/>
              <w:left w:val="single" w:sz="4" w:space="0" w:color="767171"/>
              <w:bottom w:val="single" w:sz="4" w:space="0" w:color="767171"/>
              <w:right w:val="single" w:sz="4" w:space="0" w:color="767171"/>
            </w:tcBorders>
            <w:vAlign w:val="center"/>
            <w:hideMark/>
          </w:tcPr>
          <w:p w14:paraId="68F3BA3F"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693CFDEB"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63E603F3"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A326A7B"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B2BA50F"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6468090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062EACC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96%</w:t>
            </w:r>
          </w:p>
        </w:tc>
        <w:tc>
          <w:tcPr>
            <w:tcW w:w="0" w:type="auto"/>
            <w:tcBorders>
              <w:top w:val="nil"/>
              <w:left w:val="nil"/>
              <w:bottom w:val="single" w:sz="4" w:space="0" w:color="767171"/>
              <w:right w:val="single" w:sz="4" w:space="0" w:color="767171"/>
            </w:tcBorders>
            <w:vAlign w:val="center"/>
            <w:hideMark/>
          </w:tcPr>
          <w:p w14:paraId="47A63AD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14B0FCBF"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62FA2DD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w:t>
            </w:r>
          </w:p>
        </w:tc>
        <w:tc>
          <w:tcPr>
            <w:tcW w:w="0" w:type="auto"/>
            <w:tcBorders>
              <w:top w:val="nil"/>
              <w:left w:val="nil"/>
              <w:bottom w:val="single" w:sz="4" w:space="0" w:color="767171"/>
              <w:right w:val="single" w:sz="4" w:space="0" w:color="767171"/>
            </w:tcBorders>
            <w:vAlign w:val="center"/>
            <w:hideMark/>
          </w:tcPr>
          <w:p w14:paraId="32BD621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DCS  - Dirección de Control de Subsidios</w:t>
            </w:r>
          </w:p>
        </w:tc>
        <w:tc>
          <w:tcPr>
            <w:tcW w:w="0" w:type="auto"/>
            <w:tcBorders>
              <w:top w:val="nil"/>
              <w:left w:val="nil"/>
              <w:bottom w:val="single" w:sz="4" w:space="0" w:color="767171"/>
              <w:right w:val="single" w:sz="4" w:space="0" w:color="767171"/>
            </w:tcBorders>
            <w:shd w:val="clear" w:color="000000" w:fill="FFFFFF"/>
            <w:vAlign w:val="center"/>
            <w:hideMark/>
          </w:tcPr>
          <w:p w14:paraId="266966D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AS - Gestión y Control de los Subsidios.</w:t>
            </w:r>
          </w:p>
        </w:tc>
        <w:tc>
          <w:tcPr>
            <w:tcW w:w="0" w:type="auto"/>
            <w:tcBorders>
              <w:top w:val="nil"/>
              <w:left w:val="nil"/>
              <w:bottom w:val="single" w:sz="4" w:space="0" w:color="767171"/>
              <w:right w:val="single" w:sz="4" w:space="0" w:color="767171"/>
            </w:tcBorders>
            <w:shd w:val="clear" w:color="000000" w:fill="FFFFFF"/>
            <w:vAlign w:val="center"/>
            <w:hideMark/>
          </w:tcPr>
          <w:p w14:paraId="349B5FC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47B66A66"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Procesamiento y respuesta en del 85% de las solicitudes registradas en el sistema sobre Subsidios, Maternidad, Lactancia y Enfermedad Común a los empleadores.</w:t>
            </w:r>
          </w:p>
        </w:tc>
        <w:tc>
          <w:tcPr>
            <w:tcW w:w="0" w:type="auto"/>
            <w:tcBorders>
              <w:top w:val="nil"/>
              <w:left w:val="nil"/>
              <w:bottom w:val="single" w:sz="4" w:space="0" w:color="767171"/>
              <w:right w:val="single" w:sz="4" w:space="0" w:color="767171"/>
            </w:tcBorders>
            <w:shd w:val="clear" w:color="000000" w:fill="FFFFFF"/>
            <w:vAlign w:val="center"/>
            <w:hideMark/>
          </w:tcPr>
          <w:p w14:paraId="3C1CB6B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349AD81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92%</w:t>
            </w:r>
          </w:p>
        </w:tc>
        <w:tc>
          <w:tcPr>
            <w:tcW w:w="0" w:type="auto"/>
            <w:tcBorders>
              <w:top w:val="nil"/>
              <w:left w:val="nil"/>
              <w:bottom w:val="single" w:sz="4" w:space="0" w:color="767171"/>
              <w:right w:val="single" w:sz="4" w:space="0" w:color="767171"/>
            </w:tcBorders>
            <w:shd w:val="clear" w:color="000000" w:fill="FFFFFF"/>
            <w:vAlign w:val="center"/>
            <w:hideMark/>
          </w:tcPr>
          <w:p w14:paraId="336087A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vAlign w:val="center"/>
            <w:hideMark/>
          </w:tcPr>
          <w:p w14:paraId="1940EC5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6AB74A7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60EFB604"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64DCD75E"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w:t>
            </w:r>
          </w:p>
        </w:tc>
        <w:tc>
          <w:tcPr>
            <w:tcW w:w="0" w:type="auto"/>
            <w:tcBorders>
              <w:top w:val="nil"/>
              <w:left w:val="nil"/>
              <w:bottom w:val="single" w:sz="4" w:space="0" w:color="767171"/>
              <w:right w:val="single" w:sz="4" w:space="0" w:color="767171"/>
            </w:tcBorders>
            <w:vAlign w:val="center"/>
            <w:hideMark/>
          </w:tcPr>
          <w:p w14:paraId="073F22E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DCS  - Dirección de Control de Subsidios</w:t>
            </w:r>
          </w:p>
        </w:tc>
        <w:tc>
          <w:tcPr>
            <w:tcW w:w="0" w:type="auto"/>
            <w:tcBorders>
              <w:top w:val="nil"/>
              <w:left w:val="nil"/>
              <w:bottom w:val="single" w:sz="4" w:space="0" w:color="767171"/>
              <w:right w:val="single" w:sz="4" w:space="0" w:color="767171"/>
            </w:tcBorders>
            <w:shd w:val="clear" w:color="000000" w:fill="FFFFFF"/>
            <w:vAlign w:val="center"/>
            <w:hideMark/>
          </w:tcPr>
          <w:p w14:paraId="1C2A545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AS - Gestión y Control de los Subsidios.</w:t>
            </w:r>
          </w:p>
        </w:tc>
        <w:tc>
          <w:tcPr>
            <w:tcW w:w="0" w:type="auto"/>
            <w:tcBorders>
              <w:top w:val="nil"/>
              <w:left w:val="nil"/>
              <w:bottom w:val="single" w:sz="4" w:space="0" w:color="767171"/>
              <w:right w:val="single" w:sz="4" w:space="0" w:color="767171"/>
            </w:tcBorders>
            <w:shd w:val="clear" w:color="000000" w:fill="FFFFFF"/>
            <w:vAlign w:val="center"/>
            <w:hideMark/>
          </w:tcPr>
          <w:p w14:paraId="1EF1E9A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419D0B3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Cumplimiento en 100% con la fecha de pagos de subsidios, que cumplen con los requisitos de entrega al Empleador.</w:t>
            </w:r>
          </w:p>
        </w:tc>
        <w:tc>
          <w:tcPr>
            <w:tcW w:w="0" w:type="auto"/>
            <w:tcBorders>
              <w:top w:val="nil"/>
              <w:left w:val="nil"/>
              <w:bottom w:val="single" w:sz="4" w:space="0" w:color="767171"/>
              <w:right w:val="single" w:sz="4" w:space="0" w:color="767171"/>
            </w:tcBorders>
            <w:shd w:val="clear" w:color="000000" w:fill="FFFFFF"/>
            <w:vAlign w:val="center"/>
            <w:hideMark/>
          </w:tcPr>
          <w:p w14:paraId="40C470F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4B2E4C6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96%</w:t>
            </w:r>
          </w:p>
        </w:tc>
        <w:tc>
          <w:tcPr>
            <w:tcW w:w="0" w:type="auto"/>
            <w:tcBorders>
              <w:top w:val="nil"/>
              <w:left w:val="nil"/>
              <w:bottom w:val="single" w:sz="4" w:space="0" w:color="767171"/>
              <w:right w:val="single" w:sz="4" w:space="0" w:color="767171"/>
            </w:tcBorders>
            <w:shd w:val="clear" w:color="000000" w:fill="FFFFFF"/>
            <w:vAlign w:val="center"/>
            <w:hideMark/>
          </w:tcPr>
          <w:p w14:paraId="4A351C3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7288A1A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50%</w:t>
            </w:r>
          </w:p>
        </w:tc>
        <w:tc>
          <w:tcPr>
            <w:tcW w:w="0" w:type="auto"/>
            <w:tcBorders>
              <w:top w:val="nil"/>
              <w:left w:val="nil"/>
              <w:bottom w:val="single" w:sz="4" w:space="0" w:color="767171"/>
              <w:right w:val="single" w:sz="4" w:space="0" w:color="767171"/>
            </w:tcBorders>
            <w:vAlign w:val="center"/>
            <w:hideMark/>
          </w:tcPr>
          <w:p w14:paraId="7EAD7F0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50%</w:t>
            </w:r>
          </w:p>
        </w:tc>
      </w:tr>
      <w:tr w:rsidR="006C0AE4" w:rsidRPr="006C0AE4" w14:paraId="52968882"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67269C61"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lastRenderedPageBreak/>
              <w:t>9</w:t>
            </w:r>
          </w:p>
        </w:tc>
        <w:tc>
          <w:tcPr>
            <w:tcW w:w="0" w:type="auto"/>
            <w:tcBorders>
              <w:top w:val="nil"/>
              <w:left w:val="nil"/>
              <w:bottom w:val="single" w:sz="4" w:space="0" w:color="767171"/>
              <w:right w:val="single" w:sz="4" w:space="0" w:color="767171"/>
            </w:tcBorders>
            <w:vAlign w:val="center"/>
            <w:hideMark/>
          </w:tcPr>
          <w:p w14:paraId="4F4A28C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DGR  - Dirección de Monitoreo y Supervisión de la Gestión de Riesgos</w:t>
            </w:r>
          </w:p>
        </w:tc>
        <w:tc>
          <w:tcPr>
            <w:tcW w:w="0" w:type="auto"/>
            <w:tcBorders>
              <w:top w:val="nil"/>
              <w:left w:val="nil"/>
              <w:bottom w:val="single" w:sz="4" w:space="0" w:color="767171"/>
              <w:right w:val="single" w:sz="4" w:space="0" w:color="767171"/>
            </w:tcBorders>
            <w:shd w:val="clear" w:color="000000" w:fill="FFFFFF"/>
            <w:vAlign w:val="center"/>
            <w:hideMark/>
          </w:tcPr>
          <w:p w14:paraId="6B0B379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SV - Monitoreo y Control de los Supervisados.</w:t>
            </w:r>
          </w:p>
        </w:tc>
        <w:tc>
          <w:tcPr>
            <w:tcW w:w="0" w:type="auto"/>
            <w:tcBorders>
              <w:top w:val="nil"/>
              <w:left w:val="nil"/>
              <w:bottom w:val="single" w:sz="4" w:space="0" w:color="767171"/>
              <w:right w:val="single" w:sz="4" w:space="0" w:color="767171"/>
            </w:tcBorders>
            <w:shd w:val="clear" w:color="000000" w:fill="FFFFFF"/>
            <w:vAlign w:val="center"/>
            <w:hideMark/>
          </w:tcPr>
          <w:p w14:paraId="2860081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07229C8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Entrega en tiempo de Resultados de Supervisión. (Menor o igual a 45 días laborables, de acuerdo con la Cartera de Afiliados de la ARS/ IDOPPRIL y al tipo de auditoría que se realice)</w:t>
            </w:r>
          </w:p>
        </w:tc>
        <w:tc>
          <w:tcPr>
            <w:tcW w:w="0" w:type="auto"/>
            <w:tcBorders>
              <w:top w:val="nil"/>
              <w:left w:val="nil"/>
              <w:bottom w:val="single" w:sz="4" w:space="0" w:color="767171"/>
              <w:right w:val="single" w:sz="4" w:space="0" w:color="767171"/>
            </w:tcBorders>
            <w:shd w:val="clear" w:color="000000" w:fill="FFFFFF"/>
            <w:vAlign w:val="center"/>
            <w:hideMark/>
          </w:tcPr>
          <w:p w14:paraId="55DC399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7C9A3F6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4480362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05AB46A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97%</w:t>
            </w:r>
          </w:p>
        </w:tc>
        <w:tc>
          <w:tcPr>
            <w:tcW w:w="0" w:type="auto"/>
            <w:tcBorders>
              <w:top w:val="nil"/>
              <w:left w:val="nil"/>
              <w:bottom w:val="single" w:sz="4" w:space="0" w:color="767171"/>
              <w:right w:val="single" w:sz="4" w:space="0" w:color="767171"/>
            </w:tcBorders>
            <w:vAlign w:val="center"/>
            <w:hideMark/>
          </w:tcPr>
          <w:p w14:paraId="16C304A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97%</w:t>
            </w:r>
          </w:p>
        </w:tc>
      </w:tr>
      <w:tr w:rsidR="006C0AE4" w:rsidRPr="006C0AE4" w14:paraId="0C7DAE68"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73FFB72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w:t>
            </w:r>
          </w:p>
        </w:tc>
        <w:tc>
          <w:tcPr>
            <w:tcW w:w="0" w:type="auto"/>
            <w:tcBorders>
              <w:top w:val="nil"/>
              <w:left w:val="nil"/>
              <w:bottom w:val="single" w:sz="4" w:space="0" w:color="767171"/>
              <w:right w:val="single" w:sz="4" w:space="0" w:color="767171"/>
            </w:tcBorders>
            <w:vAlign w:val="center"/>
            <w:hideMark/>
          </w:tcPr>
          <w:p w14:paraId="3421F11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DARS  - Dirección de Aseguramiento en Salud del Régimen Subsidiado</w:t>
            </w:r>
          </w:p>
        </w:tc>
        <w:tc>
          <w:tcPr>
            <w:tcW w:w="0" w:type="auto"/>
            <w:tcBorders>
              <w:top w:val="nil"/>
              <w:left w:val="nil"/>
              <w:bottom w:val="single" w:sz="4" w:space="0" w:color="767171"/>
              <w:right w:val="single" w:sz="4" w:space="0" w:color="767171"/>
            </w:tcBorders>
            <w:shd w:val="clear" w:color="000000" w:fill="FFFFFF"/>
            <w:vAlign w:val="center"/>
            <w:hideMark/>
          </w:tcPr>
          <w:p w14:paraId="1529DEF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SV - Monitoreo y Control de los Supervisados.</w:t>
            </w:r>
          </w:p>
        </w:tc>
        <w:tc>
          <w:tcPr>
            <w:tcW w:w="0" w:type="auto"/>
            <w:tcBorders>
              <w:top w:val="nil"/>
              <w:left w:val="nil"/>
              <w:bottom w:val="single" w:sz="4" w:space="0" w:color="767171"/>
              <w:right w:val="single" w:sz="4" w:space="0" w:color="767171"/>
            </w:tcBorders>
            <w:shd w:val="clear" w:color="000000" w:fill="FFFFFF"/>
            <w:vAlign w:val="center"/>
            <w:hideMark/>
          </w:tcPr>
          <w:p w14:paraId="025A54C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5E73745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Entrega en tiempo de Resultados de Supervisión. (Menor o igual a 45 días laborables, de acuerdo con la Cartera de Afiliados de la ARS/ IDOPPRIL y al tipo de auditoría que se realice)</w:t>
            </w:r>
          </w:p>
        </w:tc>
        <w:tc>
          <w:tcPr>
            <w:tcW w:w="0" w:type="auto"/>
            <w:tcBorders>
              <w:top w:val="nil"/>
              <w:left w:val="nil"/>
              <w:bottom w:val="single" w:sz="4" w:space="0" w:color="767171"/>
              <w:right w:val="single" w:sz="4" w:space="0" w:color="767171"/>
            </w:tcBorders>
            <w:shd w:val="clear" w:color="000000" w:fill="FFFFFF"/>
            <w:vAlign w:val="center"/>
            <w:hideMark/>
          </w:tcPr>
          <w:p w14:paraId="0E42245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1A78F11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2CC54D1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282AD6A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75%</w:t>
            </w:r>
          </w:p>
        </w:tc>
        <w:tc>
          <w:tcPr>
            <w:tcW w:w="0" w:type="auto"/>
            <w:tcBorders>
              <w:top w:val="nil"/>
              <w:left w:val="nil"/>
              <w:bottom w:val="single" w:sz="4" w:space="0" w:color="767171"/>
              <w:right w:val="single" w:sz="4" w:space="0" w:color="767171"/>
            </w:tcBorders>
            <w:vAlign w:val="center"/>
            <w:hideMark/>
          </w:tcPr>
          <w:p w14:paraId="0E7A7F9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75%</w:t>
            </w:r>
          </w:p>
        </w:tc>
      </w:tr>
      <w:tr w:rsidR="006C0AE4" w:rsidRPr="006C0AE4" w14:paraId="408D9A08"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4C988A7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11</w:t>
            </w:r>
          </w:p>
        </w:tc>
        <w:tc>
          <w:tcPr>
            <w:tcW w:w="0" w:type="auto"/>
            <w:tcBorders>
              <w:top w:val="nil"/>
              <w:left w:val="nil"/>
              <w:bottom w:val="single" w:sz="4" w:space="0" w:color="767171"/>
              <w:right w:val="single" w:sz="4" w:space="0" w:color="767171"/>
            </w:tcBorders>
            <w:vAlign w:val="center"/>
            <w:hideMark/>
          </w:tcPr>
          <w:p w14:paraId="1306054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DARS  - Dirección de Aseguramiento en Salud del Régimen Subsidiado</w:t>
            </w:r>
          </w:p>
        </w:tc>
        <w:tc>
          <w:tcPr>
            <w:tcW w:w="0" w:type="auto"/>
            <w:tcBorders>
              <w:top w:val="nil"/>
              <w:left w:val="nil"/>
              <w:bottom w:val="single" w:sz="4" w:space="0" w:color="767171"/>
              <w:right w:val="single" w:sz="4" w:space="0" w:color="767171"/>
            </w:tcBorders>
            <w:shd w:val="clear" w:color="000000" w:fill="FFFFFF"/>
            <w:vAlign w:val="center"/>
            <w:hideMark/>
          </w:tcPr>
          <w:p w14:paraId="69043D4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62B0464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1F85F2EF"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Atención de quejas y reclamos de usuarios al Régimen Subsidiado (Igual o mayor al 80% de los casos cerrados en tiempo de 30 días laborables)</w:t>
            </w:r>
          </w:p>
        </w:tc>
        <w:tc>
          <w:tcPr>
            <w:tcW w:w="0" w:type="auto"/>
            <w:tcBorders>
              <w:top w:val="nil"/>
              <w:left w:val="nil"/>
              <w:bottom w:val="single" w:sz="4" w:space="0" w:color="767171"/>
              <w:right w:val="single" w:sz="4" w:space="0" w:color="767171"/>
            </w:tcBorders>
            <w:shd w:val="clear" w:color="000000" w:fill="FFFFFF"/>
            <w:vAlign w:val="center"/>
            <w:hideMark/>
          </w:tcPr>
          <w:p w14:paraId="70C5711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618FACD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5FE74E5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80%</w:t>
            </w:r>
          </w:p>
        </w:tc>
        <w:tc>
          <w:tcPr>
            <w:tcW w:w="0" w:type="auto"/>
            <w:tcBorders>
              <w:top w:val="nil"/>
              <w:left w:val="nil"/>
              <w:bottom w:val="single" w:sz="4" w:space="0" w:color="767171"/>
              <w:right w:val="single" w:sz="4" w:space="0" w:color="767171"/>
            </w:tcBorders>
            <w:vAlign w:val="center"/>
            <w:hideMark/>
          </w:tcPr>
          <w:p w14:paraId="47B6027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93%</w:t>
            </w:r>
          </w:p>
        </w:tc>
        <w:tc>
          <w:tcPr>
            <w:tcW w:w="0" w:type="auto"/>
            <w:tcBorders>
              <w:top w:val="nil"/>
              <w:left w:val="nil"/>
              <w:bottom w:val="single" w:sz="4" w:space="0" w:color="767171"/>
              <w:right w:val="single" w:sz="4" w:space="0" w:color="767171"/>
            </w:tcBorders>
            <w:vAlign w:val="center"/>
            <w:hideMark/>
          </w:tcPr>
          <w:p w14:paraId="2C89E11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00BEFFDC"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135AFAD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12</w:t>
            </w:r>
          </w:p>
        </w:tc>
        <w:tc>
          <w:tcPr>
            <w:tcW w:w="0" w:type="auto"/>
            <w:tcBorders>
              <w:top w:val="nil"/>
              <w:left w:val="nil"/>
              <w:bottom w:val="single" w:sz="4" w:space="0" w:color="767171"/>
              <w:right w:val="single" w:sz="4" w:space="0" w:color="767171"/>
            </w:tcBorders>
            <w:vAlign w:val="center"/>
            <w:hideMark/>
          </w:tcPr>
          <w:p w14:paraId="24563DC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tcBorders>
              <w:top w:val="nil"/>
              <w:left w:val="nil"/>
              <w:bottom w:val="single" w:sz="4" w:space="0" w:color="767171"/>
              <w:right w:val="single" w:sz="4" w:space="0" w:color="767171"/>
            </w:tcBorders>
            <w:shd w:val="clear" w:color="000000" w:fill="FFFFFF"/>
            <w:vAlign w:val="center"/>
            <w:hideMark/>
          </w:tcPr>
          <w:p w14:paraId="1B8D118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SV - Monitoreo y Control de los Supervisados.</w:t>
            </w:r>
          </w:p>
        </w:tc>
        <w:tc>
          <w:tcPr>
            <w:tcW w:w="0" w:type="auto"/>
            <w:tcBorders>
              <w:top w:val="nil"/>
              <w:left w:val="nil"/>
              <w:bottom w:val="single" w:sz="4" w:space="0" w:color="767171"/>
              <w:right w:val="single" w:sz="4" w:space="0" w:color="767171"/>
            </w:tcBorders>
            <w:shd w:val="clear" w:color="000000" w:fill="FFFFFF"/>
            <w:vAlign w:val="center"/>
            <w:hideMark/>
          </w:tcPr>
          <w:p w14:paraId="0DE622C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50D1627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Entrega en tiempo de Resultados de Supervisión. (PSS - 30 días hábiles)</w:t>
            </w:r>
          </w:p>
        </w:tc>
        <w:tc>
          <w:tcPr>
            <w:tcW w:w="0" w:type="auto"/>
            <w:tcBorders>
              <w:top w:val="nil"/>
              <w:left w:val="nil"/>
              <w:bottom w:val="single" w:sz="4" w:space="0" w:color="767171"/>
              <w:right w:val="single" w:sz="4" w:space="0" w:color="767171"/>
            </w:tcBorders>
            <w:shd w:val="clear" w:color="000000" w:fill="FFFFFF"/>
            <w:vAlign w:val="center"/>
            <w:hideMark/>
          </w:tcPr>
          <w:p w14:paraId="0BBA78B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Anual</w:t>
            </w:r>
          </w:p>
        </w:tc>
        <w:tc>
          <w:tcPr>
            <w:tcW w:w="0" w:type="auto"/>
            <w:tcBorders>
              <w:top w:val="nil"/>
              <w:left w:val="nil"/>
              <w:bottom w:val="single" w:sz="4" w:space="0" w:color="767171"/>
              <w:right w:val="single" w:sz="4" w:space="0" w:color="767171"/>
            </w:tcBorders>
            <w:shd w:val="clear" w:color="000000" w:fill="FFFFFF"/>
            <w:vAlign w:val="center"/>
            <w:hideMark/>
          </w:tcPr>
          <w:p w14:paraId="0BB510D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88%</w:t>
            </w:r>
          </w:p>
        </w:tc>
        <w:tc>
          <w:tcPr>
            <w:tcW w:w="0" w:type="auto"/>
            <w:tcBorders>
              <w:top w:val="nil"/>
              <w:left w:val="nil"/>
              <w:bottom w:val="single" w:sz="4" w:space="0" w:color="767171"/>
              <w:right w:val="single" w:sz="4" w:space="0" w:color="767171"/>
            </w:tcBorders>
            <w:shd w:val="clear" w:color="000000" w:fill="FFFFFF"/>
            <w:vAlign w:val="center"/>
            <w:hideMark/>
          </w:tcPr>
          <w:p w14:paraId="3C54E41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80%</w:t>
            </w:r>
          </w:p>
        </w:tc>
        <w:tc>
          <w:tcPr>
            <w:tcW w:w="0" w:type="auto"/>
            <w:tcBorders>
              <w:top w:val="nil"/>
              <w:left w:val="nil"/>
              <w:bottom w:val="single" w:sz="4" w:space="0" w:color="767171"/>
              <w:right w:val="single" w:sz="4" w:space="0" w:color="767171"/>
            </w:tcBorders>
            <w:vAlign w:val="center"/>
            <w:hideMark/>
          </w:tcPr>
          <w:p w14:paraId="1FBE751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94%</w:t>
            </w:r>
          </w:p>
        </w:tc>
        <w:tc>
          <w:tcPr>
            <w:tcW w:w="0" w:type="auto"/>
            <w:tcBorders>
              <w:top w:val="nil"/>
              <w:left w:val="nil"/>
              <w:bottom w:val="single" w:sz="4" w:space="0" w:color="767171"/>
              <w:right w:val="single" w:sz="4" w:space="0" w:color="767171"/>
            </w:tcBorders>
            <w:vAlign w:val="center"/>
            <w:hideMark/>
          </w:tcPr>
          <w:p w14:paraId="689D973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080E7DFA"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3A6A5D7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13</w:t>
            </w:r>
          </w:p>
        </w:tc>
        <w:tc>
          <w:tcPr>
            <w:tcW w:w="0" w:type="auto"/>
            <w:tcBorders>
              <w:top w:val="nil"/>
              <w:left w:val="nil"/>
              <w:bottom w:val="single" w:sz="4" w:space="0" w:color="767171"/>
              <w:right w:val="single" w:sz="4" w:space="0" w:color="767171"/>
            </w:tcBorders>
            <w:vAlign w:val="center"/>
            <w:hideMark/>
          </w:tcPr>
          <w:p w14:paraId="1D9036B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tcBorders>
              <w:top w:val="nil"/>
              <w:left w:val="nil"/>
              <w:bottom w:val="single" w:sz="4" w:space="0" w:color="767171"/>
              <w:right w:val="single" w:sz="4" w:space="0" w:color="767171"/>
            </w:tcBorders>
            <w:shd w:val="clear" w:color="000000" w:fill="FFFFFF"/>
            <w:vAlign w:val="center"/>
            <w:hideMark/>
          </w:tcPr>
          <w:p w14:paraId="4090987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SV - Monitoreo y Control de los Supervisados.</w:t>
            </w:r>
          </w:p>
        </w:tc>
        <w:tc>
          <w:tcPr>
            <w:tcW w:w="0" w:type="auto"/>
            <w:tcBorders>
              <w:top w:val="nil"/>
              <w:left w:val="nil"/>
              <w:bottom w:val="single" w:sz="4" w:space="0" w:color="767171"/>
              <w:right w:val="single" w:sz="4" w:space="0" w:color="767171"/>
            </w:tcBorders>
            <w:shd w:val="clear" w:color="000000" w:fill="FFFFFF"/>
            <w:vAlign w:val="center"/>
            <w:hideMark/>
          </w:tcPr>
          <w:p w14:paraId="0635389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42C7BC6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Entrega en tiempo de Resultados de Supervisión. (ARS - 60 días hábiles)</w:t>
            </w:r>
          </w:p>
        </w:tc>
        <w:tc>
          <w:tcPr>
            <w:tcW w:w="0" w:type="auto"/>
            <w:tcBorders>
              <w:top w:val="nil"/>
              <w:left w:val="nil"/>
              <w:bottom w:val="single" w:sz="4" w:space="0" w:color="767171"/>
              <w:right w:val="single" w:sz="4" w:space="0" w:color="767171"/>
            </w:tcBorders>
            <w:shd w:val="clear" w:color="000000" w:fill="FFFFFF"/>
            <w:vAlign w:val="center"/>
            <w:hideMark/>
          </w:tcPr>
          <w:p w14:paraId="0393E8A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Anual</w:t>
            </w:r>
          </w:p>
        </w:tc>
        <w:tc>
          <w:tcPr>
            <w:tcW w:w="0" w:type="auto"/>
            <w:tcBorders>
              <w:top w:val="nil"/>
              <w:left w:val="nil"/>
              <w:bottom w:val="single" w:sz="4" w:space="0" w:color="767171"/>
              <w:right w:val="single" w:sz="4" w:space="0" w:color="767171"/>
            </w:tcBorders>
            <w:shd w:val="clear" w:color="000000" w:fill="FFFFFF"/>
            <w:vAlign w:val="center"/>
            <w:hideMark/>
          </w:tcPr>
          <w:p w14:paraId="5C5126B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3046D801"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vAlign w:val="center"/>
            <w:hideMark/>
          </w:tcPr>
          <w:p w14:paraId="28D9679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94%</w:t>
            </w:r>
          </w:p>
        </w:tc>
        <w:tc>
          <w:tcPr>
            <w:tcW w:w="0" w:type="auto"/>
            <w:tcBorders>
              <w:top w:val="nil"/>
              <w:left w:val="nil"/>
              <w:bottom w:val="single" w:sz="4" w:space="0" w:color="767171"/>
              <w:right w:val="single" w:sz="4" w:space="0" w:color="767171"/>
            </w:tcBorders>
            <w:vAlign w:val="center"/>
            <w:hideMark/>
          </w:tcPr>
          <w:p w14:paraId="3767114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8D5E988" w14:textId="77777777" w:rsidTr="006C0AE4">
        <w:trPr>
          <w:trHeight w:val="1346"/>
        </w:trPr>
        <w:tc>
          <w:tcPr>
            <w:tcW w:w="0" w:type="auto"/>
            <w:tcBorders>
              <w:top w:val="nil"/>
              <w:left w:val="single" w:sz="4" w:space="0" w:color="767171"/>
              <w:bottom w:val="single" w:sz="4" w:space="0" w:color="767171"/>
              <w:right w:val="single" w:sz="4" w:space="0" w:color="767171"/>
            </w:tcBorders>
            <w:vAlign w:val="center"/>
            <w:hideMark/>
          </w:tcPr>
          <w:p w14:paraId="2F03A79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14</w:t>
            </w:r>
          </w:p>
        </w:tc>
        <w:tc>
          <w:tcPr>
            <w:tcW w:w="0" w:type="auto"/>
            <w:tcBorders>
              <w:top w:val="nil"/>
              <w:left w:val="nil"/>
              <w:bottom w:val="single" w:sz="4" w:space="0" w:color="767171"/>
              <w:right w:val="single" w:sz="4" w:space="0" w:color="767171"/>
            </w:tcBorders>
            <w:vAlign w:val="center"/>
            <w:hideMark/>
          </w:tcPr>
          <w:p w14:paraId="3A41993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DEACT  - Dirección de Estudios Actuariales</w:t>
            </w:r>
          </w:p>
        </w:tc>
        <w:tc>
          <w:tcPr>
            <w:tcW w:w="0" w:type="auto"/>
            <w:tcBorders>
              <w:top w:val="nil"/>
              <w:left w:val="nil"/>
              <w:bottom w:val="single" w:sz="4" w:space="0" w:color="767171"/>
              <w:right w:val="single" w:sz="4" w:space="0" w:color="767171"/>
            </w:tcBorders>
            <w:shd w:val="clear" w:color="000000" w:fill="FFFFFF"/>
            <w:vAlign w:val="center"/>
            <w:hideMark/>
          </w:tcPr>
          <w:p w14:paraId="01A067E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AE - Análisis y Estudio de Riesgos SFS y SRL.</w:t>
            </w:r>
          </w:p>
        </w:tc>
        <w:tc>
          <w:tcPr>
            <w:tcW w:w="0" w:type="auto"/>
            <w:tcBorders>
              <w:top w:val="nil"/>
              <w:left w:val="nil"/>
              <w:bottom w:val="single" w:sz="4" w:space="0" w:color="767171"/>
              <w:right w:val="single" w:sz="4" w:space="0" w:color="767171"/>
            </w:tcBorders>
            <w:shd w:val="clear" w:color="000000" w:fill="FFFFFF"/>
            <w:vAlign w:val="center"/>
            <w:hideMark/>
          </w:tcPr>
          <w:p w14:paraId="01BF630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264720BF"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Aprobación de Planes Alternativos de Salud para su comercialización por las ARS. 60 días calendario.</w:t>
            </w:r>
            <w:r w:rsidRPr="006C0AE4">
              <w:rPr>
                <w:rFonts w:eastAsia="Times New Roman"/>
                <w:spacing w:val="0"/>
                <w:lang w:val="es-DO" w:eastAsia="es-DO"/>
              </w:rPr>
              <w:br/>
              <w:t>Nota: Ante la ampliación del PDSS, el Valor Esperado será de 70%, considerando el volumen de planes sometidos en un mismo trimestre por las ARS.</w:t>
            </w:r>
          </w:p>
        </w:tc>
        <w:tc>
          <w:tcPr>
            <w:tcW w:w="0" w:type="auto"/>
            <w:tcBorders>
              <w:top w:val="nil"/>
              <w:left w:val="nil"/>
              <w:bottom w:val="single" w:sz="4" w:space="0" w:color="767171"/>
              <w:right w:val="single" w:sz="4" w:space="0" w:color="767171"/>
            </w:tcBorders>
            <w:shd w:val="clear" w:color="000000" w:fill="FFFFFF"/>
            <w:vAlign w:val="center"/>
            <w:hideMark/>
          </w:tcPr>
          <w:p w14:paraId="11C0018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0E06B9A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75%</w:t>
            </w:r>
          </w:p>
        </w:tc>
        <w:tc>
          <w:tcPr>
            <w:tcW w:w="0" w:type="auto"/>
            <w:tcBorders>
              <w:top w:val="nil"/>
              <w:left w:val="nil"/>
              <w:bottom w:val="single" w:sz="4" w:space="0" w:color="767171"/>
              <w:right w:val="single" w:sz="4" w:space="0" w:color="767171"/>
            </w:tcBorders>
            <w:shd w:val="clear" w:color="000000" w:fill="FFFFFF"/>
            <w:vAlign w:val="center"/>
            <w:hideMark/>
          </w:tcPr>
          <w:p w14:paraId="330DCAB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80%</w:t>
            </w:r>
          </w:p>
        </w:tc>
        <w:tc>
          <w:tcPr>
            <w:tcW w:w="0" w:type="auto"/>
            <w:tcBorders>
              <w:top w:val="nil"/>
              <w:left w:val="nil"/>
              <w:bottom w:val="single" w:sz="4" w:space="0" w:color="767171"/>
              <w:right w:val="single" w:sz="4" w:space="0" w:color="767171"/>
            </w:tcBorders>
            <w:vAlign w:val="center"/>
            <w:hideMark/>
          </w:tcPr>
          <w:p w14:paraId="3326E52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7630CA8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CDAD304" w14:textId="77777777" w:rsidTr="006C0AE4">
        <w:trPr>
          <w:trHeight w:val="1425"/>
        </w:trPr>
        <w:tc>
          <w:tcPr>
            <w:tcW w:w="0" w:type="auto"/>
            <w:tcBorders>
              <w:top w:val="nil"/>
              <w:left w:val="single" w:sz="4" w:space="0" w:color="767171"/>
              <w:bottom w:val="single" w:sz="4" w:space="0" w:color="767171"/>
              <w:right w:val="single" w:sz="4" w:space="0" w:color="767171"/>
            </w:tcBorders>
            <w:vAlign w:val="center"/>
            <w:hideMark/>
          </w:tcPr>
          <w:p w14:paraId="516CD1D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15</w:t>
            </w:r>
          </w:p>
        </w:tc>
        <w:tc>
          <w:tcPr>
            <w:tcW w:w="0" w:type="auto"/>
            <w:tcBorders>
              <w:top w:val="nil"/>
              <w:left w:val="nil"/>
              <w:bottom w:val="single" w:sz="4" w:space="0" w:color="767171"/>
              <w:right w:val="single" w:sz="4" w:space="0" w:color="767171"/>
            </w:tcBorders>
            <w:vAlign w:val="center"/>
            <w:hideMark/>
          </w:tcPr>
          <w:p w14:paraId="56BBBB6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DEACT  - Dirección de Estudios Actuariales</w:t>
            </w:r>
          </w:p>
        </w:tc>
        <w:tc>
          <w:tcPr>
            <w:tcW w:w="0" w:type="auto"/>
            <w:tcBorders>
              <w:top w:val="nil"/>
              <w:left w:val="nil"/>
              <w:bottom w:val="single" w:sz="4" w:space="0" w:color="767171"/>
              <w:right w:val="single" w:sz="4" w:space="0" w:color="767171"/>
            </w:tcBorders>
            <w:shd w:val="clear" w:color="000000" w:fill="FFFFFF"/>
            <w:vAlign w:val="center"/>
            <w:hideMark/>
          </w:tcPr>
          <w:p w14:paraId="7B10B65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AE - Análisis y Estudio de Riesgos SFS y SRL.</w:t>
            </w:r>
          </w:p>
        </w:tc>
        <w:tc>
          <w:tcPr>
            <w:tcW w:w="0" w:type="auto"/>
            <w:tcBorders>
              <w:top w:val="nil"/>
              <w:left w:val="nil"/>
              <w:bottom w:val="single" w:sz="4" w:space="0" w:color="767171"/>
              <w:right w:val="single" w:sz="4" w:space="0" w:color="767171"/>
            </w:tcBorders>
            <w:shd w:val="clear" w:color="000000" w:fill="FFFFFF"/>
            <w:vAlign w:val="center"/>
            <w:hideMark/>
          </w:tcPr>
          <w:p w14:paraId="4B2FADE6"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7F2F3448"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Evaluación y aprobación de los Contratos de Reaseguros sometidos por las ARS. 30 días laborales, Evaluadas el 100% de las solicitudes de reaseguros.</w:t>
            </w:r>
          </w:p>
        </w:tc>
        <w:tc>
          <w:tcPr>
            <w:tcW w:w="0" w:type="auto"/>
            <w:tcBorders>
              <w:top w:val="nil"/>
              <w:left w:val="nil"/>
              <w:bottom w:val="single" w:sz="4" w:space="0" w:color="767171"/>
              <w:right w:val="single" w:sz="4" w:space="0" w:color="767171"/>
            </w:tcBorders>
            <w:shd w:val="clear" w:color="000000" w:fill="FFFFFF"/>
            <w:vAlign w:val="center"/>
            <w:hideMark/>
          </w:tcPr>
          <w:p w14:paraId="50F5A54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7AD300E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shd w:val="clear" w:color="000000" w:fill="FFFFFF"/>
            <w:vAlign w:val="center"/>
            <w:hideMark/>
          </w:tcPr>
          <w:p w14:paraId="0BD6121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2E806EC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1027404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7EAFEDAE"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01DE22C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16</w:t>
            </w:r>
          </w:p>
        </w:tc>
        <w:tc>
          <w:tcPr>
            <w:tcW w:w="0" w:type="auto"/>
            <w:tcBorders>
              <w:top w:val="nil"/>
              <w:left w:val="nil"/>
              <w:bottom w:val="single" w:sz="4" w:space="0" w:color="767171"/>
              <w:right w:val="single" w:sz="4" w:space="0" w:color="767171"/>
            </w:tcBorders>
            <w:vAlign w:val="center"/>
            <w:hideMark/>
          </w:tcPr>
          <w:p w14:paraId="41E8524E"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DGR  - Dirección de Monitoreo y Supervisión de la Gestión de Riesgos</w:t>
            </w:r>
          </w:p>
        </w:tc>
        <w:tc>
          <w:tcPr>
            <w:tcW w:w="0" w:type="auto"/>
            <w:tcBorders>
              <w:top w:val="nil"/>
              <w:left w:val="nil"/>
              <w:bottom w:val="single" w:sz="4" w:space="0" w:color="767171"/>
              <w:right w:val="single" w:sz="4" w:space="0" w:color="767171"/>
            </w:tcBorders>
            <w:shd w:val="clear" w:color="000000" w:fill="FFFFFF"/>
            <w:vAlign w:val="center"/>
            <w:hideMark/>
          </w:tcPr>
          <w:p w14:paraId="08AA4E6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SV - Monitoreo y Control de los Supervisados.</w:t>
            </w:r>
          </w:p>
        </w:tc>
        <w:tc>
          <w:tcPr>
            <w:tcW w:w="0" w:type="auto"/>
            <w:tcBorders>
              <w:top w:val="nil"/>
              <w:left w:val="nil"/>
              <w:bottom w:val="single" w:sz="4" w:space="0" w:color="767171"/>
              <w:right w:val="single" w:sz="4" w:space="0" w:color="767171"/>
            </w:tcBorders>
            <w:shd w:val="clear" w:color="000000" w:fill="FFFFFF"/>
            <w:vAlign w:val="center"/>
            <w:hideMark/>
          </w:tcPr>
          <w:p w14:paraId="088ED4F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6A8D7BE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Acreditación y Registro de Firmas de auditores externos.   45 días (100%)</w:t>
            </w:r>
          </w:p>
        </w:tc>
        <w:tc>
          <w:tcPr>
            <w:tcW w:w="0" w:type="auto"/>
            <w:tcBorders>
              <w:top w:val="nil"/>
              <w:left w:val="nil"/>
              <w:bottom w:val="single" w:sz="4" w:space="0" w:color="767171"/>
              <w:right w:val="single" w:sz="4" w:space="0" w:color="767171"/>
            </w:tcBorders>
            <w:shd w:val="clear" w:color="000000" w:fill="FFFFFF"/>
            <w:vAlign w:val="center"/>
            <w:hideMark/>
          </w:tcPr>
          <w:p w14:paraId="50D7E54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0584894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4893152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4D9F410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718E646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2065B9CC"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3E3E3A0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17</w:t>
            </w:r>
          </w:p>
        </w:tc>
        <w:tc>
          <w:tcPr>
            <w:tcW w:w="0" w:type="auto"/>
            <w:tcBorders>
              <w:top w:val="nil"/>
              <w:left w:val="nil"/>
              <w:bottom w:val="single" w:sz="4" w:space="0" w:color="767171"/>
              <w:right w:val="single" w:sz="4" w:space="0" w:color="767171"/>
            </w:tcBorders>
            <w:vAlign w:val="center"/>
            <w:hideMark/>
          </w:tcPr>
          <w:p w14:paraId="7445D8B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tcBorders>
              <w:top w:val="nil"/>
              <w:left w:val="nil"/>
              <w:bottom w:val="single" w:sz="4" w:space="0" w:color="767171"/>
              <w:right w:val="single" w:sz="4" w:space="0" w:color="767171"/>
            </w:tcBorders>
            <w:shd w:val="clear" w:color="000000" w:fill="FFFFFF"/>
            <w:vAlign w:val="center"/>
            <w:hideMark/>
          </w:tcPr>
          <w:p w14:paraId="3697D61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79FC5876"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60DAA498"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Asignación Usuario de Traspaso</w:t>
            </w:r>
            <w:r w:rsidRPr="006C0AE4">
              <w:rPr>
                <w:rFonts w:eastAsia="Times New Roman"/>
                <w:spacing w:val="0"/>
                <w:lang w:val="es-DO" w:eastAsia="es-DO"/>
              </w:rPr>
              <w:br/>
              <w:t>90% las solicitudes respondidas en 15 días Laborables</w:t>
            </w:r>
          </w:p>
        </w:tc>
        <w:tc>
          <w:tcPr>
            <w:tcW w:w="0" w:type="auto"/>
            <w:tcBorders>
              <w:top w:val="nil"/>
              <w:left w:val="nil"/>
              <w:bottom w:val="single" w:sz="4" w:space="0" w:color="767171"/>
              <w:right w:val="single" w:sz="4" w:space="0" w:color="767171"/>
            </w:tcBorders>
            <w:shd w:val="clear" w:color="000000" w:fill="FFFFFF"/>
            <w:vAlign w:val="center"/>
            <w:hideMark/>
          </w:tcPr>
          <w:p w14:paraId="3EE953A1"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183A1D5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08850C0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732BCF9E"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72C8E77E"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5EAD17E"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799585A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lastRenderedPageBreak/>
              <w:t>18</w:t>
            </w:r>
          </w:p>
        </w:tc>
        <w:tc>
          <w:tcPr>
            <w:tcW w:w="0" w:type="auto"/>
            <w:tcBorders>
              <w:top w:val="nil"/>
              <w:left w:val="nil"/>
              <w:bottom w:val="single" w:sz="4" w:space="0" w:color="767171"/>
              <w:right w:val="single" w:sz="4" w:space="0" w:color="767171"/>
            </w:tcBorders>
            <w:vAlign w:val="center"/>
            <w:hideMark/>
          </w:tcPr>
          <w:p w14:paraId="78360B0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tcBorders>
              <w:top w:val="nil"/>
              <w:left w:val="nil"/>
              <w:bottom w:val="single" w:sz="4" w:space="0" w:color="767171"/>
              <w:right w:val="single" w:sz="4" w:space="0" w:color="767171"/>
            </w:tcBorders>
            <w:shd w:val="clear" w:color="000000" w:fill="FFFFFF"/>
            <w:vAlign w:val="center"/>
            <w:hideMark/>
          </w:tcPr>
          <w:p w14:paraId="4C51C29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77A3EE5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66FBF36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Tiempo de respuesta a los casos de NUCT Objetados. Tiempo de respuesta en 20 días del 90% de los traspasos objetados con problema de imagen, ARS Origen. (NUCT)</w:t>
            </w:r>
          </w:p>
        </w:tc>
        <w:tc>
          <w:tcPr>
            <w:tcW w:w="0" w:type="auto"/>
            <w:tcBorders>
              <w:top w:val="nil"/>
              <w:left w:val="nil"/>
              <w:bottom w:val="single" w:sz="4" w:space="0" w:color="767171"/>
              <w:right w:val="single" w:sz="4" w:space="0" w:color="767171"/>
            </w:tcBorders>
            <w:shd w:val="clear" w:color="000000" w:fill="FFFFFF"/>
            <w:vAlign w:val="center"/>
            <w:hideMark/>
          </w:tcPr>
          <w:p w14:paraId="6AB6527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6F86B66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1E11AF4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277EAA8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41611EE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783D33F8"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5C739F3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19</w:t>
            </w:r>
          </w:p>
        </w:tc>
        <w:tc>
          <w:tcPr>
            <w:tcW w:w="0" w:type="auto"/>
            <w:tcBorders>
              <w:top w:val="nil"/>
              <w:left w:val="nil"/>
              <w:bottom w:val="single" w:sz="4" w:space="0" w:color="767171"/>
              <w:right w:val="single" w:sz="4" w:space="0" w:color="767171"/>
            </w:tcBorders>
            <w:vAlign w:val="center"/>
            <w:hideMark/>
          </w:tcPr>
          <w:p w14:paraId="5AB110DF"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tcBorders>
              <w:top w:val="nil"/>
              <w:left w:val="nil"/>
              <w:bottom w:val="single" w:sz="4" w:space="0" w:color="767171"/>
              <w:right w:val="single" w:sz="4" w:space="0" w:color="767171"/>
            </w:tcBorders>
            <w:shd w:val="clear" w:color="000000" w:fill="FFFFFF"/>
            <w:vAlign w:val="center"/>
            <w:hideMark/>
          </w:tcPr>
          <w:p w14:paraId="55E124CF"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394E055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012EF8C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Respuesta a las Solicitudes y Casos (Gestión de Cobro por incumplimiento de Plazo) dirigido a PSS. Concluir el 70% de los casos en 45 días laborables.</w:t>
            </w:r>
          </w:p>
        </w:tc>
        <w:tc>
          <w:tcPr>
            <w:tcW w:w="0" w:type="auto"/>
            <w:tcBorders>
              <w:top w:val="nil"/>
              <w:left w:val="nil"/>
              <w:bottom w:val="single" w:sz="4" w:space="0" w:color="767171"/>
              <w:right w:val="single" w:sz="4" w:space="0" w:color="767171"/>
            </w:tcBorders>
            <w:shd w:val="clear" w:color="000000" w:fill="FFFFFF"/>
            <w:vAlign w:val="center"/>
            <w:hideMark/>
          </w:tcPr>
          <w:p w14:paraId="0209AF0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488D3C4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6D4E116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66FE379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41A87FD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0D1BBAE"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5EFF9B4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20</w:t>
            </w:r>
          </w:p>
        </w:tc>
        <w:tc>
          <w:tcPr>
            <w:tcW w:w="0" w:type="auto"/>
            <w:tcBorders>
              <w:top w:val="nil"/>
              <w:left w:val="nil"/>
              <w:bottom w:val="single" w:sz="4" w:space="0" w:color="767171"/>
              <w:right w:val="single" w:sz="4" w:space="0" w:color="767171"/>
            </w:tcBorders>
            <w:vAlign w:val="center"/>
            <w:hideMark/>
          </w:tcPr>
          <w:p w14:paraId="0EF4686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tcBorders>
              <w:top w:val="nil"/>
              <w:left w:val="nil"/>
              <w:bottom w:val="single" w:sz="4" w:space="0" w:color="767171"/>
              <w:right w:val="single" w:sz="4" w:space="0" w:color="767171"/>
            </w:tcBorders>
            <w:shd w:val="clear" w:color="000000" w:fill="FFFFFF"/>
            <w:vAlign w:val="center"/>
            <w:hideMark/>
          </w:tcPr>
          <w:p w14:paraId="5155219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49F5605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657E9B76"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Respuesta a las Solicitudes y Casos (Revisión de cuenta clínica), dirigido a las ARS. Concluir el 70% de los casos en 60 días laborables.</w:t>
            </w:r>
          </w:p>
        </w:tc>
        <w:tc>
          <w:tcPr>
            <w:tcW w:w="0" w:type="auto"/>
            <w:tcBorders>
              <w:top w:val="nil"/>
              <w:left w:val="nil"/>
              <w:bottom w:val="single" w:sz="4" w:space="0" w:color="767171"/>
              <w:right w:val="single" w:sz="4" w:space="0" w:color="767171"/>
            </w:tcBorders>
            <w:shd w:val="clear" w:color="000000" w:fill="FFFFFF"/>
            <w:vAlign w:val="center"/>
            <w:hideMark/>
          </w:tcPr>
          <w:p w14:paraId="451EE93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4DE6AE2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25B4556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123D299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4F7118D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01C906DE"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4919CD1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21</w:t>
            </w:r>
          </w:p>
        </w:tc>
        <w:tc>
          <w:tcPr>
            <w:tcW w:w="0" w:type="auto"/>
            <w:tcBorders>
              <w:top w:val="nil"/>
              <w:left w:val="nil"/>
              <w:bottom w:val="single" w:sz="4" w:space="0" w:color="767171"/>
              <w:right w:val="single" w:sz="4" w:space="0" w:color="767171"/>
            </w:tcBorders>
            <w:vAlign w:val="center"/>
            <w:hideMark/>
          </w:tcPr>
          <w:p w14:paraId="7DDCCA4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1A4831F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EB1076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vMerge w:val="restart"/>
            <w:tcBorders>
              <w:top w:val="nil"/>
              <w:left w:val="single" w:sz="4" w:space="0" w:color="767171"/>
              <w:bottom w:val="single" w:sz="4" w:space="0" w:color="767171"/>
              <w:right w:val="single" w:sz="4" w:space="0" w:color="767171"/>
            </w:tcBorders>
            <w:vAlign w:val="center"/>
            <w:hideMark/>
          </w:tcPr>
          <w:p w14:paraId="4874CE6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Respuesta a las Solicitudes y Casos (Conciliación y Arbitraje), dirigido a ARS, PSS, IDOPPRIL.  Concluir el 70% de los casos en 90 días laborables.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441E5DA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BFB46D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80%</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1D8FC3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0C50DBF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c>
          <w:tcPr>
            <w:tcW w:w="0" w:type="auto"/>
            <w:tcBorders>
              <w:top w:val="nil"/>
              <w:left w:val="nil"/>
              <w:bottom w:val="single" w:sz="4" w:space="0" w:color="767171"/>
              <w:right w:val="single" w:sz="4" w:space="0" w:color="767171"/>
            </w:tcBorders>
            <w:vAlign w:val="center"/>
            <w:hideMark/>
          </w:tcPr>
          <w:p w14:paraId="1512801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r>
      <w:tr w:rsidR="006C0AE4" w:rsidRPr="006C0AE4" w14:paraId="073AFAFF"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1819269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22</w:t>
            </w:r>
          </w:p>
        </w:tc>
        <w:tc>
          <w:tcPr>
            <w:tcW w:w="0" w:type="auto"/>
            <w:tcBorders>
              <w:top w:val="nil"/>
              <w:left w:val="nil"/>
              <w:bottom w:val="single" w:sz="4" w:space="0" w:color="767171"/>
              <w:right w:val="single" w:sz="4" w:space="0" w:color="767171"/>
            </w:tcBorders>
            <w:vAlign w:val="center"/>
            <w:hideMark/>
          </w:tcPr>
          <w:p w14:paraId="17E9AA8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DARS  - Dirección de Aseguramiento en Salud del Régimen Subsidiado</w:t>
            </w:r>
          </w:p>
        </w:tc>
        <w:tc>
          <w:tcPr>
            <w:tcW w:w="0" w:type="auto"/>
            <w:vMerge/>
            <w:tcBorders>
              <w:top w:val="nil"/>
              <w:left w:val="single" w:sz="4" w:space="0" w:color="767171"/>
              <w:bottom w:val="single" w:sz="4" w:space="0" w:color="767171"/>
              <w:right w:val="single" w:sz="4" w:space="0" w:color="767171"/>
            </w:tcBorders>
            <w:vAlign w:val="center"/>
            <w:hideMark/>
          </w:tcPr>
          <w:p w14:paraId="7A3FAE58"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81053B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569578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55506043"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789D258"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D5731F1"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2523B85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c>
          <w:tcPr>
            <w:tcW w:w="0" w:type="auto"/>
            <w:tcBorders>
              <w:top w:val="nil"/>
              <w:left w:val="nil"/>
              <w:bottom w:val="single" w:sz="4" w:space="0" w:color="767171"/>
              <w:right w:val="single" w:sz="4" w:space="0" w:color="767171"/>
            </w:tcBorders>
            <w:vAlign w:val="center"/>
            <w:hideMark/>
          </w:tcPr>
          <w:p w14:paraId="666336D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r>
      <w:tr w:rsidR="006C0AE4" w:rsidRPr="006C0AE4" w14:paraId="22FB05B9" w14:textId="77777777" w:rsidTr="006C0AE4">
        <w:trPr>
          <w:trHeight w:val="939"/>
        </w:trPr>
        <w:tc>
          <w:tcPr>
            <w:tcW w:w="0" w:type="auto"/>
            <w:tcBorders>
              <w:top w:val="nil"/>
              <w:left w:val="single" w:sz="4" w:space="0" w:color="767171"/>
              <w:bottom w:val="single" w:sz="4" w:space="0" w:color="767171"/>
              <w:right w:val="single" w:sz="4" w:space="0" w:color="767171"/>
            </w:tcBorders>
            <w:vAlign w:val="center"/>
            <w:hideMark/>
          </w:tcPr>
          <w:p w14:paraId="7CBBC0E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23</w:t>
            </w:r>
          </w:p>
        </w:tc>
        <w:tc>
          <w:tcPr>
            <w:tcW w:w="0" w:type="auto"/>
            <w:tcBorders>
              <w:top w:val="nil"/>
              <w:left w:val="nil"/>
              <w:bottom w:val="single" w:sz="4" w:space="0" w:color="767171"/>
              <w:right w:val="single" w:sz="4" w:space="0" w:color="767171"/>
            </w:tcBorders>
            <w:vAlign w:val="center"/>
            <w:hideMark/>
          </w:tcPr>
          <w:p w14:paraId="49E46DEE"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DARL  - Dirección de Aseguramiento de Riesgos Laborales</w:t>
            </w:r>
          </w:p>
        </w:tc>
        <w:tc>
          <w:tcPr>
            <w:tcW w:w="0" w:type="auto"/>
            <w:vMerge/>
            <w:tcBorders>
              <w:top w:val="nil"/>
              <w:left w:val="single" w:sz="4" w:space="0" w:color="767171"/>
              <w:bottom w:val="single" w:sz="4" w:space="0" w:color="767171"/>
              <w:right w:val="single" w:sz="4" w:space="0" w:color="767171"/>
            </w:tcBorders>
            <w:vAlign w:val="center"/>
            <w:hideMark/>
          </w:tcPr>
          <w:p w14:paraId="5B5A21CB"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BCF5CE3"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D2B38C5"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E2DC246"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C82AFB4"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C9B4FAE"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vAlign w:val="center"/>
            <w:hideMark/>
          </w:tcPr>
          <w:p w14:paraId="3D4C7E0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c>
          <w:tcPr>
            <w:tcW w:w="0" w:type="auto"/>
            <w:tcBorders>
              <w:top w:val="nil"/>
              <w:left w:val="nil"/>
              <w:bottom w:val="single" w:sz="4" w:space="0" w:color="767171"/>
              <w:right w:val="single" w:sz="4" w:space="0" w:color="767171"/>
            </w:tcBorders>
            <w:vAlign w:val="center"/>
            <w:hideMark/>
          </w:tcPr>
          <w:p w14:paraId="3A8BDF1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No hubo solicitudes</w:t>
            </w:r>
          </w:p>
        </w:tc>
      </w:tr>
      <w:tr w:rsidR="006C0AE4" w:rsidRPr="006C0AE4" w14:paraId="25B4A472" w14:textId="77777777" w:rsidTr="006C0AE4">
        <w:trPr>
          <w:trHeight w:val="624"/>
        </w:trPr>
        <w:tc>
          <w:tcPr>
            <w:tcW w:w="0" w:type="auto"/>
            <w:tcBorders>
              <w:top w:val="nil"/>
              <w:left w:val="single" w:sz="4" w:space="0" w:color="767171"/>
              <w:bottom w:val="single" w:sz="4" w:space="0" w:color="767171"/>
              <w:right w:val="single" w:sz="4" w:space="0" w:color="767171"/>
            </w:tcBorders>
            <w:vAlign w:val="center"/>
            <w:hideMark/>
          </w:tcPr>
          <w:p w14:paraId="131747C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24</w:t>
            </w:r>
          </w:p>
        </w:tc>
        <w:tc>
          <w:tcPr>
            <w:tcW w:w="0" w:type="auto"/>
            <w:tcBorders>
              <w:top w:val="nil"/>
              <w:left w:val="nil"/>
              <w:bottom w:val="single" w:sz="4" w:space="0" w:color="767171"/>
              <w:right w:val="single" w:sz="4" w:space="0" w:color="767171"/>
            </w:tcBorders>
            <w:vAlign w:val="center"/>
            <w:hideMark/>
          </w:tcPr>
          <w:p w14:paraId="7F2A42C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1351058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264D7365"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Servicio</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0450A66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Capacitación a empleadores, líderes sociales, y los trabajadores afiliados al SDSS, PSS y ARS sobre SFS y SRL. Porcentaje de solicitudes respondidas dentro del tiempo establecido (20 y 30 Días Laborables)</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250BDC6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vMerge w:val="restart"/>
            <w:tcBorders>
              <w:top w:val="nil"/>
              <w:left w:val="single" w:sz="4" w:space="0" w:color="767171"/>
              <w:bottom w:val="single" w:sz="4" w:space="0" w:color="767171"/>
              <w:right w:val="single" w:sz="4" w:space="0" w:color="767171"/>
            </w:tcBorders>
            <w:shd w:val="clear" w:color="000000" w:fill="FFFFFF"/>
            <w:vAlign w:val="center"/>
            <w:hideMark/>
          </w:tcPr>
          <w:p w14:paraId="5312933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shd w:val="clear" w:color="000000" w:fill="FFFFFF"/>
            <w:vAlign w:val="center"/>
            <w:hideMark/>
          </w:tcPr>
          <w:p w14:paraId="0AA56E6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07886632"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16C52F4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77AB21A0" w14:textId="77777777" w:rsidTr="006C0AE4">
        <w:trPr>
          <w:trHeight w:val="312"/>
        </w:trPr>
        <w:tc>
          <w:tcPr>
            <w:tcW w:w="0" w:type="auto"/>
            <w:tcBorders>
              <w:top w:val="nil"/>
              <w:left w:val="single" w:sz="4" w:space="0" w:color="767171"/>
              <w:bottom w:val="single" w:sz="4" w:space="0" w:color="767171"/>
              <w:right w:val="single" w:sz="4" w:space="0" w:color="767171"/>
            </w:tcBorders>
            <w:vAlign w:val="center"/>
            <w:hideMark/>
          </w:tcPr>
          <w:p w14:paraId="1E156C7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25</w:t>
            </w:r>
          </w:p>
        </w:tc>
        <w:tc>
          <w:tcPr>
            <w:tcW w:w="0" w:type="auto"/>
            <w:tcBorders>
              <w:top w:val="nil"/>
              <w:left w:val="nil"/>
              <w:bottom w:val="single" w:sz="4" w:space="0" w:color="767171"/>
              <w:right w:val="single" w:sz="4" w:space="0" w:color="767171"/>
            </w:tcBorders>
            <w:vAlign w:val="center"/>
            <w:hideMark/>
          </w:tcPr>
          <w:p w14:paraId="36EF4D9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ORN  - Oficina Regional Norte</w:t>
            </w:r>
          </w:p>
        </w:tc>
        <w:tc>
          <w:tcPr>
            <w:tcW w:w="0" w:type="auto"/>
            <w:vMerge/>
            <w:tcBorders>
              <w:top w:val="nil"/>
              <w:left w:val="single" w:sz="4" w:space="0" w:color="767171"/>
              <w:bottom w:val="single" w:sz="4" w:space="0" w:color="767171"/>
              <w:right w:val="single" w:sz="4" w:space="0" w:color="767171"/>
            </w:tcBorders>
            <w:vAlign w:val="center"/>
            <w:hideMark/>
          </w:tcPr>
          <w:p w14:paraId="1580D926"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B17563B"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1953DD98"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168C09F"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6AB27AA3"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5C17A81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129945C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99%</w:t>
            </w:r>
          </w:p>
        </w:tc>
        <w:tc>
          <w:tcPr>
            <w:tcW w:w="0" w:type="auto"/>
            <w:tcBorders>
              <w:top w:val="nil"/>
              <w:left w:val="nil"/>
              <w:bottom w:val="single" w:sz="4" w:space="0" w:color="767171"/>
              <w:right w:val="single" w:sz="4" w:space="0" w:color="767171"/>
            </w:tcBorders>
            <w:vAlign w:val="center"/>
            <w:hideMark/>
          </w:tcPr>
          <w:p w14:paraId="1D1632E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5B6EB3A8"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7B35FE4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26</w:t>
            </w:r>
          </w:p>
        </w:tc>
        <w:tc>
          <w:tcPr>
            <w:tcW w:w="0" w:type="auto"/>
            <w:tcBorders>
              <w:top w:val="nil"/>
              <w:left w:val="nil"/>
              <w:bottom w:val="single" w:sz="4" w:space="0" w:color="767171"/>
              <w:right w:val="single" w:sz="4" w:space="0" w:color="767171"/>
            </w:tcBorders>
            <w:vAlign w:val="center"/>
            <w:hideMark/>
          </w:tcPr>
          <w:p w14:paraId="6169772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DARCP  - Dirección de Aseguramiento en Salud de los Regímenes Contributivos y Planes</w:t>
            </w:r>
          </w:p>
        </w:tc>
        <w:tc>
          <w:tcPr>
            <w:tcW w:w="0" w:type="auto"/>
            <w:vMerge/>
            <w:tcBorders>
              <w:top w:val="nil"/>
              <w:left w:val="single" w:sz="4" w:space="0" w:color="767171"/>
              <w:bottom w:val="single" w:sz="4" w:space="0" w:color="767171"/>
              <w:right w:val="single" w:sz="4" w:space="0" w:color="767171"/>
            </w:tcBorders>
            <w:vAlign w:val="center"/>
            <w:hideMark/>
          </w:tcPr>
          <w:p w14:paraId="260D39B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646CB2F8"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391AAD7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F7E3C45"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38DB152F"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47C8780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70B26B9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07D6EDD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A76ECFA"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40EF257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27</w:t>
            </w:r>
          </w:p>
        </w:tc>
        <w:tc>
          <w:tcPr>
            <w:tcW w:w="0" w:type="auto"/>
            <w:tcBorders>
              <w:top w:val="nil"/>
              <w:left w:val="nil"/>
              <w:bottom w:val="single" w:sz="4" w:space="0" w:color="767171"/>
              <w:right w:val="single" w:sz="4" w:space="0" w:color="767171"/>
            </w:tcBorders>
            <w:vAlign w:val="center"/>
            <w:hideMark/>
          </w:tcPr>
          <w:p w14:paraId="317D6CF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DARS  - Dirección de Aseguramiento en Salud del Régimen Subsidiado</w:t>
            </w:r>
          </w:p>
        </w:tc>
        <w:tc>
          <w:tcPr>
            <w:tcW w:w="0" w:type="auto"/>
            <w:vMerge/>
            <w:tcBorders>
              <w:top w:val="nil"/>
              <w:left w:val="single" w:sz="4" w:space="0" w:color="767171"/>
              <w:bottom w:val="single" w:sz="4" w:space="0" w:color="767171"/>
              <w:right w:val="single" w:sz="4" w:space="0" w:color="767171"/>
            </w:tcBorders>
            <w:vAlign w:val="center"/>
            <w:hideMark/>
          </w:tcPr>
          <w:p w14:paraId="33C95F86"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F6268D4"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D5C5BFE"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B41E3F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19D403AE"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759DE87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45EC67F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195E1C78"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58985DC7"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4F6E144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28</w:t>
            </w:r>
          </w:p>
        </w:tc>
        <w:tc>
          <w:tcPr>
            <w:tcW w:w="0" w:type="auto"/>
            <w:tcBorders>
              <w:top w:val="nil"/>
              <w:left w:val="nil"/>
              <w:bottom w:val="single" w:sz="4" w:space="0" w:color="767171"/>
              <w:right w:val="single" w:sz="4" w:space="0" w:color="767171"/>
            </w:tcBorders>
            <w:vAlign w:val="center"/>
            <w:hideMark/>
          </w:tcPr>
          <w:p w14:paraId="4D0DB3E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DARL  - Dirección de Aseguramiento de Riesgos Laborales</w:t>
            </w:r>
          </w:p>
        </w:tc>
        <w:tc>
          <w:tcPr>
            <w:tcW w:w="0" w:type="auto"/>
            <w:vMerge/>
            <w:tcBorders>
              <w:top w:val="nil"/>
              <w:left w:val="single" w:sz="4" w:space="0" w:color="767171"/>
              <w:bottom w:val="single" w:sz="4" w:space="0" w:color="767171"/>
              <w:right w:val="single" w:sz="4" w:space="0" w:color="767171"/>
            </w:tcBorders>
            <w:vAlign w:val="center"/>
            <w:hideMark/>
          </w:tcPr>
          <w:p w14:paraId="21BA736A"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08EA7796"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5FA734F"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142671EC" w14:textId="77777777" w:rsidR="006C0AE4" w:rsidRPr="006C0AE4" w:rsidRDefault="006C0AE4" w:rsidP="006C0AE4">
            <w:pPr>
              <w:spacing w:after="0" w:line="240" w:lineRule="auto"/>
              <w:rPr>
                <w:rFonts w:eastAsia="Times New Roman"/>
                <w:spacing w:val="0"/>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21ED2482" w14:textId="77777777" w:rsidR="006C0AE4" w:rsidRPr="006C0AE4" w:rsidRDefault="006C0AE4" w:rsidP="006C0AE4">
            <w:pPr>
              <w:spacing w:after="0" w:line="240" w:lineRule="auto"/>
              <w:rPr>
                <w:rFonts w:eastAsia="Times New Roman"/>
                <w:spacing w:val="0"/>
                <w:lang w:val="es-DO" w:eastAsia="es-DO"/>
              </w:rPr>
            </w:pPr>
          </w:p>
        </w:tc>
        <w:tc>
          <w:tcPr>
            <w:tcW w:w="0" w:type="auto"/>
            <w:tcBorders>
              <w:top w:val="nil"/>
              <w:left w:val="nil"/>
              <w:bottom w:val="single" w:sz="4" w:space="0" w:color="767171"/>
              <w:right w:val="single" w:sz="4" w:space="0" w:color="767171"/>
            </w:tcBorders>
            <w:shd w:val="clear" w:color="000000" w:fill="FFFFFF"/>
            <w:vAlign w:val="center"/>
            <w:hideMark/>
          </w:tcPr>
          <w:p w14:paraId="219E446E"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70%</w:t>
            </w:r>
          </w:p>
        </w:tc>
        <w:tc>
          <w:tcPr>
            <w:tcW w:w="0" w:type="auto"/>
            <w:tcBorders>
              <w:top w:val="nil"/>
              <w:left w:val="nil"/>
              <w:bottom w:val="single" w:sz="4" w:space="0" w:color="767171"/>
              <w:right w:val="single" w:sz="4" w:space="0" w:color="767171"/>
            </w:tcBorders>
            <w:vAlign w:val="center"/>
            <w:hideMark/>
          </w:tcPr>
          <w:p w14:paraId="4FB3E21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42F553B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2862706C" w14:textId="77777777" w:rsidTr="006C0AE4">
        <w:trPr>
          <w:trHeight w:val="1845"/>
        </w:trPr>
        <w:tc>
          <w:tcPr>
            <w:tcW w:w="0" w:type="auto"/>
            <w:tcBorders>
              <w:top w:val="nil"/>
              <w:left w:val="single" w:sz="4" w:space="0" w:color="767171"/>
              <w:bottom w:val="single" w:sz="4" w:space="0" w:color="767171"/>
              <w:right w:val="single" w:sz="4" w:space="0" w:color="767171"/>
            </w:tcBorders>
            <w:vAlign w:val="center"/>
            <w:hideMark/>
          </w:tcPr>
          <w:p w14:paraId="6852892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lastRenderedPageBreak/>
              <w:t>29</w:t>
            </w:r>
          </w:p>
        </w:tc>
        <w:tc>
          <w:tcPr>
            <w:tcW w:w="0" w:type="auto"/>
            <w:tcBorders>
              <w:top w:val="nil"/>
              <w:left w:val="nil"/>
              <w:bottom w:val="single" w:sz="4" w:space="0" w:color="767171"/>
              <w:right w:val="single" w:sz="4" w:space="0" w:color="767171"/>
            </w:tcBorders>
            <w:vAlign w:val="center"/>
            <w:hideMark/>
          </w:tcPr>
          <w:p w14:paraId="4163E87E"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tcBorders>
              <w:top w:val="nil"/>
              <w:left w:val="nil"/>
              <w:bottom w:val="single" w:sz="4" w:space="0" w:color="767171"/>
              <w:right w:val="single" w:sz="4" w:space="0" w:color="767171"/>
            </w:tcBorders>
            <w:shd w:val="clear" w:color="000000" w:fill="FFFFFF"/>
            <w:vAlign w:val="center"/>
            <w:hideMark/>
          </w:tcPr>
          <w:p w14:paraId="30DB0F61"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5EE9BB6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Servicio</w:t>
            </w:r>
          </w:p>
        </w:tc>
        <w:tc>
          <w:tcPr>
            <w:tcW w:w="0" w:type="auto"/>
            <w:tcBorders>
              <w:top w:val="nil"/>
              <w:left w:val="nil"/>
              <w:bottom w:val="single" w:sz="4" w:space="0" w:color="767171"/>
              <w:right w:val="single" w:sz="4" w:space="0" w:color="767171"/>
            </w:tcBorders>
            <w:vAlign w:val="center"/>
            <w:hideMark/>
          </w:tcPr>
          <w:p w14:paraId="47C73CFA"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Acreditación, renovación y gestión de los promotores de salud.  Porcentaje de solicitudes respondidas dentro del tiempo establecido (40 Días Laborables) 90%</w:t>
            </w:r>
          </w:p>
        </w:tc>
        <w:tc>
          <w:tcPr>
            <w:tcW w:w="0" w:type="auto"/>
            <w:tcBorders>
              <w:top w:val="nil"/>
              <w:left w:val="nil"/>
              <w:bottom w:val="single" w:sz="4" w:space="0" w:color="767171"/>
              <w:right w:val="single" w:sz="4" w:space="0" w:color="767171"/>
            </w:tcBorders>
            <w:shd w:val="clear" w:color="000000" w:fill="FFFFFF"/>
            <w:vAlign w:val="center"/>
            <w:hideMark/>
          </w:tcPr>
          <w:p w14:paraId="417B258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2C5A81C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shd w:val="clear" w:color="000000" w:fill="FFFFFF"/>
            <w:vAlign w:val="center"/>
            <w:hideMark/>
          </w:tcPr>
          <w:p w14:paraId="2732A1A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5C70CAD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6E21F93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1631E94B"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637FB6F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30</w:t>
            </w:r>
          </w:p>
        </w:tc>
        <w:tc>
          <w:tcPr>
            <w:tcW w:w="0" w:type="auto"/>
            <w:tcBorders>
              <w:top w:val="nil"/>
              <w:left w:val="nil"/>
              <w:bottom w:val="single" w:sz="4" w:space="0" w:color="767171"/>
              <w:right w:val="single" w:sz="4" w:space="0" w:color="767171"/>
            </w:tcBorders>
            <w:vAlign w:val="center"/>
            <w:hideMark/>
          </w:tcPr>
          <w:p w14:paraId="359B633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DAU  - Dirección de Atención a Usuarios</w:t>
            </w:r>
          </w:p>
        </w:tc>
        <w:tc>
          <w:tcPr>
            <w:tcW w:w="0" w:type="auto"/>
            <w:tcBorders>
              <w:top w:val="nil"/>
              <w:left w:val="nil"/>
              <w:bottom w:val="single" w:sz="4" w:space="0" w:color="767171"/>
              <w:right w:val="single" w:sz="4" w:space="0" w:color="767171"/>
            </w:tcBorders>
            <w:shd w:val="clear" w:color="000000" w:fill="FFFFFF"/>
            <w:vAlign w:val="center"/>
            <w:hideMark/>
          </w:tcPr>
          <w:p w14:paraId="25394ED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AU - Gestión Petición, Quejas, Reclamos y Sugerencias (PQRS).</w:t>
            </w:r>
          </w:p>
        </w:tc>
        <w:tc>
          <w:tcPr>
            <w:tcW w:w="0" w:type="auto"/>
            <w:tcBorders>
              <w:top w:val="nil"/>
              <w:left w:val="nil"/>
              <w:bottom w:val="single" w:sz="4" w:space="0" w:color="767171"/>
              <w:right w:val="single" w:sz="4" w:space="0" w:color="767171"/>
            </w:tcBorders>
            <w:shd w:val="clear" w:color="000000" w:fill="FFFFFF"/>
            <w:vAlign w:val="center"/>
            <w:hideMark/>
          </w:tcPr>
          <w:p w14:paraId="2292EB4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Servicio</w:t>
            </w:r>
          </w:p>
        </w:tc>
        <w:tc>
          <w:tcPr>
            <w:tcW w:w="0" w:type="auto"/>
            <w:tcBorders>
              <w:top w:val="nil"/>
              <w:left w:val="nil"/>
              <w:bottom w:val="single" w:sz="4" w:space="0" w:color="767171"/>
              <w:right w:val="single" w:sz="4" w:space="0" w:color="767171"/>
            </w:tcBorders>
            <w:vAlign w:val="center"/>
            <w:hideMark/>
          </w:tcPr>
          <w:p w14:paraId="79597DE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 xml:space="preserve">Satisfacción Carta Compromiso al Ciudadano – SISALRIL, Servicio: Acreditación, renovación y gestión de los promotores de salud. </w:t>
            </w:r>
          </w:p>
        </w:tc>
        <w:tc>
          <w:tcPr>
            <w:tcW w:w="0" w:type="auto"/>
            <w:tcBorders>
              <w:top w:val="nil"/>
              <w:left w:val="nil"/>
              <w:bottom w:val="single" w:sz="4" w:space="0" w:color="767171"/>
              <w:right w:val="single" w:sz="4" w:space="0" w:color="767171"/>
            </w:tcBorders>
            <w:shd w:val="clear" w:color="000000" w:fill="FFFFFF"/>
            <w:vAlign w:val="center"/>
            <w:hideMark/>
          </w:tcPr>
          <w:p w14:paraId="793EEE3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7E4586E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shd w:val="clear" w:color="000000" w:fill="FFFFFF"/>
            <w:vAlign w:val="center"/>
            <w:hideMark/>
          </w:tcPr>
          <w:p w14:paraId="4C560EE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1C87C2C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94%</w:t>
            </w:r>
          </w:p>
        </w:tc>
        <w:tc>
          <w:tcPr>
            <w:tcW w:w="0" w:type="auto"/>
            <w:tcBorders>
              <w:top w:val="nil"/>
              <w:left w:val="nil"/>
              <w:bottom w:val="single" w:sz="4" w:space="0" w:color="767171"/>
              <w:right w:val="single" w:sz="4" w:space="0" w:color="767171"/>
            </w:tcBorders>
            <w:vAlign w:val="center"/>
            <w:hideMark/>
          </w:tcPr>
          <w:p w14:paraId="1F4787D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25DA1450" w14:textId="77777777" w:rsidTr="006C0AE4">
        <w:trPr>
          <w:trHeight w:val="1248"/>
        </w:trPr>
        <w:tc>
          <w:tcPr>
            <w:tcW w:w="0" w:type="auto"/>
            <w:tcBorders>
              <w:top w:val="nil"/>
              <w:left w:val="single" w:sz="4" w:space="0" w:color="767171"/>
              <w:bottom w:val="single" w:sz="4" w:space="0" w:color="767171"/>
              <w:right w:val="single" w:sz="4" w:space="0" w:color="767171"/>
            </w:tcBorders>
            <w:vAlign w:val="center"/>
            <w:hideMark/>
          </w:tcPr>
          <w:p w14:paraId="13CF949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31</w:t>
            </w:r>
          </w:p>
        </w:tc>
        <w:tc>
          <w:tcPr>
            <w:tcW w:w="0" w:type="auto"/>
            <w:tcBorders>
              <w:top w:val="nil"/>
              <w:left w:val="nil"/>
              <w:bottom w:val="single" w:sz="4" w:space="0" w:color="767171"/>
              <w:right w:val="single" w:sz="4" w:space="0" w:color="767171"/>
            </w:tcBorders>
            <w:vAlign w:val="center"/>
            <w:hideMark/>
          </w:tcPr>
          <w:p w14:paraId="1D848DD2"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DPD  - Dirección de Planificación y Desarrollo</w:t>
            </w:r>
          </w:p>
        </w:tc>
        <w:tc>
          <w:tcPr>
            <w:tcW w:w="0" w:type="auto"/>
            <w:tcBorders>
              <w:top w:val="nil"/>
              <w:left w:val="nil"/>
              <w:bottom w:val="single" w:sz="4" w:space="0" w:color="767171"/>
              <w:right w:val="single" w:sz="4" w:space="0" w:color="767171"/>
            </w:tcBorders>
            <w:shd w:val="clear" w:color="000000" w:fill="FFFFFF"/>
            <w:vAlign w:val="center"/>
            <w:hideMark/>
          </w:tcPr>
          <w:p w14:paraId="01417BC6"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ME - Implementación, mantenimiento y mejora del Sistema de Gestión.</w:t>
            </w:r>
          </w:p>
        </w:tc>
        <w:tc>
          <w:tcPr>
            <w:tcW w:w="0" w:type="auto"/>
            <w:tcBorders>
              <w:top w:val="nil"/>
              <w:left w:val="nil"/>
              <w:bottom w:val="single" w:sz="4" w:space="0" w:color="767171"/>
              <w:right w:val="single" w:sz="4" w:space="0" w:color="767171"/>
            </w:tcBorders>
            <w:shd w:val="clear" w:color="000000" w:fill="FFFFFF"/>
            <w:vAlign w:val="center"/>
            <w:hideMark/>
          </w:tcPr>
          <w:p w14:paraId="4835FD2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Servicio</w:t>
            </w:r>
          </w:p>
        </w:tc>
        <w:tc>
          <w:tcPr>
            <w:tcW w:w="0" w:type="auto"/>
            <w:tcBorders>
              <w:top w:val="nil"/>
              <w:left w:val="nil"/>
              <w:bottom w:val="single" w:sz="4" w:space="0" w:color="767171"/>
              <w:right w:val="single" w:sz="4" w:space="0" w:color="767171"/>
            </w:tcBorders>
            <w:vAlign w:val="center"/>
            <w:hideMark/>
          </w:tcPr>
          <w:p w14:paraId="5A3E5B3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Indicador SISMAP: 01.7 Índice de Satisfacción Ciudadana.</w:t>
            </w:r>
          </w:p>
        </w:tc>
        <w:tc>
          <w:tcPr>
            <w:tcW w:w="0" w:type="auto"/>
            <w:tcBorders>
              <w:top w:val="nil"/>
              <w:left w:val="nil"/>
              <w:bottom w:val="single" w:sz="4" w:space="0" w:color="767171"/>
              <w:right w:val="single" w:sz="4" w:space="0" w:color="767171"/>
            </w:tcBorders>
            <w:shd w:val="clear" w:color="000000" w:fill="FFFFFF"/>
            <w:vAlign w:val="center"/>
            <w:hideMark/>
          </w:tcPr>
          <w:p w14:paraId="253D8D2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Anual</w:t>
            </w:r>
          </w:p>
        </w:tc>
        <w:tc>
          <w:tcPr>
            <w:tcW w:w="0" w:type="auto"/>
            <w:tcBorders>
              <w:top w:val="nil"/>
              <w:left w:val="nil"/>
              <w:bottom w:val="single" w:sz="4" w:space="0" w:color="767171"/>
              <w:right w:val="single" w:sz="4" w:space="0" w:color="767171"/>
            </w:tcBorders>
            <w:shd w:val="clear" w:color="000000" w:fill="FFFFFF"/>
            <w:vAlign w:val="center"/>
            <w:hideMark/>
          </w:tcPr>
          <w:p w14:paraId="455C813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93%</w:t>
            </w:r>
          </w:p>
        </w:tc>
        <w:tc>
          <w:tcPr>
            <w:tcW w:w="0" w:type="auto"/>
            <w:tcBorders>
              <w:top w:val="nil"/>
              <w:left w:val="nil"/>
              <w:bottom w:val="single" w:sz="4" w:space="0" w:color="767171"/>
              <w:right w:val="single" w:sz="4" w:space="0" w:color="767171"/>
            </w:tcBorders>
            <w:shd w:val="clear" w:color="000000" w:fill="FFFFFF"/>
            <w:vAlign w:val="center"/>
            <w:hideMark/>
          </w:tcPr>
          <w:p w14:paraId="08D5B40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09677DD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87%</w:t>
            </w:r>
          </w:p>
        </w:tc>
        <w:tc>
          <w:tcPr>
            <w:tcW w:w="0" w:type="auto"/>
            <w:tcBorders>
              <w:top w:val="nil"/>
              <w:left w:val="nil"/>
              <w:bottom w:val="single" w:sz="4" w:space="0" w:color="767171"/>
              <w:right w:val="single" w:sz="4" w:space="0" w:color="767171"/>
            </w:tcBorders>
            <w:vAlign w:val="center"/>
            <w:hideMark/>
          </w:tcPr>
          <w:p w14:paraId="6253045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97%</w:t>
            </w:r>
          </w:p>
        </w:tc>
      </w:tr>
      <w:tr w:rsidR="006C0AE4" w:rsidRPr="006C0AE4" w14:paraId="38D7308E" w14:textId="77777777" w:rsidTr="006C0AE4">
        <w:trPr>
          <w:trHeight w:val="624"/>
        </w:trPr>
        <w:tc>
          <w:tcPr>
            <w:tcW w:w="0" w:type="auto"/>
            <w:tcBorders>
              <w:top w:val="nil"/>
              <w:left w:val="single" w:sz="4" w:space="0" w:color="767171"/>
              <w:bottom w:val="single" w:sz="4" w:space="0" w:color="767171"/>
              <w:right w:val="single" w:sz="4" w:space="0" w:color="767171"/>
            </w:tcBorders>
            <w:vAlign w:val="center"/>
            <w:hideMark/>
          </w:tcPr>
          <w:p w14:paraId="3A49F5F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32</w:t>
            </w:r>
          </w:p>
        </w:tc>
        <w:tc>
          <w:tcPr>
            <w:tcW w:w="0" w:type="auto"/>
            <w:tcBorders>
              <w:top w:val="nil"/>
              <w:left w:val="nil"/>
              <w:bottom w:val="single" w:sz="4" w:space="0" w:color="767171"/>
              <w:right w:val="single" w:sz="4" w:space="0" w:color="767171"/>
            </w:tcBorders>
            <w:vAlign w:val="center"/>
            <w:hideMark/>
          </w:tcPr>
          <w:p w14:paraId="426DC15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DRH  - Dirección de Recursos Humanos</w:t>
            </w:r>
          </w:p>
        </w:tc>
        <w:tc>
          <w:tcPr>
            <w:tcW w:w="0" w:type="auto"/>
            <w:tcBorders>
              <w:top w:val="nil"/>
              <w:left w:val="nil"/>
              <w:bottom w:val="single" w:sz="4" w:space="0" w:color="767171"/>
              <w:right w:val="single" w:sz="4" w:space="0" w:color="767171"/>
            </w:tcBorders>
            <w:shd w:val="clear" w:color="000000" w:fill="FFFFFF"/>
            <w:vAlign w:val="center"/>
            <w:hideMark/>
          </w:tcPr>
          <w:p w14:paraId="079F4B2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GH - Gestión de las Personas.</w:t>
            </w:r>
          </w:p>
        </w:tc>
        <w:tc>
          <w:tcPr>
            <w:tcW w:w="0" w:type="auto"/>
            <w:tcBorders>
              <w:top w:val="nil"/>
              <w:left w:val="nil"/>
              <w:bottom w:val="single" w:sz="4" w:space="0" w:color="767171"/>
              <w:right w:val="single" w:sz="4" w:space="0" w:color="767171"/>
            </w:tcBorders>
            <w:shd w:val="clear" w:color="000000" w:fill="FFFFFF"/>
            <w:vAlign w:val="center"/>
            <w:hideMark/>
          </w:tcPr>
          <w:p w14:paraId="0512C62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3C487560"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 xml:space="preserve">Porcentaje de cumplimiento de las actividades formativas ejecutadas del plan de capacitación. </w:t>
            </w:r>
          </w:p>
        </w:tc>
        <w:tc>
          <w:tcPr>
            <w:tcW w:w="0" w:type="auto"/>
            <w:tcBorders>
              <w:top w:val="nil"/>
              <w:left w:val="nil"/>
              <w:bottom w:val="single" w:sz="4" w:space="0" w:color="767171"/>
              <w:right w:val="single" w:sz="4" w:space="0" w:color="767171"/>
            </w:tcBorders>
            <w:shd w:val="clear" w:color="000000" w:fill="FFFFFF"/>
            <w:vAlign w:val="center"/>
            <w:hideMark/>
          </w:tcPr>
          <w:p w14:paraId="42CBA7F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19F84CA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shd w:val="clear" w:color="000000" w:fill="FFFFFF"/>
            <w:vAlign w:val="center"/>
            <w:hideMark/>
          </w:tcPr>
          <w:p w14:paraId="65A1A84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vAlign w:val="center"/>
            <w:hideMark/>
          </w:tcPr>
          <w:p w14:paraId="05C10D6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5A2AD91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1A27939F" w14:textId="77777777" w:rsidTr="006C0AE4">
        <w:trPr>
          <w:trHeight w:val="624"/>
        </w:trPr>
        <w:tc>
          <w:tcPr>
            <w:tcW w:w="0" w:type="auto"/>
            <w:tcBorders>
              <w:top w:val="nil"/>
              <w:left w:val="single" w:sz="4" w:space="0" w:color="767171"/>
              <w:bottom w:val="single" w:sz="4" w:space="0" w:color="767171"/>
              <w:right w:val="single" w:sz="4" w:space="0" w:color="767171"/>
            </w:tcBorders>
            <w:vAlign w:val="center"/>
            <w:hideMark/>
          </w:tcPr>
          <w:p w14:paraId="326E925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33</w:t>
            </w:r>
          </w:p>
        </w:tc>
        <w:tc>
          <w:tcPr>
            <w:tcW w:w="0" w:type="auto"/>
            <w:tcBorders>
              <w:top w:val="nil"/>
              <w:left w:val="nil"/>
              <w:bottom w:val="single" w:sz="4" w:space="0" w:color="767171"/>
              <w:right w:val="single" w:sz="4" w:space="0" w:color="767171"/>
            </w:tcBorders>
            <w:vAlign w:val="center"/>
            <w:hideMark/>
          </w:tcPr>
          <w:p w14:paraId="56F052B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DRH  - Dirección de Recursos Humanos</w:t>
            </w:r>
          </w:p>
        </w:tc>
        <w:tc>
          <w:tcPr>
            <w:tcW w:w="0" w:type="auto"/>
            <w:tcBorders>
              <w:top w:val="nil"/>
              <w:left w:val="nil"/>
              <w:bottom w:val="single" w:sz="4" w:space="0" w:color="767171"/>
              <w:right w:val="single" w:sz="4" w:space="0" w:color="767171"/>
            </w:tcBorders>
            <w:shd w:val="clear" w:color="000000" w:fill="FFFFFF"/>
            <w:vAlign w:val="center"/>
            <w:hideMark/>
          </w:tcPr>
          <w:p w14:paraId="5CA22B24"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GH - Gestión de las Personas.</w:t>
            </w:r>
          </w:p>
        </w:tc>
        <w:tc>
          <w:tcPr>
            <w:tcW w:w="0" w:type="auto"/>
            <w:tcBorders>
              <w:top w:val="nil"/>
              <w:left w:val="nil"/>
              <w:bottom w:val="single" w:sz="4" w:space="0" w:color="767171"/>
              <w:right w:val="single" w:sz="4" w:space="0" w:color="767171"/>
            </w:tcBorders>
            <w:shd w:val="clear" w:color="000000" w:fill="FFFFFF"/>
            <w:vAlign w:val="center"/>
            <w:hideMark/>
          </w:tcPr>
          <w:p w14:paraId="545DFD29"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34C5FC1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Nivel de cumplimiento del Programa de Inducción de Personal.</w:t>
            </w:r>
          </w:p>
        </w:tc>
        <w:tc>
          <w:tcPr>
            <w:tcW w:w="0" w:type="auto"/>
            <w:tcBorders>
              <w:top w:val="nil"/>
              <w:left w:val="nil"/>
              <w:bottom w:val="single" w:sz="4" w:space="0" w:color="767171"/>
              <w:right w:val="single" w:sz="4" w:space="0" w:color="767171"/>
            </w:tcBorders>
            <w:shd w:val="clear" w:color="000000" w:fill="FFFFFF"/>
            <w:vAlign w:val="center"/>
            <w:hideMark/>
          </w:tcPr>
          <w:p w14:paraId="2A65C5C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Trimestral</w:t>
            </w:r>
          </w:p>
        </w:tc>
        <w:tc>
          <w:tcPr>
            <w:tcW w:w="0" w:type="auto"/>
            <w:tcBorders>
              <w:top w:val="nil"/>
              <w:left w:val="nil"/>
              <w:bottom w:val="single" w:sz="4" w:space="0" w:color="767171"/>
              <w:right w:val="single" w:sz="4" w:space="0" w:color="767171"/>
            </w:tcBorders>
            <w:shd w:val="clear" w:color="000000" w:fill="FFFFFF"/>
            <w:vAlign w:val="center"/>
            <w:hideMark/>
          </w:tcPr>
          <w:p w14:paraId="1D61CDBF"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85%</w:t>
            </w:r>
          </w:p>
        </w:tc>
        <w:tc>
          <w:tcPr>
            <w:tcW w:w="0" w:type="auto"/>
            <w:tcBorders>
              <w:top w:val="nil"/>
              <w:left w:val="nil"/>
              <w:bottom w:val="single" w:sz="4" w:space="0" w:color="767171"/>
              <w:right w:val="single" w:sz="4" w:space="0" w:color="767171"/>
            </w:tcBorders>
            <w:shd w:val="clear" w:color="000000" w:fill="FFFFFF"/>
            <w:vAlign w:val="center"/>
            <w:hideMark/>
          </w:tcPr>
          <w:p w14:paraId="4C1ED96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90%</w:t>
            </w:r>
          </w:p>
        </w:tc>
        <w:tc>
          <w:tcPr>
            <w:tcW w:w="0" w:type="auto"/>
            <w:tcBorders>
              <w:top w:val="nil"/>
              <w:left w:val="nil"/>
              <w:bottom w:val="single" w:sz="4" w:space="0" w:color="767171"/>
              <w:right w:val="single" w:sz="4" w:space="0" w:color="767171"/>
            </w:tcBorders>
            <w:vAlign w:val="center"/>
            <w:hideMark/>
          </w:tcPr>
          <w:p w14:paraId="5687F78C"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92%</w:t>
            </w:r>
          </w:p>
        </w:tc>
        <w:tc>
          <w:tcPr>
            <w:tcW w:w="0" w:type="auto"/>
            <w:tcBorders>
              <w:top w:val="nil"/>
              <w:left w:val="nil"/>
              <w:bottom w:val="single" w:sz="4" w:space="0" w:color="767171"/>
              <w:right w:val="single" w:sz="4" w:space="0" w:color="767171"/>
            </w:tcBorders>
            <w:vAlign w:val="center"/>
            <w:hideMark/>
          </w:tcPr>
          <w:p w14:paraId="3930A49B"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4838329E"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7B56EEE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34</w:t>
            </w:r>
          </w:p>
        </w:tc>
        <w:tc>
          <w:tcPr>
            <w:tcW w:w="0" w:type="auto"/>
            <w:tcBorders>
              <w:top w:val="nil"/>
              <w:left w:val="nil"/>
              <w:bottom w:val="single" w:sz="4" w:space="0" w:color="767171"/>
              <w:right w:val="single" w:sz="4" w:space="0" w:color="767171"/>
            </w:tcBorders>
            <w:vAlign w:val="center"/>
            <w:hideMark/>
          </w:tcPr>
          <w:p w14:paraId="51184AA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DTD  - Dirección de Transformación digital</w:t>
            </w:r>
          </w:p>
        </w:tc>
        <w:tc>
          <w:tcPr>
            <w:tcW w:w="0" w:type="auto"/>
            <w:tcBorders>
              <w:top w:val="nil"/>
              <w:left w:val="nil"/>
              <w:bottom w:val="single" w:sz="4" w:space="0" w:color="767171"/>
              <w:right w:val="single" w:sz="4" w:space="0" w:color="767171"/>
            </w:tcBorders>
            <w:shd w:val="clear" w:color="000000" w:fill="FFFFFF"/>
            <w:vAlign w:val="center"/>
            <w:hideMark/>
          </w:tcPr>
          <w:p w14:paraId="2BF55CD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SI - Gestión de las instalaciones y operaciones.</w:t>
            </w:r>
          </w:p>
        </w:tc>
        <w:tc>
          <w:tcPr>
            <w:tcW w:w="0" w:type="auto"/>
            <w:tcBorders>
              <w:top w:val="nil"/>
              <w:left w:val="nil"/>
              <w:bottom w:val="single" w:sz="4" w:space="0" w:color="767171"/>
              <w:right w:val="single" w:sz="4" w:space="0" w:color="767171"/>
            </w:tcBorders>
            <w:shd w:val="clear" w:color="000000" w:fill="FFFFFF"/>
            <w:vAlign w:val="center"/>
            <w:hideMark/>
          </w:tcPr>
          <w:p w14:paraId="7EF83C7C"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143555B7"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Disponibilidad de la Plataforma Tecnológica.</w:t>
            </w:r>
          </w:p>
        </w:tc>
        <w:tc>
          <w:tcPr>
            <w:tcW w:w="0" w:type="auto"/>
            <w:tcBorders>
              <w:top w:val="nil"/>
              <w:left w:val="nil"/>
              <w:bottom w:val="single" w:sz="4" w:space="0" w:color="767171"/>
              <w:right w:val="single" w:sz="4" w:space="0" w:color="767171"/>
            </w:tcBorders>
            <w:shd w:val="clear" w:color="000000" w:fill="FFFFFF"/>
            <w:vAlign w:val="center"/>
            <w:hideMark/>
          </w:tcPr>
          <w:p w14:paraId="5D25F9E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14F154D6"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09504C85"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95%</w:t>
            </w:r>
          </w:p>
        </w:tc>
        <w:tc>
          <w:tcPr>
            <w:tcW w:w="0" w:type="auto"/>
            <w:tcBorders>
              <w:top w:val="nil"/>
              <w:left w:val="nil"/>
              <w:bottom w:val="single" w:sz="4" w:space="0" w:color="767171"/>
              <w:right w:val="single" w:sz="4" w:space="0" w:color="767171"/>
            </w:tcBorders>
            <w:vAlign w:val="center"/>
            <w:hideMark/>
          </w:tcPr>
          <w:p w14:paraId="68943553"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18CE9509"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r w:rsidR="006C0AE4" w:rsidRPr="006C0AE4" w14:paraId="22772130" w14:textId="77777777" w:rsidTr="006C0AE4">
        <w:trPr>
          <w:trHeight w:val="936"/>
        </w:trPr>
        <w:tc>
          <w:tcPr>
            <w:tcW w:w="0" w:type="auto"/>
            <w:tcBorders>
              <w:top w:val="nil"/>
              <w:left w:val="single" w:sz="4" w:space="0" w:color="767171"/>
              <w:bottom w:val="single" w:sz="4" w:space="0" w:color="767171"/>
              <w:right w:val="single" w:sz="4" w:space="0" w:color="767171"/>
            </w:tcBorders>
            <w:vAlign w:val="center"/>
            <w:hideMark/>
          </w:tcPr>
          <w:p w14:paraId="2EFAA1A7"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35</w:t>
            </w:r>
          </w:p>
        </w:tc>
        <w:tc>
          <w:tcPr>
            <w:tcW w:w="0" w:type="auto"/>
            <w:tcBorders>
              <w:top w:val="nil"/>
              <w:left w:val="nil"/>
              <w:bottom w:val="single" w:sz="4" w:space="0" w:color="767171"/>
              <w:right w:val="single" w:sz="4" w:space="0" w:color="767171"/>
            </w:tcBorders>
            <w:vAlign w:val="center"/>
            <w:hideMark/>
          </w:tcPr>
          <w:p w14:paraId="60185DBB"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DTD  - Dirección de Transformación digital</w:t>
            </w:r>
          </w:p>
        </w:tc>
        <w:tc>
          <w:tcPr>
            <w:tcW w:w="0" w:type="auto"/>
            <w:tcBorders>
              <w:top w:val="nil"/>
              <w:left w:val="nil"/>
              <w:bottom w:val="single" w:sz="4" w:space="0" w:color="767171"/>
              <w:right w:val="single" w:sz="4" w:space="0" w:color="767171"/>
            </w:tcBorders>
            <w:shd w:val="clear" w:color="000000" w:fill="FFFFFF"/>
            <w:vAlign w:val="center"/>
            <w:hideMark/>
          </w:tcPr>
          <w:p w14:paraId="21D0B583"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SI - Gestión de las instalaciones y operaciones.</w:t>
            </w:r>
          </w:p>
        </w:tc>
        <w:tc>
          <w:tcPr>
            <w:tcW w:w="0" w:type="auto"/>
            <w:tcBorders>
              <w:top w:val="nil"/>
              <w:left w:val="nil"/>
              <w:bottom w:val="single" w:sz="4" w:space="0" w:color="767171"/>
              <w:right w:val="single" w:sz="4" w:space="0" w:color="767171"/>
            </w:tcBorders>
            <w:shd w:val="clear" w:color="000000" w:fill="FFFFFF"/>
            <w:vAlign w:val="center"/>
            <w:hideMark/>
          </w:tcPr>
          <w:p w14:paraId="5ED02F9D"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Proceso</w:t>
            </w:r>
          </w:p>
        </w:tc>
        <w:tc>
          <w:tcPr>
            <w:tcW w:w="0" w:type="auto"/>
            <w:tcBorders>
              <w:top w:val="nil"/>
              <w:left w:val="nil"/>
              <w:bottom w:val="single" w:sz="4" w:space="0" w:color="767171"/>
              <w:right w:val="single" w:sz="4" w:space="0" w:color="767171"/>
            </w:tcBorders>
            <w:vAlign w:val="center"/>
            <w:hideMark/>
          </w:tcPr>
          <w:p w14:paraId="73BF8FBF" w14:textId="77777777" w:rsidR="006C0AE4" w:rsidRPr="006C0AE4" w:rsidRDefault="006C0AE4" w:rsidP="006C0AE4">
            <w:pPr>
              <w:spacing w:after="0" w:line="240" w:lineRule="auto"/>
              <w:rPr>
                <w:rFonts w:eastAsia="Times New Roman"/>
                <w:spacing w:val="0"/>
                <w:lang w:val="es-DO" w:eastAsia="es-DO"/>
              </w:rPr>
            </w:pPr>
            <w:r w:rsidRPr="006C0AE4">
              <w:rPr>
                <w:rFonts w:eastAsia="Times New Roman"/>
                <w:spacing w:val="0"/>
                <w:lang w:val="es-DO" w:eastAsia="es-DO"/>
              </w:rPr>
              <w:t>Lograr la mitigación del 98% de los eventos de seguridad detectados.</w:t>
            </w:r>
          </w:p>
        </w:tc>
        <w:tc>
          <w:tcPr>
            <w:tcW w:w="0" w:type="auto"/>
            <w:tcBorders>
              <w:top w:val="nil"/>
              <w:left w:val="nil"/>
              <w:bottom w:val="single" w:sz="4" w:space="0" w:color="767171"/>
              <w:right w:val="single" w:sz="4" w:space="0" w:color="767171"/>
            </w:tcBorders>
            <w:shd w:val="clear" w:color="000000" w:fill="FFFFFF"/>
            <w:vAlign w:val="center"/>
            <w:hideMark/>
          </w:tcPr>
          <w:p w14:paraId="16FA79F1"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Mensual</w:t>
            </w:r>
          </w:p>
        </w:tc>
        <w:tc>
          <w:tcPr>
            <w:tcW w:w="0" w:type="auto"/>
            <w:tcBorders>
              <w:top w:val="nil"/>
              <w:left w:val="nil"/>
              <w:bottom w:val="single" w:sz="4" w:space="0" w:color="767171"/>
              <w:right w:val="single" w:sz="4" w:space="0" w:color="767171"/>
            </w:tcBorders>
            <w:shd w:val="clear" w:color="000000" w:fill="FFFFFF"/>
            <w:vAlign w:val="center"/>
            <w:hideMark/>
          </w:tcPr>
          <w:p w14:paraId="2224C73A"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shd w:val="clear" w:color="000000" w:fill="FFFFFF"/>
            <w:vAlign w:val="center"/>
            <w:hideMark/>
          </w:tcPr>
          <w:p w14:paraId="77FBCA24"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98%</w:t>
            </w:r>
          </w:p>
        </w:tc>
        <w:tc>
          <w:tcPr>
            <w:tcW w:w="0" w:type="auto"/>
            <w:tcBorders>
              <w:top w:val="nil"/>
              <w:left w:val="nil"/>
              <w:bottom w:val="single" w:sz="4" w:space="0" w:color="767171"/>
              <w:right w:val="single" w:sz="4" w:space="0" w:color="767171"/>
            </w:tcBorders>
            <w:vAlign w:val="center"/>
            <w:hideMark/>
          </w:tcPr>
          <w:p w14:paraId="1186D1A0"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c>
          <w:tcPr>
            <w:tcW w:w="0" w:type="auto"/>
            <w:tcBorders>
              <w:top w:val="nil"/>
              <w:left w:val="nil"/>
              <w:bottom w:val="single" w:sz="4" w:space="0" w:color="767171"/>
              <w:right w:val="single" w:sz="4" w:space="0" w:color="767171"/>
            </w:tcBorders>
            <w:vAlign w:val="center"/>
            <w:hideMark/>
          </w:tcPr>
          <w:p w14:paraId="7C24950D" w14:textId="77777777" w:rsidR="006C0AE4" w:rsidRPr="006C0AE4" w:rsidRDefault="006C0AE4" w:rsidP="006C0AE4">
            <w:pPr>
              <w:spacing w:after="0" w:line="240" w:lineRule="auto"/>
              <w:jc w:val="center"/>
              <w:rPr>
                <w:rFonts w:eastAsia="Times New Roman"/>
                <w:spacing w:val="0"/>
                <w:lang w:val="es-DO" w:eastAsia="es-DO"/>
              </w:rPr>
            </w:pPr>
            <w:r w:rsidRPr="006C0AE4">
              <w:rPr>
                <w:rFonts w:eastAsia="Times New Roman"/>
                <w:spacing w:val="0"/>
                <w:lang w:val="es-DO" w:eastAsia="es-DO"/>
              </w:rPr>
              <w:t>100%</w:t>
            </w:r>
          </w:p>
        </w:tc>
      </w:tr>
    </w:tbl>
    <w:p w14:paraId="48435C98" w14:textId="170DE4EE" w:rsidR="00100D34" w:rsidRPr="006C0AE4" w:rsidRDefault="00100D34" w:rsidP="006C0AE4">
      <w:pPr>
        <w:spacing w:after="0" w:line="240" w:lineRule="auto"/>
        <w:rPr>
          <w:rFonts w:eastAsia="Calibri"/>
          <w:noProof/>
          <w:sz w:val="18"/>
          <w:szCs w:val="18"/>
          <w:lang w:val="es-DO"/>
        </w:rPr>
      </w:pPr>
      <w:r w:rsidRPr="006C0AE4">
        <w:rPr>
          <w:rFonts w:eastAsia="Calibri"/>
          <w:noProof/>
          <w:sz w:val="18"/>
          <w:szCs w:val="18"/>
          <w:lang w:val="es-DO"/>
        </w:rPr>
        <w:t xml:space="preserve">Nota: Los períodos que  tiene registros con guión es porque no aplica medición. </w:t>
      </w:r>
    </w:p>
    <w:p w14:paraId="78C2ACA7" w14:textId="6FF5EAF3" w:rsidR="0093208D" w:rsidRPr="006C0AE4" w:rsidRDefault="00100D34" w:rsidP="006C0AE4">
      <w:pPr>
        <w:spacing w:after="0" w:line="240" w:lineRule="auto"/>
        <w:rPr>
          <w:rFonts w:eastAsia="Calibri"/>
          <w:noProof/>
          <w:sz w:val="18"/>
          <w:szCs w:val="18"/>
          <w:lang w:val="es-DO"/>
        </w:rPr>
      </w:pPr>
      <w:r w:rsidRPr="006C0AE4">
        <w:rPr>
          <w:rFonts w:eastAsia="Calibri"/>
          <w:noProof/>
          <w:sz w:val="18"/>
          <w:szCs w:val="18"/>
          <w:lang w:val="es-DO"/>
        </w:rPr>
        <w:t xml:space="preserve">Fuente: Dirección de Planificación y Desarrollo </w:t>
      </w:r>
    </w:p>
    <w:p w14:paraId="53FFA3C6" w14:textId="77777777" w:rsidR="00A77167" w:rsidRDefault="00A77167" w:rsidP="005C133F">
      <w:pPr>
        <w:spacing w:after="0" w:line="360" w:lineRule="auto"/>
        <w:rPr>
          <w:rFonts w:eastAsia="Calibri"/>
          <w:b/>
          <w:bCs/>
          <w:noProof/>
          <w:lang w:val="es-DO"/>
        </w:rPr>
      </w:pPr>
    </w:p>
    <w:p w14:paraId="34B5DD69" w14:textId="71412F1C" w:rsidR="00A77167" w:rsidRDefault="00A77167" w:rsidP="00A77167">
      <w:pPr>
        <w:tabs>
          <w:tab w:val="left" w:pos="3235"/>
        </w:tabs>
        <w:spacing w:after="0" w:line="360" w:lineRule="auto"/>
        <w:rPr>
          <w:rFonts w:eastAsia="Calibri"/>
          <w:b/>
          <w:bCs/>
          <w:noProof/>
          <w:lang w:val="es-DO"/>
        </w:rPr>
      </w:pPr>
    </w:p>
    <w:p w14:paraId="40B70DDF" w14:textId="3FFBCA01" w:rsidR="00A77167" w:rsidRPr="00A77167" w:rsidRDefault="00A77167" w:rsidP="00A77167">
      <w:pPr>
        <w:tabs>
          <w:tab w:val="left" w:pos="3235"/>
        </w:tabs>
        <w:rPr>
          <w:rFonts w:eastAsia="Calibri"/>
          <w:lang w:val="es-DO"/>
        </w:rPr>
        <w:sectPr w:rsidR="00A77167" w:rsidRPr="00A77167" w:rsidSect="009A4FA1">
          <w:pgSz w:w="24480" w:h="15840" w:orient="landscape" w:code="3"/>
          <w:pgMar w:top="2160" w:right="1440" w:bottom="2160" w:left="1440" w:header="720" w:footer="720" w:gutter="0"/>
          <w:cols w:space="720"/>
          <w:docGrid w:linePitch="360"/>
        </w:sectPr>
      </w:pPr>
      <w:r>
        <w:rPr>
          <w:rFonts w:eastAsia="Calibri"/>
          <w:lang w:val="es-DO"/>
        </w:rPr>
        <w:tab/>
      </w:r>
    </w:p>
    <w:p w14:paraId="0F9CC09F" w14:textId="0C18E9C2" w:rsidR="00223895" w:rsidRDefault="00826BE0" w:rsidP="00C93B9B">
      <w:pPr>
        <w:pStyle w:val="SUBTITULITO"/>
        <w:numPr>
          <w:ilvl w:val="1"/>
          <w:numId w:val="141"/>
        </w:numPr>
        <w:spacing w:after="0"/>
        <w:jc w:val="left"/>
        <w:rPr>
          <w:rFonts w:eastAsia="Calibri"/>
        </w:rPr>
      </w:pPr>
      <w:r w:rsidRPr="005C133F">
        <w:rPr>
          <w:rFonts w:eastAsia="Calibri"/>
        </w:rPr>
        <w:lastRenderedPageBreak/>
        <w:t xml:space="preserve"> </w:t>
      </w:r>
      <w:bookmarkStart w:id="158" w:name="_Toc219121869"/>
      <w:r w:rsidR="00C93B9B">
        <w:rPr>
          <w:rFonts w:eastAsia="Calibri"/>
        </w:rPr>
        <w:t xml:space="preserve">Resumen del </w:t>
      </w:r>
      <w:r w:rsidRPr="005C133F">
        <w:rPr>
          <w:rFonts w:eastAsia="Calibri"/>
        </w:rPr>
        <w:t>Plan de Compras</w:t>
      </w:r>
      <w:bookmarkEnd w:id="158"/>
    </w:p>
    <w:tbl>
      <w:tblPr>
        <w:tblW w:w="8420" w:type="dxa"/>
        <w:jc w:val="center"/>
        <w:tblCellMar>
          <w:left w:w="70" w:type="dxa"/>
          <w:right w:w="70" w:type="dxa"/>
        </w:tblCellMar>
        <w:tblLook w:val="04A0" w:firstRow="1" w:lastRow="0" w:firstColumn="1" w:lastColumn="0" w:noHBand="0" w:noVBand="1"/>
      </w:tblPr>
      <w:tblGrid>
        <w:gridCol w:w="5820"/>
        <w:gridCol w:w="2600"/>
      </w:tblGrid>
      <w:tr w:rsidR="00F71AA3" w:rsidRPr="00CD02F5" w14:paraId="2B2AF80D" w14:textId="77777777" w:rsidTr="009626EF">
        <w:trPr>
          <w:trHeight w:val="348"/>
          <w:jc w:val="center"/>
        </w:trPr>
        <w:tc>
          <w:tcPr>
            <w:tcW w:w="8420" w:type="dxa"/>
            <w:gridSpan w:val="2"/>
            <w:tcBorders>
              <w:top w:val="nil"/>
              <w:left w:val="nil"/>
              <w:bottom w:val="nil"/>
              <w:right w:val="nil"/>
            </w:tcBorders>
            <w:shd w:val="clear" w:color="000000" w:fill="011C50"/>
            <w:noWrap/>
            <w:vAlign w:val="bottom"/>
            <w:hideMark/>
          </w:tcPr>
          <w:p w14:paraId="55514E05" w14:textId="77777777" w:rsidR="00F71AA3" w:rsidRPr="00F71AA3" w:rsidRDefault="00F71AA3" w:rsidP="00F71AA3">
            <w:pPr>
              <w:spacing w:after="0" w:line="240" w:lineRule="auto"/>
              <w:jc w:val="center"/>
              <w:rPr>
                <w:rFonts w:eastAsia="Times New Roman"/>
                <w:b/>
                <w:bCs/>
                <w:color w:val="FFFFFF"/>
                <w:spacing w:val="0"/>
                <w:sz w:val="28"/>
                <w:szCs w:val="28"/>
                <w:lang w:val="es-DO" w:eastAsia="es-DO"/>
              </w:rPr>
            </w:pPr>
            <w:r w:rsidRPr="00F71AA3">
              <w:rPr>
                <w:rFonts w:eastAsia="Times New Roman"/>
                <w:b/>
                <w:bCs/>
                <w:color w:val="FFFFFF"/>
                <w:spacing w:val="0"/>
                <w:sz w:val="28"/>
                <w:szCs w:val="28"/>
                <w:lang w:val="es-DO" w:eastAsia="es-DO"/>
              </w:rPr>
              <w:t>RESUMEN DEL PLAN DE COMPRAS</w:t>
            </w:r>
          </w:p>
        </w:tc>
      </w:tr>
      <w:tr w:rsidR="00F71AA3" w:rsidRPr="00CD02F5" w14:paraId="42A01389" w14:textId="77777777" w:rsidTr="009626EF">
        <w:trPr>
          <w:trHeight w:val="192"/>
          <w:jc w:val="center"/>
        </w:trPr>
        <w:tc>
          <w:tcPr>
            <w:tcW w:w="8420" w:type="dxa"/>
            <w:gridSpan w:val="2"/>
            <w:tcBorders>
              <w:top w:val="nil"/>
              <w:left w:val="nil"/>
              <w:bottom w:val="single" w:sz="4" w:space="0" w:color="767171"/>
              <w:right w:val="nil"/>
            </w:tcBorders>
            <w:noWrap/>
            <w:vAlign w:val="bottom"/>
            <w:hideMark/>
          </w:tcPr>
          <w:p w14:paraId="2A7AC338" w14:textId="77777777" w:rsidR="00F71AA3" w:rsidRPr="00F71AA3" w:rsidRDefault="00F71AA3" w:rsidP="00F71AA3">
            <w:pPr>
              <w:spacing w:after="0" w:line="240" w:lineRule="auto"/>
              <w:jc w:val="center"/>
              <w:rPr>
                <w:rFonts w:eastAsia="Times New Roman"/>
                <w:b/>
                <w:bCs/>
                <w:color w:val="FFFFFF"/>
                <w:spacing w:val="0"/>
                <w:sz w:val="28"/>
                <w:szCs w:val="28"/>
                <w:lang w:val="es-DO" w:eastAsia="es-DO"/>
              </w:rPr>
            </w:pPr>
          </w:p>
        </w:tc>
      </w:tr>
      <w:tr w:rsidR="00F71AA3" w:rsidRPr="00F71AA3" w14:paraId="142CC82F" w14:textId="77777777" w:rsidTr="009626EF">
        <w:trPr>
          <w:trHeight w:val="312"/>
          <w:jc w:val="center"/>
        </w:trPr>
        <w:tc>
          <w:tcPr>
            <w:tcW w:w="8420" w:type="dxa"/>
            <w:gridSpan w:val="2"/>
            <w:tcBorders>
              <w:top w:val="single" w:sz="4" w:space="0" w:color="767171"/>
              <w:bottom w:val="nil"/>
            </w:tcBorders>
            <w:shd w:val="clear" w:color="000000" w:fill="D9D9D9"/>
            <w:vAlign w:val="center"/>
            <w:hideMark/>
          </w:tcPr>
          <w:p w14:paraId="121A4098" w14:textId="77777777" w:rsidR="00F71AA3" w:rsidRPr="00F71AA3" w:rsidRDefault="00F71AA3" w:rsidP="00F71AA3">
            <w:pPr>
              <w:spacing w:after="0" w:line="240" w:lineRule="auto"/>
              <w:jc w:val="center"/>
              <w:rPr>
                <w:rFonts w:eastAsia="Times New Roman"/>
                <w:b/>
                <w:bCs/>
                <w:spacing w:val="0"/>
                <w:lang w:val="es-DO" w:eastAsia="es-DO"/>
              </w:rPr>
            </w:pPr>
            <w:r w:rsidRPr="00F71AA3">
              <w:rPr>
                <w:rFonts w:eastAsia="Times New Roman"/>
                <w:b/>
                <w:bCs/>
                <w:spacing w:val="0"/>
                <w:lang w:val="es-ES" w:eastAsia="es-DO"/>
              </w:rPr>
              <w:t xml:space="preserve">DATOS DE CABECERA PACC </w:t>
            </w:r>
          </w:p>
        </w:tc>
      </w:tr>
      <w:tr w:rsidR="00F71AA3" w:rsidRPr="00F71AA3" w14:paraId="37465593" w14:textId="77777777" w:rsidTr="009626EF">
        <w:trPr>
          <w:trHeight w:val="312"/>
          <w:jc w:val="center"/>
        </w:trPr>
        <w:tc>
          <w:tcPr>
            <w:tcW w:w="5820" w:type="dxa"/>
            <w:tcBorders>
              <w:top w:val="single" w:sz="4" w:space="0" w:color="767171"/>
              <w:bottom w:val="single" w:sz="4" w:space="0" w:color="767171"/>
              <w:right w:val="nil"/>
            </w:tcBorders>
            <w:vAlign w:val="center"/>
            <w:hideMark/>
          </w:tcPr>
          <w:p w14:paraId="1508790F"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Monto estimado total</w:t>
            </w:r>
          </w:p>
        </w:tc>
        <w:tc>
          <w:tcPr>
            <w:tcW w:w="2600" w:type="dxa"/>
            <w:tcBorders>
              <w:top w:val="single" w:sz="4" w:space="0" w:color="767171"/>
              <w:left w:val="nil"/>
              <w:bottom w:val="single" w:sz="4" w:space="0" w:color="767171"/>
            </w:tcBorders>
            <w:vAlign w:val="center"/>
            <w:hideMark/>
          </w:tcPr>
          <w:p w14:paraId="011900F5"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 xml:space="preserve">$466,613,955.02 </w:t>
            </w:r>
          </w:p>
        </w:tc>
      </w:tr>
      <w:tr w:rsidR="00F71AA3" w:rsidRPr="00F71AA3" w14:paraId="5EAACBA4" w14:textId="77777777" w:rsidTr="009626EF">
        <w:trPr>
          <w:trHeight w:val="324"/>
          <w:jc w:val="center"/>
        </w:trPr>
        <w:tc>
          <w:tcPr>
            <w:tcW w:w="5820" w:type="dxa"/>
            <w:tcBorders>
              <w:top w:val="nil"/>
              <w:bottom w:val="single" w:sz="4" w:space="0" w:color="767171"/>
              <w:right w:val="nil"/>
            </w:tcBorders>
            <w:vAlign w:val="center"/>
            <w:hideMark/>
          </w:tcPr>
          <w:p w14:paraId="204DC671"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Monto total contratado</w:t>
            </w:r>
          </w:p>
        </w:tc>
        <w:tc>
          <w:tcPr>
            <w:tcW w:w="2600" w:type="dxa"/>
            <w:tcBorders>
              <w:top w:val="nil"/>
              <w:left w:val="nil"/>
              <w:bottom w:val="single" w:sz="4" w:space="0" w:color="767171"/>
            </w:tcBorders>
            <w:vAlign w:val="center"/>
            <w:hideMark/>
          </w:tcPr>
          <w:p w14:paraId="62C29A6A" w14:textId="77777777" w:rsidR="00F71AA3" w:rsidRPr="00F71AA3" w:rsidRDefault="00F71AA3" w:rsidP="00F71AA3">
            <w:pPr>
              <w:spacing w:after="0" w:line="240" w:lineRule="auto"/>
              <w:jc w:val="center"/>
              <w:rPr>
                <w:rFonts w:eastAsia="Times New Roman"/>
                <w:b/>
                <w:bCs/>
                <w:spacing w:val="0"/>
                <w:lang w:val="es-DO" w:eastAsia="es-DO"/>
              </w:rPr>
            </w:pPr>
            <w:r w:rsidRPr="00F71AA3">
              <w:rPr>
                <w:rFonts w:eastAsia="Times New Roman"/>
                <w:b/>
                <w:bCs/>
                <w:spacing w:val="0"/>
                <w:lang w:val="es-ES" w:eastAsia="es-DO"/>
              </w:rPr>
              <w:t xml:space="preserve">$133,722,835.18 </w:t>
            </w:r>
          </w:p>
        </w:tc>
      </w:tr>
      <w:tr w:rsidR="00F71AA3" w:rsidRPr="00F71AA3" w14:paraId="70A1AA9E" w14:textId="77777777" w:rsidTr="009626EF">
        <w:trPr>
          <w:trHeight w:val="312"/>
          <w:jc w:val="center"/>
        </w:trPr>
        <w:tc>
          <w:tcPr>
            <w:tcW w:w="5820" w:type="dxa"/>
            <w:tcBorders>
              <w:top w:val="nil"/>
              <w:bottom w:val="single" w:sz="4" w:space="0" w:color="767171"/>
              <w:right w:val="nil"/>
            </w:tcBorders>
            <w:vAlign w:val="center"/>
            <w:hideMark/>
          </w:tcPr>
          <w:p w14:paraId="59534B70"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Cantidad de procesos registrados</w:t>
            </w:r>
          </w:p>
        </w:tc>
        <w:tc>
          <w:tcPr>
            <w:tcW w:w="2600" w:type="dxa"/>
            <w:tcBorders>
              <w:top w:val="nil"/>
              <w:left w:val="nil"/>
              <w:bottom w:val="single" w:sz="4" w:space="0" w:color="767171"/>
            </w:tcBorders>
            <w:vAlign w:val="center"/>
            <w:hideMark/>
          </w:tcPr>
          <w:p w14:paraId="6B81E100"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172</w:t>
            </w:r>
          </w:p>
        </w:tc>
      </w:tr>
      <w:tr w:rsidR="00F71AA3" w:rsidRPr="00F71AA3" w14:paraId="035E2518" w14:textId="77777777" w:rsidTr="009626EF">
        <w:trPr>
          <w:trHeight w:val="312"/>
          <w:jc w:val="center"/>
        </w:trPr>
        <w:tc>
          <w:tcPr>
            <w:tcW w:w="5820" w:type="dxa"/>
            <w:tcBorders>
              <w:top w:val="nil"/>
              <w:bottom w:val="single" w:sz="4" w:space="0" w:color="767171"/>
              <w:right w:val="nil"/>
            </w:tcBorders>
            <w:vAlign w:val="center"/>
            <w:hideMark/>
          </w:tcPr>
          <w:p w14:paraId="051B65B7"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Capítulo</w:t>
            </w:r>
          </w:p>
        </w:tc>
        <w:tc>
          <w:tcPr>
            <w:tcW w:w="2600" w:type="dxa"/>
            <w:tcBorders>
              <w:top w:val="nil"/>
              <w:left w:val="nil"/>
              <w:bottom w:val="single" w:sz="4" w:space="0" w:color="767171"/>
            </w:tcBorders>
            <w:vAlign w:val="center"/>
            <w:hideMark/>
          </w:tcPr>
          <w:p w14:paraId="0719C9C4"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5206</w:t>
            </w:r>
          </w:p>
        </w:tc>
      </w:tr>
      <w:tr w:rsidR="00F71AA3" w:rsidRPr="00F71AA3" w14:paraId="6449B64B" w14:textId="77777777" w:rsidTr="009626EF">
        <w:trPr>
          <w:trHeight w:val="312"/>
          <w:jc w:val="center"/>
        </w:trPr>
        <w:tc>
          <w:tcPr>
            <w:tcW w:w="5820" w:type="dxa"/>
            <w:tcBorders>
              <w:top w:val="nil"/>
              <w:bottom w:val="single" w:sz="4" w:space="0" w:color="767171"/>
              <w:right w:val="nil"/>
            </w:tcBorders>
            <w:vAlign w:val="center"/>
            <w:hideMark/>
          </w:tcPr>
          <w:p w14:paraId="4DC1C8BC" w14:textId="1BA95D1B"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Subcapítulo</w:t>
            </w:r>
          </w:p>
        </w:tc>
        <w:tc>
          <w:tcPr>
            <w:tcW w:w="2600" w:type="dxa"/>
            <w:tcBorders>
              <w:top w:val="nil"/>
              <w:left w:val="nil"/>
              <w:bottom w:val="single" w:sz="4" w:space="0" w:color="767171"/>
            </w:tcBorders>
            <w:vAlign w:val="center"/>
            <w:hideMark/>
          </w:tcPr>
          <w:p w14:paraId="1E3EA4EC"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1</w:t>
            </w:r>
          </w:p>
        </w:tc>
      </w:tr>
      <w:tr w:rsidR="00F71AA3" w:rsidRPr="00F71AA3" w14:paraId="782913F5" w14:textId="77777777" w:rsidTr="009626EF">
        <w:trPr>
          <w:trHeight w:val="312"/>
          <w:jc w:val="center"/>
        </w:trPr>
        <w:tc>
          <w:tcPr>
            <w:tcW w:w="5820" w:type="dxa"/>
            <w:tcBorders>
              <w:top w:val="nil"/>
              <w:bottom w:val="single" w:sz="4" w:space="0" w:color="767171"/>
              <w:right w:val="nil"/>
            </w:tcBorders>
            <w:vAlign w:val="center"/>
            <w:hideMark/>
          </w:tcPr>
          <w:p w14:paraId="7AE33CCD"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Unidad ejecutora</w:t>
            </w:r>
          </w:p>
        </w:tc>
        <w:tc>
          <w:tcPr>
            <w:tcW w:w="2600" w:type="dxa"/>
            <w:tcBorders>
              <w:top w:val="nil"/>
              <w:left w:val="nil"/>
              <w:bottom w:val="single" w:sz="4" w:space="0" w:color="767171"/>
            </w:tcBorders>
            <w:vAlign w:val="center"/>
            <w:hideMark/>
          </w:tcPr>
          <w:p w14:paraId="7AA07157"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1</w:t>
            </w:r>
          </w:p>
        </w:tc>
      </w:tr>
      <w:tr w:rsidR="00F71AA3" w:rsidRPr="00CD02F5" w14:paraId="3A5EC7B3" w14:textId="77777777" w:rsidTr="009626EF">
        <w:trPr>
          <w:trHeight w:val="648"/>
          <w:jc w:val="center"/>
        </w:trPr>
        <w:tc>
          <w:tcPr>
            <w:tcW w:w="5820" w:type="dxa"/>
            <w:tcBorders>
              <w:top w:val="nil"/>
              <w:bottom w:val="single" w:sz="4" w:space="0" w:color="767171"/>
              <w:right w:val="nil"/>
            </w:tcBorders>
            <w:vAlign w:val="center"/>
            <w:hideMark/>
          </w:tcPr>
          <w:p w14:paraId="5AEF99DC"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Unidad de compra</w:t>
            </w:r>
          </w:p>
        </w:tc>
        <w:tc>
          <w:tcPr>
            <w:tcW w:w="2600" w:type="dxa"/>
            <w:tcBorders>
              <w:top w:val="nil"/>
              <w:left w:val="nil"/>
              <w:bottom w:val="single" w:sz="4" w:space="0" w:color="767171"/>
            </w:tcBorders>
            <w:vAlign w:val="center"/>
            <w:hideMark/>
          </w:tcPr>
          <w:p w14:paraId="34EE7081"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Superintendencia de Salud y Riesgos Laborales</w:t>
            </w:r>
          </w:p>
        </w:tc>
      </w:tr>
      <w:tr w:rsidR="00F71AA3" w:rsidRPr="00F71AA3" w14:paraId="21DC06DE" w14:textId="77777777" w:rsidTr="009626EF">
        <w:trPr>
          <w:trHeight w:val="312"/>
          <w:jc w:val="center"/>
        </w:trPr>
        <w:tc>
          <w:tcPr>
            <w:tcW w:w="5820" w:type="dxa"/>
            <w:tcBorders>
              <w:top w:val="nil"/>
              <w:bottom w:val="single" w:sz="4" w:space="0" w:color="767171"/>
              <w:right w:val="nil"/>
            </w:tcBorders>
            <w:vAlign w:val="center"/>
            <w:hideMark/>
          </w:tcPr>
          <w:p w14:paraId="611FF8C4"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Año fiscal</w:t>
            </w:r>
          </w:p>
        </w:tc>
        <w:tc>
          <w:tcPr>
            <w:tcW w:w="2600" w:type="dxa"/>
            <w:tcBorders>
              <w:top w:val="nil"/>
              <w:left w:val="nil"/>
              <w:bottom w:val="single" w:sz="4" w:space="0" w:color="767171"/>
            </w:tcBorders>
            <w:vAlign w:val="center"/>
            <w:hideMark/>
          </w:tcPr>
          <w:p w14:paraId="22974FC5"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2025</w:t>
            </w:r>
          </w:p>
        </w:tc>
      </w:tr>
      <w:tr w:rsidR="00F71AA3" w:rsidRPr="00F71AA3" w14:paraId="7DAA9867" w14:textId="77777777" w:rsidTr="009626EF">
        <w:trPr>
          <w:trHeight w:val="312"/>
          <w:jc w:val="center"/>
        </w:trPr>
        <w:tc>
          <w:tcPr>
            <w:tcW w:w="5820" w:type="dxa"/>
            <w:tcBorders>
              <w:top w:val="nil"/>
              <w:bottom w:val="single" w:sz="4" w:space="0" w:color="767171"/>
              <w:right w:val="nil"/>
            </w:tcBorders>
            <w:vAlign w:val="center"/>
            <w:hideMark/>
          </w:tcPr>
          <w:p w14:paraId="1100455F" w14:textId="77777777" w:rsidR="00F71AA3" w:rsidRPr="00F71AA3" w:rsidRDefault="00F71AA3" w:rsidP="00F71AA3">
            <w:pPr>
              <w:spacing w:after="0" w:line="240" w:lineRule="auto"/>
              <w:jc w:val="both"/>
              <w:rPr>
                <w:rFonts w:eastAsia="Times New Roman"/>
                <w:spacing w:val="0"/>
                <w:lang w:val="es-DO" w:eastAsia="es-DO"/>
              </w:rPr>
            </w:pPr>
            <w:r w:rsidRPr="00F71AA3">
              <w:rPr>
                <w:rFonts w:eastAsia="Times New Roman"/>
                <w:spacing w:val="0"/>
                <w:lang w:val="es-ES" w:eastAsia="es-DO"/>
              </w:rPr>
              <w:t>Fecha aprobación</w:t>
            </w:r>
          </w:p>
        </w:tc>
        <w:tc>
          <w:tcPr>
            <w:tcW w:w="2600" w:type="dxa"/>
            <w:tcBorders>
              <w:top w:val="nil"/>
              <w:left w:val="nil"/>
              <w:bottom w:val="single" w:sz="4" w:space="0" w:color="767171"/>
            </w:tcBorders>
            <w:vAlign w:val="center"/>
            <w:hideMark/>
          </w:tcPr>
          <w:p w14:paraId="5272155E" w14:textId="77777777" w:rsidR="00F71AA3" w:rsidRPr="00F71AA3" w:rsidRDefault="00F71AA3" w:rsidP="00F71AA3">
            <w:pPr>
              <w:spacing w:after="0" w:line="240" w:lineRule="auto"/>
              <w:jc w:val="center"/>
              <w:rPr>
                <w:rFonts w:eastAsia="Times New Roman"/>
                <w:spacing w:val="0"/>
                <w:lang w:val="es-DO" w:eastAsia="es-DO"/>
              </w:rPr>
            </w:pPr>
            <w:r w:rsidRPr="00F71AA3">
              <w:rPr>
                <w:rFonts w:eastAsia="Times New Roman"/>
                <w:spacing w:val="0"/>
                <w:lang w:val="es-ES" w:eastAsia="es-DO"/>
              </w:rPr>
              <w:t xml:space="preserve">  22/11/2024</w:t>
            </w:r>
          </w:p>
        </w:tc>
      </w:tr>
      <w:tr w:rsidR="00F71AA3" w:rsidRPr="00CD02F5" w14:paraId="06710ED7" w14:textId="77777777" w:rsidTr="009626EF">
        <w:trPr>
          <w:trHeight w:val="312"/>
          <w:jc w:val="center"/>
        </w:trPr>
        <w:tc>
          <w:tcPr>
            <w:tcW w:w="8420" w:type="dxa"/>
            <w:gridSpan w:val="2"/>
            <w:tcBorders>
              <w:top w:val="nil"/>
              <w:bottom w:val="nil"/>
            </w:tcBorders>
            <w:shd w:val="clear" w:color="000000" w:fill="D9D9D9"/>
            <w:vAlign w:val="center"/>
            <w:hideMark/>
          </w:tcPr>
          <w:p w14:paraId="3F499F4C" w14:textId="77777777" w:rsidR="00F71AA3" w:rsidRPr="00F71AA3" w:rsidRDefault="00F71AA3" w:rsidP="007401B8">
            <w:pPr>
              <w:spacing w:after="0" w:line="240" w:lineRule="auto"/>
              <w:jc w:val="center"/>
              <w:rPr>
                <w:rFonts w:eastAsia="Times New Roman"/>
                <w:b/>
                <w:bCs/>
                <w:spacing w:val="0"/>
                <w:lang w:val="es-DO" w:eastAsia="es-DO"/>
              </w:rPr>
            </w:pPr>
            <w:r w:rsidRPr="00F71AA3">
              <w:rPr>
                <w:rFonts w:eastAsia="Times New Roman"/>
                <w:b/>
                <w:bCs/>
                <w:spacing w:val="0"/>
                <w:lang w:val="es-ES" w:eastAsia="es-DO"/>
              </w:rPr>
              <w:t xml:space="preserve">MONTOS ESTIMADOS SEGÚN OBJETO DE CONTRATACIÓN </w:t>
            </w:r>
          </w:p>
        </w:tc>
      </w:tr>
      <w:tr w:rsidR="00F71AA3" w:rsidRPr="00F71AA3" w14:paraId="7AC13CC6" w14:textId="77777777" w:rsidTr="009626EF">
        <w:trPr>
          <w:trHeight w:val="312"/>
          <w:jc w:val="center"/>
        </w:trPr>
        <w:tc>
          <w:tcPr>
            <w:tcW w:w="5820" w:type="dxa"/>
            <w:tcBorders>
              <w:top w:val="single" w:sz="4" w:space="0" w:color="767171"/>
              <w:bottom w:val="single" w:sz="4" w:space="0" w:color="767171"/>
              <w:right w:val="nil"/>
            </w:tcBorders>
            <w:vAlign w:val="center"/>
            <w:hideMark/>
          </w:tcPr>
          <w:p w14:paraId="3A52F49F"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Bienes </w:t>
            </w:r>
          </w:p>
        </w:tc>
        <w:tc>
          <w:tcPr>
            <w:tcW w:w="2600" w:type="dxa"/>
            <w:tcBorders>
              <w:top w:val="single" w:sz="4" w:space="0" w:color="767171"/>
              <w:left w:val="nil"/>
              <w:bottom w:val="single" w:sz="4" w:space="0" w:color="767171"/>
            </w:tcBorders>
            <w:vAlign w:val="center"/>
            <w:hideMark/>
          </w:tcPr>
          <w:p w14:paraId="1B7F392D"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$49,294,862.61 </w:t>
            </w:r>
          </w:p>
        </w:tc>
      </w:tr>
      <w:tr w:rsidR="00F71AA3" w:rsidRPr="00F71AA3" w14:paraId="4C8B8101" w14:textId="77777777" w:rsidTr="009626EF">
        <w:trPr>
          <w:trHeight w:val="312"/>
          <w:jc w:val="center"/>
        </w:trPr>
        <w:tc>
          <w:tcPr>
            <w:tcW w:w="5820" w:type="dxa"/>
            <w:tcBorders>
              <w:top w:val="nil"/>
              <w:bottom w:val="single" w:sz="4" w:space="0" w:color="767171"/>
              <w:right w:val="nil"/>
            </w:tcBorders>
            <w:vAlign w:val="center"/>
            <w:hideMark/>
          </w:tcPr>
          <w:p w14:paraId="6245786E"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Obras </w:t>
            </w:r>
          </w:p>
        </w:tc>
        <w:tc>
          <w:tcPr>
            <w:tcW w:w="2600" w:type="dxa"/>
            <w:tcBorders>
              <w:top w:val="nil"/>
              <w:left w:val="nil"/>
              <w:bottom w:val="single" w:sz="4" w:space="0" w:color="767171"/>
            </w:tcBorders>
            <w:vAlign w:val="center"/>
            <w:hideMark/>
          </w:tcPr>
          <w:p w14:paraId="1E2A0195"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N/A</w:t>
            </w:r>
          </w:p>
        </w:tc>
      </w:tr>
      <w:tr w:rsidR="00F71AA3" w:rsidRPr="00F71AA3" w14:paraId="4D3B077A" w14:textId="77777777" w:rsidTr="009626EF">
        <w:trPr>
          <w:trHeight w:val="312"/>
          <w:jc w:val="center"/>
        </w:trPr>
        <w:tc>
          <w:tcPr>
            <w:tcW w:w="5820" w:type="dxa"/>
            <w:tcBorders>
              <w:top w:val="nil"/>
              <w:bottom w:val="single" w:sz="4" w:space="0" w:color="767171"/>
              <w:right w:val="nil"/>
            </w:tcBorders>
            <w:vAlign w:val="center"/>
            <w:hideMark/>
          </w:tcPr>
          <w:p w14:paraId="1EE0CEF8"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Servicios </w:t>
            </w:r>
          </w:p>
        </w:tc>
        <w:tc>
          <w:tcPr>
            <w:tcW w:w="2600" w:type="dxa"/>
            <w:tcBorders>
              <w:top w:val="nil"/>
              <w:left w:val="nil"/>
              <w:bottom w:val="single" w:sz="4" w:space="0" w:color="767171"/>
            </w:tcBorders>
            <w:vAlign w:val="center"/>
            <w:hideMark/>
          </w:tcPr>
          <w:p w14:paraId="3170BE23"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$84,427,972.57 </w:t>
            </w:r>
          </w:p>
        </w:tc>
      </w:tr>
      <w:tr w:rsidR="00F71AA3" w:rsidRPr="00F71AA3" w14:paraId="676D45FF" w14:textId="77777777" w:rsidTr="009626EF">
        <w:trPr>
          <w:trHeight w:val="324"/>
          <w:jc w:val="center"/>
        </w:trPr>
        <w:tc>
          <w:tcPr>
            <w:tcW w:w="5820" w:type="dxa"/>
            <w:tcBorders>
              <w:top w:val="nil"/>
              <w:bottom w:val="single" w:sz="4" w:space="0" w:color="767171"/>
              <w:right w:val="nil"/>
            </w:tcBorders>
            <w:vAlign w:val="center"/>
            <w:hideMark/>
          </w:tcPr>
          <w:p w14:paraId="6C9AA716"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Servicios: consultoría </w:t>
            </w:r>
          </w:p>
        </w:tc>
        <w:tc>
          <w:tcPr>
            <w:tcW w:w="2600" w:type="dxa"/>
            <w:tcBorders>
              <w:top w:val="nil"/>
              <w:left w:val="nil"/>
              <w:bottom w:val="single" w:sz="4" w:space="0" w:color="767171"/>
            </w:tcBorders>
            <w:vAlign w:val="center"/>
            <w:hideMark/>
          </w:tcPr>
          <w:p w14:paraId="0408FA0C"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N/A</w:t>
            </w:r>
          </w:p>
        </w:tc>
      </w:tr>
      <w:tr w:rsidR="00F71AA3" w:rsidRPr="00F71AA3" w14:paraId="358784BE" w14:textId="77777777" w:rsidTr="009626EF">
        <w:trPr>
          <w:trHeight w:val="360"/>
          <w:jc w:val="center"/>
        </w:trPr>
        <w:tc>
          <w:tcPr>
            <w:tcW w:w="5820" w:type="dxa"/>
            <w:tcBorders>
              <w:top w:val="nil"/>
              <w:bottom w:val="single" w:sz="4" w:space="0" w:color="767171"/>
              <w:right w:val="nil"/>
            </w:tcBorders>
            <w:vAlign w:val="center"/>
            <w:hideMark/>
          </w:tcPr>
          <w:p w14:paraId="662324D8"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Servicios: consultoría basada en la calidad de los servicios </w:t>
            </w:r>
          </w:p>
        </w:tc>
        <w:tc>
          <w:tcPr>
            <w:tcW w:w="2600" w:type="dxa"/>
            <w:tcBorders>
              <w:top w:val="nil"/>
              <w:left w:val="nil"/>
              <w:bottom w:val="single" w:sz="4" w:space="0" w:color="767171"/>
            </w:tcBorders>
            <w:vAlign w:val="center"/>
            <w:hideMark/>
          </w:tcPr>
          <w:p w14:paraId="6D49712C"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$2,852,000.00 </w:t>
            </w:r>
          </w:p>
        </w:tc>
      </w:tr>
      <w:tr w:rsidR="00F71AA3" w:rsidRPr="00CD02F5" w14:paraId="2C0654A6" w14:textId="77777777" w:rsidTr="009626EF">
        <w:trPr>
          <w:trHeight w:val="312"/>
          <w:jc w:val="center"/>
        </w:trPr>
        <w:tc>
          <w:tcPr>
            <w:tcW w:w="8420" w:type="dxa"/>
            <w:gridSpan w:val="2"/>
            <w:tcBorders>
              <w:top w:val="nil"/>
              <w:bottom w:val="nil"/>
            </w:tcBorders>
            <w:shd w:val="clear" w:color="000000" w:fill="D9D9D9"/>
            <w:vAlign w:val="center"/>
            <w:hideMark/>
          </w:tcPr>
          <w:p w14:paraId="2AFC4C42" w14:textId="77777777" w:rsidR="00F71AA3" w:rsidRPr="00F71AA3" w:rsidRDefault="00F71AA3" w:rsidP="007401B8">
            <w:pPr>
              <w:spacing w:after="0" w:line="240" w:lineRule="auto"/>
              <w:jc w:val="center"/>
              <w:rPr>
                <w:rFonts w:eastAsia="Times New Roman"/>
                <w:b/>
                <w:bCs/>
                <w:spacing w:val="0"/>
                <w:lang w:val="es-DO" w:eastAsia="es-DO"/>
              </w:rPr>
            </w:pPr>
            <w:r w:rsidRPr="00F71AA3">
              <w:rPr>
                <w:rFonts w:eastAsia="Times New Roman"/>
                <w:b/>
                <w:bCs/>
                <w:spacing w:val="0"/>
                <w:lang w:val="es-ES" w:eastAsia="es-DO"/>
              </w:rPr>
              <w:t xml:space="preserve">MONTOS ESTIMADOS SEGÚN CLASIFICACIÓN MIPYMES </w:t>
            </w:r>
          </w:p>
        </w:tc>
      </w:tr>
      <w:tr w:rsidR="00F71AA3" w:rsidRPr="00F71AA3" w14:paraId="1829A6B2" w14:textId="77777777" w:rsidTr="009626EF">
        <w:trPr>
          <w:trHeight w:val="312"/>
          <w:jc w:val="center"/>
        </w:trPr>
        <w:tc>
          <w:tcPr>
            <w:tcW w:w="5820" w:type="dxa"/>
            <w:tcBorders>
              <w:top w:val="single" w:sz="4" w:space="0" w:color="767171"/>
              <w:bottom w:val="single" w:sz="4" w:space="0" w:color="767171"/>
              <w:right w:val="nil"/>
            </w:tcBorders>
            <w:noWrap/>
            <w:vAlign w:val="center"/>
            <w:hideMark/>
          </w:tcPr>
          <w:p w14:paraId="09EA2186"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MiPymes      </w:t>
            </w:r>
          </w:p>
        </w:tc>
        <w:tc>
          <w:tcPr>
            <w:tcW w:w="2600" w:type="dxa"/>
            <w:tcBorders>
              <w:top w:val="single" w:sz="4" w:space="0" w:color="767171"/>
              <w:left w:val="nil"/>
              <w:bottom w:val="single" w:sz="4" w:space="0" w:color="767171"/>
            </w:tcBorders>
            <w:noWrap/>
            <w:vAlign w:val="center"/>
            <w:hideMark/>
          </w:tcPr>
          <w:p w14:paraId="7614D483"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$41,063,424.79 </w:t>
            </w:r>
          </w:p>
        </w:tc>
      </w:tr>
      <w:tr w:rsidR="00F71AA3" w:rsidRPr="00F71AA3" w14:paraId="18AF3CE4" w14:textId="77777777" w:rsidTr="009626EF">
        <w:trPr>
          <w:trHeight w:val="312"/>
          <w:jc w:val="center"/>
        </w:trPr>
        <w:tc>
          <w:tcPr>
            <w:tcW w:w="5820" w:type="dxa"/>
            <w:tcBorders>
              <w:top w:val="nil"/>
              <w:bottom w:val="single" w:sz="4" w:space="0" w:color="767171"/>
              <w:right w:val="nil"/>
            </w:tcBorders>
            <w:noWrap/>
            <w:vAlign w:val="center"/>
            <w:hideMark/>
          </w:tcPr>
          <w:p w14:paraId="10ECACF2"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MiPymes mujer </w:t>
            </w:r>
          </w:p>
        </w:tc>
        <w:tc>
          <w:tcPr>
            <w:tcW w:w="2600" w:type="dxa"/>
            <w:tcBorders>
              <w:top w:val="nil"/>
              <w:left w:val="nil"/>
              <w:bottom w:val="single" w:sz="4" w:space="0" w:color="767171"/>
            </w:tcBorders>
            <w:noWrap/>
            <w:vAlign w:val="center"/>
            <w:hideMark/>
          </w:tcPr>
          <w:p w14:paraId="62B36ED1"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DO" w:eastAsia="es-DO"/>
              </w:rPr>
              <w:t xml:space="preserve">$10,316,903.53 </w:t>
            </w:r>
          </w:p>
        </w:tc>
      </w:tr>
      <w:tr w:rsidR="00F71AA3" w:rsidRPr="00F71AA3" w14:paraId="526F6DD4" w14:textId="77777777" w:rsidTr="009626EF">
        <w:trPr>
          <w:trHeight w:val="312"/>
          <w:jc w:val="center"/>
        </w:trPr>
        <w:tc>
          <w:tcPr>
            <w:tcW w:w="5820" w:type="dxa"/>
            <w:tcBorders>
              <w:top w:val="nil"/>
              <w:bottom w:val="single" w:sz="4" w:space="0" w:color="767171"/>
              <w:right w:val="nil"/>
            </w:tcBorders>
            <w:noWrap/>
            <w:vAlign w:val="center"/>
            <w:hideMark/>
          </w:tcPr>
          <w:p w14:paraId="15BFBF10"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No MiPymes</w:t>
            </w:r>
          </w:p>
        </w:tc>
        <w:tc>
          <w:tcPr>
            <w:tcW w:w="2600" w:type="dxa"/>
            <w:tcBorders>
              <w:top w:val="nil"/>
              <w:left w:val="nil"/>
              <w:bottom w:val="single" w:sz="4" w:space="0" w:color="767171"/>
            </w:tcBorders>
            <w:noWrap/>
            <w:vAlign w:val="center"/>
            <w:hideMark/>
          </w:tcPr>
          <w:p w14:paraId="7811802E"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DO" w:eastAsia="es-DO"/>
              </w:rPr>
              <w:t xml:space="preserve">$82,342,506.86 </w:t>
            </w:r>
          </w:p>
        </w:tc>
      </w:tr>
      <w:tr w:rsidR="00F71AA3" w:rsidRPr="00CD02F5" w14:paraId="6C228354" w14:textId="77777777" w:rsidTr="009626EF">
        <w:trPr>
          <w:trHeight w:val="312"/>
          <w:jc w:val="center"/>
        </w:trPr>
        <w:tc>
          <w:tcPr>
            <w:tcW w:w="8420" w:type="dxa"/>
            <w:gridSpan w:val="2"/>
            <w:tcBorders>
              <w:top w:val="nil"/>
              <w:bottom w:val="nil"/>
            </w:tcBorders>
            <w:shd w:val="clear" w:color="000000" w:fill="D9D9D9"/>
            <w:vAlign w:val="center"/>
            <w:hideMark/>
          </w:tcPr>
          <w:p w14:paraId="17D54771" w14:textId="77777777" w:rsidR="00F71AA3" w:rsidRPr="00F71AA3" w:rsidRDefault="00F71AA3" w:rsidP="007401B8">
            <w:pPr>
              <w:spacing w:after="0" w:line="240" w:lineRule="auto"/>
              <w:jc w:val="center"/>
              <w:rPr>
                <w:rFonts w:eastAsia="Times New Roman"/>
                <w:b/>
                <w:bCs/>
                <w:spacing w:val="0"/>
                <w:lang w:val="es-DO" w:eastAsia="es-DO"/>
              </w:rPr>
            </w:pPr>
            <w:r w:rsidRPr="00F71AA3">
              <w:rPr>
                <w:rFonts w:eastAsia="Times New Roman"/>
                <w:b/>
                <w:bCs/>
                <w:spacing w:val="0"/>
                <w:lang w:val="es-ES" w:eastAsia="es-DO"/>
              </w:rPr>
              <w:t xml:space="preserve">MONTOS ESTIMADOS SEGÚN TIPO DE PROCEDIMIENTO </w:t>
            </w:r>
          </w:p>
        </w:tc>
      </w:tr>
      <w:tr w:rsidR="00F71AA3" w:rsidRPr="00F71AA3" w14:paraId="3271E21E" w14:textId="77777777" w:rsidTr="009626EF">
        <w:trPr>
          <w:trHeight w:val="312"/>
          <w:jc w:val="center"/>
        </w:trPr>
        <w:tc>
          <w:tcPr>
            <w:tcW w:w="5820" w:type="dxa"/>
            <w:tcBorders>
              <w:top w:val="single" w:sz="4" w:space="0" w:color="767171"/>
              <w:bottom w:val="single" w:sz="4" w:space="0" w:color="767171"/>
              <w:right w:val="nil"/>
            </w:tcBorders>
            <w:vAlign w:val="center"/>
            <w:hideMark/>
          </w:tcPr>
          <w:p w14:paraId="03152016"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Compras por debajo del umbral </w:t>
            </w:r>
          </w:p>
        </w:tc>
        <w:tc>
          <w:tcPr>
            <w:tcW w:w="2600" w:type="dxa"/>
            <w:tcBorders>
              <w:top w:val="single" w:sz="4" w:space="0" w:color="767171"/>
              <w:left w:val="nil"/>
              <w:bottom w:val="single" w:sz="4" w:space="0" w:color="767171"/>
            </w:tcBorders>
            <w:vAlign w:val="center"/>
            <w:hideMark/>
          </w:tcPr>
          <w:p w14:paraId="5C7C9520"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$18,162,898.77 </w:t>
            </w:r>
          </w:p>
        </w:tc>
      </w:tr>
      <w:tr w:rsidR="00F71AA3" w:rsidRPr="00F71AA3" w14:paraId="5CF8AB2D" w14:textId="77777777" w:rsidTr="009626EF">
        <w:trPr>
          <w:trHeight w:val="312"/>
          <w:jc w:val="center"/>
        </w:trPr>
        <w:tc>
          <w:tcPr>
            <w:tcW w:w="5820" w:type="dxa"/>
            <w:tcBorders>
              <w:top w:val="nil"/>
              <w:bottom w:val="single" w:sz="4" w:space="0" w:color="767171"/>
              <w:right w:val="nil"/>
            </w:tcBorders>
            <w:vAlign w:val="center"/>
            <w:hideMark/>
          </w:tcPr>
          <w:p w14:paraId="55FC5C2F"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Compra menor </w:t>
            </w:r>
          </w:p>
        </w:tc>
        <w:tc>
          <w:tcPr>
            <w:tcW w:w="2600" w:type="dxa"/>
            <w:tcBorders>
              <w:top w:val="nil"/>
              <w:left w:val="nil"/>
              <w:bottom w:val="single" w:sz="4" w:space="0" w:color="767171"/>
            </w:tcBorders>
            <w:vAlign w:val="center"/>
            <w:hideMark/>
          </w:tcPr>
          <w:p w14:paraId="4D695542"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$52,061,572.16 </w:t>
            </w:r>
          </w:p>
        </w:tc>
      </w:tr>
      <w:tr w:rsidR="00F71AA3" w:rsidRPr="00F71AA3" w14:paraId="358E4F24" w14:textId="77777777" w:rsidTr="009626EF">
        <w:trPr>
          <w:trHeight w:val="312"/>
          <w:jc w:val="center"/>
        </w:trPr>
        <w:tc>
          <w:tcPr>
            <w:tcW w:w="5820" w:type="dxa"/>
            <w:tcBorders>
              <w:top w:val="nil"/>
              <w:bottom w:val="single" w:sz="4" w:space="0" w:color="767171"/>
              <w:right w:val="nil"/>
            </w:tcBorders>
            <w:vAlign w:val="center"/>
            <w:hideMark/>
          </w:tcPr>
          <w:p w14:paraId="4ACBD442"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Comparación de precios </w:t>
            </w:r>
          </w:p>
        </w:tc>
        <w:tc>
          <w:tcPr>
            <w:tcW w:w="2600" w:type="dxa"/>
            <w:tcBorders>
              <w:top w:val="nil"/>
              <w:left w:val="nil"/>
              <w:bottom w:val="single" w:sz="4" w:space="0" w:color="767171"/>
            </w:tcBorders>
            <w:vAlign w:val="center"/>
            <w:hideMark/>
          </w:tcPr>
          <w:p w14:paraId="089ACBEF"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$4,236,458.00 </w:t>
            </w:r>
          </w:p>
        </w:tc>
      </w:tr>
      <w:tr w:rsidR="00F71AA3" w:rsidRPr="00F71AA3" w14:paraId="24193425" w14:textId="77777777" w:rsidTr="009626EF">
        <w:trPr>
          <w:trHeight w:val="312"/>
          <w:jc w:val="center"/>
        </w:trPr>
        <w:tc>
          <w:tcPr>
            <w:tcW w:w="5820" w:type="dxa"/>
            <w:tcBorders>
              <w:top w:val="nil"/>
              <w:bottom w:val="single" w:sz="4" w:space="0" w:color="767171"/>
              <w:right w:val="nil"/>
            </w:tcBorders>
            <w:vAlign w:val="center"/>
            <w:hideMark/>
          </w:tcPr>
          <w:p w14:paraId="2F7EDE36"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Subasta Inversa </w:t>
            </w:r>
          </w:p>
        </w:tc>
        <w:tc>
          <w:tcPr>
            <w:tcW w:w="2600" w:type="dxa"/>
            <w:tcBorders>
              <w:top w:val="nil"/>
              <w:left w:val="nil"/>
              <w:bottom w:val="single" w:sz="4" w:space="0" w:color="767171"/>
            </w:tcBorders>
            <w:vAlign w:val="center"/>
            <w:hideMark/>
          </w:tcPr>
          <w:p w14:paraId="311F980F"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$17,568,466.00 </w:t>
            </w:r>
          </w:p>
        </w:tc>
      </w:tr>
      <w:tr w:rsidR="00F71AA3" w:rsidRPr="00F71AA3" w14:paraId="4735C32B" w14:textId="77777777" w:rsidTr="009626EF">
        <w:trPr>
          <w:trHeight w:val="312"/>
          <w:jc w:val="center"/>
        </w:trPr>
        <w:tc>
          <w:tcPr>
            <w:tcW w:w="5820" w:type="dxa"/>
            <w:tcBorders>
              <w:top w:val="nil"/>
              <w:bottom w:val="single" w:sz="4" w:space="0" w:color="767171"/>
              <w:right w:val="nil"/>
            </w:tcBorders>
            <w:vAlign w:val="center"/>
            <w:hideMark/>
          </w:tcPr>
          <w:p w14:paraId="75F227DC"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Licitación pública </w:t>
            </w:r>
          </w:p>
        </w:tc>
        <w:tc>
          <w:tcPr>
            <w:tcW w:w="2600" w:type="dxa"/>
            <w:tcBorders>
              <w:top w:val="nil"/>
              <w:left w:val="nil"/>
              <w:bottom w:val="single" w:sz="4" w:space="0" w:color="767171"/>
            </w:tcBorders>
            <w:vAlign w:val="center"/>
            <w:hideMark/>
          </w:tcPr>
          <w:p w14:paraId="65F01A81"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  N/A</w:t>
            </w:r>
          </w:p>
        </w:tc>
      </w:tr>
      <w:tr w:rsidR="00F71AA3" w:rsidRPr="00F71AA3" w14:paraId="71421C76" w14:textId="77777777" w:rsidTr="009626EF">
        <w:trPr>
          <w:trHeight w:val="312"/>
          <w:jc w:val="center"/>
        </w:trPr>
        <w:tc>
          <w:tcPr>
            <w:tcW w:w="5820" w:type="dxa"/>
            <w:tcBorders>
              <w:top w:val="nil"/>
              <w:bottom w:val="single" w:sz="4" w:space="0" w:color="767171"/>
              <w:right w:val="nil"/>
            </w:tcBorders>
            <w:noWrap/>
            <w:vAlign w:val="center"/>
            <w:hideMark/>
          </w:tcPr>
          <w:p w14:paraId="748D2F92"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Licitación pública internacional </w:t>
            </w:r>
          </w:p>
        </w:tc>
        <w:tc>
          <w:tcPr>
            <w:tcW w:w="2600" w:type="dxa"/>
            <w:tcBorders>
              <w:top w:val="nil"/>
              <w:left w:val="nil"/>
              <w:bottom w:val="single" w:sz="4" w:space="0" w:color="767171"/>
            </w:tcBorders>
            <w:noWrap/>
            <w:vAlign w:val="center"/>
            <w:hideMark/>
          </w:tcPr>
          <w:p w14:paraId="6766E3E8"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DO" w:eastAsia="es-DO"/>
              </w:rPr>
              <w:t xml:space="preserve">N/A </w:t>
            </w:r>
          </w:p>
        </w:tc>
      </w:tr>
      <w:tr w:rsidR="00F71AA3" w:rsidRPr="00F71AA3" w14:paraId="4CBB9114" w14:textId="77777777" w:rsidTr="009626EF">
        <w:trPr>
          <w:trHeight w:val="312"/>
          <w:jc w:val="center"/>
        </w:trPr>
        <w:tc>
          <w:tcPr>
            <w:tcW w:w="5820" w:type="dxa"/>
            <w:tcBorders>
              <w:top w:val="nil"/>
              <w:bottom w:val="single" w:sz="4" w:space="0" w:color="767171"/>
              <w:right w:val="nil"/>
            </w:tcBorders>
            <w:vAlign w:val="center"/>
            <w:hideMark/>
          </w:tcPr>
          <w:p w14:paraId="104ACB43"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Licitación restringida </w:t>
            </w:r>
          </w:p>
        </w:tc>
        <w:tc>
          <w:tcPr>
            <w:tcW w:w="2600" w:type="dxa"/>
            <w:tcBorders>
              <w:top w:val="nil"/>
              <w:left w:val="nil"/>
              <w:bottom w:val="single" w:sz="4" w:space="0" w:color="767171"/>
            </w:tcBorders>
            <w:vAlign w:val="center"/>
            <w:hideMark/>
          </w:tcPr>
          <w:p w14:paraId="20648E80"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N/A </w:t>
            </w:r>
          </w:p>
        </w:tc>
      </w:tr>
      <w:tr w:rsidR="00F71AA3" w:rsidRPr="00F71AA3" w14:paraId="377CD769" w14:textId="77777777" w:rsidTr="009626EF">
        <w:trPr>
          <w:trHeight w:val="312"/>
          <w:jc w:val="center"/>
        </w:trPr>
        <w:tc>
          <w:tcPr>
            <w:tcW w:w="5820" w:type="dxa"/>
            <w:tcBorders>
              <w:top w:val="nil"/>
              <w:bottom w:val="single" w:sz="4" w:space="0" w:color="767171"/>
              <w:right w:val="nil"/>
            </w:tcBorders>
            <w:vAlign w:val="center"/>
            <w:hideMark/>
          </w:tcPr>
          <w:p w14:paraId="52B9782B"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Sorteo de obras </w:t>
            </w:r>
          </w:p>
        </w:tc>
        <w:tc>
          <w:tcPr>
            <w:tcW w:w="2600" w:type="dxa"/>
            <w:tcBorders>
              <w:top w:val="nil"/>
              <w:left w:val="nil"/>
              <w:bottom w:val="single" w:sz="4" w:space="0" w:color="767171"/>
            </w:tcBorders>
            <w:vAlign w:val="center"/>
            <w:hideMark/>
          </w:tcPr>
          <w:p w14:paraId="3043E389"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N/A </w:t>
            </w:r>
          </w:p>
        </w:tc>
      </w:tr>
      <w:tr w:rsidR="00F71AA3" w:rsidRPr="00F71AA3" w14:paraId="18A65368" w14:textId="77777777" w:rsidTr="009626EF">
        <w:trPr>
          <w:trHeight w:val="312"/>
          <w:jc w:val="center"/>
        </w:trPr>
        <w:tc>
          <w:tcPr>
            <w:tcW w:w="5820" w:type="dxa"/>
            <w:tcBorders>
              <w:top w:val="nil"/>
              <w:bottom w:val="single" w:sz="4" w:space="0" w:color="767171"/>
              <w:right w:val="nil"/>
            </w:tcBorders>
            <w:vAlign w:val="center"/>
            <w:hideMark/>
          </w:tcPr>
          <w:p w14:paraId="4B60AC6A"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Excepción - bienes o servicios con exclusividad </w:t>
            </w:r>
          </w:p>
        </w:tc>
        <w:tc>
          <w:tcPr>
            <w:tcW w:w="2600" w:type="dxa"/>
            <w:tcBorders>
              <w:top w:val="nil"/>
              <w:left w:val="nil"/>
              <w:bottom w:val="single" w:sz="4" w:space="0" w:color="767171"/>
            </w:tcBorders>
            <w:vAlign w:val="center"/>
            <w:hideMark/>
          </w:tcPr>
          <w:p w14:paraId="56C32D1B"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$14,500,000.00 </w:t>
            </w:r>
          </w:p>
        </w:tc>
      </w:tr>
      <w:tr w:rsidR="00F71AA3" w:rsidRPr="00F71AA3" w14:paraId="2EC2ED03" w14:textId="77777777" w:rsidTr="009626EF">
        <w:trPr>
          <w:trHeight w:val="624"/>
          <w:jc w:val="center"/>
        </w:trPr>
        <w:tc>
          <w:tcPr>
            <w:tcW w:w="5820" w:type="dxa"/>
            <w:tcBorders>
              <w:top w:val="nil"/>
              <w:bottom w:val="single" w:sz="4" w:space="0" w:color="767171"/>
              <w:right w:val="nil"/>
            </w:tcBorders>
            <w:vAlign w:val="center"/>
            <w:hideMark/>
          </w:tcPr>
          <w:p w14:paraId="3FDA7427"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Excepción - construcción, instalación o adquisición de oficinas para el servicio exterior </w:t>
            </w:r>
          </w:p>
        </w:tc>
        <w:tc>
          <w:tcPr>
            <w:tcW w:w="2600" w:type="dxa"/>
            <w:tcBorders>
              <w:top w:val="nil"/>
              <w:left w:val="nil"/>
              <w:bottom w:val="single" w:sz="4" w:space="0" w:color="767171"/>
            </w:tcBorders>
            <w:vAlign w:val="center"/>
            <w:hideMark/>
          </w:tcPr>
          <w:p w14:paraId="3AA6DEED"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N/A </w:t>
            </w:r>
          </w:p>
        </w:tc>
      </w:tr>
      <w:tr w:rsidR="00F71AA3" w:rsidRPr="00F71AA3" w14:paraId="28A7F13E" w14:textId="77777777" w:rsidTr="009626EF">
        <w:trPr>
          <w:trHeight w:val="624"/>
          <w:jc w:val="center"/>
        </w:trPr>
        <w:tc>
          <w:tcPr>
            <w:tcW w:w="5820" w:type="dxa"/>
            <w:tcBorders>
              <w:top w:val="nil"/>
              <w:bottom w:val="single" w:sz="4" w:space="0" w:color="767171"/>
              <w:right w:val="nil"/>
            </w:tcBorders>
            <w:vAlign w:val="center"/>
            <w:hideMark/>
          </w:tcPr>
          <w:p w14:paraId="070B4770"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lastRenderedPageBreak/>
              <w:t xml:space="preserve">Excepción - contratación de publicidad a través de medios de comunicación social </w:t>
            </w:r>
          </w:p>
        </w:tc>
        <w:tc>
          <w:tcPr>
            <w:tcW w:w="2600" w:type="dxa"/>
            <w:tcBorders>
              <w:top w:val="nil"/>
              <w:left w:val="nil"/>
              <w:bottom w:val="single" w:sz="4" w:space="0" w:color="767171"/>
            </w:tcBorders>
            <w:vAlign w:val="center"/>
            <w:hideMark/>
          </w:tcPr>
          <w:p w14:paraId="56C041C4"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$14,205,000.00 </w:t>
            </w:r>
          </w:p>
        </w:tc>
      </w:tr>
      <w:tr w:rsidR="00F71AA3" w:rsidRPr="00F71AA3" w14:paraId="5CF3BB6B" w14:textId="77777777" w:rsidTr="009626EF">
        <w:trPr>
          <w:trHeight w:val="624"/>
          <w:jc w:val="center"/>
        </w:trPr>
        <w:tc>
          <w:tcPr>
            <w:tcW w:w="5820" w:type="dxa"/>
            <w:tcBorders>
              <w:top w:val="nil"/>
              <w:bottom w:val="single" w:sz="4" w:space="0" w:color="767171"/>
              <w:right w:val="nil"/>
            </w:tcBorders>
            <w:vAlign w:val="center"/>
            <w:hideMark/>
          </w:tcPr>
          <w:p w14:paraId="4DDEA6B9"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Excepción - obras científicas, técnicas, artísticas, o restauración de monumentos históricos </w:t>
            </w:r>
          </w:p>
        </w:tc>
        <w:tc>
          <w:tcPr>
            <w:tcW w:w="2600" w:type="dxa"/>
            <w:tcBorders>
              <w:top w:val="nil"/>
              <w:left w:val="nil"/>
              <w:bottom w:val="single" w:sz="4" w:space="0" w:color="767171"/>
            </w:tcBorders>
            <w:vAlign w:val="center"/>
            <w:hideMark/>
          </w:tcPr>
          <w:p w14:paraId="71AEE0D2"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$3,146,666.64 </w:t>
            </w:r>
          </w:p>
        </w:tc>
      </w:tr>
      <w:tr w:rsidR="00F71AA3" w:rsidRPr="00F71AA3" w14:paraId="6E89C147" w14:textId="77777777" w:rsidTr="009626EF">
        <w:trPr>
          <w:trHeight w:val="312"/>
          <w:jc w:val="center"/>
        </w:trPr>
        <w:tc>
          <w:tcPr>
            <w:tcW w:w="5820" w:type="dxa"/>
            <w:tcBorders>
              <w:top w:val="nil"/>
              <w:bottom w:val="single" w:sz="4" w:space="0" w:color="767171"/>
              <w:right w:val="nil"/>
            </w:tcBorders>
            <w:vAlign w:val="center"/>
            <w:hideMark/>
          </w:tcPr>
          <w:p w14:paraId="0D69DDB4"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Excepción - proveedor único </w:t>
            </w:r>
          </w:p>
        </w:tc>
        <w:tc>
          <w:tcPr>
            <w:tcW w:w="2600" w:type="dxa"/>
            <w:tcBorders>
              <w:top w:val="nil"/>
              <w:left w:val="nil"/>
              <w:bottom w:val="single" w:sz="4" w:space="0" w:color="767171"/>
            </w:tcBorders>
            <w:vAlign w:val="center"/>
            <w:hideMark/>
          </w:tcPr>
          <w:p w14:paraId="316AF019"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$9,841,773.25 </w:t>
            </w:r>
          </w:p>
        </w:tc>
      </w:tr>
      <w:tr w:rsidR="00F71AA3" w:rsidRPr="00F71AA3" w14:paraId="7DF29386" w14:textId="77777777" w:rsidTr="009626EF">
        <w:trPr>
          <w:trHeight w:val="936"/>
          <w:jc w:val="center"/>
        </w:trPr>
        <w:tc>
          <w:tcPr>
            <w:tcW w:w="5820" w:type="dxa"/>
            <w:tcBorders>
              <w:top w:val="nil"/>
              <w:bottom w:val="single" w:sz="4" w:space="0" w:color="767171"/>
              <w:right w:val="nil"/>
            </w:tcBorders>
            <w:vAlign w:val="center"/>
            <w:hideMark/>
          </w:tcPr>
          <w:p w14:paraId="35C8A499"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Excepción - rescisión de contratos cuya terminación no exceda el 40 % del monto total del proyecto, obra o servicio </w:t>
            </w:r>
          </w:p>
        </w:tc>
        <w:tc>
          <w:tcPr>
            <w:tcW w:w="2600" w:type="dxa"/>
            <w:tcBorders>
              <w:top w:val="nil"/>
              <w:left w:val="nil"/>
              <w:bottom w:val="single" w:sz="4" w:space="0" w:color="767171"/>
            </w:tcBorders>
            <w:vAlign w:val="center"/>
            <w:hideMark/>
          </w:tcPr>
          <w:p w14:paraId="6D5F5952"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N/A </w:t>
            </w:r>
          </w:p>
        </w:tc>
      </w:tr>
      <w:tr w:rsidR="00F71AA3" w:rsidRPr="00F71AA3" w14:paraId="2F6E8B31" w14:textId="77777777" w:rsidTr="009626EF">
        <w:trPr>
          <w:trHeight w:val="312"/>
          <w:jc w:val="center"/>
        </w:trPr>
        <w:tc>
          <w:tcPr>
            <w:tcW w:w="5820" w:type="dxa"/>
            <w:tcBorders>
              <w:top w:val="nil"/>
              <w:bottom w:val="single" w:sz="4" w:space="0" w:color="767171"/>
              <w:right w:val="nil"/>
            </w:tcBorders>
            <w:vAlign w:val="center"/>
            <w:hideMark/>
          </w:tcPr>
          <w:p w14:paraId="5E127BE1" w14:textId="77777777" w:rsidR="00F71AA3" w:rsidRPr="00F71AA3" w:rsidRDefault="00F71AA3" w:rsidP="007401B8">
            <w:pPr>
              <w:spacing w:after="0" w:line="240" w:lineRule="auto"/>
              <w:rPr>
                <w:rFonts w:eastAsia="Times New Roman"/>
                <w:spacing w:val="0"/>
                <w:lang w:val="es-DO" w:eastAsia="es-DO"/>
              </w:rPr>
            </w:pPr>
            <w:r w:rsidRPr="00F71AA3">
              <w:rPr>
                <w:rFonts w:eastAsia="Times New Roman"/>
                <w:spacing w:val="0"/>
                <w:lang w:val="es-ES" w:eastAsia="es-DO"/>
              </w:rPr>
              <w:t xml:space="preserve">Compra y contratación de combustible  </w:t>
            </w:r>
          </w:p>
        </w:tc>
        <w:tc>
          <w:tcPr>
            <w:tcW w:w="2600" w:type="dxa"/>
            <w:tcBorders>
              <w:top w:val="nil"/>
              <w:left w:val="nil"/>
              <w:bottom w:val="single" w:sz="4" w:space="0" w:color="767171"/>
            </w:tcBorders>
            <w:vAlign w:val="center"/>
            <w:hideMark/>
          </w:tcPr>
          <w:p w14:paraId="06275EDA" w14:textId="77777777" w:rsidR="00F71AA3" w:rsidRPr="00F71AA3" w:rsidRDefault="00F71AA3" w:rsidP="007401B8">
            <w:pPr>
              <w:spacing w:after="0" w:line="240" w:lineRule="auto"/>
              <w:jc w:val="center"/>
              <w:rPr>
                <w:rFonts w:eastAsia="Times New Roman"/>
                <w:spacing w:val="0"/>
                <w:lang w:val="es-DO" w:eastAsia="es-DO"/>
              </w:rPr>
            </w:pPr>
            <w:r w:rsidRPr="00F71AA3">
              <w:rPr>
                <w:rFonts w:eastAsia="Times New Roman"/>
                <w:spacing w:val="0"/>
                <w:lang w:val="es-ES" w:eastAsia="es-DO"/>
              </w:rPr>
              <w:t xml:space="preserve">$3,847,947.00 </w:t>
            </w:r>
          </w:p>
        </w:tc>
      </w:tr>
    </w:tbl>
    <w:p w14:paraId="0779003C" w14:textId="3E3E218B" w:rsidR="00654164" w:rsidRPr="00291603" w:rsidRDefault="00C02E9E" w:rsidP="00A77167">
      <w:pPr>
        <w:tabs>
          <w:tab w:val="left" w:pos="4650"/>
        </w:tabs>
        <w:spacing w:after="0" w:line="240" w:lineRule="auto"/>
        <w:jc w:val="both"/>
        <w:rPr>
          <w:rFonts w:eastAsia="Calibri"/>
          <w:noProof/>
          <w:sz w:val="18"/>
          <w:szCs w:val="18"/>
          <w:lang w:val="es-DO"/>
        </w:rPr>
      </w:pPr>
      <w:r w:rsidRPr="00291603">
        <w:rPr>
          <w:rFonts w:eastAsia="Calibri"/>
          <w:noProof/>
          <w:sz w:val="18"/>
          <w:szCs w:val="18"/>
          <w:lang w:val="es-DO"/>
        </w:rPr>
        <w:t xml:space="preserve">Fuente: Dirección Administrataiva y Financiera de la SISALRIL </w:t>
      </w:r>
    </w:p>
    <w:sectPr w:rsidR="00654164" w:rsidRPr="00291603" w:rsidSect="009626EF">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E672" w14:textId="77777777" w:rsidR="00C93267" w:rsidRDefault="00C93267" w:rsidP="00E84651">
      <w:pPr>
        <w:spacing w:after="0" w:line="240" w:lineRule="auto"/>
      </w:pPr>
      <w:r>
        <w:separator/>
      </w:r>
    </w:p>
  </w:endnote>
  <w:endnote w:type="continuationSeparator" w:id="0">
    <w:p w14:paraId="3EE01B68" w14:textId="77777777" w:rsidR="00C93267" w:rsidRDefault="00C9326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40"/>
      <w:gridCol w:w="2640"/>
      <w:gridCol w:w="2640"/>
    </w:tblGrid>
    <w:tr w:rsidR="58822D17" w14:paraId="07C40B44" w14:textId="77777777" w:rsidTr="58822D17">
      <w:trPr>
        <w:trHeight w:val="300"/>
      </w:trPr>
      <w:tc>
        <w:tcPr>
          <w:tcW w:w="3120" w:type="dxa"/>
        </w:tcPr>
        <w:p w14:paraId="6852AF4C" w14:textId="28831982" w:rsidR="58822D17" w:rsidRDefault="58822D17" w:rsidP="58822D17">
          <w:pPr>
            <w:pStyle w:val="Encabezado"/>
            <w:ind w:left="-115"/>
          </w:pPr>
        </w:p>
      </w:tc>
      <w:tc>
        <w:tcPr>
          <w:tcW w:w="3120" w:type="dxa"/>
        </w:tcPr>
        <w:p w14:paraId="62713B01" w14:textId="2E2EE482" w:rsidR="58822D17" w:rsidRDefault="58822D17" w:rsidP="58822D17">
          <w:pPr>
            <w:pStyle w:val="Encabezado"/>
            <w:jc w:val="center"/>
          </w:pPr>
        </w:p>
      </w:tc>
      <w:tc>
        <w:tcPr>
          <w:tcW w:w="3120" w:type="dxa"/>
        </w:tcPr>
        <w:p w14:paraId="7C83A4B6" w14:textId="6584257F" w:rsidR="58822D17" w:rsidRDefault="58822D17" w:rsidP="58822D17">
          <w:pPr>
            <w:pStyle w:val="Encabezado"/>
            <w:ind w:right="-115"/>
            <w:jc w:val="right"/>
          </w:pPr>
        </w:p>
      </w:tc>
    </w:tr>
  </w:tbl>
  <w:p w14:paraId="00BF4A63" w14:textId="547B0E02" w:rsidR="00444948" w:rsidRDefault="004449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C0B589E" w14:textId="77777777" w:rsidR="004C1B2F" w:rsidRPr="00BD1E94" w:rsidRDefault="004C1B2F" w:rsidP="00A86A25">
        <w:pPr>
          <w:pStyle w:val="Piedepgina"/>
          <w:jc w:val="center"/>
          <w:rPr>
            <w:sz w:val="16"/>
            <w:szCs w:val="16"/>
          </w:rPr>
        </w:pPr>
      </w:p>
      <w:p w14:paraId="74062F3A" w14:textId="6478741D" w:rsidR="0033086C" w:rsidRPr="00A86A25" w:rsidRDefault="00531C6F" w:rsidP="00A86A25">
        <w:pPr>
          <w:pStyle w:val="Piedepgina"/>
          <w:jc w:val="center"/>
        </w:pPr>
        <w:r w:rsidRPr="00531C6F">
          <w:t>​</w:t>
        </w:r>
        <w:r w:rsidR="00D61733" w:rsidRPr="00D61733">
          <w:t>​​</w:t>
        </w:r>
        <w:r w:rsidR="0033086C">
          <w:rPr>
            <w:noProof/>
            <w:lang w:val="es-DO" w:eastAsia="es-DO"/>
          </w:rPr>
          <w:drawing>
            <wp:inline distT="0" distB="0" distL="0" distR="0" wp14:anchorId="7D9BB372" wp14:editId="0A1B3C91">
              <wp:extent cx="2409825" cy="328295"/>
              <wp:effectExtent l="0" t="0" r="9525" b="0"/>
              <wp:docPr id="20183762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328295"/>
                      </a:xfrm>
                      <a:prstGeom prst="rect">
                        <a:avLst/>
                      </a:prstGeom>
                      <a:noFill/>
                      <a:ln>
                        <a:noFill/>
                      </a:ln>
                    </pic:spPr>
                  </pic:pic>
                </a:graphicData>
              </a:graphic>
            </wp:inline>
          </w:drawing>
        </w:r>
      </w:p>
      <w:p w14:paraId="6DEEFAC0" w14:textId="77777777" w:rsidR="00C666C2" w:rsidRPr="00C666C2" w:rsidRDefault="00C666C2" w:rsidP="00622727">
        <w:pPr>
          <w:pStyle w:val="Piedepgina"/>
          <w:tabs>
            <w:tab w:val="left" w:pos="3717"/>
            <w:tab w:val="center" w:pos="3960"/>
          </w:tabs>
          <w:jc w:val="center"/>
          <w:rPr>
            <w:color w:val="7F7F7F" w:themeColor="text1" w:themeTint="80"/>
            <w:sz w:val="10"/>
            <w:szCs w:val="10"/>
          </w:rPr>
        </w:pPr>
      </w:p>
      <w:p w14:paraId="2B095E5E" w14:textId="39D2FADE" w:rsidR="006E3F08" w:rsidRDefault="00AC14A2" w:rsidP="00622727">
        <w:pPr>
          <w:pStyle w:val="Piedepgina"/>
          <w:tabs>
            <w:tab w:val="left" w:pos="3717"/>
            <w:tab w:val="center" w:pos="3960"/>
          </w:tabs>
          <w:jc w:val="center"/>
        </w:pPr>
        <w:r>
          <w:rPr>
            <w:noProof/>
            <w:lang w:val="es-DO" w:eastAsia="es-DO"/>
          </w:rPr>
          <w:drawing>
            <wp:anchor distT="0" distB="0" distL="114300" distR="114300" simplePos="0" relativeHeight="251658241" behindDoc="0" locked="0" layoutInCell="1" allowOverlap="1" wp14:anchorId="4D89C46D" wp14:editId="6A03CBDB">
              <wp:simplePos x="0" y="0"/>
              <wp:positionH relativeFrom="margin">
                <wp:posOffset>3469640</wp:posOffset>
              </wp:positionH>
              <wp:positionV relativeFrom="paragraph">
                <wp:posOffset>1994535</wp:posOffset>
              </wp:positionV>
              <wp:extent cx="2486025" cy="338812"/>
              <wp:effectExtent l="0" t="0" r="0" b="4445"/>
              <wp:wrapSquare wrapText="bothSides"/>
              <wp:docPr id="62516041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338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3211">
          <w:rPr>
            <w:noProof/>
            <w:lang w:val="es-DO" w:eastAsia="es-DO"/>
          </w:rPr>
          <w:drawing>
            <wp:anchor distT="0" distB="0" distL="114300" distR="114300" simplePos="0" relativeHeight="251658240" behindDoc="0" locked="0" layoutInCell="1" allowOverlap="1" wp14:anchorId="54F82055" wp14:editId="1A3347B1">
              <wp:simplePos x="0" y="0"/>
              <wp:positionH relativeFrom="column">
                <wp:posOffset>3034665</wp:posOffset>
              </wp:positionH>
              <wp:positionV relativeFrom="paragraph">
                <wp:posOffset>1956435</wp:posOffset>
              </wp:positionV>
              <wp:extent cx="2995930" cy="408305"/>
              <wp:effectExtent l="0" t="0" r="0" b="0"/>
              <wp:wrapSquare wrapText="bothSides"/>
              <wp:docPr id="204515081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380EEE">
          <w:rPr>
            <w:noProof/>
            <w:color w:val="7F7F7F" w:themeColor="text1" w:themeTint="80"/>
          </w:rPr>
          <w:t>11</w:t>
        </w:r>
        <w:r w:rsidR="006E3F08"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399436"/>
      <w:docPartObj>
        <w:docPartGallery w:val="Page Numbers (Bottom of Page)"/>
        <w:docPartUnique/>
      </w:docPartObj>
    </w:sdtPr>
    <w:sdtContent>
      <w:p w14:paraId="587941B2" w14:textId="7155D813" w:rsidR="004307AB" w:rsidRDefault="004307AB">
        <w:pPr>
          <w:pStyle w:val="Piedepgina"/>
          <w:jc w:val="center"/>
        </w:pPr>
        <w:r>
          <w:rPr>
            <w:noProof/>
            <w:lang w:val="es-DO" w:eastAsia="es-DO"/>
          </w:rPr>
          <w:drawing>
            <wp:anchor distT="0" distB="0" distL="114300" distR="114300" simplePos="0" relativeHeight="251658242" behindDoc="0" locked="0" layoutInCell="1" allowOverlap="1" wp14:anchorId="284642E3" wp14:editId="140C6D1E">
              <wp:simplePos x="0" y="0"/>
              <wp:positionH relativeFrom="margin">
                <wp:align>center</wp:align>
              </wp:positionH>
              <wp:positionV relativeFrom="paragraph">
                <wp:posOffset>111636</wp:posOffset>
              </wp:positionV>
              <wp:extent cx="2185035" cy="297180"/>
              <wp:effectExtent l="0" t="0" r="5715" b="7620"/>
              <wp:wrapSquare wrapText="bothSides"/>
              <wp:docPr id="171135396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035"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192EC9" w14:textId="77777777" w:rsidR="004307AB" w:rsidRDefault="004307AB">
        <w:pPr>
          <w:pStyle w:val="Piedepgina"/>
          <w:jc w:val="center"/>
        </w:pPr>
      </w:p>
      <w:p w14:paraId="7D0F7D78" w14:textId="77777777" w:rsidR="004307AB" w:rsidRDefault="004307AB">
        <w:pPr>
          <w:pStyle w:val="Piedepgina"/>
          <w:jc w:val="center"/>
        </w:pPr>
      </w:p>
      <w:p w14:paraId="473A7384" w14:textId="31AE0C02" w:rsidR="004D0EF8" w:rsidRDefault="004D0EF8">
        <w:pPr>
          <w:pStyle w:val="Piedepgina"/>
          <w:jc w:val="center"/>
        </w:pPr>
        <w:r>
          <w:fldChar w:fldCharType="begin"/>
        </w:r>
        <w:r>
          <w:instrText>PAGE   \* MERGEFORMAT</w:instrText>
        </w:r>
        <w:r>
          <w:fldChar w:fldCharType="separate"/>
        </w:r>
        <w:r>
          <w:rPr>
            <w:lang w:val="es-ES"/>
          </w:rPr>
          <w:t>2</w:t>
        </w:r>
        <w:r>
          <w:fldChar w:fldCharType="end"/>
        </w:r>
      </w:p>
    </w:sdtContent>
  </w:sdt>
  <w:p w14:paraId="086A2BAB" w14:textId="25441EF1" w:rsidR="00CA5AEB" w:rsidRDefault="00CA5AE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6784" w14:textId="77777777" w:rsidR="00C93267" w:rsidRDefault="00C93267" w:rsidP="00E84651">
      <w:pPr>
        <w:spacing w:after="0" w:line="240" w:lineRule="auto"/>
      </w:pPr>
      <w:r>
        <w:separator/>
      </w:r>
    </w:p>
  </w:footnote>
  <w:footnote w:type="continuationSeparator" w:id="0">
    <w:p w14:paraId="6F5BE931" w14:textId="77777777" w:rsidR="00C93267" w:rsidRDefault="00C9326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40"/>
      <w:gridCol w:w="2640"/>
      <w:gridCol w:w="2640"/>
    </w:tblGrid>
    <w:tr w:rsidR="58822D17" w14:paraId="25CBF961" w14:textId="77777777" w:rsidTr="58822D17">
      <w:trPr>
        <w:trHeight w:val="300"/>
      </w:trPr>
      <w:tc>
        <w:tcPr>
          <w:tcW w:w="3120" w:type="dxa"/>
        </w:tcPr>
        <w:p w14:paraId="39AA38C8" w14:textId="7881A6C9" w:rsidR="58822D17" w:rsidRDefault="58822D17" w:rsidP="58822D17">
          <w:pPr>
            <w:pStyle w:val="Encabezado"/>
            <w:ind w:left="-115"/>
          </w:pPr>
        </w:p>
      </w:tc>
      <w:tc>
        <w:tcPr>
          <w:tcW w:w="3120" w:type="dxa"/>
        </w:tcPr>
        <w:p w14:paraId="5CAB0BA1" w14:textId="260FEC1C" w:rsidR="58822D17" w:rsidRDefault="58822D17" w:rsidP="58822D17">
          <w:pPr>
            <w:pStyle w:val="Encabezado"/>
            <w:jc w:val="center"/>
          </w:pPr>
        </w:p>
      </w:tc>
      <w:tc>
        <w:tcPr>
          <w:tcW w:w="3120" w:type="dxa"/>
        </w:tcPr>
        <w:p w14:paraId="54476502" w14:textId="4557CFC4" w:rsidR="58822D17" w:rsidRDefault="58822D17" w:rsidP="58822D17">
          <w:pPr>
            <w:pStyle w:val="Encabezado"/>
            <w:ind w:right="-115"/>
            <w:jc w:val="right"/>
          </w:pPr>
        </w:p>
      </w:tc>
    </w:tr>
  </w:tbl>
  <w:p w14:paraId="5B55FFA1" w14:textId="6F87D9F4" w:rsidR="00444948" w:rsidRDefault="004449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Ylg7iyNI" int2:invalidationBookmarkName="" int2:hashCode="k/4zqcie/ASXv2" int2:id="EtukTzLl">
      <int2:state int2:value="Rejected" int2:type="gram"/>
    </int2:bookmark>
    <int2:bookmark int2:bookmarkName="_Int_wfnFGJZY" int2:invalidationBookmarkName="" int2:hashCode="ktUl8a3VtD4aYo" int2:id="pHGTNjv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B37"/>
    <w:multiLevelType w:val="multilevel"/>
    <w:tmpl w:val="6D2C8E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423CB"/>
    <w:multiLevelType w:val="multilevel"/>
    <w:tmpl w:val="D922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316D7A"/>
    <w:multiLevelType w:val="multilevel"/>
    <w:tmpl w:val="3F44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500D86"/>
    <w:multiLevelType w:val="hybridMultilevel"/>
    <w:tmpl w:val="14A0B5FC"/>
    <w:lvl w:ilvl="0" w:tplc="77FA2A98">
      <w:numFmt w:val="bullet"/>
      <w:lvlText w:val="-"/>
      <w:lvlJc w:val="left"/>
      <w:pPr>
        <w:ind w:left="720" w:hanging="360"/>
      </w:pPr>
      <w:rPr>
        <w:rFonts w:ascii="Aptos" w:eastAsiaTheme="minorHAnsi" w:hAnsi="Aptos" w:cstheme="minorBidi"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18D2E4E"/>
    <w:multiLevelType w:val="multilevel"/>
    <w:tmpl w:val="4278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B11AD6"/>
    <w:multiLevelType w:val="hybridMultilevel"/>
    <w:tmpl w:val="FE2A3ECE"/>
    <w:lvl w:ilvl="0" w:tplc="1C0A0001">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1D43FA0"/>
    <w:multiLevelType w:val="multilevel"/>
    <w:tmpl w:val="3484F9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48456F"/>
    <w:multiLevelType w:val="hybridMultilevel"/>
    <w:tmpl w:val="ED3233E8"/>
    <w:lvl w:ilvl="0" w:tplc="6442AD1C">
      <w:start w:val="1"/>
      <w:numFmt w:val="bullet"/>
      <w:lvlText w:val="-"/>
      <w:lvlJc w:val="left"/>
      <w:pPr>
        <w:ind w:left="360" w:hanging="360"/>
      </w:pPr>
      <w:rPr>
        <w:rFonts w:ascii="Times New Roman" w:eastAsia="Times New Roman"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02E65114"/>
    <w:multiLevelType w:val="multilevel"/>
    <w:tmpl w:val="64A46D5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AF5538"/>
    <w:multiLevelType w:val="multilevel"/>
    <w:tmpl w:val="16647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CF1C49"/>
    <w:multiLevelType w:val="multilevel"/>
    <w:tmpl w:val="A68C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674ABC"/>
    <w:multiLevelType w:val="multilevel"/>
    <w:tmpl w:val="B890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7119E7"/>
    <w:multiLevelType w:val="multilevel"/>
    <w:tmpl w:val="BA10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D36324"/>
    <w:multiLevelType w:val="hybridMultilevel"/>
    <w:tmpl w:val="ECEA4DBA"/>
    <w:lvl w:ilvl="0" w:tplc="77FA2A98">
      <w:numFmt w:val="bullet"/>
      <w:lvlText w:val="-"/>
      <w:lvlJc w:val="left"/>
      <w:pPr>
        <w:ind w:left="360" w:hanging="360"/>
      </w:pPr>
      <w:rPr>
        <w:rFonts w:ascii="Aptos" w:eastAsiaTheme="minorHAnsi" w:hAnsi="Aptos" w:cstheme="minorBidi"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081C3C65"/>
    <w:multiLevelType w:val="multilevel"/>
    <w:tmpl w:val="80E088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DC130E"/>
    <w:multiLevelType w:val="multilevel"/>
    <w:tmpl w:val="495E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7C15FD"/>
    <w:multiLevelType w:val="multilevel"/>
    <w:tmpl w:val="9558C6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896D50"/>
    <w:multiLevelType w:val="hybridMultilevel"/>
    <w:tmpl w:val="5DD04EC4"/>
    <w:lvl w:ilvl="0" w:tplc="1C0A0003">
      <w:start w:val="1"/>
      <w:numFmt w:val="bullet"/>
      <w:lvlText w:val="o"/>
      <w:lvlJc w:val="left"/>
      <w:pPr>
        <w:ind w:left="770" w:hanging="360"/>
      </w:pPr>
      <w:rPr>
        <w:rFonts w:ascii="Courier New" w:hAnsi="Courier New" w:cs="Courier New"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8" w15:restartNumberingAfterBreak="0">
    <w:nsid w:val="0ACD1101"/>
    <w:multiLevelType w:val="hybridMultilevel"/>
    <w:tmpl w:val="E8022360"/>
    <w:lvl w:ilvl="0" w:tplc="65C6C34C">
      <w:numFmt w:val="bullet"/>
      <w:lvlText w:val="•"/>
      <w:lvlJc w:val="left"/>
      <w:pPr>
        <w:ind w:left="1080" w:hanging="360"/>
      </w:pPr>
      <w:rPr>
        <w:rFonts w:ascii="Arial" w:eastAsia="Arial" w:hAnsi="Arial" w:cs="Arial" w:hint="default"/>
        <w:b/>
        <w:bCs/>
        <w:i w:val="0"/>
        <w:iCs w:val="0"/>
        <w:color w:val="767070"/>
        <w:spacing w:val="0"/>
        <w:w w:val="99"/>
        <w:sz w:val="32"/>
        <w:szCs w:val="32"/>
        <w:lang w:val="es-ES" w:eastAsia="en-US" w:bidi="ar-SA"/>
      </w:rPr>
    </w:lvl>
    <w:lvl w:ilvl="1" w:tplc="D09C7D92">
      <w:start w:val="1"/>
      <w:numFmt w:val="lowerLetter"/>
      <w:lvlText w:val="%2)"/>
      <w:lvlJc w:val="left"/>
      <w:pPr>
        <w:ind w:left="1341" w:hanging="274"/>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2" w:tplc="D20CC63A">
      <w:numFmt w:val="bullet"/>
      <w:lvlText w:val="•"/>
      <w:lvlJc w:val="left"/>
      <w:pPr>
        <w:ind w:left="2191" w:hanging="274"/>
      </w:pPr>
      <w:rPr>
        <w:rFonts w:hint="default"/>
        <w:lang w:val="es-ES" w:eastAsia="en-US" w:bidi="ar-SA"/>
      </w:rPr>
    </w:lvl>
    <w:lvl w:ilvl="3" w:tplc="380A2C7A">
      <w:numFmt w:val="bullet"/>
      <w:lvlText w:val="•"/>
      <w:lvlJc w:val="left"/>
      <w:pPr>
        <w:ind w:left="3042" w:hanging="274"/>
      </w:pPr>
      <w:rPr>
        <w:rFonts w:hint="default"/>
        <w:lang w:val="es-ES" w:eastAsia="en-US" w:bidi="ar-SA"/>
      </w:rPr>
    </w:lvl>
    <w:lvl w:ilvl="4" w:tplc="C3565488">
      <w:numFmt w:val="bullet"/>
      <w:lvlText w:val="•"/>
      <w:lvlJc w:val="left"/>
      <w:pPr>
        <w:ind w:left="3893" w:hanging="274"/>
      </w:pPr>
      <w:rPr>
        <w:rFonts w:hint="default"/>
        <w:lang w:val="es-ES" w:eastAsia="en-US" w:bidi="ar-SA"/>
      </w:rPr>
    </w:lvl>
    <w:lvl w:ilvl="5" w:tplc="602603BA">
      <w:numFmt w:val="bullet"/>
      <w:lvlText w:val="•"/>
      <w:lvlJc w:val="left"/>
      <w:pPr>
        <w:ind w:left="4744" w:hanging="274"/>
      </w:pPr>
      <w:rPr>
        <w:rFonts w:hint="default"/>
        <w:lang w:val="es-ES" w:eastAsia="en-US" w:bidi="ar-SA"/>
      </w:rPr>
    </w:lvl>
    <w:lvl w:ilvl="6" w:tplc="603EB76E">
      <w:numFmt w:val="bullet"/>
      <w:lvlText w:val="•"/>
      <w:lvlJc w:val="left"/>
      <w:pPr>
        <w:ind w:left="5595" w:hanging="274"/>
      </w:pPr>
      <w:rPr>
        <w:rFonts w:hint="default"/>
        <w:lang w:val="es-ES" w:eastAsia="en-US" w:bidi="ar-SA"/>
      </w:rPr>
    </w:lvl>
    <w:lvl w:ilvl="7" w:tplc="829AB392">
      <w:numFmt w:val="bullet"/>
      <w:lvlText w:val="•"/>
      <w:lvlJc w:val="left"/>
      <w:pPr>
        <w:ind w:left="6446" w:hanging="274"/>
      </w:pPr>
      <w:rPr>
        <w:rFonts w:hint="default"/>
        <w:lang w:val="es-ES" w:eastAsia="en-US" w:bidi="ar-SA"/>
      </w:rPr>
    </w:lvl>
    <w:lvl w:ilvl="8" w:tplc="57604E80">
      <w:numFmt w:val="bullet"/>
      <w:lvlText w:val="•"/>
      <w:lvlJc w:val="left"/>
      <w:pPr>
        <w:ind w:left="7297" w:hanging="274"/>
      </w:pPr>
      <w:rPr>
        <w:rFonts w:hint="default"/>
        <w:lang w:val="es-ES" w:eastAsia="en-US" w:bidi="ar-SA"/>
      </w:rPr>
    </w:lvl>
  </w:abstractNum>
  <w:abstractNum w:abstractNumId="19" w15:restartNumberingAfterBreak="0">
    <w:nsid w:val="0B016541"/>
    <w:multiLevelType w:val="multilevel"/>
    <w:tmpl w:val="53BE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352BCE"/>
    <w:multiLevelType w:val="hybridMultilevel"/>
    <w:tmpl w:val="5AF6F774"/>
    <w:lvl w:ilvl="0" w:tplc="1C0A000F">
      <w:start w:val="1"/>
      <w:numFmt w:val="decimal"/>
      <w:lvlText w:val="%1."/>
      <w:lvlJc w:val="left"/>
      <w:pPr>
        <w:ind w:left="720" w:hanging="360"/>
      </w:pPr>
      <w:rPr>
        <w:rFont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0BD47378"/>
    <w:multiLevelType w:val="hybridMultilevel"/>
    <w:tmpl w:val="C2B8C834"/>
    <w:lvl w:ilvl="0" w:tplc="1C0A0003">
      <w:start w:val="1"/>
      <w:numFmt w:val="bullet"/>
      <w:lvlText w:val="o"/>
      <w:lvlJc w:val="left"/>
      <w:pPr>
        <w:ind w:left="720" w:hanging="360"/>
      </w:pPr>
      <w:rPr>
        <w:rFonts w:ascii="Courier New" w:hAnsi="Courier New" w:cs="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CA67512"/>
    <w:multiLevelType w:val="hybridMultilevel"/>
    <w:tmpl w:val="06648502"/>
    <w:lvl w:ilvl="0" w:tplc="1C0A0003">
      <w:start w:val="1"/>
      <w:numFmt w:val="bullet"/>
      <w:lvlText w:val="o"/>
      <w:lvlJc w:val="left"/>
      <w:pPr>
        <w:ind w:left="1080" w:hanging="360"/>
      </w:pPr>
      <w:rPr>
        <w:rFonts w:ascii="Courier New" w:hAnsi="Courier New" w:cs="Courier New"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0D175819"/>
    <w:multiLevelType w:val="hybridMultilevel"/>
    <w:tmpl w:val="10803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313F29"/>
    <w:multiLevelType w:val="multilevel"/>
    <w:tmpl w:val="B29A33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3F4A1F"/>
    <w:multiLevelType w:val="hybridMultilevel"/>
    <w:tmpl w:val="9EB0742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0E045C94"/>
    <w:multiLevelType w:val="hybridMultilevel"/>
    <w:tmpl w:val="E39093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0E1F7FBF"/>
    <w:multiLevelType w:val="hybridMultilevel"/>
    <w:tmpl w:val="2B44155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0E214B8C"/>
    <w:multiLevelType w:val="hybridMultilevel"/>
    <w:tmpl w:val="09B0F88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0F5B3A41"/>
    <w:multiLevelType w:val="multilevel"/>
    <w:tmpl w:val="44946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7D65BE"/>
    <w:multiLevelType w:val="multilevel"/>
    <w:tmpl w:val="D8D4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454D01"/>
    <w:multiLevelType w:val="multilevel"/>
    <w:tmpl w:val="DAE04D5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FD3D80"/>
    <w:multiLevelType w:val="multilevel"/>
    <w:tmpl w:val="3A1A5C6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DE50B9"/>
    <w:multiLevelType w:val="multilevel"/>
    <w:tmpl w:val="22E2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23483B"/>
    <w:multiLevelType w:val="multilevel"/>
    <w:tmpl w:val="8E5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4AD765E"/>
    <w:multiLevelType w:val="hybridMultilevel"/>
    <w:tmpl w:val="3F60A20E"/>
    <w:lvl w:ilvl="0" w:tplc="5E0A437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14E3051D"/>
    <w:multiLevelType w:val="multilevel"/>
    <w:tmpl w:val="92A40BA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152A2E29"/>
    <w:multiLevelType w:val="multilevel"/>
    <w:tmpl w:val="24FC43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7B454A"/>
    <w:multiLevelType w:val="multilevel"/>
    <w:tmpl w:val="B7F26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E4057C"/>
    <w:multiLevelType w:val="hybridMultilevel"/>
    <w:tmpl w:val="28E89D1A"/>
    <w:lvl w:ilvl="0" w:tplc="1C0A0003">
      <w:start w:val="1"/>
      <w:numFmt w:val="bullet"/>
      <w:lvlText w:val="o"/>
      <w:lvlJc w:val="left"/>
      <w:pPr>
        <w:ind w:left="108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16E0504E"/>
    <w:multiLevelType w:val="hybridMultilevel"/>
    <w:tmpl w:val="22BE48FC"/>
    <w:lvl w:ilvl="0" w:tplc="6442AD1C">
      <w:start w:val="1"/>
      <w:numFmt w:val="bullet"/>
      <w:lvlText w:val="-"/>
      <w:lvlJc w:val="left"/>
      <w:pPr>
        <w:ind w:left="1080" w:hanging="360"/>
      </w:pPr>
      <w:rPr>
        <w:rFonts w:ascii="Times New Roman" w:eastAsia="Times New Roman"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1" w15:restartNumberingAfterBreak="0">
    <w:nsid w:val="179B52B6"/>
    <w:multiLevelType w:val="hybridMultilevel"/>
    <w:tmpl w:val="7DB6400A"/>
    <w:lvl w:ilvl="0" w:tplc="77BE4A18">
      <w:numFmt w:val="bullet"/>
      <w:lvlText w:val="-"/>
      <w:lvlJc w:val="left"/>
      <w:pPr>
        <w:ind w:left="360" w:hanging="360"/>
      </w:pPr>
      <w:rPr>
        <w:rFonts w:ascii="Times New Roman" w:eastAsia="Times New Roman" w:hAnsi="Times New Roman" w:cs="Times New Roman" w:hint="default"/>
        <w:spacing w:val="0"/>
        <w:w w:val="100"/>
        <w:lang w:val="es-ES" w:eastAsia="en-US" w:bidi="ar-SA"/>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2" w15:restartNumberingAfterBreak="0">
    <w:nsid w:val="17F121C3"/>
    <w:multiLevelType w:val="multilevel"/>
    <w:tmpl w:val="B7FE0E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5763FE"/>
    <w:multiLevelType w:val="hybridMultilevel"/>
    <w:tmpl w:val="B9D82A8E"/>
    <w:lvl w:ilvl="0" w:tplc="77FA2A98">
      <w:numFmt w:val="bullet"/>
      <w:lvlText w:val="-"/>
      <w:lvlJc w:val="left"/>
      <w:pPr>
        <w:ind w:left="360" w:hanging="360"/>
      </w:pPr>
      <w:rPr>
        <w:rFonts w:ascii="Aptos" w:eastAsiaTheme="minorHAnsi" w:hAnsi="Aptos" w:cstheme="minorBidi"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15:restartNumberingAfterBreak="0">
    <w:nsid w:val="1A4D337F"/>
    <w:multiLevelType w:val="multilevel"/>
    <w:tmpl w:val="B1662B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4903E7"/>
    <w:multiLevelType w:val="hybridMultilevel"/>
    <w:tmpl w:val="1EE23DBC"/>
    <w:lvl w:ilvl="0" w:tplc="8382B908">
      <w:start w:val="1"/>
      <w:numFmt w:val="decimal"/>
      <w:lvlText w:val="%1-"/>
      <w:lvlJc w:val="left"/>
      <w:pPr>
        <w:ind w:left="1069" w:hanging="360"/>
      </w:pPr>
      <w:rPr>
        <w:rFonts w:hint="default"/>
      </w:r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46" w15:restartNumberingAfterBreak="0">
    <w:nsid w:val="1BAF485E"/>
    <w:multiLevelType w:val="multilevel"/>
    <w:tmpl w:val="E962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CD4364"/>
    <w:multiLevelType w:val="multilevel"/>
    <w:tmpl w:val="4F72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6D446F"/>
    <w:multiLevelType w:val="hybridMultilevel"/>
    <w:tmpl w:val="10C85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CA350FA"/>
    <w:multiLevelType w:val="hybridMultilevel"/>
    <w:tmpl w:val="89B69F0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0" w15:restartNumberingAfterBreak="0">
    <w:nsid w:val="1CA94844"/>
    <w:multiLevelType w:val="multilevel"/>
    <w:tmpl w:val="4CD2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CBF71A9"/>
    <w:multiLevelType w:val="multilevel"/>
    <w:tmpl w:val="8410E9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1E309E"/>
    <w:multiLevelType w:val="hybridMultilevel"/>
    <w:tmpl w:val="C668148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1E782092"/>
    <w:multiLevelType w:val="hybridMultilevel"/>
    <w:tmpl w:val="BCB88824"/>
    <w:lvl w:ilvl="0" w:tplc="FFFFFFFF">
      <w:start w:val="1"/>
      <w:numFmt w:val="decimal"/>
      <w:lvlText w:val="%1."/>
      <w:lvlJc w:val="left"/>
      <w:pPr>
        <w:ind w:left="720" w:hanging="360"/>
      </w:pPr>
      <w:rPr>
        <w:rFonts w:ascii="Times New Roman" w:eastAsia="Times New Roman"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EEE355F"/>
    <w:multiLevelType w:val="multilevel"/>
    <w:tmpl w:val="854C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B17ECD"/>
    <w:multiLevelType w:val="hybridMultilevel"/>
    <w:tmpl w:val="655E5564"/>
    <w:lvl w:ilvl="0" w:tplc="6442AD1C">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039568B"/>
    <w:multiLevelType w:val="hybridMultilevel"/>
    <w:tmpl w:val="C212C7DA"/>
    <w:lvl w:ilvl="0" w:tplc="1E7AA40A">
      <w:start w:val="1"/>
      <w:numFmt w:val="bullet"/>
      <w:lvlText w:val="•"/>
      <w:lvlJc w:val="left"/>
      <w:pPr>
        <w:ind w:left="720" w:hanging="360"/>
      </w:pPr>
      <w:rPr>
        <w:rFonts w:ascii="Arial" w:hAnsi="Arial" w:hint="default"/>
        <w:b/>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214F0EE6"/>
    <w:multiLevelType w:val="multilevel"/>
    <w:tmpl w:val="6E82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25C5F2B"/>
    <w:multiLevelType w:val="hybridMultilevel"/>
    <w:tmpl w:val="F2261CB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4A5099A"/>
    <w:multiLevelType w:val="multilevel"/>
    <w:tmpl w:val="92A40BA2"/>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258062B2"/>
    <w:multiLevelType w:val="multilevel"/>
    <w:tmpl w:val="0874C8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82A42"/>
    <w:multiLevelType w:val="multilevel"/>
    <w:tmpl w:val="C1EADD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75F346C"/>
    <w:multiLevelType w:val="multilevel"/>
    <w:tmpl w:val="A6DE25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83A650A"/>
    <w:multiLevelType w:val="multilevel"/>
    <w:tmpl w:val="0720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83A72D0"/>
    <w:multiLevelType w:val="hybridMultilevel"/>
    <w:tmpl w:val="BA2475A0"/>
    <w:lvl w:ilvl="0" w:tplc="65D2C55A">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AFE7C85"/>
    <w:multiLevelType w:val="multilevel"/>
    <w:tmpl w:val="B2AAB4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D3A405F"/>
    <w:multiLevelType w:val="hybridMultilevel"/>
    <w:tmpl w:val="8F22A402"/>
    <w:lvl w:ilvl="0" w:tplc="77BE4A18">
      <w:numFmt w:val="bullet"/>
      <w:lvlText w:val="-"/>
      <w:lvlJc w:val="left"/>
      <w:pPr>
        <w:ind w:left="360" w:hanging="360"/>
      </w:pPr>
      <w:rPr>
        <w:rFonts w:ascii="Times New Roman" w:eastAsia="Times New Roman" w:hAnsi="Times New Roman" w:cs="Times New Roman" w:hint="default"/>
        <w:spacing w:val="0"/>
        <w:w w:val="100"/>
        <w:lang w:val="es-ES" w:eastAsia="en-US" w:bidi="ar-SA"/>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7" w15:restartNumberingAfterBreak="0">
    <w:nsid w:val="2E5B273D"/>
    <w:multiLevelType w:val="hybridMultilevel"/>
    <w:tmpl w:val="F980679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8" w15:restartNumberingAfterBreak="0">
    <w:nsid w:val="2EAA6DD7"/>
    <w:multiLevelType w:val="multilevel"/>
    <w:tmpl w:val="419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F0922B5"/>
    <w:multiLevelType w:val="hybridMultilevel"/>
    <w:tmpl w:val="4926990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2FE23385"/>
    <w:multiLevelType w:val="hybridMultilevel"/>
    <w:tmpl w:val="5A5E489E"/>
    <w:lvl w:ilvl="0" w:tplc="6CAEC53E">
      <w:start w:val="1"/>
      <w:numFmt w:val="upp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71" w15:restartNumberingAfterBreak="0">
    <w:nsid w:val="305571A9"/>
    <w:multiLevelType w:val="hybridMultilevel"/>
    <w:tmpl w:val="5E4E2C86"/>
    <w:lvl w:ilvl="0" w:tplc="1C0A0003">
      <w:start w:val="1"/>
      <w:numFmt w:val="bullet"/>
      <w:lvlText w:val="o"/>
      <w:lvlJc w:val="left"/>
      <w:pPr>
        <w:ind w:left="108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306E220E"/>
    <w:multiLevelType w:val="hybridMultilevel"/>
    <w:tmpl w:val="7C1A625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3" w15:restartNumberingAfterBreak="0">
    <w:nsid w:val="30987A53"/>
    <w:multiLevelType w:val="multilevel"/>
    <w:tmpl w:val="3B58F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1513708"/>
    <w:multiLevelType w:val="hybridMultilevel"/>
    <w:tmpl w:val="7B2CE2D0"/>
    <w:lvl w:ilvl="0" w:tplc="77FA2A98">
      <w:numFmt w:val="bullet"/>
      <w:lvlText w:val="-"/>
      <w:lvlJc w:val="left"/>
      <w:pPr>
        <w:ind w:left="720" w:hanging="360"/>
      </w:pPr>
      <w:rPr>
        <w:rFonts w:ascii="Aptos" w:eastAsiaTheme="minorHAnsi" w:hAnsi="Aptos" w:cstheme="minorBidi" w:hint="default"/>
        <w:b/>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32675EA0"/>
    <w:multiLevelType w:val="multilevel"/>
    <w:tmpl w:val="EEA85C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41A0243"/>
    <w:multiLevelType w:val="hybridMultilevel"/>
    <w:tmpl w:val="0850324E"/>
    <w:lvl w:ilvl="0" w:tplc="2A5C5ECC">
      <w:start w:val="1"/>
      <w:numFmt w:val="decimal"/>
      <w:lvlText w:val="%1."/>
      <w:lvlJc w:val="left"/>
      <w:pPr>
        <w:ind w:left="720" w:hanging="360"/>
      </w:pPr>
      <w:rPr>
        <w:b w:val="0"/>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7" w15:restartNumberingAfterBreak="0">
    <w:nsid w:val="344E5078"/>
    <w:multiLevelType w:val="multilevel"/>
    <w:tmpl w:val="95A4601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997E74"/>
    <w:multiLevelType w:val="multilevel"/>
    <w:tmpl w:val="33CEB72A"/>
    <w:lvl w:ilvl="0">
      <w:start w:val="2"/>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4A141EF"/>
    <w:multiLevelType w:val="hybridMultilevel"/>
    <w:tmpl w:val="49BE7486"/>
    <w:lvl w:ilvl="0" w:tplc="1C0A0003">
      <w:start w:val="1"/>
      <w:numFmt w:val="bullet"/>
      <w:lvlText w:val="o"/>
      <w:lvlJc w:val="left"/>
      <w:pPr>
        <w:ind w:left="1080" w:hanging="360"/>
      </w:pPr>
      <w:rPr>
        <w:rFonts w:ascii="Courier New" w:hAnsi="Courier New" w:cs="Courier New" w:hint="default"/>
        <w:color w:val="767171"/>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0" w15:restartNumberingAfterBreak="0">
    <w:nsid w:val="35222810"/>
    <w:multiLevelType w:val="multilevel"/>
    <w:tmpl w:val="31F8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5A11D27"/>
    <w:multiLevelType w:val="hybridMultilevel"/>
    <w:tmpl w:val="FBE073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2" w15:restartNumberingAfterBreak="0">
    <w:nsid w:val="36174C08"/>
    <w:multiLevelType w:val="multilevel"/>
    <w:tmpl w:val="423A36F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6F0610A"/>
    <w:multiLevelType w:val="multilevel"/>
    <w:tmpl w:val="F1FA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80F5A76"/>
    <w:multiLevelType w:val="hybridMultilevel"/>
    <w:tmpl w:val="704A511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5" w15:restartNumberingAfterBreak="0">
    <w:nsid w:val="3878036C"/>
    <w:multiLevelType w:val="hybridMultilevel"/>
    <w:tmpl w:val="31B2D9E6"/>
    <w:lvl w:ilvl="0" w:tplc="1C0A0001">
      <w:start w:val="1"/>
      <w:numFmt w:val="bullet"/>
      <w:lvlText w:val=""/>
      <w:lvlJc w:val="left"/>
      <w:pPr>
        <w:ind w:left="360" w:hanging="360"/>
      </w:pPr>
      <w:rPr>
        <w:rFonts w:ascii="Symbol" w:hAnsi="Symbol" w:hint="default"/>
        <w:b/>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389F5EF2"/>
    <w:multiLevelType w:val="hybridMultilevel"/>
    <w:tmpl w:val="61D0E686"/>
    <w:lvl w:ilvl="0" w:tplc="1C0A0003">
      <w:start w:val="1"/>
      <w:numFmt w:val="bullet"/>
      <w:lvlText w:val="o"/>
      <w:lvlJc w:val="left"/>
      <w:pPr>
        <w:ind w:left="720" w:hanging="36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39245470"/>
    <w:multiLevelType w:val="multilevel"/>
    <w:tmpl w:val="22B2642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716D4B"/>
    <w:multiLevelType w:val="multilevel"/>
    <w:tmpl w:val="404A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9BE6DC6"/>
    <w:multiLevelType w:val="multilevel"/>
    <w:tmpl w:val="1F8A72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B1F4CFA"/>
    <w:multiLevelType w:val="hybridMultilevel"/>
    <w:tmpl w:val="268C1D6C"/>
    <w:lvl w:ilvl="0" w:tplc="1C0A0003">
      <w:start w:val="1"/>
      <w:numFmt w:val="bullet"/>
      <w:lvlText w:val="o"/>
      <w:lvlJc w:val="left"/>
      <w:pPr>
        <w:ind w:left="144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1" w15:restartNumberingAfterBreak="0">
    <w:nsid w:val="3B2D701E"/>
    <w:multiLevelType w:val="multilevel"/>
    <w:tmpl w:val="FEA8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CFC535E"/>
    <w:multiLevelType w:val="multilevel"/>
    <w:tmpl w:val="0422E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EB97FF4"/>
    <w:multiLevelType w:val="multilevel"/>
    <w:tmpl w:val="17B6EA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F2D6588"/>
    <w:multiLevelType w:val="multilevel"/>
    <w:tmpl w:val="DD9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F501118"/>
    <w:multiLevelType w:val="hybridMultilevel"/>
    <w:tmpl w:val="FD6E1E9E"/>
    <w:lvl w:ilvl="0" w:tplc="77BE4A18">
      <w:numFmt w:val="bullet"/>
      <w:lvlText w:val="-"/>
      <w:lvlJc w:val="left"/>
      <w:pPr>
        <w:ind w:left="360" w:hanging="360"/>
      </w:pPr>
      <w:rPr>
        <w:rFonts w:ascii="Times New Roman" w:eastAsia="Times New Roman" w:hAnsi="Times New Roman" w:cs="Times New Roman" w:hint="default"/>
        <w:spacing w:val="0"/>
        <w:w w:val="100"/>
        <w:lang w:val="es-ES" w:eastAsia="en-US" w:bidi="ar-SA"/>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6" w15:restartNumberingAfterBreak="0">
    <w:nsid w:val="401F28B5"/>
    <w:multiLevelType w:val="hybridMultilevel"/>
    <w:tmpl w:val="B48CE4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7" w15:restartNumberingAfterBreak="0">
    <w:nsid w:val="404C6ABE"/>
    <w:multiLevelType w:val="multilevel"/>
    <w:tmpl w:val="B616021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0967D03"/>
    <w:multiLevelType w:val="multilevel"/>
    <w:tmpl w:val="60B0B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09F5854"/>
    <w:multiLevelType w:val="hybridMultilevel"/>
    <w:tmpl w:val="62F8376C"/>
    <w:lvl w:ilvl="0" w:tplc="1C0A0003">
      <w:start w:val="1"/>
      <w:numFmt w:val="bullet"/>
      <w:lvlText w:val="o"/>
      <w:lvlJc w:val="left"/>
      <w:pPr>
        <w:ind w:left="144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0" w15:restartNumberingAfterBreak="0">
    <w:nsid w:val="413F4346"/>
    <w:multiLevelType w:val="multilevel"/>
    <w:tmpl w:val="3D8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2AA3B22"/>
    <w:multiLevelType w:val="hybridMultilevel"/>
    <w:tmpl w:val="70D4D1C0"/>
    <w:lvl w:ilvl="0" w:tplc="43A6C3E6">
      <w:numFmt w:val="bullet"/>
      <w:lvlText w:val="-"/>
      <w:lvlJc w:val="left"/>
      <w:pPr>
        <w:ind w:left="720" w:hanging="360"/>
      </w:pPr>
      <w:rPr>
        <w:rFonts w:ascii="Times New Roman" w:eastAsia="Times New Roman" w:hAnsi="Times New Roman" w:cs="Times New Roman" w:hint="default"/>
        <w:b w:val="0"/>
        <w:bCs w:val="0"/>
        <w:i w:val="0"/>
        <w:iCs w:val="0"/>
        <w:color w:val="3A3939"/>
        <w:spacing w:val="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2" w15:restartNumberingAfterBreak="0">
    <w:nsid w:val="437936FF"/>
    <w:multiLevelType w:val="multilevel"/>
    <w:tmpl w:val="23E0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3A55388"/>
    <w:multiLevelType w:val="multilevel"/>
    <w:tmpl w:val="8B7EC0B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44082748"/>
    <w:multiLevelType w:val="multilevel"/>
    <w:tmpl w:val="58F6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4AB0D6A"/>
    <w:multiLevelType w:val="multilevel"/>
    <w:tmpl w:val="6EFC15E2"/>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eastAsia="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4D44CB9"/>
    <w:multiLevelType w:val="multilevel"/>
    <w:tmpl w:val="40E0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53C3FB4"/>
    <w:multiLevelType w:val="hybridMultilevel"/>
    <w:tmpl w:val="99608D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8" w15:restartNumberingAfterBreak="0">
    <w:nsid w:val="45D715FF"/>
    <w:multiLevelType w:val="multilevel"/>
    <w:tmpl w:val="08CE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68B1552"/>
    <w:multiLevelType w:val="multilevel"/>
    <w:tmpl w:val="6EFC15E2"/>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eastAsia="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7833658"/>
    <w:multiLevelType w:val="hybridMultilevel"/>
    <w:tmpl w:val="2AC8A9A4"/>
    <w:lvl w:ilvl="0" w:tplc="77BE4A18">
      <w:numFmt w:val="bullet"/>
      <w:lvlText w:val="-"/>
      <w:lvlJc w:val="left"/>
      <w:pPr>
        <w:ind w:left="360" w:hanging="360"/>
      </w:pPr>
      <w:rPr>
        <w:rFonts w:ascii="Times New Roman" w:eastAsia="Times New Roman" w:hAnsi="Times New Roman" w:cs="Times New Roman" w:hint="default"/>
        <w:spacing w:val="0"/>
        <w:w w:val="100"/>
        <w:lang w:val="es-ES" w:eastAsia="en-US" w:bidi="ar-SA"/>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1" w15:restartNumberingAfterBreak="0">
    <w:nsid w:val="478619D7"/>
    <w:multiLevelType w:val="multilevel"/>
    <w:tmpl w:val="0CB0F6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7C93352"/>
    <w:multiLevelType w:val="multilevel"/>
    <w:tmpl w:val="3166A7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7D21282"/>
    <w:multiLevelType w:val="multilevel"/>
    <w:tmpl w:val="64522B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EE2770"/>
    <w:multiLevelType w:val="multilevel"/>
    <w:tmpl w:val="3C26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83144B5"/>
    <w:multiLevelType w:val="hybridMultilevel"/>
    <w:tmpl w:val="FF40FFC2"/>
    <w:lvl w:ilvl="0" w:tplc="1C0A0003">
      <w:start w:val="1"/>
      <w:numFmt w:val="bullet"/>
      <w:lvlText w:val="o"/>
      <w:lvlJc w:val="left"/>
      <w:pPr>
        <w:ind w:left="108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6" w15:restartNumberingAfterBreak="0">
    <w:nsid w:val="48536920"/>
    <w:multiLevelType w:val="multilevel"/>
    <w:tmpl w:val="90B045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9A740CB"/>
    <w:multiLevelType w:val="multilevel"/>
    <w:tmpl w:val="DAF4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9AF0E9D"/>
    <w:multiLevelType w:val="hybridMultilevel"/>
    <w:tmpl w:val="DF4C2092"/>
    <w:lvl w:ilvl="0" w:tplc="1C0A0001">
      <w:start w:val="1"/>
      <w:numFmt w:val="bullet"/>
      <w:lvlText w:val=""/>
      <w:lvlJc w:val="left"/>
      <w:pPr>
        <w:ind w:left="360" w:hanging="360"/>
      </w:pPr>
      <w:rPr>
        <w:rFonts w:ascii="Symbol" w:hAnsi="Symbol" w:hint="default"/>
        <w:color w:val="767171"/>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9" w15:restartNumberingAfterBreak="0">
    <w:nsid w:val="4C2E337D"/>
    <w:multiLevelType w:val="hybridMultilevel"/>
    <w:tmpl w:val="F5485F9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0" w15:restartNumberingAfterBreak="0">
    <w:nsid w:val="4C325798"/>
    <w:multiLevelType w:val="multilevel"/>
    <w:tmpl w:val="2F4A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C9A7308"/>
    <w:multiLevelType w:val="multilevel"/>
    <w:tmpl w:val="6EF4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E29398F"/>
    <w:multiLevelType w:val="multilevel"/>
    <w:tmpl w:val="D95ADD3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E735108"/>
    <w:multiLevelType w:val="multilevel"/>
    <w:tmpl w:val="AD1E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EB544BB"/>
    <w:multiLevelType w:val="multilevel"/>
    <w:tmpl w:val="E5D6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F717759"/>
    <w:multiLevelType w:val="multilevel"/>
    <w:tmpl w:val="C208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05C2F75"/>
    <w:multiLevelType w:val="hybridMultilevel"/>
    <w:tmpl w:val="AF8AC13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7" w15:restartNumberingAfterBreak="0">
    <w:nsid w:val="5165550F"/>
    <w:multiLevelType w:val="multilevel"/>
    <w:tmpl w:val="C912654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19172DF"/>
    <w:multiLevelType w:val="hybridMultilevel"/>
    <w:tmpl w:val="47B20ED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9" w15:restartNumberingAfterBreak="0">
    <w:nsid w:val="51D060C6"/>
    <w:multiLevelType w:val="multilevel"/>
    <w:tmpl w:val="AB38FF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2A00532"/>
    <w:multiLevelType w:val="hybridMultilevel"/>
    <w:tmpl w:val="2428887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1" w15:restartNumberingAfterBreak="0">
    <w:nsid w:val="52ED19EE"/>
    <w:multiLevelType w:val="multilevel"/>
    <w:tmpl w:val="050610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40F0D2A"/>
    <w:multiLevelType w:val="hybridMultilevel"/>
    <w:tmpl w:val="748CB78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3" w15:restartNumberingAfterBreak="0">
    <w:nsid w:val="55C23A51"/>
    <w:multiLevelType w:val="hybridMultilevel"/>
    <w:tmpl w:val="EE8C208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4" w15:restartNumberingAfterBreak="0">
    <w:nsid w:val="55EB6789"/>
    <w:multiLevelType w:val="multilevel"/>
    <w:tmpl w:val="87EE3B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63201EA"/>
    <w:multiLevelType w:val="hybridMultilevel"/>
    <w:tmpl w:val="47DA04F6"/>
    <w:lvl w:ilvl="0" w:tplc="1C0A000F">
      <w:start w:val="1"/>
      <w:numFmt w:val="decimal"/>
      <w:lvlText w:val="%1."/>
      <w:lvlJc w:val="left"/>
      <w:pPr>
        <w:ind w:left="1800" w:hanging="360"/>
      </w:pPr>
      <w:rPr>
        <w:rFonts w:hint="default"/>
        <w:b/>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6" w15:restartNumberingAfterBreak="0">
    <w:nsid w:val="572A3E79"/>
    <w:multiLevelType w:val="hybridMultilevel"/>
    <w:tmpl w:val="E348C45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7" w15:restartNumberingAfterBreak="0">
    <w:nsid w:val="579B21B8"/>
    <w:multiLevelType w:val="multilevel"/>
    <w:tmpl w:val="9E049A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7F113A7"/>
    <w:multiLevelType w:val="multilevel"/>
    <w:tmpl w:val="1DB0568A"/>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9" w15:restartNumberingAfterBreak="0">
    <w:nsid w:val="580B6037"/>
    <w:multiLevelType w:val="hybridMultilevel"/>
    <w:tmpl w:val="CBB8115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0" w15:restartNumberingAfterBreak="0">
    <w:nsid w:val="58B431BC"/>
    <w:multiLevelType w:val="hybridMultilevel"/>
    <w:tmpl w:val="D2F47262"/>
    <w:lvl w:ilvl="0" w:tplc="1C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90D2229"/>
    <w:multiLevelType w:val="multilevel"/>
    <w:tmpl w:val="640201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9124AEB"/>
    <w:multiLevelType w:val="multilevel"/>
    <w:tmpl w:val="BBF0949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98F78FA"/>
    <w:multiLevelType w:val="multilevel"/>
    <w:tmpl w:val="A4CCA4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B6B6663"/>
    <w:multiLevelType w:val="hybridMultilevel"/>
    <w:tmpl w:val="66E036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5" w15:restartNumberingAfterBreak="0">
    <w:nsid w:val="5DBB24AF"/>
    <w:multiLevelType w:val="hybridMultilevel"/>
    <w:tmpl w:val="810AC4DC"/>
    <w:lvl w:ilvl="0" w:tplc="1C0A0013">
      <w:start w:val="1"/>
      <w:numFmt w:val="upperRoman"/>
      <w:lvlText w:val="%1."/>
      <w:lvlJc w:val="righ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5E3C6AA8"/>
    <w:multiLevelType w:val="multilevel"/>
    <w:tmpl w:val="E344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E6A595A"/>
    <w:multiLevelType w:val="hybridMultilevel"/>
    <w:tmpl w:val="3948D8E8"/>
    <w:lvl w:ilvl="0" w:tplc="1C0A0003">
      <w:start w:val="1"/>
      <w:numFmt w:val="bullet"/>
      <w:lvlText w:val="o"/>
      <w:lvlJc w:val="left"/>
      <w:pPr>
        <w:ind w:left="1080" w:hanging="360"/>
      </w:pPr>
      <w:rPr>
        <w:rFonts w:ascii="Courier New" w:hAnsi="Courier New" w:cs="Courier New" w:hint="default"/>
        <w:spacing w:val="0"/>
        <w:w w:val="100"/>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8" w15:restartNumberingAfterBreak="0">
    <w:nsid w:val="61763235"/>
    <w:multiLevelType w:val="multilevel"/>
    <w:tmpl w:val="B6D0D3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1AB2179"/>
    <w:multiLevelType w:val="multilevel"/>
    <w:tmpl w:val="C4349D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E30091"/>
    <w:multiLevelType w:val="multilevel"/>
    <w:tmpl w:val="EC14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2035DE8"/>
    <w:multiLevelType w:val="multilevel"/>
    <w:tmpl w:val="8E1C4B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20528F4"/>
    <w:multiLevelType w:val="multilevel"/>
    <w:tmpl w:val="BAD0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268091F"/>
    <w:multiLevelType w:val="multilevel"/>
    <w:tmpl w:val="44E2118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2F21BAE"/>
    <w:multiLevelType w:val="hybridMultilevel"/>
    <w:tmpl w:val="35CAFE6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5" w15:restartNumberingAfterBreak="0">
    <w:nsid w:val="63557423"/>
    <w:multiLevelType w:val="hybridMultilevel"/>
    <w:tmpl w:val="AC8273A8"/>
    <w:lvl w:ilvl="0" w:tplc="0C0A000F">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56" w15:restartNumberingAfterBreak="0">
    <w:nsid w:val="637670C4"/>
    <w:multiLevelType w:val="multilevel"/>
    <w:tmpl w:val="B9C2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3FC1475"/>
    <w:multiLevelType w:val="hybridMultilevel"/>
    <w:tmpl w:val="26828D2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8" w15:restartNumberingAfterBreak="0">
    <w:nsid w:val="644272A0"/>
    <w:multiLevelType w:val="hybridMultilevel"/>
    <w:tmpl w:val="4DCE6DC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9" w15:restartNumberingAfterBreak="0">
    <w:nsid w:val="645F6365"/>
    <w:multiLevelType w:val="hybridMultilevel"/>
    <w:tmpl w:val="2B140800"/>
    <w:lvl w:ilvl="0" w:tplc="9702916A">
      <w:start w:val="1"/>
      <w:numFmt w:val="lowerLetter"/>
      <w:lvlText w:val="%1)"/>
      <w:lvlJc w:val="left"/>
      <w:pPr>
        <w:ind w:left="1065" w:hanging="360"/>
      </w:pPr>
      <w:rPr>
        <w:rFonts w:hint="default"/>
        <w:b/>
      </w:rPr>
    </w:lvl>
    <w:lvl w:ilvl="1" w:tplc="1C0A0019" w:tentative="1">
      <w:start w:val="1"/>
      <w:numFmt w:val="lowerLetter"/>
      <w:lvlText w:val="%2."/>
      <w:lvlJc w:val="left"/>
      <w:pPr>
        <w:ind w:left="1785" w:hanging="360"/>
      </w:pPr>
    </w:lvl>
    <w:lvl w:ilvl="2" w:tplc="1C0A001B" w:tentative="1">
      <w:start w:val="1"/>
      <w:numFmt w:val="lowerRoman"/>
      <w:lvlText w:val="%3."/>
      <w:lvlJc w:val="right"/>
      <w:pPr>
        <w:ind w:left="2505" w:hanging="180"/>
      </w:pPr>
    </w:lvl>
    <w:lvl w:ilvl="3" w:tplc="1C0A000F" w:tentative="1">
      <w:start w:val="1"/>
      <w:numFmt w:val="decimal"/>
      <w:lvlText w:val="%4."/>
      <w:lvlJc w:val="left"/>
      <w:pPr>
        <w:ind w:left="3225" w:hanging="360"/>
      </w:pPr>
    </w:lvl>
    <w:lvl w:ilvl="4" w:tplc="1C0A0019" w:tentative="1">
      <w:start w:val="1"/>
      <w:numFmt w:val="lowerLetter"/>
      <w:lvlText w:val="%5."/>
      <w:lvlJc w:val="left"/>
      <w:pPr>
        <w:ind w:left="3945" w:hanging="360"/>
      </w:pPr>
    </w:lvl>
    <w:lvl w:ilvl="5" w:tplc="1C0A001B" w:tentative="1">
      <w:start w:val="1"/>
      <w:numFmt w:val="lowerRoman"/>
      <w:lvlText w:val="%6."/>
      <w:lvlJc w:val="right"/>
      <w:pPr>
        <w:ind w:left="4665" w:hanging="180"/>
      </w:pPr>
    </w:lvl>
    <w:lvl w:ilvl="6" w:tplc="1C0A000F" w:tentative="1">
      <w:start w:val="1"/>
      <w:numFmt w:val="decimal"/>
      <w:lvlText w:val="%7."/>
      <w:lvlJc w:val="left"/>
      <w:pPr>
        <w:ind w:left="5385" w:hanging="360"/>
      </w:pPr>
    </w:lvl>
    <w:lvl w:ilvl="7" w:tplc="1C0A0019" w:tentative="1">
      <w:start w:val="1"/>
      <w:numFmt w:val="lowerLetter"/>
      <w:lvlText w:val="%8."/>
      <w:lvlJc w:val="left"/>
      <w:pPr>
        <w:ind w:left="6105" w:hanging="360"/>
      </w:pPr>
    </w:lvl>
    <w:lvl w:ilvl="8" w:tplc="1C0A001B" w:tentative="1">
      <w:start w:val="1"/>
      <w:numFmt w:val="lowerRoman"/>
      <w:lvlText w:val="%9."/>
      <w:lvlJc w:val="right"/>
      <w:pPr>
        <w:ind w:left="6825" w:hanging="180"/>
      </w:pPr>
    </w:lvl>
  </w:abstractNum>
  <w:abstractNum w:abstractNumId="160" w15:restartNumberingAfterBreak="0">
    <w:nsid w:val="65293472"/>
    <w:multiLevelType w:val="hybridMultilevel"/>
    <w:tmpl w:val="7DF6B6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1" w15:restartNumberingAfterBreak="0">
    <w:nsid w:val="652F1516"/>
    <w:multiLevelType w:val="multilevel"/>
    <w:tmpl w:val="3596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5485016"/>
    <w:multiLevelType w:val="multilevel"/>
    <w:tmpl w:val="3EC0D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5694B70"/>
    <w:multiLevelType w:val="multilevel"/>
    <w:tmpl w:val="8586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7E767A6"/>
    <w:multiLevelType w:val="hybridMultilevel"/>
    <w:tmpl w:val="9FB45BFC"/>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68247FDC"/>
    <w:multiLevelType w:val="multilevel"/>
    <w:tmpl w:val="0122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9D6756B"/>
    <w:multiLevelType w:val="multilevel"/>
    <w:tmpl w:val="BAFC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A081143"/>
    <w:multiLevelType w:val="multilevel"/>
    <w:tmpl w:val="DB22478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ACA12B4"/>
    <w:multiLevelType w:val="hybridMultilevel"/>
    <w:tmpl w:val="84BEE6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9" w15:restartNumberingAfterBreak="0">
    <w:nsid w:val="6B2F2C8E"/>
    <w:multiLevelType w:val="multilevel"/>
    <w:tmpl w:val="FEACC4A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BB84C12"/>
    <w:multiLevelType w:val="multilevel"/>
    <w:tmpl w:val="0CF6AC2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C486572"/>
    <w:multiLevelType w:val="multilevel"/>
    <w:tmpl w:val="0CF8F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D676129"/>
    <w:multiLevelType w:val="multilevel"/>
    <w:tmpl w:val="4BB27A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DC160BD"/>
    <w:multiLevelType w:val="multilevel"/>
    <w:tmpl w:val="160642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EC018FD"/>
    <w:multiLevelType w:val="multilevel"/>
    <w:tmpl w:val="916A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0D97F84"/>
    <w:multiLevelType w:val="multilevel"/>
    <w:tmpl w:val="96500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1BE4BE0"/>
    <w:multiLevelType w:val="hybridMultilevel"/>
    <w:tmpl w:val="516E473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7" w15:restartNumberingAfterBreak="0">
    <w:nsid w:val="727003A2"/>
    <w:multiLevelType w:val="hybridMultilevel"/>
    <w:tmpl w:val="24981DD8"/>
    <w:lvl w:ilvl="0" w:tplc="77FA2A98">
      <w:numFmt w:val="bullet"/>
      <w:lvlText w:val="-"/>
      <w:lvlJc w:val="left"/>
      <w:pPr>
        <w:ind w:left="360" w:hanging="360"/>
      </w:pPr>
      <w:rPr>
        <w:rFonts w:ascii="Aptos" w:eastAsiaTheme="minorHAnsi" w:hAnsi="Aptos" w:cstheme="minorBidi"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8" w15:restartNumberingAfterBreak="0">
    <w:nsid w:val="727B2685"/>
    <w:multiLevelType w:val="multilevel"/>
    <w:tmpl w:val="D7A8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30C51EF"/>
    <w:multiLevelType w:val="multilevel"/>
    <w:tmpl w:val="FE30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3A675A2"/>
    <w:multiLevelType w:val="multilevel"/>
    <w:tmpl w:val="4798E2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73A70E63"/>
    <w:multiLevelType w:val="multilevel"/>
    <w:tmpl w:val="1E4CAD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3B11E9D"/>
    <w:multiLevelType w:val="multilevel"/>
    <w:tmpl w:val="25AA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42C1F2A"/>
    <w:multiLevelType w:val="multilevel"/>
    <w:tmpl w:val="72F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4D96CB8"/>
    <w:multiLevelType w:val="multilevel"/>
    <w:tmpl w:val="467A0C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4E9543F"/>
    <w:multiLevelType w:val="multilevel"/>
    <w:tmpl w:val="6E94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69033DD"/>
    <w:multiLevelType w:val="hybridMultilevel"/>
    <w:tmpl w:val="A00C9556"/>
    <w:lvl w:ilvl="0" w:tplc="77FA2A98">
      <w:numFmt w:val="bullet"/>
      <w:lvlText w:val="-"/>
      <w:lvlJc w:val="left"/>
      <w:pPr>
        <w:ind w:left="360" w:hanging="360"/>
      </w:pPr>
      <w:rPr>
        <w:rFonts w:ascii="Aptos" w:eastAsiaTheme="minorHAnsi" w:hAnsi="Aptos" w:cstheme="minorBidi"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7" w15:restartNumberingAfterBreak="0">
    <w:nsid w:val="76CD734D"/>
    <w:multiLevelType w:val="hybridMultilevel"/>
    <w:tmpl w:val="8BACEF0C"/>
    <w:lvl w:ilvl="0" w:tplc="FFFFFFFF">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8" w15:restartNumberingAfterBreak="0">
    <w:nsid w:val="77524FDF"/>
    <w:multiLevelType w:val="hybridMultilevel"/>
    <w:tmpl w:val="BCB88824"/>
    <w:lvl w:ilvl="0" w:tplc="6666DFFE">
      <w:start w:val="1"/>
      <w:numFmt w:val="decimal"/>
      <w:lvlText w:val="%1."/>
      <w:lvlJc w:val="left"/>
      <w:pPr>
        <w:ind w:left="720" w:hanging="360"/>
      </w:pPr>
      <w:rPr>
        <w:rFonts w:ascii="Times New Roman" w:eastAsia="Times New Roman" w:hAnsi="Times New Roman" w:cs="Times New Roman"/>
        <w:b w:val="0"/>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9" w15:restartNumberingAfterBreak="0">
    <w:nsid w:val="776953CE"/>
    <w:multiLevelType w:val="multilevel"/>
    <w:tmpl w:val="78F276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7D336C3"/>
    <w:multiLevelType w:val="hybridMultilevel"/>
    <w:tmpl w:val="273ED4F4"/>
    <w:lvl w:ilvl="0" w:tplc="1C0A0003">
      <w:start w:val="1"/>
      <w:numFmt w:val="bullet"/>
      <w:lvlText w:val="o"/>
      <w:lvlJc w:val="left"/>
      <w:pPr>
        <w:ind w:left="1080" w:hanging="360"/>
      </w:pPr>
      <w:rPr>
        <w:rFonts w:ascii="Courier New" w:hAnsi="Courier New" w:cs="Courier New" w:hint="default"/>
        <w:color w:val="767171"/>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1" w15:restartNumberingAfterBreak="0">
    <w:nsid w:val="78082DD5"/>
    <w:multiLevelType w:val="multilevel"/>
    <w:tmpl w:val="F3B29BB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2" w15:restartNumberingAfterBreak="0">
    <w:nsid w:val="78604CDF"/>
    <w:multiLevelType w:val="multilevel"/>
    <w:tmpl w:val="95DE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91F745D"/>
    <w:multiLevelType w:val="multilevel"/>
    <w:tmpl w:val="A6DCDF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94E7DAB"/>
    <w:multiLevelType w:val="multilevel"/>
    <w:tmpl w:val="9BC0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9601AE3"/>
    <w:multiLevelType w:val="multilevel"/>
    <w:tmpl w:val="3A5C570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9D77B15"/>
    <w:multiLevelType w:val="multilevel"/>
    <w:tmpl w:val="5F8A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AFD7CDB"/>
    <w:multiLevelType w:val="multilevel"/>
    <w:tmpl w:val="6FFA30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B85675F"/>
    <w:multiLevelType w:val="multilevel"/>
    <w:tmpl w:val="EF1494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CCB58F8"/>
    <w:multiLevelType w:val="multilevel"/>
    <w:tmpl w:val="B3E857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CD84371"/>
    <w:multiLevelType w:val="multilevel"/>
    <w:tmpl w:val="2604EB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CF922EC"/>
    <w:multiLevelType w:val="multilevel"/>
    <w:tmpl w:val="FE4C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D991FC8"/>
    <w:multiLevelType w:val="multilevel"/>
    <w:tmpl w:val="E41C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DED36C2"/>
    <w:multiLevelType w:val="multilevel"/>
    <w:tmpl w:val="D8444D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DF73F92"/>
    <w:multiLevelType w:val="hybridMultilevel"/>
    <w:tmpl w:val="F2B0CE0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5" w15:restartNumberingAfterBreak="0">
    <w:nsid w:val="7E0A0E05"/>
    <w:multiLevelType w:val="hybridMultilevel"/>
    <w:tmpl w:val="FDBA7804"/>
    <w:lvl w:ilvl="0" w:tplc="77BE4A18">
      <w:numFmt w:val="bullet"/>
      <w:lvlText w:val="-"/>
      <w:lvlJc w:val="left"/>
      <w:pPr>
        <w:ind w:left="72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6" w15:restartNumberingAfterBreak="0">
    <w:nsid w:val="7EBF2DCB"/>
    <w:multiLevelType w:val="hybridMultilevel"/>
    <w:tmpl w:val="92A2C7A6"/>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7F0C4E11"/>
    <w:multiLevelType w:val="multilevel"/>
    <w:tmpl w:val="4FD87D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F745FD5"/>
    <w:multiLevelType w:val="hybridMultilevel"/>
    <w:tmpl w:val="63C87C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976401507">
    <w:abstractNumId w:val="206"/>
  </w:num>
  <w:num w:numId="2" w16cid:durableId="1180898633">
    <w:abstractNumId w:val="202"/>
  </w:num>
  <w:num w:numId="3" w16cid:durableId="1176455563">
    <w:abstractNumId w:val="121"/>
  </w:num>
  <w:num w:numId="4" w16cid:durableId="1606040205">
    <w:abstractNumId w:val="30"/>
  </w:num>
  <w:num w:numId="5" w16cid:durableId="1188133925">
    <w:abstractNumId w:val="196"/>
  </w:num>
  <w:num w:numId="6" w16cid:durableId="1362048782">
    <w:abstractNumId w:val="174"/>
  </w:num>
  <w:num w:numId="7" w16cid:durableId="180749247">
    <w:abstractNumId w:val="117"/>
  </w:num>
  <w:num w:numId="8" w16cid:durableId="1256868445">
    <w:abstractNumId w:val="146"/>
  </w:num>
  <w:num w:numId="9" w16cid:durableId="2118940598">
    <w:abstractNumId w:val="12"/>
  </w:num>
  <w:num w:numId="10" w16cid:durableId="1765150418">
    <w:abstractNumId w:val="156"/>
  </w:num>
  <w:num w:numId="11" w16cid:durableId="219289459">
    <w:abstractNumId w:val="124"/>
  </w:num>
  <w:num w:numId="12" w16cid:durableId="1820070168">
    <w:abstractNumId w:val="114"/>
  </w:num>
  <w:num w:numId="13" w16cid:durableId="781219078">
    <w:abstractNumId w:val="166"/>
  </w:num>
  <w:num w:numId="14" w16cid:durableId="2040012891">
    <w:abstractNumId w:val="91"/>
  </w:num>
  <w:num w:numId="15" w16cid:durableId="98182436">
    <w:abstractNumId w:val="1"/>
  </w:num>
  <w:num w:numId="16" w16cid:durableId="474417684">
    <w:abstractNumId w:val="46"/>
  </w:num>
  <w:num w:numId="17" w16cid:durableId="907039370">
    <w:abstractNumId w:val="152"/>
  </w:num>
  <w:num w:numId="18" w16cid:durableId="1071274497">
    <w:abstractNumId w:val="104"/>
  </w:num>
  <w:num w:numId="19" w16cid:durableId="694816978">
    <w:abstractNumId w:val="88"/>
  </w:num>
  <w:num w:numId="20" w16cid:durableId="257181423">
    <w:abstractNumId w:val="182"/>
  </w:num>
  <w:num w:numId="21" w16cid:durableId="700477843">
    <w:abstractNumId w:val="178"/>
  </w:num>
  <w:num w:numId="22" w16cid:durableId="959067262">
    <w:abstractNumId w:val="185"/>
  </w:num>
  <w:num w:numId="23" w16cid:durableId="1876190008">
    <w:abstractNumId w:val="179"/>
  </w:num>
  <w:num w:numId="24" w16cid:durableId="657071922">
    <w:abstractNumId w:val="57"/>
  </w:num>
  <w:num w:numId="25" w16cid:durableId="1237476899">
    <w:abstractNumId w:val="192"/>
  </w:num>
  <w:num w:numId="26" w16cid:durableId="2032797467">
    <w:abstractNumId w:val="50"/>
  </w:num>
  <w:num w:numId="27" w16cid:durableId="1330518108">
    <w:abstractNumId w:val="100"/>
  </w:num>
  <w:num w:numId="28" w16cid:durableId="1655527993">
    <w:abstractNumId w:val="63"/>
  </w:num>
  <w:num w:numId="29" w16cid:durableId="130943102">
    <w:abstractNumId w:val="10"/>
  </w:num>
  <w:num w:numId="30" w16cid:durableId="1778210202">
    <w:abstractNumId w:val="194"/>
  </w:num>
  <w:num w:numId="31" w16cid:durableId="515584411">
    <w:abstractNumId w:val="68"/>
  </w:num>
  <w:num w:numId="32" w16cid:durableId="712340333">
    <w:abstractNumId w:val="106"/>
  </w:num>
  <w:num w:numId="33" w16cid:durableId="1055658862">
    <w:abstractNumId w:val="183"/>
  </w:num>
  <w:num w:numId="34" w16cid:durableId="1559318671">
    <w:abstractNumId w:val="34"/>
  </w:num>
  <w:num w:numId="35" w16cid:durableId="174536303">
    <w:abstractNumId w:val="80"/>
  </w:num>
  <w:num w:numId="36" w16cid:durableId="884367330">
    <w:abstractNumId w:val="2"/>
  </w:num>
  <w:num w:numId="37" w16cid:durableId="1806923748">
    <w:abstractNumId w:val="47"/>
  </w:num>
  <w:num w:numId="38" w16cid:durableId="1546603586">
    <w:abstractNumId w:val="83"/>
  </w:num>
  <w:num w:numId="39" w16cid:durableId="128784903">
    <w:abstractNumId w:val="108"/>
  </w:num>
  <w:num w:numId="40" w16cid:durableId="436173113">
    <w:abstractNumId w:val="102"/>
  </w:num>
  <w:num w:numId="41" w16cid:durableId="1777409252">
    <w:abstractNumId w:val="150"/>
  </w:num>
  <w:num w:numId="42" w16cid:durableId="7686127">
    <w:abstractNumId w:val="15"/>
  </w:num>
  <w:num w:numId="43" w16cid:durableId="184948652">
    <w:abstractNumId w:val="163"/>
  </w:num>
  <w:num w:numId="44" w16cid:durableId="86662519">
    <w:abstractNumId w:val="165"/>
  </w:num>
  <w:num w:numId="45" w16cid:durableId="675112898">
    <w:abstractNumId w:val="161"/>
  </w:num>
  <w:num w:numId="46" w16cid:durableId="996147833">
    <w:abstractNumId w:val="123"/>
  </w:num>
  <w:num w:numId="47" w16cid:durableId="2020156644">
    <w:abstractNumId w:val="4"/>
  </w:num>
  <w:num w:numId="48" w16cid:durableId="2014260216">
    <w:abstractNumId w:val="40"/>
  </w:num>
  <w:num w:numId="49" w16cid:durableId="1699811448">
    <w:abstractNumId w:val="27"/>
  </w:num>
  <w:num w:numId="50" w16cid:durableId="1700281573">
    <w:abstractNumId w:val="168"/>
  </w:num>
  <w:num w:numId="51" w16cid:durableId="1062412285">
    <w:abstractNumId w:val="180"/>
  </w:num>
  <w:num w:numId="52" w16cid:durableId="1022828909">
    <w:abstractNumId w:val="56"/>
  </w:num>
  <w:num w:numId="53" w16cid:durableId="870146369">
    <w:abstractNumId w:val="133"/>
  </w:num>
  <w:num w:numId="54" w16cid:durableId="94326446">
    <w:abstractNumId w:val="52"/>
  </w:num>
  <w:num w:numId="55" w16cid:durableId="2008167188">
    <w:abstractNumId w:val="84"/>
  </w:num>
  <w:num w:numId="56" w16cid:durableId="1122655053">
    <w:abstractNumId w:val="157"/>
  </w:num>
  <w:num w:numId="57" w16cid:durableId="19743902">
    <w:abstractNumId w:val="69"/>
  </w:num>
  <w:num w:numId="58" w16cid:durableId="610014834">
    <w:abstractNumId w:val="136"/>
  </w:num>
  <w:num w:numId="59" w16cid:durableId="622544240">
    <w:abstractNumId w:val="54"/>
  </w:num>
  <w:num w:numId="60" w16cid:durableId="792022160">
    <w:abstractNumId w:val="204"/>
  </w:num>
  <w:num w:numId="61" w16cid:durableId="934899842">
    <w:abstractNumId w:val="205"/>
  </w:num>
  <w:num w:numId="62" w16cid:durableId="704791793">
    <w:abstractNumId w:val="25"/>
  </w:num>
  <w:num w:numId="63" w16cid:durableId="394204452">
    <w:abstractNumId w:val="101"/>
  </w:num>
  <w:num w:numId="64" w16cid:durableId="1805852621">
    <w:abstractNumId w:val="95"/>
  </w:num>
  <w:num w:numId="65" w16cid:durableId="1252348831">
    <w:abstractNumId w:val="99"/>
  </w:num>
  <w:num w:numId="66" w16cid:durableId="109395678">
    <w:abstractNumId w:val="39"/>
  </w:num>
  <w:num w:numId="67" w16cid:durableId="682364755">
    <w:abstractNumId w:val="147"/>
  </w:num>
  <w:num w:numId="68" w16cid:durableId="477455222">
    <w:abstractNumId w:val="115"/>
  </w:num>
  <w:num w:numId="69" w16cid:durableId="1984961493">
    <w:abstractNumId w:val="188"/>
  </w:num>
  <w:num w:numId="70" w16cid:durableId="807358773">
    <w:abstractNumId w:val="53"/>
  </w:num>
  <w:num w:numId="71" w16cid:durableId="669909332">
    <w:abstractNumId w:val="138"/>
  </w:num>
  <w:num w:numId="72" w16cid:durableId="2069527917">
    <w:abstractNumId w:val="11"/>
  </w:num>
  <w:num w:numId="73" w16cid:durableId="1855606842">
    <w:abstractNumId w:val="33"/>
  </w:num>
  <w:num w:numId="74" w16cid:durableId="659308009">
    <w:abstractNumId w:val="38"/>
  </w:num>
  <w:num w:numId="75" w16cid:durableId="1521313035">
    <w:abstractNumId w:val="111"/>
  </w:num>
  <w:num w:numId="76" w16cid:durableId="1578662892">
    <w:abstractNumId w:val="75"/>
  </w:num>
  <w:num w:numId="77" w16cid:durableId="1317371581">
    <w:abstractNumId w:val="171"/>
  </w:num>
  <w:num w:numId="78" w16cid:durableId="569658711">
    <w:abstractNumId w:val="149"/>
  </w:num>
  <w:num w:numId="79" w16cid:durableId="1178958722">
    <w:abstractNumId w:val="141"/>
  </w:num>
  <w:num w:numId="80" w16cid:durableId="134414895">
    <w:abstractNumId w:val="0"/>
  </w:num>
  <w:num w:numId="81" w16cid:durableId="746196577">
    <w:abstractNumId w:val="199"/>
  </w:num>
  <w:num w:numId="82" w16cid:durableId="1528133207">
    <w:abstractNumId w:val="143"/>
  </w:num>
  <w:num w:numId="83" w16cid:durableId="120659036">
    <w:abstractNumId w:val="92"/>
  </w:num>
  <w:num w:numId="84" w16cid:durableId="2114394682">
    <w:abstractNumId w:val="65"/>
  </w:num>
  <w:num w:numId="85" w16cid:durableId="1069572569">
    <w:abstractNumId w:val="112"/>
  </w:num>
  <w:num w:numId="86" w16cid:durableId="2032292785">
    <w:abstractNumId w:val="14"/>
  </w:num>
  <w:num w:numId="87" w16cid:durableId="969822147">
    <w:abstractNumId w:val="148"/>
  </w:num>
  <w:num w:numId="88" w16cid:durableId="1109550467">
    <w:abstractNumId w:val="62"/>
  </w:num>
  <w:num w:numId="89" w16cid:durableId="105126281">
    <w:abstractNumId w:val="37"/>
  </w:num>
  <w:num w:numId="90" w16cid:durableId="605383445">
    <w:abstractNumId w:val="153"/>
  </w:num>
  <w:num w:numId="91" w16cid:durableId="72625931">
    <w:abstractNumId w:val="94"/>
  </w:num>
  <w:num w:numId="92" w16cid:durableId="1125122491">
    <w:abstractNumId w:val="201"/>
  </w:num>
  <w:num w:numId="93" w16cid:durableId="5837857">
    <w:abstractNumId w:val="29"/>
  </w:num>
  <w:num w:numId="94" w16cid:durableId="630013704">
    <w:abstractNumId w:val="172"/>
  </w:num>
  <w:num w:numId="95" w16cid:durableId="292756601">
    <w:abstractNumId w:val="162"/>
  </w:num>
  <w:num w:numId="96" w16cid:durableId="445853938">
    <w:abstractNumId w:val="198"/>
  </w:num>
  <w:num w:numId="97" w16cid:durableId="1785342740">
    <w:abstractNumId w:val="203"/>
  </w:num>
  <w:num w:numId="98" w16cid:durableId="419176682">
    <w:abstractNumId w:val="131"/>
  </w:num>
  <w:num w:numId="99" w16cid:durableId="257906968">
    <w:abstractNumId w:val="184"/>
  </w:num>
  <w:num w:numId="100" w16cid:durableId="1954553701">
    <w:abstractNumId w:val="93"/>
  </w:num>
  <w:num w:numId="101" w16cid:durableId="142504393">
    <w:abstractNumId w:val="42"/>
  </w:num>
  <w:num w:numId="102" w16cid:durableId="352848044">
    <w:abstractNumId w:val="189"/>
  </w:num>
  <w:num w:numId="103" w16cid:durableId="37751991">
    <w:abstractNumId w:val="175"/>
  </w:num>
  <w:num w:numId="104" w16cid:durableId="1571501908">
    <w:abstractNumId w:val="173"/>
  </w:num>
  <w:num w:numId="105" w16cid:durableId="474025734">
    <w:abstractNumId w:val="129"/>
  </w:num>
  <w:num w:numId="106" w16cid:durableId="1627733882">
    <w:abstractNumId w:val="195"/>
  </w:num>
  <w:num w:numId="107" w16cid:durableId="2078018261">
    <w:abstractNumId w:val="151"/>
  </w:num>
  <w:num w:numId="108" w16cid:durableId="921140086">
    <w:abstractNumId w:val="97"/>
  </w:num>
  <w:num w:numId="109" w16cid:durableId="1992129064">
    <w:abstractNumId w:val="77"/>
  </w:num>
  <w:num w:numId="110" w16cid:durableId="1235701454">
    <w:abstractNumId w:val="32"/>
  </w:num>
  <w:num w:numId="111" w16cid:durableId="1303459836">
    <w:abstractNumId w:val="16"/>
  </w:num>
  <w:num w:numId="112" w16cid:durableId="1665863930">
    <w:abstractNumId w:val="170"/>
  </w:num>
  <w:num w:numId="113" w16cid:durableId="106893891">
    <w:abstractNumId w:val="8"/>
  </w:num>
  <w:num w:numId="114" w16cid:durableId="470055585">
    <w:abstractNumId w:val="82"/>
  </w:num>
  <w:num w:numId="115" w16cid:durableId="499584528">
    <w:abstractNumId w:val="127"/>
  </w:num>
  <w:num w:numId="116" w16cid:durableId="1812870073">
    <w:abstractNumId w:val="125"/>
  </w:num>
  <w:num w:numId="117" w16cid:durableId="1758139222">
    <w:abstractNumId w:val="9"/>
  </w:num>
  <w:num w:numId="118" w16cid:durableId="1780755783">
    <w:abstractNumId w:val="200"/>
  </w:num>
  <w:num w:numId="119" w16cid:durableId="1322998370">
    <w:abstractNumId w:val="113"/>
  </w:num>
  <w:num w:numId="120" w16cid:durableId="1242176257">
    <w:abstractNumId w:val="89"/>
  </w:num>
  <w:num w:numId="121" w16cid:durableId="1873028574">
    <w:abstractNumId w:val="44"/>
  </w:num>
  <w:num w:numId="122" w16cid:durableId="1394305749">
    <w:abstractNumId w:val="181"/>
  </w:num>
  <w:num w:numId="123" w16cid:durableId="982780070">
    <w:abstractNumId w:val="116"/>
  </w:num>
  <w:num w:numId="124" w16cid:durableId="17242087">
    <w:abstractNumId w:val="207"/>
  </w:num>
  <w:num w:numId="125" w16cid:durableId="1490100682">
    <w:abstractNumId w:val="61"/>
  </w:num>
  <w:num w:numId="126" w16cid:durableId="1473868976">
    <w:abstractNumId w:val="197"/>
  </w:num>
  <w:num w:numId="127" w16cid:durableId="1923293175">
    <w:abstractNumId w:val="137"/>
  </w:num>
  <w:num w:numId="128" w16cid:durableId="29035711">
    <w:abstractNumId w:val="193"/>
  </w:num>
  <w:num w:numId="129" w16cid:durableId="1021854213">
    <w:abstractNumId w:val="51"/>
  </w:num>
  <w:num w:numId="130" w16cid:durableId="1890146119">
    <w:abstractNumId w:val="169"/>
  </w:num>
  <w:num w:numId="131" w16cid:durableId="1457333192">
    <w:abstractNumId w:val="31"/>
  </w:num>
  <w:num w:numId="132" w16cid:durableId="1059744275">
    <w:abstractNumId w:val="134"/>
  </w:num>
  <w:num w:numId="133" w16cid:durableId="614989897">
    <w:abstractNumId w:val="87"/>
  </w:num>
  <w:num w:numId="134" w16cid:durableId="235172303">
    <w:abstractNumId w:val="60"/>
  </w:num>
  <w:num w:numId="135" w16cid:durableId="235166946">
    <w:abstractNumId w:val="142"/>
  </w:num>
  <w:num w:numId="136" w16cid:durableId="829639399">
    <w:abstractNumId w:val="24"/>
  </w:num>
  <w:num w:numId="137" w16cid:durableId="338503718">
    <w:abstractNumId w:val="122"/>
  </w:num>
  <w:num w:numId="138" w16cid:durableId="1727685539">
    <w:abstractNumId w:val="81"/>
  </w:num>
  <w:num w:numId="139" w16cid:durableId="40056773">
    <w:abstractNumId w:val="120"/>
  </w:num>
  <w:num w:numId="140" w16cid:durableId="200360024">
    <w:abstractNumId w:val="73"/>
  </w:num>
  <w:num w:numId="141" w16cid:durableId="1812556711">
    <w:abstractNumId w:val="78"/>
  </w:num>
  <w:num w:numId="142" w16cid:durableId="1676764613">
    <w:abstractNumId w:val="109"/>
  </w:num>
  <w:num w:numId="143" w16cid:durableId="2002388916">
    <w:abstractNumId w:val="6"/>
  </w:num>
  <w:num w:numId="144" w16cid:durableId="1293712490">
    <w:abstractNumId w:val="167"/>
  </w:num>
  <w:num w:numId="145" w16cid:durableId="1942299977">
    <w:abstractNumId w:val="98"/>
  </w:num>
  <w:num w:numId="146" w16cid:durableId="1176653045">
    <w:abstractNumId w:val="41"/>
  </w:num>
  <w:num w:numId="147" w16cid:durableId="1630286629">
    <w:abstractNumId w:val="110"/>
  </w:num>
  <w:num w:numId="148" w16cid:durableId="200751021">
    <w:abstractNumId w:val="66"/>
  </w:num>
  <w:num w:numId="149" w16cid:durableId="1524319533">
    <w:abstractNumId w:val="90"/>
  </w:num>
  <w:num w:numId="150" w16cid:durableId="965503695">
    <w:abstractNumId w:val="74"/>
  </w:num>
  <w:num w:numId="151" w16cid:durableId="1272932018">
    <w:abstractNumId w:val="5"/>
  </w:num>
  <w:num w:numId="152" w16cid:durableId="1388794597">
    <w:abstractNumId w:val="176"/>
  </w:num>
  <w:num w:numId="153" w16cid:durableId="338851215">
    <w:abstractNumId w:val="155"/>
  </w:num>
  <w:num w:numId="154" w16cid:durableId="153304004">
    <w:abstractNumId w:val="23"/>
  </w:num>
  <w:num w:numId="155" w16cid:durableId="346449919">
    <w:abstractNumId w:val="186"/>
  </w:num>
  <w:num w:numId="156" w16cid:durableId="1974670706">
    <w:abstractNumId w:val="85"/>
  </w:num>
  <w:num w:numId="157" w16cid:durableId="1861160713">
    <w:abstractNumId w:val="13"/>
  </w:num>
  <w:num w:numId="158" w16cid:durableId="604701871">
    <w:abstractNumId w:val="21"/>
  </w:num>
  <w:num w:numId="159" w16cid:durableId="1636981132">
    <w:abstractNumId w:val="43"/>
  </w:num>
  <w:num w:numId="160" w16cid:durableId="2019768183">
    <w:abstractNumId w:val="22"/>
  </w:num>
  <w:num w:numId="161" w16cid:durableId="1440220204">
    <w:abstractNumId w:val="17"/>
  </w:num>
  <w:num w:numId="162" w16cid:durableId="1642542669">
    <w:abstractNumId w:val="35"/>
  </w:num>
  <w:num w:numId="163" w16cid:durableId="794567907">
    <w:abstractNumId w:val="159"/>
  </w:num>
  <w:num w:numId="164" w16cid:durableId="603998728">
    <w:abstractNumId w:val="45"/>
  </w:num>
  <w:num w:numId="165" w16cid:durableId="1075857080">
    <w:abstractNumId w:val="126"/>
  </w:num>
  <w:num w:numId="166" w16cid:durableId="42874130">
    <w:abstractNumId w:val="67"/>
  </w:num>
  <w:num w:numId="167" w16cid:durableId="438112354">
    <w:abstractNumId w:val="135"/>
  </w:num>
  <w:num w:numId="168" w16cid:durableId="149105913">
    <w:abstractNumId w:val="28"/>
  </w:num>
  <w:num w:numId="169" w16cid:durableId="1401634046">
    <w:abstractNumId w:val="20"/>
  </w:num>
  <w:num w:numId="170" w16cid:durableId="1719545630">
    <w:abstractNumId w:val="18"/>
  </w:num>
  <w:num w:numId="171" w16cid:durableId="1021663549">
    <w:abstractNumId w:val="71"/>
  </w:num>
  <w:num w:numId="172" w16cid:durableId="1252810854">
    <w:abstractNumId w:val="58"/>
  </w:num>
  <w:num w:numId="173" w16cid:durableId="371803826">
    <w:abstractNumId w:val="128"/>
  </w:num>
  <w:num w:numId="174" w16cid:durableId="257834230">
    <w:abstractNumId w:val="154"/>
  </w:num>
  <w:num w:numId="175" w16cid:durableId="1787308115">
    <w:abstractNumId w:val="72"/>
  </w:num>
  <w:num w:numId="176" w16cid:durableId="144593182">
    <w:abstractNumId w:val="86"/>
  </w:num>
  <w:num w:numId="177" w16cid:durableId="2068528013">
    <w:abstractNumId w:val="119"/>
  </w:num>
  <w:num w:numId="178" w16cid:durableId="416487413">
    <w:abstractNumId w:val="164"/>
  </w:num>
  <w:num w:numId="179" w16cid:durableId="1043671471">
    <w:abstractNumId w:val="132"/>
  </w:num>
  <w:num w:numId="180" w16cid:durableId="707995201">
    <w:abstractNumId w:val="139"/>
  </w:num>
  <w:num w:numId="181" w16cid:durableId="242762982">
    <w:abstractNumId w:val="158"/>
  </w:num>
  <w:num w:numId="182" w16cid:durableId="35663886">
    <w:abstractNumId w:val="76"/>
  </w:num>
  <w:num w:numId="183" w16cid:durableId="1726293940">
    <w:abstractNumId w:val="130"/>
  </w:num>
  <w:num w:numId="184" w16cid:durableId="1519000259">
    <w:abstractNumId w:val="160"/>
  </w:num>
  <w:num w:numId="185" w16cid:durableId="956066329">
    <w:abstractNumId w:val="26"/>
  </w:num>
  <w:num w:numId="186" w16cid:durableId="776217615">
    <w:abstractNumId w:val="208"/>
  </w:num>
  <w:num w:numId="187" w16cid:durableId="1614436702">
    <w:abstractNumId w:val="96"/>
  </w:num>
  <w:num w:numId="188" w16cid:durableId="1139226425">
    <w:abstractNumId w:val="107"/>
  </w:num>
  <w:num w:numId="189" w16cid:durableId="746418223">
    <w:abstractNumId w:val="187"/>
  </w:num>
  <w:num w:numId="190" w16cid:durableId="803618546">
    <w:abstractNumId w:val="48"/>
  </w:num>
  <w:num w:numId="191" w16cid:durableId="305553674">
    <w:abstractNumId w:val="190"/>
  </w:num>
  <w:num w:numId="192" w16cid:durableId="1951014315">
    <w:abstractNumId w:val="79"/>
  </w:num>
  <w:num w:numId="193" w16cid:durableId="892227797">
    <w:abstractNumId w:val="103"/>
  </w:num>
  <w:num w:numId="194" w16cid:durableId="1206599932">
    <w:abstractNumId w:val="36"/>
  </w:num>
  <w:num w:numId="195" w16cid:durableId="349138844">
    <w:abstractNumId w:val="118"/>
  </w:num>
  <w:num w:numId="196" w16cid:durableId="1637099900">
    <w:abstractNumId w:val="59"/>
  </w:num>
  <w:num w:numId="197" w16cid:durableId="1516531047">
    <w:abstractNumId w:val="144"/>
  </w:num>
  <w:num w:numId="198" w16cid:durableId="1680815405">
    <w:abstractNumId w:val="55"/>
  </w:num>
  <w:num w:numId="199" w16cid:durableId="610556901">
    <w:abstractNumId w:val="49"/>
  </w:num>
  <w:num w:numId="200" w16cid:durableId="11498336">
    <w:abstractNumId w:val="177"/>
  </w:num>
  <w:num w:numId="201" w16cid:durableId="732240777">
    <w:abstractNumId w:val="7"/>
  </w:num>
  <w:num w:numId="202" w16cid:durableId="614681762">
    <w:abstractNumId w:val="191"/>
  </w:num>
  <w:num w:numId="203" w16cid:durableId="1351105516">
    <w:abstractNumId w:val="19"/>
  </w:num>
  <w:num w:numId="204" w16cid:durableId="1089426269">
    <w:abstractNumId w:val="140"/>
  </w:num>
  <w:num w:numId="205" w16cid:durableId="1679195953">
    <w:abstractNumId w:val="64"/>
  </w:num>
  <w:num w:numId="206" w16cid:durableId="2008827516">
    <w:abstractNumId w:val="145"/>
  </w:num>
  <w:num w:numId="207" w16cid:durableId="1724792485">
    <w:abstractNumId w:val="3"/>
  </w:num>
  <w:num w:numId="208" w16cid:durableId="1337226623">
    <w:abstractNumId w:val="105"/>
  </w:num>
  <w:num w:numId="209" w16cid:durableId="209654802">
    <w:abstractNumId w:val="7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77"/>
    <w:rsid w:val="000000EA"/>
    <w:rsid w:val="000006CB"/>
    <w:rsid w:val="000008A2"/>
    <w:rsid w:val="00000B58"/>
    <w:rsid w:val="00000CD9"/>
    <w:rsid w:val="00000DA3"/>
    <w:rsid w:val="00001054"/>
    <w:rsid w:val="00001558"/>
    <w:rsid w:val="00001886"/>
    <w:rsid w:val="000018B4"/>
    <w:rsid w:val="00001C4C"/>
    <w:rsid w:val="000024CA"/>
    <w:rsid w:val="000025A3"/>
    <w:rsid w:val="000028AA"/>
    <w:rsid w:val="00002FC6"/>
    <w:rsid w:val="00003385"/>
    <w:rsid w:val="00003A5B"/>
    <w:rsid w:val="00003D70"/>
    <w:rsid w:val="00003FB3"/>
    <w:rsid w:val="000040FB"/>
    <w:rsid w:val="000045C2"/>
    <w:rsid w:val="00004650"/>
    <w:rsid w:val="000049FB"/>
    <w:rsid w:val="00005739"/>
    <w:rsid w:val="0000632B"/>
    <w:rsid w:val="0000651A"/>
    <w:rsid w:val="00006529"/>
    <w:rsid w:val="00006627"/>
    <w:rsid w:val="000079FB"/>
    <w:rsid w:val="00007BAC"/>
    <w:rsid w:val="00010024"/>
    <w:rsid w:val="000108DC"/>
    <w:rsid w:val="00010B79"/>
    <w:rsid w:val="0001158D"/>
    <w:rsid w:val="00011DAB"/>
    <w:rsid w:val="00012AAD"/>
    <w:rsid w:val="00012F57"/>
    <w:rsid w:val="000139AD"/>
    <w:rsid w:val="00013F7C"/>
    <w:rsid w:val="00014099"/>
    <w:rsid w:val="000150B3"/>
    <w:rsid w:val="00015853"/>
    <w:rsid w:val="00015E1D"/>
    <w:rsid w:val="00016387"/>
    <w:rsid w:val="000167AF"/>
    <w:rsid w:val="0001689D"/>
    <w:rsid w:val="00016B97"/>
    <w:rsid w:val="00017CBB"/>
    <w:rsid w:val="00017F9C"/>
    <w:rsid w:val="00020350"/>
    <w:rsid w:val="00020437"/>
    <w:rsid w:val="0002047F"/>
    <w:rsid w:val="000207AA"/>
    <w:rsid w:val="000207B6"/>
    <w:rsid w:val="00020852"/>
    <w:rsid w:val="00020914"/>
    <w:rsid w:val="00020DE2"/>
    <w:rsid w:val="0002153F"/>
    <w:rsid w:val="00021C68"/>
    <w:rsid w:val="00022583"/>
    <w:rsid w:val="000226C1"/>
    <w:rsid w:val="0002321A"/>
    <w:rsid w:val="00023577"/>
    <w:rsid w:val="0002357D"/>
    <w:rsid w:val="00023D04"/>
    <w:rsid w:val="00023D31"/>
    <w:rsid w:val="00023EB3"/>
    <w:rsid w:val="000240C1"/>
    <w:rsid w:val="000242F5"/>
    <w:rsid w:val="000244F5"/>
    <w:rsid w:val="00024C80"/>
    <w:rsid w:val="00025022"/>
    <w:rsid w:val="0002556B"/>
    <w:rsid w:val="000263BC"/>
    <w:rsid w:val="000263D9"/>
    <w:rsid w:val="00026699"/>
    <w:rsid w:val="000266EF"/>
    <w:rsid w:val="000266F9"/>
    <w:rsid w:val="00026A69"/>
    <w:rsid w:val="000272A4"/>
    <w:rsid w:val="0002764D"/>
    <w:rsid w:val="00027789"/>
    <w:rsid w:val="00027A70"/>
    <w:rsid w:val="00027E01"/>
    <w:rsid w:val="0002A7AF"/>
    <w:rsid w:val="00030304"/>
    <w:rsid w:val="00031375"/>
    <w:rsid w:val="000316EA"/>
    <w:rsid w:val="000323AE"/>
    <w:rsid w:val="000323BD"/>
    <w:rsid w:val="00032423"/>
    <w:rsid w:val="00032DFE"/>
    <w:rsid w:val="00033D05"/>
    <w:rsid w:val="00033D3E"/>
    <w:rsid w:val="00033E5D"/>
    <w:rsid w:val="00033FF8"/>
    <w:rsid w:val="0003437B"/>
    <w:rsid w:val="00034A3B"/>
    <w:rsid w:val="00034A67"/>
    <w:rsid w:val="00034CD7"/>
    <w:rsid w:val="00034CF8"/>
    <w:rsid w:val="00034D94"/>
    <w:rsid w:val="00034F7D"/>
    <w:rsid w:val="00034FAB"/>
    <w:rsid w:val="00035EBF"/>
    <w:rsid w:val="0003674B"/>
    <w:rsid w:val="00036A51"/>
    <w:rsid w:val="00036DFA"/>
    <w:rsid w:val="00037EA0"/>
    <w:rsid w:val="000400C9"/>
    <w:rsid w:val="000401BB"/>
    <w:rsid w:val="00040553"/>
    <w:rsid w:val="00040B61"/>
    <w:rsid w:val="00040C7A"/>
    <w:rsid w:val="0004115E"/>
    <w:rsid w:val="000411E4"/>
    <w:rsid w:val="000415A0"/>
    <w:rsid w:val="00041A53"/>
    <w:rsid w:val="00042004"/>
    <w:rsid w:val="00042028"/>
    <w:rsid w:val="00042D3D"/>
    <w:rsid w:val="00043507"/>
    <w:rsid w:val="0004399B"/>
    <w:rsid w:val="00044082"/>
    <w:rsid w:val="0004427D"/>
    <w:rsid w:val="000443F1"/>
    <w:rsid w:val="000444DC"/>
    <w:rsid w:val="000447F8"/>
    <w:rsid w:val="00044DC7"/>
    <w:rsid w:val="000452A3"/>
    <w:rsid w:val="00045306"/>
    <w:rsid w:val="000457C0"/>
    <w:rsid w:val="0004580F"/>
    <w:rsid w:val="00045DD3"/>
    <w:rsid w:val="00046679"/>
    <w:rsid w:val="0004706B"/>
    <w:rsid w:val="00047DE0"/>
    <w:rsid w:val="00047E2C"/>
    <w:rsid w:val="0005051F"/>
    <w:rsid w:val="0005094A"/>
    <w:rsid w:val="0005094D"/>
    <w:rsid w:val="00050B88"/>
    <w:rsid w:val="00050C5B"/>
    <w:rsid w:val="00051F1C"/>
    <w:rsid w:val="0005220A"/>
    <w:rsid w:val="00052B1C"/>
    <w:rsid w:val="00052FC6"/>
    <w:rsid w:val="00053060"/>
    <w:rsid w:val="000531BE"/>
    <w:rsid w:val="00053499"/>
    <w:rsid w:val="00053E1F"/>
    <w:rsid w:val="00053EE1"/>
    <w:rsid w:val="000541C3"/>
    <w:rsid w:val="000542C1"/>
    <w:rsid w:val="00054991"/>
    <w:rsid w:val="00054C72"/>
    <w:rsid w:val="00055214"/>
    <w:rsid w:val="00055D78"/>
    <w:rsid w:val="000566F1"/>
    <w:rsid w:val="00056759"/>
    <w:rsid w:val="00057644"/>
    <w:rsid w:val="00057C8E"/>
    <w:rsid w:val="00057DAD"/>
    <w:rsid w:val="00057E95"/>
    <w:rsid w:val="000607CC"/>
    <w:rsid w:val="00060A3D"/>
    <w:rsid w:val="00060B70"/>
    <w:rsid w:val="00060EA1"/>
    <w:rsid w:val="00061108"/>
    <w:rsid w:val="00062334"/>
    <w:rsid w:val="000624A2"/>
    <w:rsid w:val="00063AAB"/>
    <w:rsid w:val="00063E28"/>
    <w:rsid w:val="00063FF2"/>
    <w:rsid w:val="00065423"/>
    <w:rsid w:val="00065A07"/>
    <w:rsid w:val="00065C0A"/>
    <w:rsid w:val="00066201"/>
    <w:rsid w:val="000665CE"/>
    <w:rsid w:val="00066D11"/>
    <w:rsid w:val="00066DEA"/>
    <w:rsid w:val="00066E01"/>
    <w:rsid w:val="000673C2"/>
    <w:rsid w:val="00067825"/>
    <w:rsid w:val="000678E8"/>
    <w:rsid w:val="00067949"/>
    <w:rsid w:val="00067EDD"/>
    <w:rsid w:val="00070212"/>
    <w:rsid w:val="000708B5"/>
    <w:rsid w:val="00070C94"/>
    <w:rsid w:val="00070DC1"/>
    <w:rsid w:val="00070FA2"/>
    <w:rsid w:val="00070FD2"/>
    <w:rsid w:val="00071135"/>
    <w:rsid w:val="00071199"/>
    <w:rsid w:val="000716BE"/>
    <w:rsid w:val="000717B7"/>
    <w:rsid w:val="00071A28"/>
    <w:rsid w:val="00071C0A"/>
    <w:rsid w:val="00071E99"/>
    <w:rsid w:val="000720CC"/>
    <w:rsid w:val="00072D0A"/>
    <w:rsid w:val="00072D1A"/>
    <w:rsid w:val="00072EF6"/>
    <w:rsid w:val="00073401"/>
    <w:rsid w:val="00073477"/>
    <w:rsid w:val="00073661"/>
    <w:rsid w:val="0007366B"/>
    <w:rsid w:val="0007372E"/>
    <w:rsid w:val="00073808"/>
    <w:rsid w:val="00073EEE"/>
    <w:rsid w:val="00074005"/>
    <w:rsid w:val="0007427A"/>
    <w:rsid w:val="000746EC"/>
    <w:rsid w:val="00075C42"/>
    <w:rsid w:val="00076D10"/>
    <w:rsid w:val="00076F8B"/>
    <w:rsid w:val="000775C6"/>
    <w:rsid w:val="00077745"/>
    <w:rsid w:val="00077891"/>
    <w:rsid w:val="00077EA8"/>
    <w:rsid w:val="00080CE5"/>
    <w:rsid w:val="00080D5A"/>
    <w:rsid w:val="0008115C"/>
    <w:rsid w:val="000819D5"/>
    <w:rsid w:val="00081E45"/>
    <w:rsid w:val="00081FD7"/>
    <w:rsid w:val="000821B9"/>
    <w:rsid w:val="000822AC"/>
    <w:rsid w:val="00082815"/>
    <w:rsid w:val="00082893"/>
    <w:rsid w:val="00083073"/>
    <w:rsid w:val="000833A2"/>
    <w:rsid w:val="000843BA"/>
    <w:rsid w:val="00084669"/>
    <w:rsid w:val="000847CB"/>
    <w:rsid w:val="000848D3"/>
    <w:rsid w:val="000859CD"/>
    <w:rsid w:val="00085C3C"/>
    <w:rsid w:val="00085DA3"/>
    <w:rsid w:val="00085F05"/>
    <w:rsid w:val="00086831"/>
    <w:rsid w:val="00086A95"/>
    <w:rsid w:val="00086B4F"/>
    <w:rsid w:val="00086D15"/>
    <w:rsid w:val="00086D5D"/>
    <w:rsid w:val="00086F58"/>
    <w:rsid w:val="00087124"/>
    <w:rsid w:val="000872EC"/>
    <w:rsid w:val="000876E0"/>
    <w:rsid w:val="000900C3"/>
    <w:rsid w:val="000903B7"/>
    <w:rsid w:val="00090E34"/>
    <w:rsid w:val="00090EA4"/>
    <w:rsid w:val="000913CC"/>
    <w:rsid w:val="0009143D"/>
    <w:rsid w:val="0009157D"/>
    <w:rsid w:val="000919FB"/>
    <w:rsid w:val="00091A25"/>
    <w:rsid w:val="00091D2F"/>
    <w:rsid w:val="00091ECC"/>
    <w:rsid w:val="0009218F"/>
    <w:rsid w:val="00092286"/>
    <w:rsid w:val="00093057"/>
    <w:rsid w:val="0009311E"/>
    <w:rsid w:val="00093570"/>
    <w:rsid w:val="00093A10"/>
    <w:rsid w:val="00093B1F"/>
    <w:rsid w:val="0009461E"/>
    <w:rsid w:val="000946E0"/>
    <w:rsid w:val="000955E6"/>
    <w:rsid w:val="00095E08"/>
    <w:rsid w:val="000960E2"/>
    <w:rsid w:val="000978D3"/>
    <w:rsid w:val="000A033C"/>
    <w:rsid w:val="000A04AD"/>
    <w:rsid w:val="000A1F74"/>
    <w:rsid w:val="000A205C"/>
    <w:rsid w:val="000A255B"/>
    <w:rsid w:val="000A2A59"/>
    <w:rsid w:val="000A3B18"/>
    <w:rsid w:val="000A49D8"/>
    <w:rsid w:val="000A4AD8"/>
    <w:rsid w:val="000A5A76"/>
    <w:rsid w:val="000A635C"/>
    <w:rsid w:val="000A63E5"/>
    <w:rsid w:val="000A69BE"/>
    <w:rsid w:val="000A7AC2"/>
    <w:rsid w:val="000B047A"/>
    <w:rsid w:val="000B09C1"/>
    <w:rsid w:val="000B0C02"/>
    <w:rsid w:val="000B17DB"/>
    <w:rsid w:val="000B1CE4"/>
    <w:rsid w:val="000B2097"/>
    <w:rsid w:val="000B2536"/>
    <w:rsid w:val="000B2A9B"/>
    <w:rsid w:val="000B2BD8"/>
    <w:rsid w:val="000B3524"/>
    <w:rsid w:val="000B3B6D"/>
    <w:rsid w:val="000B3C2A"/>
    <w:rsid w:val="000B4974"/>
    <w:rsid w:val="000B4B0C"/>
    <w:rsid w:val="000B54D7"/>
    <w:rsid w:val="000B56E2"/>
    <w:rsid w:val="000B57EE"/>
    <w:rsid w:val="000B657C"/>
    <w:rsid w:val="000B6887"/>
    <w:rsid w:val="000B69C8"/>
    <w:rsid w:val="000B6FD7"/>
    <w:rsid w:val="000B707A"/>
    <w:rsid w:val="000B747D"/>
    <w:rsid w:val="000B752A"/>
    <w:rsid w:val="000B7E50"/>
    <w:rsid w:val="000C0073"/>
    <w:rsid w:val="000C0124"/>
    <w:rsid w:val="000C03AD"/>
    <w:rsid w:val="000C07E3"/>
    <w:rsid w:val="000C11FD"/>
    <w:rsid w:val="000C233D"/>
    <w:rsid w:val="000C2884"/>
    <w:rsid w:val="000C2E4C"/>
    <w:rsid w:val="000C3002"/>
    <w:rsid w:val="000C3098"/>
    <w:rsid w:val="000C3189"/>
    <w:rsid w:val="000C329E"/>
    <w:rsid w:val="000C363C"/>
    <w:rsid w:val="000C3748"/>
    <w:rsid w:val="000C4160"/>
    <w:rsid w:val="000C426A"/>
    <w:rsid w:val="000C42B7"/>
    <w:rsid w:val="000C4919"/>
    <w:rsid w:val="000C51E5"/>
    <w:rsid w:val="000C5432"/>
    <w:rsid w:val="000C5890"/>
    <w:rsid w:val="000C5B9D"/>
    <w:rsid w:val="000C5EC0"/>
    <w:rsid w:val="000C6681"/>
    <w:rsid w:val="000C6A25"/>
    <w:rsid w:val="000C6BB4"/>
    <w:rsid w:val="000C7601"/>
    <w:rsid w:val="000C7729"/>
    <w:rsid w:val="000C7825"/>
    <w:rsid w:val="000D03F6"/>
    <w:rsid w:val="000D0778"/>
    <w:rsid w:val="000D0C7E"/>
    <w:rsid w:val="000D194F"/>
    <w:rsid w:val="000D1BAE"/>
    <w:rsid w:val="000D1E0C"/>
    <w:rsid w:val="000D2255"/>
    <w:rsid w:val="000D2897"/>
    <w:rsid w:val="000D31C8"/>
    <w:rsid w:val="000D31E3"/>
    <w:rsid w:val="000D3BF4"/>
    <w:rsid w:val="000D3E28"/>
    <w:rsid w:val="000D4456"/>
    <w:rsid w:val="000D4D13"/>
    <w:rsid w:val="000D5793"/>
    <w:rsid w:val="000D5D11"/>
    <w:rsid w:val="000D5E51"/>
    <w:rsid w:val="000D6B7E"/>
    <w:rsid w:val="000D765F"/>
    <w:rsid w:val="000E0C5C"/>
    <w:rsid w:val="000E0EE0"/>
    <w:rsid w:val="000E10C8"/>
    <w:rsid w:val="000E1117"/>
    <w:rsid w:val="000E1305"/>
    <w:rsid w:val="000E165E"/>
    <w:rsid w:val="000E16B8"/>
    <w:rsid w:val="000E1BCE"/>
    <w:rsid w:val="000E1FAC"/>
    <w:rsid w:val="000E1FEA"/>
    <w:rsid w:val="000E202B"/>
    <w:rsid w:val="000E27B0"/>
    <w:rsid w:val="000E2A99"/>
    <w:rsid w:val="000E2F84"/>
    <w:rsid w:val="000E367F"/>
    <w:rsid w:val="000E3C91"/>
    <w:rsid w:val="000E4D7F"/>
    <w:rsid w:val="000E4E25"/>
    <w:rsid w:val="000E5110"/>
    <w:rsid w:val="000E518D"/>
    <w:rsid w:val="000E55A2"/>
    <w:rsid w:val="000E575C"/>
    <w:rsid w:val="000E59C5"/>
    <w:rsid w:val="000E5C41"/>
    <w:rsid w:val="000E5E84"/>
    <w:rsid w:val="000E6063"/>
    <w:rsid w:val="000E6973"/>
    <w:rsid w:val="000E6B01"/>
    <w:rsid w:val="000E714B"/>
    <w:rsid w:val="000E71B0"/>
    <w:rsid w:val="000E7715"/>
    <w:rsid w:val="000E7E90"/>
    <w:rsid w:val="000E7ED7"/>
    <w:rsid w:val="000F041D"/>
    <w:rsid w:val="000F0721"/>
    <w:rsid w:val="000F0789"/>
    <w:rsid w:val="000F0A00"/>
    <w:rsid w:val="000F1043"/>
    <w:rsid w:val="000F159C"/>
    <w:rsid w:val="000F18CC"/>
    <w:rsid w:val="000F203C"/>
    <w:rsid w:val="000F22E2"/>
    <w:rsid w:val="000F2344"/>
    <w:rsid w:val="000F2844"/>
    <w:rsid w:val="000F32ED"/>
    <w:rsid w:val="000F3890"/>
    <w:rsid w:val="000F38E8"/>
    <w:rsid w:val="000F411D"/>
    <w:rsid w:val="000F43B7"/>
    <w:rsid w:val="000F43E0"/>
    <w:rsid w:val="000F48E2"/>
    <w:rsid w:val="000F4C86"/>
    <w:rsid w:val="000F4D4B"/>
    <w:rsid w:val="000F53E2"/>
    <w:rsid w:val="000F5726"/>
    <w:rsid w:val="000F6ADA"/>
    <w:rsid w:val="000F6DAC"/>
    <w:rsid w:val="000F7730"/>
    <w:rsid w:val="000F79FE"/>
    <w:rsid w:val="000F7B7F"/>
    <w:rsid w:val="000F7D69"/>
    <w:rsid w:val="001000FF"/>
    <w:rsid w:val="00100897"/>
    <w:rsid w:val="00100D34"/>
    <w:rsid w:val="00100E9A"/>
    <w:rsid w:val="00101964"/>
    <w:rsid w:val="00101AB0"/>
    <w:rsid w:val="00101CBE"/>
    <w:rsid w:val="00101E0F"/>
    <w:rsid w:val="0010218B"/>
    <w:rsid w:val="001024E0"/>
    <w:rsid w:val="00102775"/>
    <w:rsid w:val="00102F28"/>
    <w:rsid w:val="0010354E"/>
    <w:rsid w:val="001038A6"/>
    <w:rsid w:val="00103F71"/>
    <w:rsid w:val="00104249"/>
    <w:rsid w:val="00104328"/>
    <w:rsid w:val="00104B1D"/>
    <w:rsid w:val="001050A1"/>
    <w:rsid w:val="001051D6"/>
    <w:rsid w:val="001052BF"/>
    <w:rsid w:val="0010604E"/>
    <w:rsid w:val="00106301"/>
    <w:rsid w:val="001064AC"/>
    <w:rsid w:val="001066BA"/>
    <w:rsid w:val="001069F5"/>
    <w:rsid w:val="00107C3E"/>
    <w:rsid w:val="00107F6D"/>
    <w:rsid w:val="00110315"/>
    <w:rsid w:val="00110621"/>
    <w:rsid w:val="0011090B"/>
    <w:rsid w:val="00110BFF"/>
    <w:rsid w:val="00110C4E"/>
    <w:rsid w:val="00111F94"/>
    <w:rsid w:val="00112617"/>
    <w:rsid w:val="00112662"/>
    <w:rsid w:val="00112BAA"/>
    <w:rsid w:val="0011367D"/>
    <w:rsid w:val="001136CC"/>
    <w:rsid w:val="001140F7"/>
    <w:rsid w:val="0011413D"/>
    <w:rsid w:val="001141AF"/>
    <w:rsid w:val="0011497D"/>
    <w:rsid w:val="00114F2A"/>
    <w:rsid w:val="0011510C"/>
    <w:rsid w:val="001153BD"/>
    <w:rsid w:val="00115415"/>
    <w:rsid w:val="0011566D"/>
    <w:rsid w:val="00115C27"/>
    <w:rsid w:val="00115E43"/>
    <w:rsid w:val="001160E2"/>
    <w:rsid w:val="00116545"/>
    <w:rsid w:val="0011695C"/>
    <w:rsid w:val="00116C1A"/>
    <w:rsid w:val="00117241"/>
    <w:rsid w:val="00117B04"/>
    <w:rsid w:val="0012100B"/>
    <w:rsid w:val="00121600"/>
    <w:rsid w:val="00121E20"/>
    <w:rsid w:val="00121E7D"/>
    <w:rsid w:val="0012298E"/>
    <w:rsid w:val="00122A28"/>
    <w:rsid w:val="00122F5B"/>
    <w:rsid w:val="00123380"/>
    <w:rsid w:val="001239AC"/>
    <w:rsid w:val="00123B6C"/>
    <w:rsid w:val="00123BEE"/>
    <w:rsid w:val="001240D0"/>
    <w:rsid w:val="001243AC"/>
    <w:rsid w:val="00124480"/>
    <w:rsid w:val="001248D7"/>
    <w:rsid w:val="0012502E"/>
    <w:rsid w:val="00125271"/>
    <w:rsid w:val="00125383"/>
    <w:rsid w:val="00125641"/>
    <w:rsid w:val="00125D46"/>
    <w:rsid w:val="001268AA"/>
    <w:rsid w:val="0012719E"/>
    <w:rsid w:val="00127C66"/>
    <w:rsid w:val="00127EC7"/>
    <w:rsid w:val="00127EE2"/>
    <w:rsid w:val="00127FCF"/>
    <w:rsid w:val="00130376"/>
    <w:rsid w:val="001303BF"/>
    <w:rsid w:val="00130493"/>
    <w:rsid w:val="00130E36"/>
    <w:rsid w:val="00130F92"/>
    <w:rsid w:val="00131186"/>
    <w:rsid w:val="00131665"/>
    <w:rsid w:val="001327B5"/>
    <w:rsid w:val="00132975"/>
    <w:rsid w:val="00132E46"/>
    <w:rsid w:val="00132F5B"/>
    <w:rsid w:val="00133221"/>
    <w:rsid w:val="001340BB"/>
    <w:rsid w:val="00134421"/>
    <w:rsid w:val="00134505"/>
    <w:rsid w:val="001347C1"/>
    <w:rsid w:val="00134806"/>
    <w:rsid w:val="00134B64"/>
    <w:rsid w:val="00134BAF"/>
    <w:rsid w:val="001351F3"/>
    <w:rsid w:val="001354E5"/>
    <w:rsid w:val="0013550C"/>
    <w:rsid w:val="0013629A"/>
    <w:rsid w:val="0013696E"/>
    <w:rsid w:val="00136D4C"/>
    <w:rsid w:val="0013709A"/>
    <w:rsid w:val="00137A37"/>
    <w:rsid w:val="00137C8D"/>
    <w:rsid w:val="00140789"/>
    <w:rsid w:val="0014154D"/>
    <w:rsid w:val="00141EE9"/>
    <w:rsid w:val="001428AE"/>
    <w:rsid w:val="00142927"/>
    <w:rsid w:val="00142B04"/>
    <w:rsid w:val="00143281"/>
    <w:rsid w:val="0014360C"/>
    <w:rsid w:val="001438D2"/>
    <w:rsid w:val="00144305"/>
    <w:rsid w:val="00144354"/>
    <w:rsid w:val="001444C8"/>
    <w:rsid w:val="001445CA"/>
    <w:rsid w:val="0014476B"/>
    <w:rsid w:val="00144B18"/>
    <w:rsid w:val="00144B85"/>
    <w:rsid w:val="00145415"/>
    <w:rsid w:val="00145634"/>
    <w:rsid w:val="00145EB5"/>
    <w:rsid w:val="00146196"/>
    <w:rsid w:val="0014623F"/>
    <w:rsid w:val="0014630C"/>
    <w:rsid w:val="00146B2C"/>
    <w:rsid w:val="00146B91"/>
    <w:rsid w:val="00147345"/>
    <w:rsid w:val="00147865"/>
    <w:rsid w:val="00147C2D"/>
    <w:rsid w:val="00150171"/>
    <w:rsid w:val="0015135F"/>
    <w:rsid w:val="001513CC"/>
    <w:rsid w:val="00151DD6"/>
    <w:rsid w:val="00152274"/>
    <w:rsid w:val="001524AD"/>
    <w:rsid w:val="001528A7"/>
    <w:rsid w:val="00152B47"/>
    <w:rsid w:val="00152C99"/>
    <w:rsid w:val="00152D1B"/>
    <w:rsid w:val="00152EC1"/>
    <w:rsid w:val="00153388"/>
    <w:rsid w:val="00153396"/>
    <w:rsid w:val="001534E8"/>
    <w:rsid w:val="001537CC"/>
    <w:rsid w:val="0015396B"/>
    <w:rsid w:val="001539E3"/>
    <w:rsid w:val="00153F1F"/>
    <w:rsid w:val="00154CD5"/>
    <w:rsid w:val="0015544A"/>
    <w:rsid w:val="0015578E"/>
    <w:rsid w:val="00156386"/>
    <w:rsid w:val="00156858"/>
    <w:rsid w:val="001569E0"/>
    <w:rsid w:val="00156AD6"/>
    <w:rsid w:val="00156B7C"/>
    <w:rsid w:val="00156CA8"/>
    <w:rsid w:val="0015787F"/>
    <w:rsid w:val="00157C3F"/>
    <w:rsid w:val="00160B11"/>
    <w:rsid w:val="00160CEF"/>
    <w:rsid w:val="001610B9"/>
    <w:rsid w:val="00161A2D"/>
    <w:rsid w:val="00162217"/>
    <w:rsid w:val="00163C6C"/>
    <w:rsid w:val="001643C4"/>
    <w:rsid w:val="001647E8"/>
    <w:rsid w:val="001648E8"/>
    <w:rsid w:val="00164964"/>
    <w:rsid w:val="00164C05"/>
    <w:rsid w:val="00164F60"/>
    <w:rsid w:val="00164FF3"/>
    <w:rsid w:val="001655C0"/>
    <w:rsid w:val="00165928"/>
    <w:rsid w:val="00165D09"/>
    <w:rsid w:val="00165E52"/>
    <w:rsid w:val="00165F14"/>
    <w:rsid w:val="00166758"/>
    <w:rsid w:val="0016680E"/>
    <w:rsid w:val="0016689A"/>
    <w:rsid w:val="00166AC5"/>
    <w:rsid w:val="00166F7C"/>
    <w:rsid w:val="00167AB2"/>
    <w:rsid w:val="00167FE8"/>
    <w:rsid w:val="0017037B"/>
    <w:rsid w:val="001706A9"/>
    <w:rsid w:val="0017076C"/>
    <w:rsid w:val="00170A91"/>
    <w:rsid w:val="00171257"/>
    <w:rsid w:val="001713FF"/>
    <w:rsid w:val="001714C1"/>
    <w:rsid w:val="00171766"/>
    <w:rsid w:val="00171A37"/>
    <w:rsid w:val="0017222C"/>
    <w:rsid w:val="0017259E"/>
    <w:rsid w:val="001729D8"/>
    <w:rsid w:val="0017336A"/>
    <w:rsid w:val="0017352E"/>
    <w:rsid w:val="0017374E"/>
    <w:rsid w:val="00173C98"/>
    <w:rsid w:val="00173E7D"/>
    <w:rsid w:val="00173F53"/>
    <w:rsid w:val="00173FFF"/>
    <w:rsid w:val="00174267"/>
    <w:rsid w:val="00174635"/>
    <w:rsid w:val="00174FE5"/>
    <w:rsid w:val="00175180"/>
    <w:rsid w:val="0017528E"/>
    <w:rsid w:val="00175DF4"/>
    <w:rsid w:val="00176076"/>
    <w:rsid w:val="001762F7"/>
    <w:rsid w:val="0017670A"/>
    <w:rsid w:val="0017690A"/>
    <w:rsid w:val="00177161"/>
    <w:rsid w:val="00177654"/>
    <w:rsid w:val="00177909"/>
    <w:rsid w:val="00177BD9"/>
    <w:rsid w:val="00180465"/>
    <w:rsid w:val="00180642"/>
    <w:rsid w:val="00180757"/>
    <w:rsid w:val="001810AF"/>
    <w:rsid w:val="00181800"/>
    <w:rsid w:val="00181AAE"/>
    <w:rsid w:val="0018237D"/>
    <w:rsid w:val="00182B4E"/>
    <w:rsid w:val="00183528"/>
    <w:rsid w:val="0018359B"/>
    <w:rsid w:val="001835C5"/>
    <w:rsid w:val="00184D70"/>
    <w:rsid w:val="0018533E"/>
    <w:rsid w:val="001854F2"/>
    <w:rsid w:val="00185EAC"/>
    <w:rsid w:val="0018630D"/>
    <w:rsid w:val="00186320"/>
    <w:rsid w:val="00186537"/>
    <w:rsid w:val="001866F1"/>
    <w:rsid w:val="00186702"/>
    <w:rsid w:val="001869C3"/>
    <w:rsid w:val="00187B8D"/>
    <w:rsid w:val="00187CE5"/>
    <w:rsid w:val="00187EDF"/>
    <w:rsid w:val="00187F73"/>
    <w:rsid w:val="00190E4D"/>
    <w:rsid w:val="00190F9F"/>
    <w:rsid w:val="0019120F"/>
    <w:rsid w:val="0019159F"/>
    <w:rsid w:val="001918C8"/>
    <w:rsid w:val="001919AC"/>
    <w:rsid w:val="00191ADA"/>
    <w:rsid w:val="00191B9C"/>
    <w:rsid w:val="00191D27"/>
    <w:rsid w:val="001923D0"/>
    <w:rsid w:val="00192786"/>
    <w:rsid w:val="001929E0"/>
    <w:rsid w:val="00192DC9"/>
    <w:rsid w:val="001930E2"/>
    <w:rsid w:val="001936D1"/>
    <w:rsid w:val="00193946"/>
    <w:rsid w:val="00194A2F"/>
    <w:rsid w:val="00194A91"/>
    <w:rsid w:val="001957B2"/>
    <w:rsid w:val="00195EE5"/>
    <w:rsid w:val="00195EE8"/>
    <w:rsid w:val="00196316"/>
    <w:rsid w:val="00196372"/>
    <w:rsid w:val="001963DE"/>
    <w:rsid w:val="00196433"/>
    <w:rsid w:val="00196580"/>
    <w:rsid w:val="00196C50"/>
    <w:rsid w:val="00197397"/>
    <w:rsid w:val="00197C73"/>
    <w:rsid w:val="001A0308"/>
    <w:rsid w:val="001A0607"/>
    <w:rsid w:val="001A06B7"/>
    <w:rsid w:val="001A0992"/>
    <w:rsid w:val="001A0ECC"/>
    <w:rsid w:val="001A0F4C"/>
    <w:rsid w:val="001A1449"/>
    <w:rsid w:val="001A1B3F"/>
    <w:rsid w:val="001A1E35"/>
    <w:rsid w:val="001A2A03"/>
    <w:rsid w:val="001A2AC8"/>
    <w:rsid w:val="001A2DE6"/>
    <w:rsid w:val="001A310C"/>
    <w:rsid w:val="001A325F"/>
    <w:rsid w:val="001A3A85"/>
    <w:rsid w:val="001A3B2B"/>
    <w:rsid w:val="001A3C82"/>
    <w:rsid w:val="001A3E81"/>
    <w:rsid w:val="001A4205"/>
    <w:rsid w:val="001A46F5"/>
    <w:rsid w:val="001A4F5E"/>
    <w:rsid w:val="001A508D"/>
    <w:rsid w:val="001A5129"/>
    <w:rsid w:val="001A54ED"/>
    <w:rsid w:val="001A590F"/>
    <w:rsid w:val="001A59CA"/>
    <w:rsid w:val="001A5A69"/>
    <w:rsid w:val="001A5EA4"/>
    <w:rsid w:val="001A632C"/>
    <w:rsid w:val="001A6350"/>
    <w:rsid w:val="001A64AC"/>
    <w:rsid w:val="001A6748"/>
    <w:rsid w:val="001A6A79"/>
    <w:rsid w:val="001A6C4D"/>
    <w:rsid w:val="001A7E04"/>
    <w:rsid w:val="001A7ED9"/>
    <w:rsid w:val="001B04C9"/>
    <w:rsid w:val="001B06BF"/>
    <w:rsid w:val="001B0E07"/>
    <w:rsid w:val="001B1413"/>
    <w:rsid w:val="001B1570"/>
    <w:rsid w:val="001B17F2"/>
    <w:rsid w:val="001B18F6"/>
    <w:rsid w:val="001B1E48"/>
    <w:rsid w:val="001B284D"/>
    <w:rsid w:val="001B2BC8"/>
    <w:rsid w:val="001B3663"/>
    <w:rsid w:val="001B3A71"/>
    <w:rsid w:val="001B3AA6"/>
    <w:rsid w:val="001B42D3"/>
    <w:rsid w:val="001B4BE0"/>
    <w:rsid w:val="001B51DF"/>
    <w:rsid w:val="001B5889"/>
    <w:rsid w:val="001B59F2"/>
    <w:rsid w:val="001B5E71"/>
    <w:rsid w:val="001B654C"/>
    <w:rsid w:val="001B6B5B"/>
    <w:rsid w:val="001B6BA9"/>
    <w:rsid w:val="001B7273"/>
    <w:rsid w:val="001B743B"/>
    <w:rsid w:val="001B7DA3"/>
    <w:rsid w:val="001C0822"/>
    <w:rsid w:val="001C0D2F"/>
    <w:rsid w:val="001C1043"/>
    <w:rsid w:val="001C1364"/>
    <w:rsid w:val="001C16AE"/>
    <w:rsid w:val="001C18A6"/>
    <w:rsid w:val="001C1D89"/>
    <w:rsid w:val="001C1E47"/>
    <w:rsid w:val="001C20CA"/>
    <w:rsid w:val="001C21CC"/>
    <w:rsid w:val="001C27DE"/>
    <w:rsid w:val="001C2DA5"/>
    <w:rsid w:val="001C3131"/>
    <w:rsid w:val="001C320E"/>
    <w:rsid w:val="001C3295"/>
    <w:rsid w:val="001C3976"/>
    <w:rsid w:val="001C41B8"/>
    <w:rsid w:val="001C4C70"/>
    <w:rsid w:val="001C4E1C"/>
    <w:rsid w:val="001C50FB"/>
    <w:rsid w:val="001C51B1"/>
    <w:rsid w:val="001C5585"/>
    <w:rsid w:val="001C5F5F"/>
    <w:rsid w:val="001C6125"/>
    <w:rsid w:val="001C6E0B"/>
    <w:rsid w:val="001C7E81"/>
    <w:rsid w:val="001C7F2E"/>
    <w:rsid w:val="001D063D"/>
    <w:rsid w:val="001D073A"/>
    <w:rsid w:val="001D0F23"/>
    <w:rsid w:val="001D13C6"/>
    <w:rsid w:val="001D19BF"/>
    <w:rsid w:val="001D19E5"/>
    <w:rsid w:val="001D215E"/>
    <w:rsid w:val="001D2318"/>
    <w:rsid w:val="001D2429"/>
    <w:rsid w:val="001D2A32"/>
    <w:rsid w:val="001D31AA"/>
    <w:rsid w:val="001D34D3"/>
    <w:rsid w:val="001D350F"/>
    <w:rsid w:val="001D36C7"/>
    <w:rsid w:val="001D3BD1"/>
    <w:rsid w:val="001D3EEA"/>
    <w:rsid w:val="001D4112"/>
    <w:rsid w:val="001D424C"/>
    <w:rsid w:val="001D4477"/>
    <w:rsid w:val="001D4A3D"/>
    <w:rsid w:val="001D4D16"/>
    <w:rsid w:val="001D509C"/>
    <w:rsid w:val="001D52C2"/>
    <w:rsid w:val="001D5319"/>
    <w:rsid w:val="001D5508"/>
    <w:rsid w:val="001D59AA"/>
    <w:rsid w:val="001D5BD1"/>
    <w:rsid w:val="001D608D"/>
    <w:rsid w:val="001D6211"/>
    <w:rsid w:val="001D652C"/>
    <w:rsid w:val="001D7136"/>
    <w:rsid w:val="001D72BE"/>
    <w:rsid w:val="001D7632"/>
    <w:rsid w:val="001E029B"/>
    <w:rsid w:val="001E07B9"/>
    <w:rsid w:val="001E07D4"/>
    <w:rsid w:val="001E17D6"/>
    <w:rsid w:val="001E1F35"/>
    <w:rsid w:val="001E2543"/>
    <w:rsid w:val="001E2549"/>
    <w:rsid w:val="001E3CA9"/>
    <w:rsid w:val="001E44D6"/>
    <w:rsid w:val="001E4547"/>
    <w:rsid w:val="001E5369"/>
    <w:rsid w:val="001E6ED3"/>
    <w:rsid w:val="001E74ED"/>
    <w:rsid w:val="001E7DB6"/>
    <w:rsid w:val="001E7FC0"/>
    <w:rsid w:val="001E7FF7"/>
    <w:rsid w:val="001F034F"/>
    <w:rsid w:val="001F03F5"/>
    <w:rsid w:val="001F10FE"/>
    <w:rsid w:val="001F1185"/>
    <w:rsid w:val="001F160D"/>
    <w:rsid w:val="001F16A7"/>
    <w:rsid w:val="001F1875"/>
    <w:rsid w:val="001F20B4"/>
    <w:rsid w:val="001F22B7"/>
    <w:rsid w:val="001F25BD"/>
    <w:rsid w:val="001F284F"/>
    <w:rsid w:val="001F2A64"/>
    <w:rsid w:val="001F310D"/>
    <w:rsid w:val="001F37A8"/>
    <w:rsid w:val="001F3959"/>
    <w:rsid w:val="001F3E9A"/>
    <w:rsid w:val="001F46EC"/>
    <w:rsid w:val="001F478D"/>
    <w:rsid w:val="001F47BF"/>
    <w:rsid w:val="001F47F5"/>
    <w:rsid w:val="001F491D"/>
    <w:rsid w:val="001F4AC8"/>
    <w:rsid w:val="001F50C0"/>
    <w:rsid w:val="001F5937"/>
    <w:rsid w:val="001F6197"/>
    <w:rsid w:val="001F61AC"/>
    <w:rsid w:val="001F6F10"/>
    <w:rsid w:val="001F756E"/>
    <w:rsid w:val="00200775"/>
    <w:rsid w:val="0020090F"/>
    <w:rsid w:val="00200B6E"/>
    <w:rsid w:val="00200ED4"/>
    <w:rsid w:val="002012C5"/>
    <w:rsid w:val="00201C71"/>
    <w:rsid w:val="002031A7"/>
    <w:rsid w:val="00203426"/>
    <w:rsid w:val="00203E9F"/>
    <w:rsid w:val="00204250"/>
    <w:rsid w:val="00204E6F"/>
    <w:rsid w:val="002050AE"/>
    <w:rsid w:val="00205F11"/>
    <w:rsid w:val="00205F93"/>
    <w:rsid w:val="00205FB0"/>
    <w:rsid w:val="00206416"/>
    <w:rsid w:val="002070BB"/>
    <w:rsid w:val="0020783C"/>
    <w:rsid w:val="002105F1"/>
    <w:rsid w:val="0021106F"/>
    <w:rsid w:val="00211B4F"/>
    <w:rsid w:val="00211D79"/>
    <w:rsid w:val="00212CC2"/>
    <w:rsid w:val="00212DDB"/>
    <w:rsid w:val="00212FB9"/>
    <w:rsid w:val="002131F2"/>
    <w:rsid w:val="0021331F"/>
    <w:rsid w:val="0021376B"/>
    <w:rsid w:val="002138EC"/>
    <w:rsid w:val="00213BBA"/>
    <w:rsid w:val="00213F6A"/>
    <w:rsid w:val="002147AE"/>
    <w:rsid w:val="00214C9D"/>
    <w:rsid w:val="0021505B"/>
    <w:rsid w:val="00216289"/>
    <w:rsid w:val="00216584"/>
    <w:rsid w:val="002166A1"/>
    <w:rsid w:val="0021677D"/>
    <w:rsid w:val="0021765B"/>
    <w:rsid w:val="00217AC1"/>
    <w:rsid w:val="002205E0"/>
    <w:rsid w:val="002214CD"/>
    <w:rsid w:val="00221533"/>
    <w:rsid w:val="002220AE"/>
    <w:rsid w:val="00222694"/>
    <w:rsid w:val="00222885"/>
    <w:rsid w:val="00222AA5"/>
    <w:rsid w:val="00222DEC"/>
    <w:rsid w:val="00222E5F"/>
    <w:rsid w:val="002234B9"/>
    <w:rsid w:val="002236A1"/>
    <w:rsid w:val="00223895"/>
    <w:rsid w:val="00223A8D"/>
    <w:rsid w:val="00223E05"/>
    <w:rsid w:val="00224478"/>
    <w:rsid w:val="00224550"/>
    <w:rsid w:val="00224BFC"/>
    <w:rsid w:val="00224DFE"/>
    <w:rsid w:val="00224F78"/>
    <w:rsid w:val="002258E6"/>
    <w:rsid w:val="00225EE2"/>
    <w:rsid w:val="00226178"/>
    <w:rsid w:val="00226AC9"/>
    <w:rsid w:val="00226B5C"/>
    <w:rsid w:val="002274EC"/>
    <w:rsid w:val="00227637"/>
    <w:rsid w:val="00227639"/>
    <w:rsid w:val="00227BAE"/>
    <w:rsid w:val="0023008F"/>
    <w:rsid w:val="00230197"/>
    <w:rsid w:val="00230345"/>
    <w:rsid w:val="00230BB1"/>
    <w:rsid w:val="0023125E"/>
    <w:rsid w:val="00231455"/>
    <w:rsid w:val="00231927"/>
    <w:rsid w:val="00231FC1"/>
    <w:rsid w:val="002322F6"/>
    <w:rsid w:val="0023265D"/>
    <w:rsid w:val="00232708"/>
    <w:rsid w:val="00232F79"/>
    <w:rsid w:val="002332F1"/>
    <w:rsid w:val="00233ABF"/>
    <w:rsid w:val="002342B0"/>
    <w:rsid w:val="002346C5"/>
    <w:rsid w:val="00234E36"/>
    <w:rsid w:val="0023514B"/>
    <w:rsid w:val="00236609"/>
    <w:rsid w:val="002368D2"/>
    <w:rsid w:val="00236AF8"/>
    <w:rsid w:val="00236F43"/>
    <w:rsid w:val="00237108"/>
    <w:rsid w:val="002371C4"/>
    <w:rsid w:val="002373EF"/>
    <w:rsid w:val="002374EA"/>
    <w:rsid w:val="00237988"/>
    <w:rsid w:val="00237BF7"/>
    <w:rsid w:val="00237D3B"/>
    <w:rsid w:val="00237D4C"/>
    <w:rsid w:val="00237E63"/>
    <w:rsid w:val="0024148B"/>
    <w:rsid w:val="00241987"/>
    <w:rsid w:val="00241EF8"/>
    <w:rsid w:val="00242496"/>
    <w:rsid w:val="002431F9"/>
    <w:rsid w:val="00243FED"/>
    <w:rsid w:val="0024403A"/>
    <w:rsid w:val="002443F3"/>
    <w:rsid w:val="00244566"/>
    <w:rsid w:val="002446AA"/>
    <w:rsid w:val="00244890"/>
    <w:rsid w:val="002448E3"/>
    <w:rsid w:val="002449F8"/>
    <w:rsid w:val="00244C82"/>
    <w:rsid w:val="002460E5"/>
    <w:rsid w:val="00246738"/>
    <w:rsid w:val="00246DA5"/>
    <w:rsid w:val="0024747D"/>
    <w:rsid w:val="00247A59"/>
    <w:rsid w:val="00247F10"/>
    <w:rsid w:val="00247F2D"/>
    <w:rsid w:val="002500AE"/>
    <w:rsid w:val="00250117"/>
    <w:rsid w:val="00250181"/>
    <w:rsid w:val="002507C3"/>
    <w:rsid w:val="0025178D"/>
    <w:rsid w:val="002517F9"/>
    <w:rsid w:val="0025197F"/>
    <w:rsid w:val="002521C1"/>
    <w:rsid w:val="00252A6D"/>
    <w:rsid w:val="00252E11"/>
    <w:rsid w:val="00252EA7"/>
    <w:rsid w:val="00253527"/>
    <w:rsid w:val="00253E8B"/>
    <w:rsid w:val="00255674"/>
    <w:rsid w:val="002561D3"/>
    <w:rsid w:val="0025627D"/>
    <w:rsid w:val="002564E6"/>
    <w:rsid w:val="00256887"/>
    <w:rsid w:val="00256AD8"/>
    <w:rsid w:val="00257240"/>
    <w:rsid w:val="00257488"/>
    <w:rsid w:val="0025779C"/>
    <w:rsid w:val="00260537"/>
    <w:rsid w:val="00260D70"/>
    <w:rsid w:val="002610D5"/>
    <w:rsid w:val="002614CE"/>
    <w:rsid w:val="00261C8A"/>
    <w:rsid w:val="00261D52"/>
    <w:rsid w:val="00262ADE"/>
    <w:rsid w:val="002636FB"/>
    <w:rsid w:val="0026374A"/>
    <w:rsid w:val="00263C71"/>
    <w:rsid w:val="00265BBD"/>
    <w:rsid w:val="00266805"/>
    <w:rsid w:val="00266A6B"/>
    <w:rsid w:val="00266A78"/>
    <w:rsid w:val="00266BC9"/>
    <w:rsid w:val="0026741B"/>
    <w:rsid w:val="0026760A"/>
    <w:rsid w:val="00267703"/>
    <w:rsid w:val="00267D1F"/>
    <w:rsid w:val="00267DB8"/>
    <w:rsid w:val="00267F8A"/>
    <w:rsid w:val="002700CD"/>
    <w:rsid w:val="00270284"/>
    <w:rsid w:val="002706C3"/>
    <w:rsid w:val="00270B9B"/>
    <w:rsid w:val="00270F25"/>
    <w:rsid w:val="0027106A"/>
    <w:rsid w:val="002711CB"/>
    <w:rsid w:val="002716C6"/>
    <w:rsid w:val="00271CC8"/>
    <w:rsid w:val="00272251"/>
    <w:rsid w:val="002725B8"/>
    <w:rsid w:val="00272979"/>
    <w:rsid w:val="00272A6D"/>
    <w:rsid w:val="002730F4"/>
    <w:rsid w:val="0027314A"/>
    <w:rsid w:val="002736B1"/>
    <w:rsid w:val="002736D5"/>
    <w:rsid w:val="00273AF4"/>
    <w:rsid w:val="00274514"/>
    <w:rsid w:val="002746D0"/>
    <w:rsid w:val="00275CDE"/>
    <w:rsid w:val="00276A74"/>
    <w:rsid w:val="00276ED2"/>
    <w:rsid w:val="0027792B"/>
    <w:rsid w:val="00277A88"/>
    <w:rsid w:val="00277E85"/>
    <w:rsid w:val="002800ED"/>
    <w:rsid w:val="00280CF6"/>
    <w:rsid w:val="00281731"/>
    <w:rsid w:val="002819F4"/>
    <w:rsid w:val="002820B3"/>
    <w:rsid w:val="00282808"/>
    <w:rsid w:val="00282BE0"/>
    <w:rsid w:val="00282F6C"/>
    <w:rsid w:val="00282F6F"/>
    <w:rsid w:val="00283371"/>
    <w:rsid w:val="002839FC"/>
    <w:rsid w:val="00284638"/>
    <w:rsid w:val="00284AAC"/>
    <w:rsid w:val="00284BEB"/>
    <w:rsid w:val="00284E47"/>
    <w:rsid w:val="00285173"/>
    <w:rsid w:val="0028543E"/>
    <w:rsid w:val="002855CF"/>
    <w:rsid w:val="0028579A"/>
    <w:rsid w:val="00285FC5"/>
    <w:rsid w:val="00286D1C"/>
    <w:rsid w:val="0028727E"/>
    <w:rsid w:val="0028770B"/>
    <w:rsid w:val="002906C5"/>
    <w:rsid w:val="00290C34"/>
    <w:rsid w:val="00291221"/>
    <w:rsid w:val="00291572"/>
    <w:rsid w:val="00291603"/>
    <w:rsid w:val="00291727"/>
    <w:rsid w:val="00291DCD"/>
    <w:rsid w:val="00291DF7"/>
    <w:rsid w:val="002923FB"/>
    <w:rsid w:val="00292ECA"/>
    <w:rsid w:val="00292FC4"/>
    <w:rsid w:val="00293380"/>
    <w:rsid w:val="0029389E"/>
    <w:rsid w:val="002938A5"/>
    <w:rsid w:val="00294293"/>
    <w:rsid w:val="00294726"/>
    <w:rsid w:val="00295364"/>
    <w:rsid w:val="00295370"/>
    <w:rsid w:val="00295932"/>
    <w:rsid w:val="00296132"/>
    <w:rsid w:val="0029639D"/>
    <w:rsid w:val="00296845"/>
    <w:rsid w:val="00296FD2"/>
    <w:rsid w:val="002970DD"/>
    <w:rsid w:val="00297349"/>
    <w:rsid w:val="002A00B5"/>
    <w:rsid w:val="002A0A74"/>
    <w:rsid w:val="002A0C57"/>
    <w:rsid w:val="002A118C"/>
    <w:rsid w:val="002A147B"/>
    <w:rsid w:val="002A14AE"/>
    <w:rsid w:val="002A15FD"/>
    <w:rsid w:val="002A1E20"/>
    <w:rsid w:val="002A1FAC"/>
    <w:rsid w:val="002A28A5"/>
    <w:rsid w:val="002A33BA"/>
    <w:rsid w:val="002A34F8"/>
    <w:rsid w:val="002A37C8"/>
    <w:rsid w:val="002A3844"/>
    <w:rsid w:val="002A3846"/>
    <w:rsid w:val="002A39BF"/>
    <w:rsid w:val="002A3B38"/>
    <w:rsid w:val="002A3D45"/>
    <w:rsid w:val="002A3E7B"/>
    <w:rsid w:val="002A47CF"/>
    <w:rsid w:val="002A48CF"/>
    <w:rsid w:val="002A4934"/>
    <w:rsid w:val="002A57CB"/>
    <w:rsid w:val="002A57E1"/>
    <w:rsid w:val="002A57FA"/>
    <w:rsid w:val="002A5C4A"/>
    <w:rsid w:val="002A5D89"/>
    <w:rsid w:val="002A5EC0"/>
    <w:rsid w:val="002A6065"/>
    <w:rsid w:val="002A650F"/>
    <w:rsid w:val="002A6685"/>
    <w:rsid w:val="002A72E1"/>
    <w:rsid w:val="002A7342"/>
    <w:rsid w:val="002B01A3"/>
    <w:rsid w:val="002B027A"/>
    <w:rsid w:val="002B04DF"/>
    <w:rsid w:val="002B07A3"/>
    <w:rsid w:val="002B08B3"/>
    <w:rsid w:val="002B0CA7"/>
    <w:rsid w:val="002B15DA"/>
    <w:rsid w:val="002B1E33"/>
    <w:rsid w:val="002B2440"/>
    <w:rsid w:val="002B26F3"/>
    <w:rsid w:val="002B2886"/>
    <w:rsid w:val="002B3019"/>
    <w:rsid w:val="002B32B1"/>
    <w:rsid w:val="002B3751"/>
    <w:rsid w:val="002B3F56"/>
    <w:rsid w:val="002B3FC9"/>
    <w:rsid w:val="002B4451"/>
    <w:rsid w:val="002B5239"/>
    <w:rsid w:val="002B5EBE"/>
    <w:rsid w:val="002B5F0B"/>
    <w:rsid w:val="002B6B45"/>
    <w:rsid w:val="002B6C18"/>
    <w:rsid w:val="002B6E71"/>
    <w:rsid w:val="002B7647"/>
    <w:rsid w:val="002B7769"/>
    <w:rsid w:val="002C081B"/>
    <w:rsid w:val="002C0842"/>
    <w:rsid w:val="002C0E57"/>
    <w:rsid w:val="002C18D3"/>
    <w:rsid w:val="002C26FA"/>
    <w:rsid w:val="002C2B27"/>
    <w:rsid w:val="002C2C09"/>
    <w:rsid w:val="002C483C"/>
    <w:rsid w:val="002C5064"/>
    <w:rsid w:val="002C5C32"/>
    <w:rsid w:val="002C6409"/>
    <w:rsid w:val="002C6982"/>
    <w:rsid w:val="002C72E5"/>
    <w:rsid w:val="002C782D"/>
    <w:rsid w:val="002D011D"/>
    <w:rsid w:val="002D086E"/>
    <w:rsid w:val="002D0A61"/>
    <w:rsid w:val="002D0C40"/>
    <w:rsid w:val="002D0F24"/>
    <w:rsid w:val="002D11DE"/>
    <w:rsid w:val="002D1A01"/>
    <w:rsid w:val="002D1A0E"/>
    <w:rsid w:val="002D24D6"/>
    <w:rsid w:val="002D2A03"/>
    <w:rsid w:val="002D2A5F"/>
    <w:rsid w:val="002D2B24"/>
    <w:rsid w:val="002D2D95"/>
    <w:rsid w:val="002D312D"/>
    <w:rsid w:val="002D31B0"/>
    <w:rsid w:val="002D37B3"/>
    <w:rsid w:val="002D484F"/>
    <w:rsid w:val="002D4FBB"/>
    <w:rsid w:val="002D5363"/>
    <w:rsid w:val="002D5662"/>
    <w:rsid w:val="002D63D1"/>
    <w:rsid w:val="002D67F0"/>
    <w:rsid w:val="002D67F7"/>
    <w:rsid w:val="002D7343"/>
    <w:rsid w:val="002D7529"/>
    <w:rsid w:val="002D76CC"/>
    <w:rsid w:val="002D775E"/>
    <w:rsid w:val="002D7807"/>
    <w:rsid w:val="002D79A2"/>
    <w:rsid w:val="002D7A3E"/>
    <w:rsid w:val="002E09F0"/>
    <w:rsid w:val="002E0CA6"/>
    <w:rsid w:val="002E0DA4"/>
    <w:rsid w:val="002E0E12"/>
    <w:rsid w:val="002E1655"/>
    <w:rsid w:val="002E172B"/>
    <w:rsid w:val="002E18B5"/>
    <w:rsid w:val="002E1F78"/>
    <w:rsid w:val="002E1FD6"/>
    <w:rsid w:val="002E24D5"/>
    <w:rsid w:val="002E2587"/>
    <w:rsid w:val="002E25CB"/>
    <w:rsid w:val="002E265E"/>
    <w:rsid w:val="002E269C"/>
    <w:rsid w:val="002E2B8B"/>
    <w:rsid w:val="002E36E6"/>
    <w:rsid w:val="002E3BF0"/>
    <w:rsid w:val="002E42D4"/>
    <w:rsid w:val="002E4555"/>
    <w:rsid w:val="002E5027"/>
    <w:rsid w:val="002E51C3"/>
    <w:rsid w:val="002E5A5B"/>
    <w:rsid w:val="002E5D25"/>
    <w:rsid w:val="002E5FDE"/>
    <w:rsid w:val="002E633A"/>
    <w:rsid w:val="002E6A7F"/>
    <w:rsid w:val="002E7158"/>
    <w:rsid w:val="002E7225"/>
    <w:rsid w:val="002E7284"/>
    <w:rsid w:val="002E7358"/>
    <w:rsid w:val="002E7386"/>
    <w:rsid w:val="002E7444"/>
    <w:rsid w:val="002F04A1"/>
    <w:rsid w:val="002F1575"/>
    <w:rsid w:val="002F27B2"/>
    <w:rsid w:val="002F28E7"/>
    <w:rsid w:val="002F2954"/>
    <w:rsid w:val="002F29A2"/>
    <w:rsid w:val="002F3175"/>
    <w:rsid w:val="002F33FA"/>
    <w:rsid w:val="002F3F76"/>
    <w:rsid w:val="002F4972"/>
    <w:rsid w:val="002F53B6"/>
    <w:rsid w:val="002F5460"/>
    <w:rsid w:val="002F5620"/>
    <w:rsid w:val="002F5C1A"/>
    <w:rsid w:val="002F5C26"/>
    <w:rsid w:val="002F67A9"/>
    <w:rsid w:val="002F6B4A"/>
    <w:rsid w:val="002F7286"/>
    <w:rsid w:val="002F7600"/>
    <w:rsid w:val="002F776E"/>
    <w:rsid w:val="002F7BC4"/>
    <w:rsid w:val="003009DC"/>
    <w:rsid w:val="003017CD"/>
    <w:rsid w:val="00301EF9"/>
    <w:rsid w:val="003022DD"/>
    <w:rsid w:val="0030273C"/>
    <w:rsid w:val="00302891"/>
    <w:rsid w:val="00302A49"/>
    <w:rsid w:val="00302AF7"/>
    <w:rsid w:val="00303033"/>
    <w:rsid w:val="003044A2"/>
    <w:rsid w:val="00304CD8"/>
    <w:rsid w:val="00305551"/>
    <w:rsid w:val="0030574A"/>
    <w:rsid w:val="00305790"/>
    <w:rsid w:val="003058E8"/>
    <w:rsid w:val="00305925"/>
    <w:rsid w:val="00305B9C"/>
    <w:rsid w:val="00305E24"/>
    <w:rsid w:val="00307CA5"/>
    <w:rsid w:val="00310098"/>
    <w:rsid w:val="0031047E"/>
    <w:rsid w:val="0031061A"/>
    <w:rsid w:val="00310DA7"/>
    <w:rsid w:val="00310F7D"/>
    <w:rsid w:val="003113AB"/>
    <w:rsid w:val="003113BF"/>
    <w:rsid w:val="00311655"/>
    <w:rsid w:val="00311BEF"/>
    <w:rsid w:val="00311CC2"/>
    <w:rsid w:val="00311E45"/>
    <w:rsid w:val="00312143"/>
    <w:rsid w:val="00312843"/>
    <w:rsid w:val="00312A52"/>
    <w:rsid w:val="003130C9"/>
    <w:rsid w:val="00313200"/>
    <w:rsid w:val="003136CA"/>
    <w:rsid w:val="00313B76"/>
    <w:rsid w:val="00313D55"/>
    <w:rsid w:val="00313E44"/>
    <w:rsid w:val="00313EF4"/>
    <w:rsid w:val="00314095"/>
    <w:rsid w:val="00314285"/>
    <w:rsid w:val="00314754"/>
    <w:rsid w:val="0031485D"/>
    <w:rsid w:val="00314C49"/>
    <w:rsid w:val="00314DDE"/>
    <w:rsid w:val="00315136"/>
    <w:rsid w:val="003154BE"/>
    <w:rsid w:val="00315FC2"/>
    <w:rsid w:val="00316117"/>
    <w:rsid w:val="00316307"/>
    <w:rsid w:val="003171C8"/>
    <w:rsid w:val="003172D3"/>
    <w:rsid w:val="0031743B"/>
    <w:rsid w:val="003176E4"/>
    <w:rsid w:val="00317AEB"/>
    <w:rsid w:val="00317EFF"/>
    <w:rsid w:val="003201CC"/>
    <w:rsid w:val="0032055D"/>
    <w:rsid w:val="00320870"/>
    <w:rsid w:val="00320C04"/>
    <w:rsid w:val="0032105A"/>
    <w:rsid w:val="0032119C"/>
    <w:rsid w:val="00321217"/>
    <w:rsid w:val="0032157F"/>
    <w:rsid w:val="00321DC4"/>
    <w:rsid w:val="00321F97"/>
    <w:rsid w:val="003222C9"/>
    <w:rsid w:val="00322433"/>
    <w:rsid w:val="003225D1"/>
    <w:rsid w:val="0032260B"/>
    <w:rsid w:val="00322923"/>
    <w:rsid w:val="0032298B"/>
    <w:rsid w:val="0032345C"/>
    <w:rsid w:val="003234E8"/>
    <w:rsid w:val="003235BA"/>
    <w:rsid w:val="003241CE"/>
    <w:rsid w:val="00324211"/>
    <w:rsid w:val="00324222"/>
    <w:rsid w:val="003246AC"/>
    <w:rsid w:val="00325C51"/>
    <w:rsid w:val="00326298"/>
    <w:rsid w:val="003269EC"/>
    <w:rsid w:val="00327027"/>
    <w:rsid w:val="003274C8"/>
    <w:rsid w:val="003274E1"/>
    <w:rsid w:val="00327679"/>
    <w:rsid w:val="00327CDC"/>
    <w:rsid w:val="003302B8"/>
    <w:rsid w:val="0033056C"/>
    <w:rsid w:val="0033086C"/>
    <w:rsid w:val="00330B3F"/>
    <w:rsid w:val="00330BBF"/>
    <w:rsid w:val="003311B5"/>
    <w:rsid w:val="00331753"/>
    <w:rsid w:val="0033182B"/>
    <w:rsid w:val="00331A10"/>
    <w:rsid w:val="00331CA5"/>
    <w:rsid w:val="00331DB3"/>
    <w:rsid w:val="003321AA"/>
    <w:rsid w:val="00332599"/>
    <w:rsid w:val="003326BB"/>
    <w:rsid w:val="00332AA1"/>
    <w:rsid w:val="003333AC"/>
    <w:rsid w:val="00333E01"/>
    <w:rsid w:val="00333E09"/>
    <w:rsid w:val="00334534"/>
    <w:rsid w:val="00334572"/>
    <w:rsid w:val="00334BE0"/>
    <w:rsid w:val="00334E52"/>
    <w:rsid w:val="00335264"/>
    <w:rsid w:val="0033597A"/>
    <w:rsid w:val="00335AE0"/>
    <w:rsid w:val="00336530"/>
    <w:rsid w:val="00336B64"/>
    <w:rsid w:val="00337A5F"/>
    <w:rsid w:val="00340281"/>
    <w:rsid w:val="00340C69"/>
    <w:rsid w:val="00341592"/>
    <w:rsid w:val="00341DA8"/>
    <w:rsid w:val="00341FC4"/>
    <w:rsid w:val="003420A8"/>
    <w:rsid w:val="00342221"/>
    <w:rsid w:val="0034224F"/>
    <w:rsid w:val="0034277E"/>
    <w:rsid w:val="003429AA"/>
    <w:rsid w:val="00342A40"/>
    <w:rsid w:val="00342ACB"/>
    <w:rsid w:val="00343BC0"/>
    <w:rsid w:val="00343D43"/>
    <w:rsid w:val="00343E05"/>
    <w:rsid w:val="003444D8"/>
    <w:rsid w:val="0034471D"/>
    <w:rsid w:val="00345E3B"/>
    <w:rsid w:val="00346105"/>
    <w:rsid w:val="003461EF"/>
    <w:rsid w:val="00346417"/>
    <w:rsid w:val="00346505"/>
    <w:rsid w:val="003467AF"/>
    <w:rsid w:val="00346A2E"/>
    <w:rsid w:val="003472DA"/>
    <w:rsid w:val="0035106B"/>
    <w:rsid w:val="003513D7"/>
    <w:rsid w:val="00351542"/>
    <w:rsid w:val="00351D3B"/>
    <w:rsid w:val="00352266"/>
    <w:rsid w:val="00352335"/>
    <w:rsid w:val="0035259C"/>
    <w:rsid w:val="00352EAF"/>
    <w:rsid w:val="00353550"/>
    <w:rsid w:val="0035385B"/>
    <w:rsid w:val="00353AFC"/>
    <w:rsid w:val="0035429F"/>
    <w:rsid w:val="003543F4"/>
    <w:rsid w:val="003547FE"/>
    <w:rsid w:val="0035502F"/>
    <w:rsid w:val="0035597E"/>
    <w:rsid w:val="00355B48"/>
    <w:rsid w:val="00355C38"/>
    <w:rsid w:val="00355FE2"/>
    <w:rsid w:val="00356065"/>
    <w:rsid w:val="00356238"/>
    <w:rsid w:val="00357645"/>
    <w:rsid w:val="0036007C"/>
    <w:rsid w:val="00360177"/>
    <w:rsid w:val="00361910"/>
    <w:rsid w:val="00361AFD"/>
    <w:rsid w:val="00361BC2"/>
    <w:rsid w:val="00361BD9"/>
    <w:rsid w:val="00361DF4"/>
    <w:rsid w:val="003620EA"/>
    <w:rsid w:val="0036251E"/>
    <w:rsid w:val="00363113"/>
    <w:rsid w:val="0036362B"/>
    <w:rsid w:val="00364082"/>
    <w:rsid w:val="003644BF"/>
    <w:rsid w:val="003649C8"/>
    <w:rsid w:val="0036506B"/>
    <w:rsid w:val="00365786"/>
    <w:rsid w:val="003670C5"/>
    <w:rsid w:val="00367470"/>
    <w:rsid w:val="00367F44"/>
    <w:rsid w:val="00367FA3"/>
    <w:rsid w:val="00370B90"/>
    <w:rsid w:val="003713F4"/>
    <w:rsid w:val="0037180E"/>
    <w:rsid w:val="00371F82"/>
    <w:rsid w:val="003729D3"/>
    <w:rsid w:val="00372CFB"/>
    <w:rsid w:val="00372DC4"/>
    <w:rsid w:val="00373865"/>
    <w:rsid w:val="003739A8"/>
    <w:rsid w:val="00373FAC"/>
    <w:rsid w:val="003741AD"/>
    <w:rsid w:val="003747DB"/>
    <w:rsid w:val="00374D17"/>
    <w:rsid w:val="0037541E"/>
    <w:rsid w:val="0037561B"/>
    <w:rsid w:val="00375EBF"/>
    <w:rsid w:val="00375FC6"/>
    <w:rsid w:val="00376380"/>
    <w:rsid w:val="00376839"/>
    <w:rsid w:val="00376C51"/>
    <w:rsid w:val="00376FBB"/>
    <w:rsid w:val="00380509"/>
    <w:rsid w:val="00380857"/>
    <w:rsid w:val="003809E0"/>
    <w:rsid w:val="00380BE5"/>
    <w:rsid w:val="00380EEE"/>
    <w:rsid w:val="003810D6"/>
    <w:rsid w:val="0038121D"/>
    <w:rsid w:val="00381546"/>
    <w:rsid w:val="00381912"/>
    <w:rsid w:val="00381A38"/>
    <w:rsid w:val="00382113"/>
    <w:rsid w:val="003823BB"/>
    <w:rsid w:val="0038265C"/>
    <w:rsid w:val="00382CC7"/>
    <w:rsid w:val="00382E4C"/>
    <w:rsid w:val="00382FA1"/>
    <w:rsid w:val="00383B26"/>
    <w:rsid w:val="00383D0D"/>
    <w:rsid w:val="00383D7D"/>
    <w:rsid w:val="003845D7"/>
    <w:rsid w:val="003849DB"/>
    <w:rsid w:val="00384FC6"/>
    <w:rsid w:val="00385ABE"/>
    <w:rsid w:val="00385ADE"/>
    <w:rsid w:val="00385D30"/>
    <w:rsid w:val="003862DF"/>
    <w:rsid w:val="00387370"/>
    <w:rsid w:val="0038751A"/>
    <w:rsid w:val="00387BA6"/>
    <w:rsid w:val="003901D2"/>
    <w:rsid w:val="00390C1E"/>
    <w:rsid w:val="00390FFD"/>
    <w:rsid w:val="003914A6"/>
    <w:rsid w:val="0039175A"/>
    <w:rsid w:val="00391B86"/>
    <w:rsid w:val="00392F69"/>
    <w:rsid w:val="00393191"/>
    <w:rsid w:val="0039331A"/>
    <w:rsid w:val="0039344C"/>
    <w:rsid w:val="00393A50"/>
    <w:rsid w:val="00393AE6"/>
    <w:rsid w:val="00394A84"/>
    <w:rsid w:val="00394BAA"/>
    <w:rsid w:val="00394E9F"/>
    <w:rsid w:val="00394F78"/>
    <w:rsid w:val="00395313"/>
    <w:rsid w:val="00395549"/>
    <w:rsid w:val="0039570D"/>
    <w:rsid w:val="00396220"/>
    <w:rsid w:val="0039644D"/>
    <w:rsid w:val="003968BF"/>
    <w:rsid w:val="003970AD"/>
    <w:rsid w:val="0039779A"/>
    <w:rsid w:val="0039788A"/>
    <w:rsid w:val="003A0364"/>
    <w:rsid w:val="003A08F2"/>
    <w:rsid w:val="003A0FAB"/>
    <w:rsid w:val="003A20C9"/>
    <w:rsid w:val="003A20CA"/>
    <w:rsid w:val="003A2142"/>
    <w:rsid w:val="003A24C3"/>
    <w:rsid w:val="003A291E"/>
    <w:rsid w:val="003A374D"/>
    <w:rsid w:val="003A3D9A"/>
    <w:rsid w:val="003A46B5"/>
    <w:rsid w:val="003A4840"/>
    <w:rsid w:val="003A5137"/>
    <w:rsid w:val="003A5612"/>
    <w:rsid w:val="003A5934"/>
    <w:rsid w:val="003A5E7D"/>
    <w:rsid w:val="003A5EA4"/>
    <w:rsid w:val="003A68FD"/>
    <w:rsid w:val="003A6AD8"/>
    <w:rsid w:val="003A70D2"/>
    <w:rsid w:val="003A75F7"/>
    <w:rsid w:val="003A771A"/>
    <w:rsid w:val="003A7E1F"/>
    <w:rsid w:val="003A7ECC"/>
    <w:rsid w:val="003A7EF9"/>
    <w:rsid w:val="003B06A6"/>
    <w:rsid w:val="003B0A90"/>
    <w:rsid w:val="003B0E42"/>
    <w:rsid w:val="003B12B5"/>
    <w:rsid w:val="003B15A3"/>
    <w:rsid w:val="003B1C92"/>
    <w:rsid w:val="003B2418"/>
    <w:rsid w:val="003B29F8"/>
    <w:rsid w:val="003B2CC3"/>
    <w:rsid w:val="003B31E7"/>
    <w:rsid w:val="003B339F"/>
    <w:rsid w:val="003B394A"/>
    <w:rsid w:val="003B3B14"/>
    <w:rsid w:val="003B4D43"/>
    <w:rsid w:val="003B558E"/>
    <w:rsid w:val="003B572C"/>
    <w:rsid w:val="003B5981"/>
    <w:rsid w:val="003B623E"/>
    <w:rsid w:val="003B62CE"/>
    <w:rsid w:val="003B6413"/>
    <w:rsid w:val="003B65B9"/>
    <w:rsid w:val="003B6938"/>
    <w:rsid w:val="003B6ACA"/>
    <w:rsid w:val="003B6E36"/>
    <w:rsid w:val="003B7172"/>
    <w:rsid w:val="003B7613"/>
    <w:rsid w:val="003C090B"/>
    <w:rsid w:val="003C0D05"/>
    <w:rsid w:val="003C0D53"/>
    <w:rsid w:val="003C1C08"/>
    <w:rsid w:val="003C2065"/>
    <w:rsid w:val="003C2653"/>
    <w:rsid w:val="003C2676"/>
    <w:rsid w:val="003C2724"/>
    <w:rsid w:val="003C2ADD"/>
    <w:rsid w:val="003C2BCA"/>
    <w:rsid w:val="003C3A31"/>
    <w:rsid w:val="003C3BBA"/>
    <w:rsid w:val="003C3D2A"/>
    <w:rsid w:val="003C3DD2"/>
    <w:rsid w:val="003C3E14"/>
    <w:rsid w:val="003C443F"/>
    <w:rsid w:val="003C51D3"/>
    <w:rsid w:val="003C522F"/>
    <w:rsid w:val="003C523D"/>
    <w:rsid w:val="003C5516"/>
    <w:rsid w:val="003C55B2"/>
    <w:rsid w:val="003C5E5E"/>
    <w:rsid w:val="003C6848"/>
    <w:rsid w:val="003C726F"/>
    <w:rsid w:val="003C7A8F"/>
    <w:rsid w:val="003D025F"/>
    <w:rsid w:val="003D0341"/>
    <w:rsid w:val="003D0425"/>
    <w:rsid w:val="003D0787"/>
    <w:rsid w:val="003D09C9"/>
    <w:rsid w:val="003D0AD4"/>
    <w:rsid w:val="003D112F"/>
    <w:rsid w:val="003D15F8"/>
    <w:rsid w:val="003D16E9"/>
    <w:rsid w:val="003D17AE"/>
    <w:rsid w:val="003D1BBA"/>
    <w:rsid w:val="003D1D43"/>
    <w:rsid w:val="003D1E2B"/>
    <w:rsid w:val="003D26C5"/>
    <w:rsid w:val="003D2837"/>
    <w:rsid w:val="003D2EDD"/>
    <w:rsid w:val="003D35D0"/>
    <w:rsid w:val="003D373E"/>
    <w:rsid w:val="003D38BE"/>
    <w:rsid w:val="003D397D"/>
    <w:rsid w:val="003D3A7E"/>
    <w:rsid w:val="003D43DC"/>
    <w:rsid w:val="003D4A87"/>
    <w:rsid w:val="003D4D4B"/>
    <w:rsid w:val="003D53BA"/>
    <w:rsid w:val="003D57FC"/>
    <w:rsid w:val="003D58B4"/>
    <w:rsid w:val="003D5A80"/>
    <w:rsid w:val="003D5B05"/>
    <w:rsid w:val="003D5D4C"/>
    <w:rsid w:val="003D6163"/>
    <w:rsid w:val="003D6231"/>
    <w:rsid w:val="003D64A0"/>
    <w:rsid w:val="003D6E9C"/>
    <w:rsid w:val="003D79E6"/>
    <w:rsid w:val="003D7A55"/>
    <w:rsid w:val="003E0126"/>
    <w:rsid w:val="003E04A2"/>
    <w:rsid w:val="003E04B2"/>
    <w:rsid w:val="003E0755"/>
    <w:rsid w:val="003E0B3A"/>
    <w:rsid w:val="003E16FF"/>
    <w:rsid w:val="003E19B9"/>
    <w:rsid w:val="003E1F13"/>
    <w:rsid w:val="003E2121"/>
    <w:rsid w:val="003E2F38"/>
    <w:rsid w:val="003E32BB"/>
    <w:rsid w:val="003E4C4A"/>
    <w:rsid w:val="003E4DBA"/>
    <w:rsid w:val="003E519D"/>
    <w:rsid w:val="003E55C5"/>
    <w:rsid w:val="003E5C5F"/>
    <w:rsid w:val="003E633B"/>
    <w:rsid w:val="003E654F"/>
    <w:rsid w:val="003E66E8"/>
    <w:rsid w:val="003E6853"/>
    <w:rsid w:val="003E68D0"/>
    <w:rsid w:val="003E69A7"/>
    <w:rsid w:val="003E69CB"/>
    <w:rsid w:val="003E6C07"/>
    <w:rsid w:val="003E6C88"/>
    <w:rsid w:val="003E6D4B"/>
    <w:rsid w:val="003E7144"/>
    <w:rsid w:val="003E73AF"/>
    <w:rsid w:val="003E76C9"/>
    <w:rsid w:val="003E7AA9"/>
    <w:rsid w:val="003E7C64"/>
    <w:rsid w:val="003E7C79"/>
    <w:rsid w:val="003E7EAF"/>
    <w:rsid w:val="003F045C"/>
    <w:rsid w:val="003F07BD"/>
    <w:rsid w:val="003F0BAE"/>
    <w:rsid w:val="003F0EA4"/>
    <w:rsid w:val="003F1078"/>
    <w:rsid w:val="003F1CF8"/>
    <w:rsid w:val="003F20C3"/>
    <w:rsid w:val="003F24B6"/>
    <w:rsid w:val="003F25F7"/>
    <w:rsid w:val="003F26CB"/>
    <w:rsid w:val="003F2E05"/>
    <w:rsid w:val="003F2FB6"/>
    <w:rsid w:val="003F33DA"/>
    <w:rsid w:val="003F35E7"/>
    <w:rsid w:val="003F3C56"/>
    <w:rsid w:val="003F43E9"/>
    <w:rsid w:val="003F4C62"/>
    <w:rsid w:val="003F50C3"/>
    <w:rsid w:val="003F56C4"/>
    <w:rsid w:val="003F57A7"/>
    <w:rsid w:val="003F5B6A"/>
    <w:rsid w:val="003F5C92"/>
    <w:rsid w:val="003F5EDC"/>
    <w:rsid w:val="003F5FAA"/>
    <w:rsid w:val="003F69A2"/>
    <w:rsid w:val="003F6D44"/>
    <w:rsid w:val="003F6F5C"/>
    <w:rsid w:val="003F77CE"/>
    <w:rsid w:val="00401BA8"/>
    <w:rsid w:val="00402A2D"/>
    <w:rsid w:val="00402C60"/>
    <w:rsid w:val="00402F25"/>
    <w:rsid w:val="0040357B"/>
    <w:rsid w:val="004037B7"/>
    <w:rsid w:val="00403D32"/>
    <w:rsid w:val="00403E2E"/>
    <w:rsid w:val="00404580"/>
    <w:rsid w:val="00404C0D"/>
    <w:rsid w:val="00404DD8"/>
    <w:rsid w:val="0040543C"/>
    <w:rsid w:val="00405F84"/>
    <w:rsid w:val="0040607F"/>
    <w:rsid w:val="0040687D"/>
    <w:rsid w:val="00406B96"/>
    <w:rsid w:val="00407075"/>
    <w:rsid w:val="004070D4"/>
    <w:rsid w:val="00407279"/>
    <w:rsid w:val="004076CD"/>
    <w:rsid w:val="00407793"/>
    <w:rsid w:val="00407991"/>
    <w:rsid w:val="0041009F"/>
    <w:rsid w:val="0041031A"/>
    <w:rsid w:val="0041084F"/>
    <w:rsid w:val="00410C36"/>
    <w:rsid w:val="0041172A"/>
    <w:rsid w:val="0041177A"/>
    <w:rsid w:val="004117B9"/>
    <w:rsid w:val="004117D5"/>
    <w:rsid w:val="00412567"/>
    <w:rsid w:val="004130D5"/>
    <w:rsid w:val="00413A9E"/>
    <w:rsid w:val="00413AD2"/>
    <w:rsid w:val="00413BE1"/>
    <w:rsid w:val="004153E7"/>
    <w:rsid w:val="004159AB"/>
    <w:rsid w:val="004164E9"/>
    <w:rsid w:val="00416CE5"/>
    <w:rsid w:val="0041741E"/>
    <w:rsid w:val="00417A0C"/>
    <w:rsid w:val="00420BDF"/>
    <w:rsid w:val="00421110"/>
    <w:rsid w:val="00421193"/>
    <w:rsid w:val="004212B4"/>
    <w:rsid w:val="0042139E"/>
    <w:rsid w:val="004214D9"/>
    <w:rsid w:val="00421EBA"/>
    <w:rsid w:val="004224B0"/>
    <w:rsid w:val="004226C2"/>
    <w:rsid w:val="00422713"/>
    <w:rsid w:val="00422EB3"/>
    <w:rsid w:val="0042370C"/>
    <w:rsid w:val="00423965"/>
    <w:rsid w:val="0042403A"/>
    <w:rsid w:val="00424166"/>
    <w:rsid w:val="00424D05"/>
    <w:rsid w:val="00424D09"/>
    <w:rsid w:val="004253A3"/>
    <w:rsid w:val="0042549E"/>
    <w:rsid w:val="00425CF6"/>
    <w:rsid w:val="0042607F"/>
    <w:rsid w:val="004262C3"/>
    <w:rsid w:val="00426507"/>
    <w:rsid w:val="004268B3"/>
    <w:rsid w:val="00426BBE"/>
    <w:rsid w:val="004271FB"/>
    <w:rsid w:val="0042726C"/>
    <w:rsid w:val="004273CE"/>
    <w:rsid w:val="0042753B"/>
    <w:rsid w:val="00427618"/>
    <w:rsid w:val="00430548"/>
    <w:rsid w:val="004307AB"/>
    <w:rsid w:val="0043146B"/>
    <w:rsid w:val="004319E4"/>
    <w:rsid w:val="00431C0C"/>
    <w:rsid w:val="004328A3"/>
    <w:rsid w:val="00432BDF"/>
    <w:rsid w:val="00432E83"/>
    <w:rsid w:val="004333C6"/>
    <w:rsid w:val="00433596"/>
    <w:rsid w:val="00433739"/>
    <w:rsid w:val="00433877"/>
    <w:rsid w:val="004341F4"/>
    <w:rsid w:val="004343AF"/>
    <w:rsid w:val="00434573"/>
    <w:rsid w:val="00434C9B"/>
    <w:rsid w:val="004352B5"/>
    <w:rsid w:val="0043540B"/>
    <w:rsid w:val="0043557E"/>
    <w:rsid w:val="004358DC"/>
    <w:rsid w:val="00435AB7"/>
    <w:rsid w:val="00435DE3"/>
    <w:rsid w:val="00436103"/>
    <w:rsid w:val="00436F46"/>
    <w:rsid w:val="004370D6"/>
    <w:rsid w:val="0043727C"/>
    <w:rsid w:val="00437766"/>
    <w:rsid w:val="00437C54"/>
    <w:rsid w:val="00437C88"/>
    <w:rsid w:val="00440081"/>
    <w:rsid w:val="004404C3"/>
    <w:rsid w:val="0044083A"/>
    <w:rsid w:val="00440D7C"/>
    <w:rsid w:val="004410D1"/>
    <w:rsid w:val="00441A5D"/>
    <w:rsid w:val="00442051"/>
    <w:rsid w:val="00442190"/>
    <w:rsid w:val="00442656"/>
    <w:rsid w:val="00442677"/>
    <w:rsid w:val="00442D85"/>
    <w:rsid w:val="00443585"/>
    <w:rsid w:val="00443843"/>
    <w:rsid w:val="004438D7"/>
    <w:rsid w:val="0044398B"/>
    <w:rsid w:val="00443BFC"/>
    <w:rsid w:val="00443DB2"/>
    <w:rsid w:val="0044408D"/>
    <w:rsid w:val="00444290"/>
    <w:rsid w:val="00444948"/>
    <w:rsid w:val="00444A01"/>
    <w:rsid w:val="00445031"/>
    <w:rsid w:val="004452F5"/>
    <w:rsid w:val="0044597F"/>
    <w:rsid w:val="00446E61"/>
    <w:rsid w:val="00446F5D"/>
    <w:rsid w:val="00447127"/>
    <w:rsid w:val="00447DC7"/>
    <w:rsid w:val="00450667"/>
    <w:rsid w:val="0045086F"/>
    <w:rsid w:val="004509A3"/>
    <w:rsid w:val="00450A74"/>
    <w:rsid w:val="004510B5"/>
    <w:rsid w:val="00451DF6"/>
    <w:rsid w:val="004523AD"/>
    <w:rsid w:val="004523C7"/>
    <w:rsid w:val="004525DD"/>
    <w:rsid w:val="004526FE"/>
    <w:rsid w:val="00453E9E"/>
    <w:rsid w:val="00454946"/>
    <w:rsid w:val="00454995"/>
    <w:rsid w:val="00454E71"/>
    <w:rsid w:val="004550EE"/>
    <w:rsid w:val="00455193"/>
    <w:rsid w:val="0045574E"/>
    <w:rsid w:val="004563E6"/>
    <w:rsid w:val="00456676"/>
    <w:rsid w:val="00456727"/>
    <w:rsid w:val="00456CC8"/>
    <w:rsid w:val="0045732A"/>
    <w:rsid w:val="00457552"/>
    <w:rsid w:val="00457958"/>
    <w:rsid w:val="00460CDF"/>
    <w:rsid w:val="00460D97"/>
    <w:rsid w:val="00461233"/>
    <w:rsid w:val="00461899"/>
    <w:rsid w:val="004630E3"/>
    <w:rsid w:val="004637F7"/>
    <w:rsid w:val="00463A18"/>
    <w:rsid w:val="00464221"/>
    <w:rsid w:val="004644A6"/>
    <w:rsid w:val="00464909"/>
    <w:rsid w:val="00464DD6"/>
    <w:rsid w:val="00466532"/>
    <w:rsid w:val="00466B25"/>
    <w:rsid w:val="004671B7"/>
    <w:rsid w:val="00467BF6"/>
    <w:rsid w:val="00467E97"/>
    <w:rsid w:val="00470031"/>
    <w:rsid w:val="00470473"/>
    <w:rsid w:val="0047123C"/>
    <w:rsid w:val="00471728"/>
    <w:rsid w:val="004718A3"/>
    <w:rsid w:val="00471B4B"/>
    <w:rsid w:val="00471B6D"/>
    <w:rsid w:val="00472955"/>
    <w:rsid w:val="00472C17"/>
    <w:rsid w:val="00472CED"/>
    <w:rsid w:val="00472EF3"/>
    <w:rsid w:val="0047361D"/>
    <w:rsid w:val="004740A8"/>
    <w:rsid w:val="004746E3"/>
    <w:rsid w:val="00474990"/>
    <w:rsid w:val="00474A8A"/>
    <w:rsid w:val="00474D0F"/>
    <w:rsid w:val="00474E7D"/>
    <w:rsid w:val="00474F5A"/>
    <w:rsid w:val="0047508B"/>
    <w:rsid w:val="00475380"/>
    <w:rsid w:val="00475BF8"/>
    <w:rsid w:val="00475D34"/>
    <w:rsid w:val="00476105"/>
    <w:rsid w:val="00476C4F"/>
    <w:rsid w:val="0047709C"/>
    <w:rsid w:val="0047711D"/>
    <w:rsid w:val="0047745F"/>
    <w:rsid w:val="004779FE"/>
    <w:rsid w:val="00477D77"/>
    <w:rsid w:val="0048050F"/>
    <w:rsid w:val="00480AF4"/>
    <w:rsid w:val="00480CDE"/>
    <w:rsid w:val="00480D4E"/>
    <w:rsid w:val="00481AF7"/>
    <w:rsid w:val="00481B81"/>
    <w:rsid w:val="004824F6"/>
    <w:rsid w:val="0048253D"/>
    <w:rsid w:val="004827E7"/>
    <w:rsid w:val="00482CC3"/>
    <w:rsid w:val="004830A7"/>
    <w:rsid w:val="00483613"/>
    <w:rsid w:val="004836C2"/>
    <w:rsid w:val="0048465D"/>
    <w:rsid w:val="00484787"/>
    <w:rsid w:val="00484B25"/>
    <w:rsid w:val="00484EC3"/>
    <w:rsid w:val="004854C5"/>
    <w:rsid w:val="00485656"/>
    <w:rsid w:val="00485876"/>
    <w:rsid w:val="00485B2A"/>
    <w:rsid w:val="00485B71"/>
    <w:rsid w:val="00485E38"/>
    <w:rsid w:val="004860A3"/>
    <w:rsid w:val="00486739"/>
    <w:rsid w:val="004869DF"/>
    <w:rsid w:val="00486F3A"/>
    <w:rsid w:val="004874BA"/>
    <w:rsid w:val="004876F3"/>
    <w:rsid w:val="00487B9E"/>
    <w:rsid w:val="00487EDB"/>
    <w:rsid w:val="004900C2"/>
    <w:rsid w:val="004902C3"/>
    <w:rsid w:val="004909A1"/>
    <w:rsid w:val="00490A0E"/>
    <w:rsid w:val="00490AC7"/>
    <w:rsid w:val="00490C3B"/>
    <w:rsid w:val="0049101B"/>
    <w:rsid w:val="004912C8"/>
    <w:rsid w:val="00491B2C"/>
    <w:rsid w:val="00491BCB"/>
    <w:rsid w:val="004921FF"/>
    <w:rsid w:val="00492DF7"/>
    <w:rsid w:val="00492EFA"/>
    <w:rsid w:val="004931E3"/>
    <w:rsid w:val="00493739"/>
    <w:rsid w:val="00493A32"/>
    <w:rsid w:val="00494059"/>
    <w:rsid w:val="004941F2"/>
    <w:rsid w:val="00494A9A"/>
    <w:rsid w:val="00494C4A"/>
    <w:rsid w:val="00495D33"/>
    <w:rsid w:val="00495F89"/>
    <w:rsid w:val="00496658"/>
    <w:rsid w:val="004968AC"/>
    <w:rsid w:val="004970CE"/>
    <w:rsid w:val="00497702"/>
    <w:rsid w:val="004978E8"/>
    <w:rsid w:val="004978EF"/>
    <w:rsid w:val="00497A89"/>
    <w:rsid w:val="004A010E"/>
    <w:rsid w:val="004A0132"/>
    <w:rsid w:val="004A0180"/>
    <w:rsid w:val="004A0D42"/>
    <w:rsid w:val="004A0F1F"/>
    <w:rsid w:val="004A24A3"/>
    <w:rsid w:val="004A2B34"/>
    <w:rsid w:val="004A2BD5"/>
    <w:rsid w:val="004A2CDC"/>
    <w:rsid w:val="004A3741"/>
    <w:rsid w:val="004A3DA3"/>
    <w:rsid w:val="004A3DB7"/>
    <w:rsid w:val="004A3F5A"/>
    <w:rsid w:val="004A40AA"/>
    <w:rsid w:val="004A40C6"/>
    <w:rsid w:val="004A431A"/>
    <w:rsid w:val="004A515E"/>
    <w:rsid w:val="004A523F"/>
    <w:rsid w:val="004A546D"/>
    <w:rsid w:val="004A59A3"/>
    <w:rsid w:val="004A5B04"/>
    <w:rsid w:val="004A6BCF"/>
    <w:rsid w:val="004A703C"/>
    <w:rsid w:val="004A72BC"/>
    <w:rsid w:val="004A787F"/>
    <w:rsid w:val="004B0FAB"/>
    <w:rsid w:val="004B1261"/>
    <w:rsid w:val="004B1897"/>
    <w:rsid w:val="004B1C2F"/>
    <w:rsid w:val="004B2421"/>
    <w:rsid w:val="004B303E"/>
    <w:rsid w:val="004B3213"/>
    <w:rsid w:val="004B3496"/>
    <w:rsid w:val="004B34FB"/>
    <w:rsid w:val="004B369F"/>
    <w:rsid w:val="004B376D"/>
    <w:rsid w:val="004B3995"/>
    <w:rsid w:val="004B455A"/>
    <w:rsid w:val="004B4698"/>
    <w:rsid w:val="004B4E90"/>
    <w:rsid w:val="004B6003"/>
    <w:rsid w:val="004B618F"/>
    <w:rsid w:val="004B6202"/>
    <w:rsid w:val="004B665D"/>
    <w:rsid w:val="004B6B9D"/>
    <w:rsid w:val="004B7530"/>
    <w:rsid w:val="004B7CCC"/>
    <w:rsid w:val="004B7F9C"/>
    <w:rsid w:val="004B7FB2"/>
    <w:rsid w:val="004C0049"/>
    <w:rsid w:val="004C066B"/>
    <w:rsid w:val="004C0A40"/>
    <w:rsid w:val="004C0C55"/>
    <w:rsid w:val="004C1034"/>
    <w:rsid w:val="004C19CB"/>
    <w:rsid w:val="004C1B2F"/>
    <w:rsid w:val="004C2105"/>
    <w:rsid w:val="004C22C0"/>
    <w:rsid w:val="004C26B1"/>
    <w:rsid w:val="004C28DF"/>
    <w:rsid w:val="004C2B33"/>
    <w:rsid w:val="004C2BC0"/>
    <w:rsid w:val="004C306D"/>
    <w:rsid w:val="004C3420"/>
    <w:rsid w:val="004C358B"/>
    <w:rsid w:val="004C4012"/>
    <w:rsid w:val="004C4748"/>
    <w:rsid w:val="004C4D73"/>
    <w:rsid w:val="004C5807"/>
    <w:rsid w:val="004C59A4"/>
    <w:rsid w:val="004C5FC2"/>
    <w:rsid w:val="004C60DD"/>
    <w:rsid w:val="004C71CD"/>
    <w:rsid w:val="004C75B9"/>
    <w:rsid w:val="004C7688"/>
    <w:rsid w:val="004D0235"/>
    <w:rsid w:val="004D053A"/>
    <w:rsid w:val="004D0808"/>
    <w:rsid w:val="004D092B"/>
    <w:rsid w:val="004D0D35"/>
    <w:rsid w:val="004D0EF8"/>
    <w:rsid w:val="004D0F40"/>
    <w:rsid w:val="004D17C8"/>
    <w:rsid w:val="004D1D83"/>
    <w:rsid w:val="004D1EC1"/>
    <w:rsid w:val="004D2630"/>
    <w:rsid w:val="004D2702"/>
    <w:rsid w:val="004D275B"/>
    <w:rsid w:val="004D36F9"/>
    <w:rsid w:val="004D3EE4"/>
    <w:rsid w:val="004D42DB"/>
    <w:rsid w:val="004D4625"/>
    <w:rsid w:val="004D4A42"/>
    <w:rsid w:val="004D4A82"/>
    <w:rsid w:val="004D4B08"/>
    <w:rsid w:val="004D5210"/>
    <w:rsid w:val="004D5353"/>
    <w:rsid w:val="004D545F"/>
    <w:rsid w:val="004D5727"/>
    <w:rsid w:val="004D57D5"/>
    <w:rsid w:val="004D587E"/>
    <w:rsid w:val="004D5AF4"/>
    <w:rsid w:val="004D6112"/>
    <w:rsid w:val="004D62D5"/>
    <w:rsid w:val="004D6836"/>
    <w:rsid w:val="004D6917"/>
    <w:rsid w:val="004D6BB0"/>
    <w:rsid w:val="004D6BF8"/>
    <w:rsid w:val="004D6DCE"/>
    <w:rsid w:val="004D6F10"/>
    <w:rsid w:val="004D72BC"/>
    <w:rsid w:val="004D7408"/>
    <w:rsid w:val="004D7BBB"/>
    <w:rsid w:val="004E1305"/>
    <w:rsid w:val="004E1FE0"/>
    <w:rsid w:val="004E289B"/>
    <w:rsid w:val="004E28FA"/>
    <w:rsid w:val="004E2A15"/>
    <w:rsid w:val="004E2AD8"/>
    <w:rsid w:val="004E2D58"/>
    <w:rsid w:val="004E31C6"/>
    <w:rsid w:val="004E33C5"/>
    <w:rsid w:val="004E35D4"/>
    <w:rsid w:val="004E3672"/>
    <w:rsid w:val="004E36AD"/>
    <w:rsid w:val="004E382E"/>
    <w:rsid w:val="004E397A"/>
    <w:rsid w:val="004E3A3E"/>
    <w:rsid w:val="004E465F"/>
    <w:rsid w:val="004E47FC"/>
    <w:rsid w:val="004E48F1"/>
    <w:rsid w:val="004E491C"/>
    <w:rsid w:val="004E4EBE"/>
    <w:rsid w:val="004E58BA"/>
    <w:rsid w:val="004E6109"/>
    <w:rsid w:val="004E636F"/>
    <w:rsid w:val="004E6497"/>
    <w:rsid w:val="004E65CA"/>
    <w:rsid w:val="004E6826"/>
    <w:rsid w:val="004E6CAD"/>
    <w:rsid w:val="004E6DA3"/>
    <w:rsid w:val="004E76ED"/>
    <w:rsid w:val="004E7FA1"/>
    <w:rsid w:val="004F079B"/>
    <w:rsid w:val="004F0C37"/>
    <w:rsid w:val="004F0E6F"/>
    <w:rsid w:val="004F1492"/>
    <w:rsid w:val="004F172F"/>
    <w:rsid w:val="004F18A3"/>
    <w:rsid w:val="004F1C6F"/>
    <w:rsid w:val="004F1E0A"/>
    <w:rsid w:val="004F1FEF"/>
    <w:rsid w:val="004F2239"/>
    <w:rsid w:val="004F233D"/>
    <w:rsid w:val="004F27DC"/>
    <w:rsid w:val="004F27EF"/>
    <w:rsid w:val="004F2DD5"/>
    <w:rsid w:val="004F31EF"/>
    <w:rsid w:val="004F3A8C"/>
    <w:rsid w:val="004F3BD8"/>
    <w:rsid w:val="004F3CC2"/>
    <w:rsid w:val="004F4056"/>
    <w:rsid w:val="004F40B0"/>
    <w:rsid w:val="004F4E1F"/>
    <w:rsid w:val="004F52F1"/>
    <w:rsid w:val="004F5560"/>
    <w:rsid w:val="004F5B59"/>
    <w:rsid w:val="004F6195"/>
    <w:rsid w:val="004F6241"/>
    <w:rsid w:val="004F6886"/>
    <w:rsid w:val="004F6A20"/>
    <w:rsid w:val="004F6FD6"/>
    <w:rsid w:val="004F77DE"/>
    <w:rsid w:val="00500136"/>
    <w:rsid w:val="00500765"/>
    <w:rsid w:val="00502B0A"/>
    <w:rsid w:val="0050307C"/>
    <w:rsid w:val="0050309E"/>
    <w:rsid w:val="005037B8"/>
    <w:rsid w:val="00503D59"/>
    <w:rsid w:val="005049BB"/>
    <w:rsid w:val="00504D52"/>
    <w:rsid w:val="00504E7C"/>
    <w:rsid w:val="00504E98"/>
    <w:rsid w:val="00505653"/>
    <w:rsid w:val="0050580F"/>
    <w:rsid w:val="00506925"/>
    <w:rsid w:val="00506FE5"/>
    <w:rsid w:val="0050718F"/>
    <w:rsid w:val="0050724E"/>
    <w:rsid w:val="00507406"/>
    <w:rsid w:val="00507712"/>
    <w:rsid w:val="005077A5"/>
    <w:rsid w:val="005103C5"/>
    <w:rsid w:val="0051055C"/>
    <w:rsid w:val="005105F4"/>
    <w:rsid w:val="005107EA"/>
    <w:rsid w:val="00510D10"/>
    <w:rsid w:val="00510F49"/>
    <w:rsid w:val="005113C2"/>
    <w:rsid w:val="005119A6"/>
    <w:rsid w:val="00511B94"/>
    <w:rsid w:val="0051306C"/>
    <w:rsid w:val="0051332F"/>
    <w:rsid w:val="00513432"/>
    <w:rsid w:val="005135C9"/>
    <w:rsid w:val="00513A1A"/>
    <w:rsid w:val="00513EEA"/>
    <w:rsid w:val="00514348"/>
    <w:rsid w:val="005146F3"/>
    <w:rsid w:val="0051474D"/>
    <w:rsid w:val="00514AF8"/>
    <w:rsid w:val="005150BE"/>
    <w:rsid w:val="00515383"/>
    <w:rsid w:val="00515BBE"/>
    <w:rsid w:val="0051688F"/>
    <w:rsid w:val="00516E42"/>
    <w:rsid w:val="00517406"/>
    <w:rsid w:val="00520411"/>
    <w:rsid w:val="00520D10"/>
    <w:rsid w:val="00521D77"/>
    <w:rsid w:val="005223AE"/>
    <w:rsid w:val="005228C1"/>
    <w:rsid w:val="00522BF7"/>
    <w:rsid w:val="00523143"/>
    <w:rsid w:val="00523BD3"/>
    <w:rsid w:val="00523BDA"/>
    <w:rsid w:val="0052438B"/>
    <w:rsid w:val="0052444E"/>
    <w:rsid w:val="00524492"/>
    <w:rsid w:val="00524887"/>
    <w:rsid w:val="005248C2"/>
    <w:rsid w:val="005248D2"/>
    <w:rsid w:val="00524AA0"/>
    <w:rsid w:val="00524E37"/>
    <w:rsid w:val="00524F37"/>
    <w:rsid w:val="0052571E"/>
    <w:rsid w:val="0052619C"/>
    <w:rsid w:val="00526426"/>
    <w:rsid w:val="005264D1"/>
    <w:rsid w:val="0052690C"/>
    <w:rsid w:val="00526EB0"/>
    <w:rsid w:val="005273D1"/>
    <w:rsid w:val="00527659"/>
    <w:rsid w:val="005308C4"/>
    <w:rsid w:val="00531192"/>
    <w:rsid w:val="005312B8"/>
    <w:rsid w:val="00531424"/>
    <w:rsid w:val="005315E8"/>
    <w:rsid w:val="005315FB"/>
    <w:rsid w:val="00531C6F"/>
    <w:rsid w:val="00531E06"/>
    <w:rsid w:val="0053213B"/>
    <w:rsid w:val="00532ABC"/>
    <w:rsid w:val="00532BE9"/>
    <w:rsid w:val="00532FAB"/>
    <w:rsid w:val="00533A5B"/>
    <w:rsid w:val="005344CF"/>
    <w:rsid w:val="00534BE6"/>
    <w:rsid w:val="00534ED3"/>
    <w:rsid w:val="005353DA"/>
    <w:rsid w:val="00535C9C"/>
    <w:rsid w:val="00535D08"/>
    <w:rsid w:val="00535F93"/>
    <w:rsid w:val="00535FAF"/>
    <w:rsid w:val="00536496"/>
    <w:rsid w:val="005365C8"/>
    <w:rsid w:val="005369E1"/>
    <w:rsid w:val="00536D66"/>
    <w:rsid w:val="00537317"/>
    <w:rsid w:val="005374CF"/>
    <w:rsid w:val="00537705"/>
    <w:rsid w:val="00537782"/>
    <w:rsid w:val="00537983"/>
    <w:rsid w:val="00537C55"/>
    <w:rsid w:val="00537D06"/>
    <w:rsid w:val="00537DCE"/>
    <w:rsid w:val="005408DC"/>
    <w:rsid w:val="005409C5"/>
    <w:rsid w:val="00540BE2"/>
    <w:rsid w:val="00540D6A"/>
    <w:rsid w:val="00541328"/>
    <w:rsid w:val="0054170F"/>
    <w:rsid w:val="00541EE8"/>
    <w:rsid w:val="0054208D"/>
    <w:rsid w:val="005421D6"/>
    <w:rsid w:val="00542429"/>
    <w:rsid w:val="00542A97"/>
    <w:rsid w:val="00542B40"/>
    <w:rsid w:val="00542FEC"/>
    <w:rsid w:val="00543393"/>
    <w:rsid w:val="0054354A"/>
    <w:rsid w:val="0054376D"/>
    <w:rsid w:val="00543AC6"/>
    <w:rsid w:val="00543DA9"/>
    <w:rsid w:val="00544200"/>
    <w:rsid w:val="00544419"/>
    <w:rsid w:val="005444B0"/>
    <w:rsid w:val="00544611"/>
    <w:rsid w:val="00544666"/>
    <w:rsid w:val="0054481F"/>
    <w:rsid w:val="00545051"/>
    <w:rsid w:val="00545797"/>
    <w:rsid w:val="005459DE"/>
    <w:rsid w:val="00545DBB"/>
    <w:rsid w:val="00545E96"/>
    <w:rsid w:val="0054630F"/>
    <w:rsid w:val="00547510"/>
    <w:rsid w:val="005475C0"/>
    <w:rsid w:val="00547909"/>
    <w:rsid w:val="00550793"/>
    <w:rsid w:val="00550B20"/>
    <w:rsid w:val="005513DE"/>
    <w:rsid w:val="00551CC3"/>
    <w:rsid w:val="00551F04"/>
    <w:rsid w:val="0055289C"/>
    <w:rsid w:val="00552A3A"/>
    <w:rsid w:val="00552E3A"/>
    <w:rsid w:val="00552E93"/>
    <w:rsid w:val="005532BC"/>
    <w:rsid w:val="005536F8"/>
    <w:rsid w:val="0055371F"/>
    <w:rsid w:val="00553F23"/>
    <w:rsid w:val="005542FC"/>
    <w:rsid w:val="00554928"/>
    <w:rsid w:val="00554B70"/>
    <w:rsid w:val="00554CA9"/>
    <w:rsid w:val="00554F13"/>
    <w:rsid w:val="00554F6F"/>
    <w:rsid w:val="00555A94"/>
    <w:rsid w:val="00555E82"/>
    <w:rsid w:val="00555EF1"/>
    <w:rsid w:val="00556805"/>
    <w:rsid w:val="005568DF"/>
    <w:rsid w:val="00556A09"/>
    <w:rsid w:val="00556B21"/>
    <w:rsid w:val="00557089"/>
    <w:rsid w:val="0055727A"/>
    <w:rsid w:val="00557B3D"/>
    <w:rsid w:val="005600BD"/>
    <w:rsid w:val="00560772"/>
    <w:rsid w:val="005608D4"/>
    <w:rsid w:val="005622DC"/>
    <w:rsid w:val="00562C1B"/>
    <w:rsid w:val="00562CF9"/>
    <w:rsid w:val="0056303F"/>
    <w:rsid w:val="00564500"/>
    <w:rsid w:val="00565365"/>
    <w:rsid w:val="005662FF"/>
    <w:rsid w:val="00566468"/>
    <w:rsid w:val="005664A4"/>
    <w:rsid w:val="00567112"/>
    <w:rsid w:val="00567697"/>
    <w:rsid w:val="00567F96"/>
    <w:rsid w:val="00567FDE"/>
    <w:rsid w:val="00570118"/>
    <w:rsid w:val="0057033E"/>
    <w:rsid w:val="005705C0"/>
    <w:rsid w:val="005707BF"/>
    <w:rsid w:val="005709B2"/>
    <w:rsid w:val="00570B0B"/>
    <w:rsid w:val="00570DE6"/>
    <w:rsid w:val="00571548"/>
    <w:rsid w:val="00571555"/>
    <w:rsid w:val="005720EF"/>
    <w:rsid w:val="005727B0"/>
    <w:rsid w:val="005727B8"/>
    <w:rsid w:val="00572D53"/>
    <w:rsid w:val="00572D6E"/>
    <w:rsid w:val="00573446"/>
    <w:rsid w:val="00573ACB"/>
    <w:rsid w:val="0057453C"/>
    <w:rsid w:val="00574833"/>
    <w:rsid w:val="005749FE"/>
    <w:rsid w:val="00575490"/>
    <w:rsid w:val="00575B3D"/>
    <w:rsid w:val="00576132"/>
    <w:rsid w:val="005769D0"/>
    <w:rsid w:val="005777B3"/>
    <w:rsid w:val="005778E0"/>
    <w:rsid w:val="00577AFE"/>
    <w:rsid w:val="00577F2C"/>
    <w:rsid w:val="005805BA"/>
    <w:rsid w:val="00580860"/>
    <w:rsid w:val="00581607"/>
    <w:rsid w:val="00581C05"/>
    <w:rsid w:val="00581C95"/>
    <w:rsid w:val="00581CF6"/>
    <w:rsid w:val="00581D60"/>
    <w:rsid w:val="005824E1"/>
    <w:rsid w:val="0058331C"/>
    <w:rsid w:val="005837ED"/>
    <w:rsid w:val="00583D43"/>
    <w:rsid w:val="00583DE4"/>
    <w:rsid w:val="0058476A"/>
    <w:rsid w:val="0058515C"/>
    <w:rsid w:val="005852D8"/>
    <w:rsid w:val="00585C37"/>
    <w:rsid w:val="005861FF"/>
    <w:rsid w:val="0058686E"/>
    <w:rsid w:val="005869A0"/>
    <w:rsid w:val="0058709D"/>
    <w:rsid w:val="0058761D"/>
    <w:rsid w:val="00587695"/>
    <w:rsid w:val="00587806"/>
    <w:rsid w:val="005879D4"/>
    <w:rsid w:val="005900DE"/>
    <w:rsid w:val="00590368"/>
    <w:rsid w:val="005906FF"/>
    <w:rsid w:val="005909AE"/>
    <w:rsid w:val="005917E8"/>
    <w:rsid w:val="00591975"/>
    <w:rsid w:val="00591F63"/>
    <w:rsid w:val="005921C2"/>
    <w:rsid w:val="005923F6"/>
    <w:rsid w:val="00592A7D"/>
    <w:rsid w:val="00592C53"/>
    <w:rsid w:val="0059413E"/>
    <w:rsid w:val="0059452B"/>
    <w:rsid w:val="005946E7"/>
    <w:rsid w:val="005947DB"/>
    <w:rsid w:val="00594BA9"/>
    <w:rsid w:val="00594C60"/>
    <w:rsid w:val="00594FBF"/>
    <w:rsid w:val="00594FF8"/>
    <w:rsid w:val="00595582"/>
    <w:rsid w:val="00595C58"/>
    <w:rsid w:val="00596546"/>
    <w:rsid w:val="0059660A"/>
    <w:rsid w:val="005969D6"/>
    <w:rsid w:val="00596C39"/>
    <w:rsid w:val="00596CD9"/>
    <w:rsid w:val="00596FB8"/>
    <w:rsid w:val="0059739A"/>
    <w:rsid w:val="00597742"/>
    <w:rsid w:val="00597B10"/>
    <w:rsid w:val="00597FD5"/>
    <w:rsid w:val="005A0213"/>
    <w:rsid w:val="005A03B7"/>
    <w:rsid w:val="005A1634"/>
    <w:rsid w:val="005A1A5D"/>
    <w:rsid w:val="005A305E"/>
    <w:rsid w:val="005A33B9"/>
    <w:rsid w:val="005A44A8"/>
    <w:rsid w:val="005A477B"/>
    <w:rsid w:val="005A4D26"/>
    <w:rsid w:val="005A51C2"/>
    <w:rsid w:val="005A6513"/>
    <w:rsid w:val="005A6681"/>
    <w:rsid w:val="005A6A30"/>
    <w:rsid w:val="005A73B8"/>
    <w:rsid w:val="005B0FEC"/>
    <w:rsid w:val="005B11FD"/>
    <w:rsid w:val="005B1398"/>
    <w:rsid w:val="005B16DF"/>
    <w:rsid w:val="005B19D4"/>
    <w:rsid w:val="005B1A00"/>
    <w:rsid w:val="005B1AED"/>
    <w:rsid w:val="005B2897"/>
    <w:rsid w:val="005B28B2"/>
    <w:rsid w:val="005B2A7E"/>
    <w:rsid w:val="005B2AEE"/>
    <w:rsid w:val="005B2F8A"/>
    <w:rsid w:val="005B38ED"/>
    <w:rsid w:val="005B394D"/>
    <w:rsid w:val="005B3C7C"/>
    <w:rsid w:val="005B440A"/>
    <w:rsid w:val="005B53E8"/>
    <w:rsid w:val="005B558E"/>
    <w:rsid w:val="005B591D"/>
    <w:rsid w:val="005B6EF4"/>
    <w:rsid w:val="005B70A7"/>
    <w:rsid w:val="005B72F4"/>
    <w:rsid w:val="005B7726"/>
    <w:rsid w:val="005B78D3"/>
    <w:rsid w:val="005B7AC5"/>
    <w:rsid w:val="005B7C1B"/>
    <w:rsid w:val="005B7EE0"/>
    <w:rsid w:val="005C0528"/>
    <w:rsid w:val="005C061B"/>
    <w:rsid w:val="005C0BF0"/>
    <w:rsid w:val="005C0F82"/>
    <w:rsid w:val="005C133F"/>
    <w:rsid w:val="005C1996"/>
    <w:rsid w:val="005C1CB7"/>
    <w:rsid w:val="005C1CEA"/>
    <w:rsid w:val="005C2230"/>
    <w:rsid w:val="005C266C"/>
    <w:rsid w:val="005C279D"/>
    <w:rsid w:val="005C2C83"/>
    <w:rsid w:val="005C30B9"/>
    <w:rsid w:val="005C343F"/>
    <w:rsid w:val="005C377F"/>
    <w:rsid w:val="005C4486"/>
    <w:rsid w:val="005C448E"/>
    <w:rsid w:val="005C4A02"/>
    <w:rsid w:val="005C4A20"/>
    <w:rsid w:val="005C4B90"/>
    <w:rsid w:val="005C4BB6"/>
    <w:rsid w:val="005C4D29"/>
    <w:rsid w:val="005C4FDB"/>
    <w:rsid w:val="005C50AA"/>
    <w:rsid w:val="005C52B9"/>
    <w:rsid w:val="005C548C"/>
    <w:rsid w:val="005C5557"/>
    <w:rsid w:val="005C5C10"/>
    <w:rsid w:val="005C65F4"/>
    <w:rsid w:val="005C6D7A"/>
    <w:rsid w:val="005C6EE4"/>
    <w:rsid w:val="005C738A"/>
    <w:rsid w:val="005C77F3"/>
    <w:rsid w:val="005C7AD9"/>
    <w:rsid w:val="005C7EBA"/>
    <w:rsid w:val="005D0382"/>
    <w:rsid w:val="005D061E"/>
    <w:rsid w:val="005D083B"/>
    <w:rsid w:val="005D0D5B"/>
    <w:rsid w:val="005D0ECC"/>
    <w:rsid w:val="005D1A07"/>
    <w:rsid w:val="005D239E"/>
    <w:rsid w:val="005D29D7"/>
    <w:rsid w:val="005D2B0D"/>
    <w:rsid w:val="005D2BEC"/>
    <w:rsid w:val="005D2C1D"/>
    <w:rsid w:val="005D2C44"/>
    <w:rsid w:val="005D360C"/>
    <w:rsid w:val="005D39ED"/>
    <w:rsid w:val="005D48CC"/>
    <w:rsid w:val="005D4B7D"/>
    <w:rsid w:val="005D4F9E"/>
    <w:rsid w:val="005D54F5"/>
    <w:rsid w:val="005D586A"/>
    <w:rsid w:val="005D5C1B"/>
    <w:rsid w:val="005D5C30"/>
    <w:rsid w:val="005D5E1D"/>
    <w:rsid w:val="005D6175"/>
    <w:rsid w:val="005D658A"/>
    <w:rsid w:val="005D6599"/>
    <w:rsid w:val="005D66BA"/>
    <w:rsid w:val="005D68E2"/>
    <w:rsid w:val="005D6AF6"/>
    <w:rsid w:val="005D6CDA"/>
    <w:rsid w:val="005D6EB8"/>
    <w:rsid w:val="005D7596"/>
    <w:rsid w:val="005D7C6B"/>
    <w:rsid w:val="005D7D83"/>
    <w:rsid w:val="005E01F3"/>
    <w:rsid w:val="005E0266"/>
    <w:rsid w:val="005E0D41"/>
    <w:rsid w:val="005E1148"/>
    <w:rsid w:val="005E1EEE"/>
    <w:rsid w:val="005E2C6C"/>
    <w:rsid w:val="005E35BE"/>
    <w:rsid w:val="005E3622"/>
    <w:rsid w:val="005E377C"/>
    <w:rsid w:val="005E46BF"/>
    <w:rsid w:val="005E4D3A"/>
    <w:rsid w:val="005E511A"/>
    <w:rsid w:val="005E5237"/>
    <w:rsid w:val="005E542F"/>
    <w:rsid w:val="005E5AF0"/>
    <w:rsid w:val="005E6C3D"/>
    <w:rsid w:val="005E6CF8"/>
    <w:rsid w:val="005E6F47"/>
    <w:rsid w:val="005E77B1"/>
    <w:rsid w:val="005F0069"/>
    <w:rsid w:val="005F00E1"/>
    <w:rsid w:val="005F1526"/>
    <w:rsid w:val="005F155D"/>
    <w:rsid w:val="005F194E"/>
    <w:rsid w:val="005F26EE"/>
    <w:rsid w:val="005F2727"/>
    <w:rsid w:val="005F2765"/>
    <w:rsid w:val="005F2989"/>
    <w:rsid w:val="005F2991"/>
    <w:rsid w:val="005F2E13"/>
    <w:rsid w:val="005F30F2"/>
    <w:rsid w:val="005F3178"/>
    <w:rsid w:val="005F34CE"/>
    <w:rsid w:val="005F3AC6"/>
    <w:rsid w:val="005F3F61"/>
    <w:rsid w:val="005F4629"/>
    <w:rsid w:val="005F4763"/>
    <w:rsid w:val="005F5015"/>
    <w:rsid w:val="005F5315"/>
    <w:rsid w:val="005F6475"/>
    <w:rsid w:val="005F66B6"/>
    <w:rsid w:val="005F72E4"/>
    <w:rsid w:val="005F73AB"/>
    <w:rsid w:val="005F7C2C"/>
    <w:rsid w:val="00600884"/>
    <w:rsid w:val="00600D08"/>
    <w:rsid w:val="00600E74"/>
    <w:rsid w:val="0060109C"/>
    <w:rsid w:val="00601247"/>
    <w:rsid w:val="006013DD"/>
    <w:rsid w:val="00601928"/>
    <w:rsid w:val="00601CA3"/>
    <w:rsid w:val="006026A5"/>
    <w:rsid w:val="00602F3E"/>
    <w:rsid w:val="0060308C"/>
    <w:rsid w:val="006030FF"/>
    <w:rsid w:val="006031AB"/>
    <w:rsid w:val="00603417"/>
    <w:rsid w:val="00604892"/>
    <w:rsid w:val="00604A23"/>
    <w:rsid w:val="00605CAD"/>
    <w:rsid w:val="00606154"/>
    <w:rsid w:val="0060653E"/>
    <w:rsid w:val="006074C1"/>
    <w:rsid w:val="006078CB"/>
    <w:rsid w:val="00607B8C"/>
    <w:rsid w:val="00607D6A"/>
    <w:rsid w:val="00610316"/>
    <w:rsid w:val="0061071D"/>
    <w:rsid w:val="0061095C"/>
    <w:rsid w:val="00610A9E"/>
    <w:rsid w:val="0061137C"/>
    <w:rsid w:val="006115F5"/>
    <w:rsid w:val="00611B8F"/>
    <w:rsid w:val="00611C47"/>
    <w:rsid w:val="00611DEE"/>
    <w:rsid w:val="0061293C"/>
    <w:rsid w:val="00612A2B"/>
    <w:rsid w:val="00612BBF"/>
    <w:rsid w:val="006134D2"/>
    <w:rsid w:val="00613568"/>
    <w:rsid w:val="006135E4"/>
    <w:rsid w:val="0061447B"/>
    <w:rsid w:val="00614B48"/>
    <w:rsid w:val="00614F90"/>
    <w:rsid w:val="0061526D"/>
    <w:rsid w:val="00615F05"/>
    <w:rsid w:val="006160B6"/>
    <w:rsid w:val="006161E0"/>
    <w:rsid w:val="00617591"/>
    <w:rsid w:val="00617D2B"/>
    <w:rsid w:val="00617E96"/>
    <w:rsid w:val="006200C7"/>
    <w:rsid w:val="0062022C"/>
    <w:rsid w:val="006205CA"/>
    <w:rsid w:val="006206B6"/>
    <w:rsid w:val="006207D0"/>
    <w:rsid w:val="00621393"/>
    <w:rsid w:val="006213A3"/>
    <w:rsid w:val="0062180D"/>
    <w:rsid w:val="00621AAC"/>
    <w:rsid w:val="00621EE8"/>
    <w:rsid w:val="00622207"/>
    <w:rsid w:val="00622727"/>
    <w:rsid w:val="006228C3"/>
    <w:rsid w:val="00622B79"/>
    <w:rsid w:val="00622E31"/>
    <w:rsid w:val="00622FEA"/>
    <w:rsid w:val="006231D7"/>
    <w:rsid w:val="00624353"/>
    <w:rsid w:val="00624643"/>
    <w:rsid w:val="00624800"/>
    <w:rsid w:val="00624925"/>
    <w:rsid w:val="00624AB2"/>
    <w:rsid w:val="00624AF4"/>
    <w:rsid w:val="006253A0"/>
    <w:rsid w:val="00625897"/>
    <w:rsid w:val="00625E84"/>
    <w:rsid w:val="00626012"/>
    <w:rsid w:val="006268BF"/>
    <w:rsid w:val="00626F5F"/>
    <w:rsid w:val="006275A0"/>
    <w:rsid w:val="00630138"/>
    <w:rsid w:val="0063050F"/>
    <w:rsid w:val="00630559"/>
    <w:rsid w:val="006307E0"/>
    <w:rsid w:val="00630B69"/>
    <w:rsid w:val="00630C60"/>
    <w:rsid w:val="00631052"/>
    <w:rsid w:val="00631167"/>
    <w:rsid w:val="00631571"/>
    <w:rsid w:val="00631584"/>
    <w:rsid w:val="00631F6E"/>
    <w:rsid w:val="0063293A"/>
    <w:rsid w:val="0063336C"/>
    <w:rsid w:val="006337A2"/>
    <w:rsid w:val="00633B56"/>
    <w:rsid w:val="00633B83"/>
    <w:rsid w:val="00633C37"/>
    <w:rsid w:val="00633CBA"/>
    <w:rsid w:val="00633F56"/>
    <w:rsid w:val="006340AC"/>
    <w:rsid w:val="00634469"/>
    <w:rsid w:val="00634A88"/>
    <w:rsid w:val="00635664"/>
    <w:rsid w:val="00635928"/>
    <w:rsid w:val="00635D1D"/>
    <w:rsid w:val="00635FFC"/>
    <w:rsid w:val="006365C5"/>
    <w:rsid w:val="006367E7"/>
    <w:rsid w:val="006368C0"/>
    <w:rsid w:val="0064001E"/>
    <w:rsid w:val="00640104"/>
    <w:rsid w:val="00640268"/>
    <w:rsid w:val="006407AB"/>
    <w:rsid w:val="00641360"/>
    <w:rsid w:val="00641F7E"/>
    <w:rsid w:val="0064217C"/>
    <w:rsid w:val="006421AF"/>
    <w:rsid w:val="006422D7"/>
    <w:rsid w:val="00642349"/>
    <w:rsid w:val="0064245A"/>
    <w:rsid w:val="00642527"/>
    <w:rsid w:val="00643231"/>
    <w:rsid w:val="00643398"/>
    <w:rsid w:val="006435EF"/>
    <w:rsid w:val="006439E0"/>
    <w:rsid w:val="00643AAA"/>
    <w:rsid w:val="00643CC2"/>
    <w:rsid w:val="00644256"/>
    <w:rsid w:val="00644886"/>
    <w:rsid w:val="00644BF9"/>
    <w:rsid w:val="00644D87"/>
    <w:rsid w:val="00646BA4"/>
    <w:rsid w:val="0064755B"/>
    <w:rsid w:val="00647F3C"/>
    <w:rsid w:val="0065065F"/>
    <w:rsid w:val="006509F9"/>
    <w:rsid w:val="00650B67"/>
    <w:rsid w:val="006511E8"/>
    <w:rsid w:val="00651FFA"/>
    <w:rsid w:val="00652085"/>
    <w:rsid w:val="006522B8"/>
    <w:rsid w:val="006522C3"/>
    <w:rsid w:val="00652512"/>
    <w:rsid w:val="00652D0E"/>
    <w:rsid w:val="00653022"/>
    <w:rsid w:val="006531F2"/>
    <w:rsid w:val="0065322C"/>
    <w:rsid w:val="006538EE"/>
    <w:rsid w:val="00653D29"/>
    <w:rsid w:val="00653DDC"/>
    <w:rsid w:val="00654164"/>
    <w:rsid w:val="00654345"/>
    <w:rsid w:val="006547D2"/>
    <w:rsid w:val="0065488E"/>
    <w:rsid w:val="00654EFA"/>
    <w:rsid w:val="00654F90"/>
    <w:rsid w:val="00654FBB"/>
    <w:rsid w:val="00655E9F"/>
    <w:rsid w:val="00656342"/>
    <w:rsid w:val="00656D91"/>
    <w:rsid w:val="00656E98"/>
    <w:rsid w:val="006571DF"/>
    <w:rsid w:val="00657609"/>
    <w:rsid w:val="00657AF1"/>
    <w:rsid w:val="0066106A"/>
    <w:rsid w:val="0066138E"/>
    <w:rsid w:val="00661F00"/>
    <w:rsid w:val="00663051"/>
    <w:rsid w:val="0066334A"/>
    <w:rsid w:val="006633D9"/>
    <w:rsid w:val="006634FC"/>
    <w:rsid w:val="00663687"/>
    <w:rsid w:val="006638CC"/>
    <w:rsid w:val="00663A5F"/>
    <w:rsid w:val="00663E97"/>
    <w:rsid w:val="00663F73"/>
    <w:rsid w:val="00664F8F"/>
    <w:rsid w:val="0066511E"/>
    <w:rsid w:val="006653E0"/>
    <w:rsid w:val="0066583D"/>
    <w:rsid w:val="00665ECB"/>
    <w:rsid w:val="00666085"/>
    <w:rsid w:val="006671F6"/>
    <w:rsid w:val="0066781C"/>
    <w:rsid w:val="00667A25"/>
    <w:rsid w:val="00667D37"/>
    <w:rsid w:val="00670582"/>
    <w:rsid w:val="0067066E"/>
    <w:rsid w:val="006706E8"/>
    <w:rsid w:val="006708F5"/>
    <w:rsid w:val="0067094D"/>
    <w:rsid w:val="0067135F"/>
    <w:rsid w:val="00671A84"/>
    <w:rsid w:val="00671F03"/>
    <w:rsid w:val="0067291A"/>
    <w:rsid w:val="00673047"/>
    <w:rsid w:val="00673064"/>
    <w:rsid w:val="00673872"/>
    <w:rsid w:val="00673992"/>
    <w:rsid w:val="00673DC3"/>
    <w:rsid w:val="00674DCE"/>
    <w:rsid w:val="00674F0A"/>
    <w:rsid w:val="00675285"/>
    <w:rsid w:val="00675B49"/>
    <w:rsid w:val="00675CE4"/>
    <w:rsid w:val="0067689A"/>
    <w:rsid w:val="00676D54"/>
    <w:rsid w:val="006806E8"/>
    <w:rsid w:val="0068093F"/>
    <w:rsid w:val="00680C09"/>
    <w:rsid w:val="0068147F"/>
    <w:rsid w:val="00681980"/>
    <w:rsid w:val="00681F07"/>
    <w:rsid w:val="00681F0A"/>
    <w:rsid w:val="00682185"/>
    <w:rsid w:val="00682A78"/>
    <w:rsid w:val="00682BAE"/>
    <w:rsid w:val="00682E41"/>
    <w:rsid w:val="00682F67"/>
    <w:rsid w:val="006831E6"/>
    <w:rsid w:val="00683443"/>
    <w:rsid w:val="00683A2E"/>
    <w:rsid w:val="006845B2"/>
    <w:rsid w:val="00684BC9"/>
    <w:rsid w:val="00685291"/>
    <w:rsid w:val="00685457"/>
    <w:rsid w:val="0068558B"/>
    <w:rsid w:val="0068601E"/>
    <w:rsid w:val="00686097"/>
    <w:rsid w:val="0068646F"/>
    <w:rsid w:val="0068789E"/>
    <w:rsid w:val="00687B12"/>
    <w:rsid w:val="00687C43"/>
    <w:rsid w:val="00687FD7"/>
    <w:rsid w:val="006904CB"/>
    <w:rsid w:val="006906F1"/>
    <w:rsid w:val="00690E7B"/>
    <w:rsid w:val="006913EC"/>
    <w:rsid w:val="0069198B"/>
    <w:rsid w:val="00692400"/>
    <w:rsid w:val="00692432"/>
    <w:rsid w:val="00692A6A"/>
    <w:rsid w:val="00692D02"/>
    <w:rsid w:val="00693A3A"/>
    <w:rsid w:val="00693A56"/>
    <w:rsid w:val="00694420"/>
    <w:rsid w:val="0069447A"/>
    <w:rsid w:val="0069548F"/>
    <w:rsid w:val="0069568F"/>
    <w:rsid w:val="00695CE5"/>
    <w:rsid w:val="00696165"/>
    <w:rsid w:val="006964BD"/>
    <w:rsid w:val="006965E2"/>
    <w:rsid w:val="00696AC6"/>
    <w:rsid w:val="00697338"/>
    <w:rsid w:val="00697509"/>
    <w:rsid w:val="00697933"/>
    <w:rsid w:val="006A02C0"/>
    <w:rsid w:val="006A0CD3"/>
    <w:rsid w:val="006A0CDE"/>
    <w:rsid w:val="006A0CF2"/>
    <w:rsid w:val="006A0CF4"/>
    <w:rsid w:val="006A1137"/>
    <w:rsid w:val="006A15BF"/>
    <w:rsid w:val="006A16B4"/>
    <w:rsid w:val="006A1E9D"/>
    <w:rsid w:val="006A2019"/>
    <w:rsid w:val="006A2618"/>
    <w:rsid w:val="006A2726"/>
    <w:rsid w:val="006A400F"/>
    <w:rsid w:val="006A4D37"/>
    <w:rsid w:val="006A4F03"/>
    <w:rsid w:val="006A5098"/>
    <w:rsid w:val="006A5898"/>
    <w:rsid w:val="006A5D2D"/>
    <w:rsid w:val="006A68B4"/>
    <w:rsid w:val="006A6AA3"/>
    <w:rsid w:val="006A709B"/>
    <w:rsid w:val="006A7520"/>
    <w:rsid w:val="006A77DD"/>
    <w:rsid w:val="006A7801"/>
    <w:rsid w:val="006A7FFB"/>
    <w:rsid w:val="006B02BE"/>
    <w:rsid w:val="006B0436"/>
    <w:rsid w:val="006B084F"/>
    <w:rsid w:val="006B08D1"/>
    <w:rsid w:val="006B256C"/>
    <w:rsid w:val="006B2AF8"/>
    <w:rsid w:val="006B2C8F"/>
    <w:rsid w:val="006B3702"/>
    <w:rsid w:val="006B492C"/>
    <w:rsid w:val="006B4A0F"/>
    <w:rsid w:val="006B4C5E"/>
    <w:rsid w:val="006B553F"/>
    <w:rsid w:val="006B5CC1"/>
    <w:rsid w:val="006B5DEC"/>
    <w:rsid w:val="006B6216"/>
    <w:rsid w:val="006B651A"/>
    <w:rsid w:val="006B6653"/>
    <w:rsid w:val="006B7992"/>
    <w:rsid w:val="006C00A2"/>
    <w:rsid w:val="006C0AE4"/>
    <w:rsid w:val="006C0D52"/>
    <w:rsid w:val="006C1D8C"/>
    <w:rsid w:val="006C2221"/>
    <w:rsid w:val="006C2607"/>
    <w:rsid w:val="006C3045"/>
    <w:rsid w:val="006C30C1"/>
    <w:rsid w:val="006C335B"/>
    <w:rsid w:val="006C388B"/>
    <w:rsid w:val="006C3A25"/>
    <w:rsid w:val="006C3FA0"/>
    <w:rsid w:val="006C43DA"/>
    <w:rsid w:val="006C468E"/>
    <w:rsid w:val="006C4C92"/>
    <w:rsid w:val="006C4E29"/>
    <w:rsid w:val="006C55E5"/>
    <w:rsid w:val="006C5837"/>
    <w:rsid w:val="006C5922"/>
    <w:rsid w:val="006C5A29"/>
    <w:rsid w:val="006C6970"/>
    <w:rsid w:val="006C6E56"/>
    <w:rsid w:val="006C7246"/>
    <w:rsid w:val="006C762E"/>
    <w:rsid w:val="006C774C"/>
    <w:rsid w:val="006C79E5"/>
    <w:rsid w:val="006C7C05"/>
    <w:rsid w:val="006C7D44"/>
    <w:rsid w:val="006C7E1D"/>
    <w:rsid w:val="006C7F78"/>
    <w:rsid w:val="006D029C"/>
    <w:rsid w:val="006D02CB"/>
    <w:rsid w:val="006D0696"/>
    <w:rsid w:val="006D0ADC"/>
    <w:rsid w:val="006D0C68"/>
    <w:rsid w:val="006D0CB4"/>
    <w:rsid w:val="006D0DF5"/>
    <w:rsid w:val="006D0F11"/>
    <w:rsid w:val="006D1111"/>
    <w:rsid w:val="006D1236"/>
    <w:rsid w:val="006D1592"/>
    <w:rsid w:val="006D1C79"/>
    <w:rsid w:val="006D1FAC"/>
    <w:rsid w:val="006D21B1"/>
    <w:rsid w:val="006D2337"/>
    <w:rsid w:val="006D23D6"/>
    <w:rsid w:val="006D24CA"/>
    <w:rsid w:val="006D2DAD"/>
    <w:rsid w:val="006D2F5E"/>
    <w:rsid w:val="006D329A"/>
    <w:rsid w:val="006D334C"/>
    <w:rsid w:val="006D366A"/>
    <w:rsid w:val="006D3836"/>
    <w:rsid w:val="006D3A8C"/>
    <w:rsid w:val="006D3AB2"/>
    <w:rsid w:val="006D3D5A"/>
    <w:rsid w:val="006D43F9"/>
    <w:rsid w:val="006D441B"/>
    <w:rsid w:val="006D4B2F"/>
    <w:rsid w:val="006D57BA"/>
    <w:rsid w:val="006D5AD6"/>
    <w:rsid w:val="006D6341"/>
    <w:rsid w:val="006D66AF"/>
    <w:rsid w:val="006D6DA8"/>
    <w:rsid w:val="006D6E9A"/>
    <w:rsid w:val="006D72CC"/>
    <w:rsid w:val="006D7B47"/>
    <w:rsid w:val="006E0547"/>
    <w:rsid w:val="006E055E"/>
    <w:rsid w:val="006E09F9"/>
    <w:rsid w:val="006E1B6E"/>
    <w:rsid w:val="006E232E"/>
    <w:rsid w:val="006E2354"/>
    <w:rsid w:val="006E23F2"/>
    <w:rsid w:val="006E2564"/>
    <w:rsid w:val="006E32A0"/>
    <w:rsid w:val="006E364F"/>
    <w:rsid w:val="006E395C"/>
    <w:rsid w:val="006E3B81"/>
    <w:rsid w:val="006E3F08"/>
    <w:rsid w:val="006E40EC"/>
    <w:rsid w:val="006E43F5"/>
    <w:rsid w:val="006E4404"/>
    <w:rsid w:val="006E44DB"/>
    <w:rsid w:val="006E46B8"/>
    <w:rsid w:val="006E46C3"/>
    <w:rsid w:val="006E48B6"/>
    <w:rsid w:val="006E4F2D"/>
    <w:rsid w:val="006E4F88"/>
    <w:rsid w:val="006E5E58"/>
    <w:rsid w:val="006E5ECF"/>
    <w:rsid w:val="006E6A91"/>
    <w:rsid w:val="006E77B3"/>
    <w:rsid w:val="006E7AB6"/>
    <w:rsid w:val="006E7BF4"/>
    <w:rsid w:val="006F08CD"/>
    <w:rsid w:val="006F0988"/>
    <w:rsid w:val="006F09F9"/>
    <w:rsid w:val="006F0C8A"/>
    <w:rsid w:val="006F1955"/>
    <w:rsid w:val="006F19F8"/>
    <w:rsid w:val="006F1AB2"/>
    <w:rsid w:val="006F2650"/>
    <w:rsid w:val="006F3DD2"/>
    <w:rsid w:val="006F3E07"/>
    <w:rsid w:val="006F4ACD"/>
    <w:rsid w:val="006F4E7C"/>
    <w:rsid w:val="006F510D"/>
    <w:rsid w:val="006F510F"/>
    <w:rsid w:val="006F5142"/>
    <w:rsid w:val="006F549E"/>
    <w:rsid w:val="006F56B8"/>
    <w:rsid w:val="006F5761"/>
    <w:rsid w:val="006F5D85"/>
    <w:rsid w:val="006F62F8"/>
    <w:rsid w:val="006F745D"/>
    <w:rsid w:val="006F77F7"/>
    <w:rsid w:val="006F787B"/>
    <w:rsid w:val="006F7923"/>
    <w:rsid w:val="006F7A98"/>
    <w:rsid w:val="006F7EF6"/>
    <w:rsid w:val="00700265"/>
    <w:rsid w:val="007002E1"/>
    <w:rsid w:val="00700EFD"/>
    <w:rsid w:val="00700F2F"/>
    <w:rsid w:val="00700F8E"/>
    <w:rsid w:val="00701630"/>
    <w:rsid w:val="00701791"/>
    <w:rsid w:val="00701D73"/>
    <w:rsid w:val="007021D1"/>
    <w:rsid w:val="007022BE"/>
    <w:rsid w:val="00702780"/>
    <w:rsid w:val="00702F65"/>
    <w:rsid w:val="00703751"/>
    <w:rsid w:val="0070474C"/>
    <w:rsid w:val="00704B31"/>
    <w:rsid w:val="00704BAC"/>
    <w:rsid w:val="00704F28"/>
    <w:rsid w:val="007053FA"/>
    <w:rsid w:val="007054E9"/>
    <w:rsid w:val="007058CE"/>
    <w:rsid w:val="0070592C"/>
    <w:rsid w:val="007060F2"/>
    <w:rsid w:val="00706426"/>
    <w:rsid w:val="0070692E"/>
    <w:rsid w:val="00706A8D"/>
    <w:rsid w:val="00706AC4"/>
    <w:rsid w:val="00706FC9"/>
    <w:rsid w:val="00707304"/>
    <w:rsid w:val="0070781D"/>
    <w:rsid w:val="00707822"/>
    <w:rsid w:val="00707A6C"/>
    <w:rsid w:val="00707AC3"/>
    <w:rsid w:val="00707D99"/>
    <w:rsid w:val="00707DEB"/>
    <w:rsid w:val="00710094"/>
    <w:rsid w:val="00710CA7"/>
    <w:rsid w:val="00711101"/>
    <w:rsid w:val="007113A6"/>
    <w:rsid w:val="00711566"/>
    <w:rsid w:val="007117F6"/>
    <w:rsid w:val="0071205B"/>
    <w:rsid w:val="00712592"/>
    <w:rsid w:val="0071275F"/>
    <w:rsid w:val="00712837"/>
    <w:rsid w:val="00712AAB"/>
    <w:rsid w:val="007130AD"/>
    <w:rsid w:val="00713257"/>
    <w:rsid w:val="00713D1C"/>
    <w:rsid w:val="00714514"/>
    <w:rsid w:val="007146CF"/>
    <w:rsid w:val="007149AB"/>
    <w:rsid w:val="00714BE0"/>
    <w:rsid w:val="007150E0"/>
    <w:rsid w:val="007151A9"/>
    <w:rsid w:val="00715593"/>
    <w:rsid w:val="00715595"/>
    <w:rsid w:val="0071574B"/>
    <w:rsid w:val="00715CE0"/>
    <w:rsid w:val="00716082"/>
    <w:rsid w:val="0071645A"/>
    <w:rsid w:val="00716AD8"/>
    <w:rsid w:val="00716BC0"/>
    <w:rsid w:val="00716D14"/>
    <w:rsid w:val="00717589"/>
    <w:rsid w:val="007177E0"/>
    <w:rsid w:val="00717A36"/>
    <w:rsid w:val="00717C53"/>
    <w:rsid w:val="00720F2C"/>
    <w:rsid w:val="007214B7"/>
    <w:rsid w:val="007214E1"/>
    <w:rsid w:val="0072151C"/>
    <w:rsid w:val="007229FD"/>
    <w:rsid w:val="00722BCB"/>
    <w:rsid w:val="0072355D"/>
    <w:rsid w:val="00723772"/>
    <w:rsid w:val="007243D8"/>
    <w:rsid w:val="00724835"/>
    <w:rsid w:val="00724B1A"/>
    <w:rsid w:val="00724E60"/>
    <w:rsid w:val="00724FD9"/>
    <w:rsid w:val="007254E4"/>
    <w:rsid w:val="00725A54"/>
    <w:rsid w:val="007265F5"/>
    <w:rsid w:val="00726767"/>
    <w:rsid w:val="007268E9"/>
    <w:rsid w:val="007269EB"/>
    <w:rsid w:val="00726B3F"/>
    <w:rsid w:val="007273B8"/>
    <w:rsid w:val="0072770E"/>
    <w:rsid w:val="00727777"/>
    <w:rsid w:val="007278CF"/>
    <w:rsid w:val="0073007F"/>
    <w:rsid w:val="007302EB"/>
    <w:rsid w:val="00730320"/>
    <w:rsid w:val="007303B4"/>
    <w:rsid w:val="007305CE"/>
    <w:rsid w:val="0073075C"/>
    <w:rsid w:val="00731744"/>
    <w:rsid w:val="00731D59"/>
    <w:rsid w:val="007320FF"/>
    <w:rsid w:val="00732434"/>
    <w:rsid w:val="00732684"/>
    <w:rsid w:val="00732C35"/>
    <w:rsid w:val="00732F77"/>
    <w:rsid w:val="00733323"/>
    <w:rsid w:val="00733480"/>
    <w:rsid w:val="007335A0"/>
    <w:rsid w:val="00733607"/>
    <w:rsid w:val="007336BC"/>
    <w:rsid w:val="00733D21"/>
    <w:rsid w:val="00733F08"/>
    <w:rsid w:val="00734383"/>
    <w:rsid w:val="007346E6"/>
    <w:rsid w:val="0073496F"/>
    <w:rsid w:val="007350C5"/>
    <w:rsid w:val="007352CA"/>
    <w:rsid w:val="00735301"/>
    <w:rsid w:val="007355CF"/>
    <w:rsid w:val="0073603C"/>
    <w:rsid w:val="0073689D"/>
    <w:rsid w:val="00736F35"/>
    <w:rsid w:val="007370D1"/>
    <w:rsid w:val="00737BDD"/>
    <w:rsid w:val="00737E40"/>
    <w:rsid w:val="00740044"/>
    <w:rsid w:val="007402F7"/>
    <w:rsid w:val="00740B74"/>
    <w:rsid w:val="00741037"/>
    <w:rsid w:val="0074178B"/>
    <w:rsid w:val="007417D7"/>
    <w:rsid w:val="00741C3A"/>
    <w:rsid w:val="007422C0"/>
    <w:rsid w:val="007430F8"/>
    <w:rsid w:val="007432AA"/>
    <w:rsid w:val="00743509"/>
    <w:rsid w:val="00743612"/>
    <w:rsid w:val="007438C7"/>
    <w:rsid w:val="00743F0D"/>
    <w:rsid w:val="0074439E"/>
    <w:rsid w:val="00744430"/>
    <w:rsid w:val="00744C8F"/>
    <w:rsid w:val="00744DFA"/>
    <w:rsid w:val="00745B89"/>
    <w:rsid w:val="00745C1B"/>
    <w:rsid w:val="0074668B"/>
    <w:rsid w:val="0074678E"/>
    <w:rsid w:val="00746A95"/>
    <w:rsid w:val="00746F01"/>
    <w:rsid w:val="007471AC"/>
    <w:rsid w:val="007501E6"/>
    <w:rsid w:val="00750475"/>
    <w:rsid w:val="00750A35"/>
    <w:rsid w:val="00750A9F"/>
    <w:rsid w:val="00750E6C"/>
    <w:rsid w:val="00750F78"/>
    <w:rsid w:val="0075158B"/>
    <w:rsid w:val="00751778"/>
    <w:rsid w:val="007519F1"/>
    <w:rsid w:val="00751C58"/>
    <w:rsid w:val="007527E0"/>
    <w:rsid w:val="00753377"/>
    <w:rsid w:val="00753AE5"/>
    <w:rsid w:val="0075455C"/>
    <w:rsid w:val="007549EE"/>
    <w:rsid w:val="00754CC8"/>
    <w:rsid w:val="0075561F"/>
    <w:rsid w:val="00755DA6"/>
    <w:rsid w:val="007560C5"/>
    <w:rsid w:val="007565D8"/>
    <w:rsid w:val="00756E52"/>
    <w:rsid w:val="00756EE8"/>
    <w:rsid w:val="00757458"/>
    <w:rsid w:val="007574F5"/>
    <w:rsid w:val="00757965"/>
    <w:rsid w:val="00757C36"/>
    <w:rsid w:val="00757E76"/>
    <w:rsid w:val="00757F82"/>
    <w:rsid w:val="007603E2"/>
    <w:rsid w:val="0076095D"/>
    <w:rsid w:val="00760B16"/>
    <w:rsid w:val="00761089"/>
    <w:rsid w:val="00761840"/>
    <w:rsid w:val="00761A4D"/>
    <w:rsid w:val="00761C59"/>
    <w:rsid w:val="00762C79"/>
    <w:rsid w:val="0076305B"/>
    <w:rsid w:val="007631D5"/>
    <w:rsid w:val="00763258"/>
    <w:rsid w:val="007648C7"/>
    <w:rsid w:val="00764E6B"/>
    <w:rsid w:val="00764F40"/>
    <w:rsid w:val="00764FC5"/>
    <w:rsid w:val="00765179"/>
    <w:rsid w:val="007651FA"/>
    <w:rsid w:val="007654B5"/>
    <w:rsid w:val="00765FBE"/>
    <w:rsid w:val="00766516"/>
    <w:rsid w:val="007665CE"/>
    <w:rsid w:val="0076669E"/>
    <w:rsid w:val="0076691D"/>
    <w:rsid w:val="00766BD0"/>
    <w:rsid w:val="007679F9"/>
    <w:rsid w:val="00767A44"/>
    <w:rsid w:val="00767AAA"/>
    <w:rsid w:val="00767AB2"/>
    <w:rsid w:val="00767B11"/>
    <w:rsid w:val="0077032B"/>
    <w:rsid w:val="00770826"/>
    <w:rsid w:val="00770A14"/>
    <w:rsid w:val="00770B3D"/>
    <w:rsid w:val="00770EFB"/>
    <w:rsid w:val="0077159F"/>
    <w:rsid w:val="007716EE"/>
    <w:rsid w:val="00772506"/>
    <w:rsid w:val="007725E1"/>
    <w:rsid w:val="0077282C"/>
    <w:rsid w:val="00772A90"/>
    <w:rsid w:val="0077333E"/>
    <w:rsid w:val="0077347B"/>
    <w:rsid w:val="00773707"/>
    <w:rsid w:val="00773C75"/>
    <w:rsid w:val="00774171"/>
    <w:rsid w:val="007743B9"/>
    <w:rsid w:val="007745BC"/>
    <w:rsid w:val="00774F75"/>
    <w:rsid w:val="00775D60"/>
    <w:rsid w:val="00776765"/>
    <w:rsid w:val="00776B8B"/>
    <w:rsid w:val="007770A1"/>
    <w:rsid w:val="00777466"/>
    <w:rsid w:val="00777AB5"/>
    <w:rsid w:val="00777E3C"/>
    <w:rsid w:val="00780BA9"/>
    <w:rsid w:val="00780FAB"/>
    <w:rsid w:val="007818CB"/>
    <w:rsid w:val="00781DFC"/>
    <w:rsid w:val="00781EB2"/>
    <w:rsid w:val="007823A0"/>
    <w:rsid w:val="0078284A"/>
    <w:rsid w:val="007828EF"/>
    <w:rsid w:val="00782E88"/>
    <w:rsid w:val="00782FF9"/>
    <w:rsid w:val="00783465"/>
    <w:rsid w:val="00783521"/>
    <w:rsid w:val="007839E9"/>
    <w:rsid w:val="00783B04"/>
    <w:rsid w:val="00784148"/>
    <w:rsid w:val="00784444"/>
    <w:rsid w:val="00784C5D"/>
    <w:rsid w:val="00784E43"/>
    <w:rsid w:val="007850E4"/>
    <w:rsid w:val="0078581B"/>
    <w:rsid w:val="0078598D"/>
    <w:rsid w:val="00786537"/>
    <w:rsid w:val="00786C24"/>
    <w:rsid w:val="00786C60"/>
    <w:rsid w:val="00786D0D"/>
    <w:rsid w:val="00787338"/>
    <w:rsid w:val="007877CE"/>
    <w:rsid w:val="00787806"/>
    <w:rsid w:val="007878A8"/>
    <w:rsid w:val="00787910"/>
    <w:rsid w:val="007903BF"/>
    <w:rsid w:val="007904E4"/>
    <w:rsid w:val="0079059A"/>
    <w:rsid w:val="00790903"/>
    <w:rsid w:val="00790C85"/>
    <w:rsid w:val="00790E05"/>
    <w:rsid w:val="00792295"/>
    <w:rsid w:val="0079276A"/>
    <w:rsid w:val="00792FED"/>
    <w:rsid w:val="007934B7"/>
    <w:rsid w:val="0079354D"/>
    <w:rsid w:val="00793932"/>
    <w:rsid w:val="00793B29"/>
    <w:rsid w:val="00793E46"/>
    <w:rsid w:val="00793E86"/>
    <w:rsid w:val="0079417D"/>
    <w:rsid w:val="007941E6"/>
    <w:rsid w:val="007941EE"/>
    <w:rsid w:val="007947B3"/>
    <w:rsid w:val="007952F2"/>
    <w:rsid w:val="00795A16"/>
    <w:rsid w:val="00795E4A"/>
    <w:rsid w:val="00795E67"/>
    <w:rsid w:val="007961A4"/>
    <w:rsid w:val="00796265"/>
    <w:rsid w:val="00796670"/>
    <w:rsid w:val="00796C22"/>
    <w:rsid w:val="00796F6C"/>
    <w:rsid w:val="0079740C"/>
    <w:rsid w:val="00797D11"/>
    <w:rsid w:val="007A0414"/>
    <w:rsid w:val="007A0D54"/>
    <w:rsid w:val="007A0F4F"/>
    <w:rsid w:val="007A103E"/>
    <w:rsid w:val="007A12E5"/>
    <w:rsid w:val="007A153C"/>
    <w:rsid w:val="007A181F"/>
    <w:rsid w:val="007A1CB9"/>
    <w:rsid w:val="007A1DCB"/>
    <w:rsid w:val="007A1FA5"/>
    <w:rsid w:val="007A2516"/>
    <w:rsid w:val="007A267B"/>
    <w:rsid w:val="007A2BCD"/>
    <w:rsid w:val="007A336A"/>
    <w:rsid w:val="007A3826"/>
    <w:rsid w:val="007A3981"/>
    <w:rsid w:val="007A3A2B"/>
    <w:rsid w:val="007A3B4F"/>
    <w:rsid w:val="007A3D55"/>
    <w:rsid w:val="007A3E4B"/>
    <w:rsid w:val="007A4267"/>
    <w:rsid w:val="007A4351"/>
    <w:rsid w:val="007A43AC"/>
    <w:rsid w:val="007A443F"/>
    <w:rsid w:val="007A462C"/>
    <w:rsid w:val="007A4E32"/>
    <w:rsid w:val="007A5041"/>
    <w:rsid w:val="007A58ED"/>
    <w:rsid w:val="007A5A21"/>
    <w:rsid w:val="007A62B2"/>
    <w:rsid w:val="007A652F"/>
    <w:rsid w:val="007A66D2"/>
    <w:rsid w:val="007A68A2"/>
    <w:rsid w:val="007A6B64"/>
    <w:rsid w:val="007A7919"/>
    <w:rsid w:val="007A7ADA"/>
    <w:rsid w:val="007B16CC"/>
    <w:rsid w:val="007B1E41"/>
    <w:rsid w:val="007B2151"/>
    <w:rsid w:val="007B264B"/>
    <w:rsid w:val="007B2699"/>
    <w:rsid w:val="007B2700"/>
    <w:rsid w:val="007B2C1B"/>
    <w:rsid w:val="007B2D5C"/>
    <w:rsid w:val="007B2EF6"/>
    <w:rsid w:val="007B33A9"/>
    <w:rsid w:val="007B3D68"/>
    <w:rsid w:val="007B4527"/>
    <w:rsid w:val="007B4A7F"/>
    <w:rsid w:val="007B4AB2"/>
    <w:rsid w:val="007B4AC9"/>
    <w:rsid w:val="007B4AE3"/>
    <w:rsid w:val="007B55AB"/>
    <w:rsid w:val="007B5940"/>
    <w:rsid w:val="007B5A2C"/>
    <w:rsid w:val="007B5BB3"/>
    <w:rsid w:val="007B6A52"/>
    <w:rsid w:val="007B6A6C"/>
    <w:rsid w:val="007B6DE6"/>
    <w:rsid w:val="007B719A"/>
    <w:rsid w:val="007C0383"/>
    <w:rsid w:val="007C0708"/>
    <w:rsid w:val="007C0A0A"/>
    <w:rsid w:val="007C12C1"/>
    <w:rsid w:val="007C13DA"/>
    <w:rsid w:val="007C148D"/>
    <w:rsid w:val="007C1821"/>
    <w:rsid w:val="007C1936"/>
    <w:rsid w:val="007C21E4"/>
    <w:rsid w:val="007C22ED"/>
    <w:rsid w:val="007C277D"/>
    <w:rsid w:val="007C2A16"/>
    <w:rsid w:val="007C2BA6"/>
    <w:rsid w:val="007C3651"/>
    <w:rsid w:val="007C3858"/>
    <w:rsid w:val="007C3AB9"/>
    <w:rsid w:val="007C3ABF"/>
    <w:rsid w:val="007C4387"/>
    <w:rsid w:val="007C49E3"/>
    <w:rsid w:val="007C4CE0"/>
    <w:rsid w:val="007C5184"/>
    <w:rsid w:val="007C519D"/>
    <w:rsid w:val="007C5227"/>
    <w:rsid w:val="007C5684"/>
    <w:rsid w:val="007C6071"/>
    <w:rsid w:val="007C65A3"/>
    <w:rsid w:val="007C7763"/>
    <w:rsid w:val="007C7992"/>
    <w:rsid w:val="007C7AF2"/>
    <w:rsid w:val="007D030D"/>
    <w:rsid w:val="007D04FE"/>
    <w:rsid w:val="007D0A58"/>
    <w:rsid w:val="007D0B12"/>
    <w:rsid w:val="007D2576"/>
    <w:rsid w:val="007D26A9"/>
    <w:rsid w:val="007D2706"/>
    <w:rsid w:val="007D275F"/>
    <w:rsid w:val="007D2854"/>
    <w:rsid w:val="007D29AC"/>
    <w:rsid w:val="007D2A39"/>
    <w:rsid w:val="007D2C1F"/>
    <w:rsid w:val="007D319B"/>
    <w:rsid w:val="007D39D6"/>
    <w:rsid w:val="007D3F3F"/>
    <w:rsid w:val="007D4221"/>
    <w:rsid w:val="007D4262"/>
    <w:rsid w:val="007D4B62"/>
    <w:rsid w:val="007D4BAB"/>
    <w:rsid w:val="007D61B1"/>
    <w:rsid w:val="007D630F"/>
    <w:rsid w:val="007D667D"/>
    <w:rsid w:val="007D680E"/>
    <w:rsid w:val="007D6848"/>
    <w:rsid w:val="007D6972"/>
    <w:rsid w:val="007D6AB0"/>
    <w:rsid w:val="007D6FB8"/>
    <w:rsid w:val="007D7085"/>
    <w:rsid w:val="007D75C5"/>
    <w:rsid w:val="007D796B"/>
    <w:rsid w:val="007D7989"/>
    <w:rsid w:val="007D7A7B"/>
    <w:rsid w:val="007E033E"/>
    <w:rsid w:val="007E081B"/>
    <w:rsid w:val="007E16CD"/>
    <w:rsid w:val="007E222F"/>
    <w:rsid w:val="007E24D8"/>
    <w:rsid w:val="007E27EE"/>
    <w:rsid w:val="007E284B"/>
    <w:rsid w:val="007E2991"/>
    <w:rsid w:val="007E2B35"/>
    <w:rsid w:val="007E2CC5"/>
    <w:rsid w:val="007E2CF9"/>
    <w:rsid w:val="007E340D"/>
    <w:rsid w:val="007E3410"/>
    <w:rsid w:val="007E34C1"/>
    <w:rsid w:val="007E3DC7"/>
    <w:rsid w:val="007E427C"/>
    <w:rsid w:val="007E431A"/>
    <w:rsid w:val="007E4482"/>
    <w:rsid w:val="007E4511"/>
    <w:rsid w:val="007E4A73"/>
    <w:rsid w:val="007E4FF7"/>
    <w:rsid w:val="007E525F"/>
    <w:rsid w:val="007E5596"/>
    <w:rsid w:val="007E5711"/>
    <w:rsid w:val="007E5804"/>
    <w:rsid w:val="007E5CD1"/>
    <w:rsid w:val="007E5DD3"/>
    <w:rsid w:val="007E5EE8"/>
    <w:rsid w:val="007E5FCE"/>
    <w:rsid w:val="007E633B"/>
    <w:rsid w:val="007E68C1"/>
    <w:rsid w:val="007E6C52"/>
    <w:rsid w:val="007E6F39"/>
    <w:rsid w:val="007E7040"/>
    <w:rsid w:val="007E7080"/>
    <w:rsid w:val="007E751A"/>
    <w:rsid w:val="007E7A52"/>
    <w:rsid w:val="007E7B9D"/>
    <w:rsid w:val="007F0AC8"/>
    <w:rsid w:val="007F0F84"/>
    <w:rsid w:val="007F14A9"/>
    <w:rsid w:val="007F177B"/>
    <w:rsid w:val="007F1B8C"/>
    <w:rsid w:val="007F1D7F"/>
    <w:rsid w:val="007F1E4A"/>
    <w:rsid w:val="007F2084"/>
    <w:rsid w:val="007F2B20"/>
    <w:rsid w:val="007F38AF"/>
    <w:rsid w:val="007F43CD"/>
    <w:rsid w:val="007F4F98"/>
    <w:rsid w:val="007F54C1"/>
    <w:rsid w:val="007F54FD"/>
    <w:rsid w:val="007F5642"/>
    <w:rsid w:val="007F57F8"/>
    <w:rsid w:val="007F5944"/>
    <w:rsid w:val="007F6318"/>
    <w:rsid w:val="007F68AD"/>
    <w:rsid w:val="007F6D74"/>
    <w:rsid w:val="007F7569"/>
    <w:rsid w:val="007F7690"/>
    <w:rsid w:val="007F7A04"/>
    <w:rsid w:val="007F7BBC"/>
    <w:rsid w:val="008008A9"/>
    <w:rsid w:val="0080097A"/>
    <w:rsid w:val="00800BD9"/>
    <w:rsid w:val="00800EF0"/>
    <w:rsid w:val="00801B69"/>
    <w:rsid w:val="00801B73"/>
    <w:rsid w:val="00801DAD"/>
    <w:rsid w:val="008025F6"/>
    <w:rsid w:val="008027DA"/>
    <w:rsid w:val="00802998"/>
    <w:rsid w:val="00802FDB"/>
    <w:rsid w:val="00803048"/>
    <w:rsid w:val="00803577"/>
    <w:rsid w:val="0080371C"/>
    <w:rsid w:val="00803B9A"/>
    <w:rsid w:val="00803F7B"/>
    <w:rsid w:val="00803FE3"/>
    <w:rsid w:val="00805001"/>
    <w:rsid w:val="00806421"/>
    <w:rsid w:val="0080728A"/>
    <w:rsid w:val="008072A4"/>
    <w:rsid w:val="00807331"/>
    <w:rsid w:val="00807581"/>
    <w:rsid w:val="00807628"/>
    <w:rsid w:val="00807877"/>
    <w:rsid w:val="00807F99"/>
    <w:rsid w:val="008107D7"/>
    <w:rsid w:val="00810ABA"/>
    <w:rsid w:val="0081104E"/>
    <w:rsid w:val="00811843"/>
    <w:rsid w:val="0081199B"/>
    <w:rsid w:val="00811E1E"/>
    <w:rsid w:val="00812301"/>
    <w:rsid w:val="008127F1"/>
    <w:rsid w:val="00812823"/>
    <w:rsid w:val="00812E48"/>
    <w:rsid w:val="00813B9C"/>
    <w:rsid w:val="00813FE9"/>
    <w:rsid w:val="00814341"/>
    <w:rsid w:val="008148A0"/>
    <w:rsid w:val="0081519A"/>
    <w:rsid w:val="00815358"/>
    <w:rsid w:val="008157A1"/>
    <w:rsid w:val="0081592F"/>
    <w:rsid w:val="00815E2E"/>
    <w:rsid w:val="00815EB5"/>
    <w:rsid w:val="00816447"/>
    <w:rsid w:val="00816B1D"/>
    <w:rsid w:val="00817226"/>
    <w:rsid w:val="008172C2"/>
    <w:rsid w:val="00817AAE"/>
    <w:rsid w:val="0082050E"/>
    <w:rsid w:val="0082062D"/>
    <w:rsid w:val="0082166E"/>
    <w:rsid w:val="008217D9"/>
    <w:rsid w:val="00821AFF"/>
    <w:rsid w:val="008228EE"/>
    <w:rsid w:val="00822D0C"/>
    <w:rsid w:val="00824190"/>
    <w:rsid w:val="0082471B"/>
    <w:rsid w:val="00824C4D"/>
    <w:rsid w:val="00824E43"/>
    <w:rsid w:val="00824F6A"/>
    <w:rsid w:val="0082502E"/>
    <w:rsid w:val="008259FA"/>
    <w:rsid w:val="0082610B"/>
    <w:rsid w:val="0082639E"/>
    <w:rsid w:val="00826583"/>
    <w:rsid w:val="00826993"/>
    <w:rsid w:val="00826B22"/>
    <w:rsid w:val="00826BE0"/>
    <w:rsid w:val="00826F31"/>
    <w:rsid w:val="0082723F"/>
    <w:rsid w:val="0082745B"/>
    <w:rsid w:val="0083045C"/>
    <w:rsid w:val="00830475"/>
    <w:rsid w:val="008306E9"/>
    <w:rsid w:val="00831195"/>
    <w:rsid w:val="00831395"/>
    <w:rsid w:val="00831449"/>
    <w:rsid w:val="0083188C"/>
    <w:rsid w:val="008326A3"/>
    <w:rsid w:val="008327EB"/>
    <w:rsid w:val="008334EC"/>
    <w:rsid w:val="00833610"/>
    <w:rsid w:val="00833C26"/>
    <w:rsid w:val="00833D5D"/>
    <w:rsid w:val="00833E1D"/>
    <w:rsid w:val="00834922"/>
    <w:rsid w:val="00834E2A"/>
    <w:rsid w:val="00835344"/>
    <w:rsid w:val="00835DDF"/>
    <w:rsid w:val="00836034"/>
    <w:rsid w:val="008361D2"/>
    <w:rsid w:val="00836FBB"/>
    <w:rsid w:val="00837543"/>
    <w:rsid w:val="00837819"/>
    <w:rsid w:val="00837DEC"/>
    <w:rsid w:val="00837FF6"/>
    <w:rsid w:val="008403A6"/>
    <w:rsid w:val="0084066B"/>
    <w:rsid w:val="0084097B"/>
    <w:rsid w:val="00840BDA"/>
    <w:rsid w:val="0084156A"/>
    <w:rsid w:val="00842532"/>
    <w:rsid w:val="008427B4"/>
    <w:rsid w:val="00842C38"/>
    <w:rsid w:val="0084330D"/>
    <w:rsid w:val="0084394C"/>
    <w:rsid w:val="00843E25"/>
    <w:rsid w:val="008441CD"/>
    <w:rsid w:val="00844852"/>
    <w:rsid w:val="00844E2B"/>
    <w:rsid w:val="008459A9"/>
    <w:rsid w:val="0084693C"/>
    <w:rsid w:val="00847B5D"/>
    <w:rsid w:val="00847C65"/>
    <w:rsid w:val="0085035B"/>
    <w:rsid w:val="00850776"/>
    <w:rsid w:val="00850BB2"/>
    <w:rsid w:val="0085140B"/>
    <w:rsid w:val="0085171E"/>
    <w:rsid w:val="00851B44"/>
    <w:rsid w:val="00851C47"/>
    <w:rsid w:val="00851D41"/>
    <w:rsid w:val="00852145"/>
    <w:rsid w:val="00853427"/>
    <w:rsid w:val="0085373E"/>
    <w:rsid w:val="00854CB0"/>
    <w:rsid w:val="00854CD8"/>
    <w:rsid w:val="00855A74"/>
    <w:rsid w:val="00855D62"/>
    <w:rsid w:val="008563BE"/>
    <w:rsid w:val="00856789"/>
    <w:rsid w:val="00856B33"/>
    <w:rsid w:val="00856EF1"/>
    <w:rsid w:val="00857606"/>
    <w:rsid w:val="008578B6"/>
    <w:rsid w:val="00857BA0"/>
    <w:rsid w:val="00857BE6"/>
    <w:rsid w:val="00860389"/>
    <w:rsid w:val="00860443"/>
    <w:rsid w:val="008605D1"/>
    <w:rsid w:val="00860B7A"/>
    <w:rsid w:val="0086107A"/>
    <w:rsid w:val="00862738"/>
    <w:rsid w:val="0086296F"/>
    <w:rsid w:val="008629B4"/>
    <w:rsid w:val="00862B79"/>
    <w:rsid w:val="00862D0C"/>
    <w:rsid w:val="00862D98"/>
    <w:rsid w:val="00863132"/>
    <w:rsid w:val="0086345C"/>
    <w:rsid w:val="0086350B"/>
    <w:rsid w:val="008635C0"/>
    <w:rsid w:val="008641B8"/>
    <w:rsid w:val="00864A9A"/>
    <w:rsid w:val="00864D32"/>
    <w:rsid w:val="00864F3B"/>
    <w:rsid w:val="00865254"/>
    <w:rsid w:val="0086527F"/>
    <w:rsid w:val="00865A51"/>
    <w:rsid w:val="00865E0E"/>
    <w:rsid w:val="0086612B"/>
    <w:rsid w:val="00866E72"/>
    <w:rsid w:val="008670D8"/>
    <w:rsid w:val="0086736C"/>
    <w:rsid w:val="00867BA3"/>
    <w:rsid w:val="00867D78"/>
    <w:rsid w:val="008703C2"/>
    <w:rsid w:val="00870A3D"/>
    <w:rsid w:val="00870E1C"/>
    <w:rsid w:val="00870F5A"/>
    <w:rsid w:val="00871526"/>
    <w:rsid w:val="00871719"/>
    <w:rsid w:val="00871854"/>
    <w:rsid w:val="00871FDB"/>
    <w:rsid w:val="008721C6"/>
    <w:rsid w:val="00872788"/>
    <w:rsid w:val="0087284A"/>
    <w:rsid w:val="00872948"/>
    <w:rsid w:val="00872E38"/>
    <w:rsid w:val="008736B9"/>
    <w:rsid w:val="0087388B"/>
    <w:rsid w:val="008741A6"/>
    <w:rsid w:val="008743C1"/>
    <w:rsid w:val="00874605"/>
    <w:rsid w:val="008749F4"/>
    <w:rsid w:val="00874B40"/>
    <w:rsid w:val="008754DA"/>
    <w:rsid w:val="008757AD"/>
    <w:rsid w:val="008758B1"/>
    <w:rsid w:val="00875A05"/>
    <w:rsid w:val="00876987"/>
    <w:rsid w:val="008769BA"/>
    <w:rsid w:val="00876BDD"/>
    <w:rsid w:val="0087772C"/>
    <w:rsid w:val="00877937"/>
    <w:rsid w:val="008803E8"/>
    <w:rsid w:val="00880449"/>
    <w:rsid w:val="00880CD6"/>
    <w:rsid w:val="00880DC4"/>
    <w:rsid w:val="00881736"/>
    <w:rsid w:val="00881874"/>
    <w:rsid w:val="00881FBB"/>
    <w:rsid w:val="00882479"/>
    <w:rsid w:val="00882AB1"/>
    <w:rsid w:val="00882BC8"/>
    <w:rsid w:val="00882DF1"/>
    <w:rsid w:val="00883380"/>
    <w:rsid w:val="008839CE"/>
    <w:rsid w:val="008843B6"/>
    <w:rsid w:val="008843FD"/>
    <w:rsid w:val="0088472A"/>
    <w:rsid w:val="00884F36"/>
    <w:rsid w:val="00885794"/>
    <w:rsid w:val="00885E9D"/>
    <w:rsid w:val="00886B75"/>
    <w:rsid w:val="00890159"/>
    <w:rsid w:val="0089042B"/>
    <w:rsid w:val="00890452"/>
    <w:rsid w:val="00890592"/>
    <w:rsid w:val="0089086A"/>
    <w:rsid w:val="00891061"/>
    <w:rsid w:val="00891E28"/>
    <w:rsid w:val="00892282"/>
    <w:rsid w:val="008923BD"/>
    <w:rsid w:val="00892447"/>
    <w:rsid w:val="0089273D"/>
    <w:rsid w:val="00892CC5"/>
    <w:rsid w:val="00892DF8"/>
    <w:rsid w:val="0089304A"/>
    <w:rsid w:val="008930A2"/>
    <w:rsid w:val="00893572"/>
    <w:rsid w:val="0089449D"/>
    <w:rsid w:val="008944FB"/>
    <w:rsid w:val="00895217"/>
    <w:rsid w:val="00895D3B"/>
    <w:rsid w:val="008961A9"/>
    <w:rsid w:val="008961BA"/>
    <w:rsid w:val="008968A8"/>
    <w:rsid w:val="00897ED0"/>
    <w:rsid w:val="008A013E"/>
    <w:rsid w:val="008A0364"/>
    <w:rsid w:val="008A0E8E"/>
    <w:rsid w:val="008A14E5"/>
    <w:rsid w:val="008A1E3F"/>
    <w:rsid w:val="008A1F6A"/>
    <w:rsid w:val="008A241C"/>
    <w:rsid w:val="008A26E7"/>
    <w:rsid w:val="008A296A"/>
    <w:rsid w:val="008A2C88"/>
    <w:rsid w:val="008A2F3C"/>
    <w:rsid w:val="008A35CB"/>
    <w:rsid w:val="008A38FF"/>
    <w:rsid w:val="008A396E"/>
    <w:rsid w:val="008A3DE4"/>
    <w:rsid w:val="008A469F"/>
    <w:rsid w:val="008A573E"/>
    <w:rsid w:val="008A6161"/>
    <w:rsid w:val="008A616E"/>
    <w:rsid w:val="008A6647"/>
    <w:rsid w:val="008A6AAA"/>
    <w:rsid w:val="008A6DA8"/>
    <w:rsid w:val="008B01E4"/>
    <w:rsid w:val="008B039C"/>
    <w:rsid w:val="008B03E3"/>
    <w:rsid w:val="008B0562"/>
    <w:rsid w:val="008B073A"/>
    <w:rsid w:val="008B177A"/>
    <w:rsid w:val="008B1F17"/>
    <w:rsid w:val="008B1F4D"/>
    <w:rsid w:val="008B2055"/>
    <w:rsid w:val="008B2203"/>
    <w:rsid w:val="008B228E"/>
    <w:rsid w:val="008B2563"/>
    <w:rsid w:val="008B2A5D"/>
    <w:rsid w:val="008B2DFC"/>
    <w:rsid w:val="008B3301"/>
    <w:rsid w:val="008B375E"/>
    <w:rsid w:val="008B380F"/>
    <w:rsid w:val="008B3EE6"/>
    <w:rsid w:val="008B3EF9"/>
    <w:rsid w:val="008B490D"/>
    <w:rsid w:val="008B6031"/>
    <w:rsid w:val="008B66B2"/>
    <w:rsid w:val="008B71AF"/>
    <w:rsid w:val="008B74FF"/>
    <w:rsid w:val="008B7A55"/>
    <w:rsid w:val="008C0AE6"/>
    <w:rsid w:val="008C0F0F"/>
    <w:rsid w:val="008C1336"/>
    <w:rsid w:val="008C151A"/>
    <w:rsid w:val="008C19C9"/>
    <w:rsid w:val="008C1A21"/>
    <w:rsid w:val="008C1C5F"/>
    <w:rsid w:val="008C20D5"/>
    <w:rsid w:val="008C22C6"/>
    <w:rsid w:val="008C23BC"/>
    <w:rsid w:val="008C26D3"/>
    <w:rsid w:val="008C36E3"/>
    <w:rsid w:val="008C38AC"/>
    <w:rsid w:val="008C3F5F"/>
    <w:rsid w:val="008C41EA"/>
    <w:rsid w:val="008C44F4"/>
    <w:rsid w:val="008C452D"/>
    <w:rsid w:val="008C458E"/>
    <w:rsid w:val="008C54A6"/>
    <w:rsid w:val="008C55E3"/>
    <w:rsid w:val="008C55FE"/>
    <w:rsid w:val="008C57D4"/>
    <w:rsid w:val="008C5B6A"/>
    <w:rsid w:val="008C6F9E"/>
    <w:rsid w:val="008C705D"/>
    <w:rsid w:val="008C70D5"/>
    <w:rsid w:val="008C73A1"/>
    <w:rsid w:val="008C74A7"/>
    <w:rsid w:val="008D01E0"/>
    <w:rsid w:val="008D0CD7"/>
    <w:rsid w:val="008D15C5"/>
    <w:rsid w:val="008D1660"/>
    <w:rsid w:val="008D1C06"/>
    <w:rsid w:val="008D1DF2"/>
    <w:rsid w:val="008D22B7"/>
    <w:rsid w:val="008D271C"/>
    <w:rsid w:val="008D2CCD"/>
    <w:rsid w:val="008D3946"/>
    <w:rsid w:val="008D3A06"/>
    <w:rsid w:val="008D3BD9"/>
    <w:rsid w:val="008D3D9E"/>
    <w:rsid w:val="008D403F"/>
    <w:rsid w:val="008D4580"/>
    <w:rsid w:val="008D547E"/>
    <w:rsid w:val="008D54AE"/>
    <w:rsid w:val="008D5857"/>
    <w:rsid w:val="008D5A34"/>
    <w:rsid w:val="008D5B96"/>
    <w:rsid w:val="008D5CE2"/>
    <w:rsid w:val="008D5EF7"/>
    <w:rsid w:val="008D6110"/>
    <w:rsid w:val="008D653D"/>
    <w:rsid w:val="008D6AC8"/>
    <w:rsid w:val="008D6C13"/>
    <w:rsid w:val="008D71F9"/>
    <w:rsid w:val="008D75CB"/>
    <w:rsid w:val="008D7665"/>
    <w:rsid w:val="008D7E23"/>
    <w:rsid w:val="008D7F4E"/>
    <w:rsid w:val="008E0088"/>
    <w:rsid w:val="008E025F"/>
    <w:rsid w:val="008E04BB"/>
    <w:rsid w:val="008E081E"/>
    <w:rsid w:val="008E08F2"/>
    <w:rsid w:val="008E0B51"/>
    <w:rsid w:val="008E15BD"/>
    <w:rsid w:val="008E27B0"/>
    <w:rsid w:val="008E3A0F"/>
    <w:rsid w:val="008E3BB9"/>
    <w:rsid w:val="008E3EBA"/>
    <w:rsid w:val="008E4E0A"/>
    <w:rsid w:val="008E500D"/>
    <w:rsid w:val="008E50BE"/>
    <w:rsid w:val="008E6320"/>
    <w:rsid w:val="008E6B74"/>
    <w:rsid w:val="008E6C3D"/>
    <w:rsid w:val="008E70DC"/>
    <w:rsid w:val="008E74CE"/>
    <w:rsid w:val="008E7641"/>
    <w:rsid w:val="008E776C"/>
    <w:rsid w:val="008E7E68"/>
    <w:rsid w:val="008E7F7D"/>
    <w:rsid w:val="008F01C7"/>
    <w:rsid w:val="008F0295"/>
    <w:rsid w:val="008F0B7C"/>
    <w:rsid w:val="008F2D88"/>
    <w:rsid w:val="008F39BD"/>
    <w:rsid w:val="008F3B04"/>
    <w:rsid w:val="008F4021"/>
    <w:rsid w:val="008F57E7"/>
    <w:rsid w:val="008F5DEF"/>
    <w:rsid w:val="008F6400"/>
    <w:rsid w:val="008F6859"/>
    <w:rsid w:val="008F69E6"/>
    <w:rsid w:val="008F6A97"/>
    <w:rsid w:val="008F6E89"/>
    <w:rsid w:val="008F704D"/>
    <w:rsid w:val="008F7558"/>
    <w:rsid w:val="008F78C3"/>
    <w:rsid w:val="009000C6"/>
    <w:rsid w:val="009009ED"/>
    <w:rsid w:val="00900A7F"/>
    <w:rsid w:val="00900BC9"/>
    <w:rsid w:val="00901365"/>
    <w:rsid w:val="00901AE8"/>
    <w:rsid w:val="00901C5F"/>
    <w:rsid w:val="009020BC"/>
    <w:rsid w:val="009027C0"/>
    <w:rsid w:val="00902967"/>
    <w:rsid w:val="00902EC2"/>
    <w:rsid w:val="009030B2"/>
    <w:rsid w:val="009032D0"/>
    <w:rsid w:val="00904C92"/>
    <w:rsid w:val="00904E0B"/>
    <w:rsid w:val="0090522A"/>
    <w:rsid w:val="0090564C"/>
    <w:rsid w:val="00905E86"/>
    <w:rsid w:val="0090623E"/>
    <w:rsid w:val="00906F62"/>
    <w:rsid w:val="0090749E"/>
    <w:rsid w:val="00907A10"/>
    <w:rsid w:val="00910100"/>
    <w:rsid w:val="0091059B"/>
    <w:rsid w:val="009105CD"/>
    <w:rsid w:val="009106A4"/>
    <w:rsid w:val="00911101"/>
    <w:rsid w:val="00911837"/>
    <w:rsid w:val="00911A3A"/>
    <w:rsid w:val="00911B9D"/>
    <w:rsid w:val="00911E50"/>
    <w:rsid w:val="009129D4"/>
    <w:rsid w:val="00912D15"/>
    <w:rsid w:val="00912E2B"/>
    <w:rsid w:val="00912E8D"/>
    <w:rsid w:val="0091363B"/>
    <w:rsid w:val="00913828"/>
    <w:rsid w:val="00913A89"/>
    <w:rsid w:val="00913FE9"/>
    <w:rsid w:val="009141FB"/>
    <w:rsid w:val="0091427D"/>
    <w:rsid w:val="009144CA"/>
    <w:rsid w:val="0091477D"/>
    <w:rsid w:val="00914AA8"/>
    <w:rsid w:val="00914E7C"/>
    <w:rsid w:val="009152A9"/>
    <w:rsid w:val="00915578"/>
    <w:rsid w:val="009155ED"/>
    <w:rsid w:val="00915918"/>
    <w:rsid w:val="00915DE4"/>
    <w:rsid w:val="00916020"/>
    <w:rsid w:val="009163B3"/>
    <w:rsid w:val="0091641D"/>
    <w:rsid w:val="009167E0"/>
    <w:rsid w:val="00916819"/>
    <w:rsid w:val="00916D5E"/>
    <w:rsid w:val="0091744C"/>
    <w:rsid w:val="0091760B"/>
    <w:rsid w:val="00917635"/>
    <w:rsid w:val="0091797E"/>
    <w:rsid w:val="00920412"/>
    <w:rsid w:val="009204D1"/>
    <w:rsid w:val="00920A80"/>
    <w:rsid w:val="00920FC7"/>
    <w:rsid w:val="00921105"/>
    <w:rsid w:val="00921207"/>
    <w:rsid w:val="0092221F"/>
    <w:rsid w:val="009226BA"/>
    <w:rsid w:val="009226CC"/>
    <w:rsid w:val="00922A0D"/>
    <w:rsid w:val="00922F0A"/>
    <w:rsid w:val="00923942"/>
    <w:rsid w:val="00923BDD"/>
    <w:rsid w:val="009249A5"/>
    <w:rsid w:val="00924F73"/>
    <w:rsid w:val="00925190"/>
    <w:rsid w:val="00925460"/>
    <w:rsid w:val="00925FD9"/>
    <w:rsid w:val="00926227"/>
    <w:rsid w:val="00926685"/>
    <w:rsid w:val="00926EE8"/>
    <w:rsid w:val="009270DA"/>
    <w:rsid w:val="00927938"/>
    <w:rsid w:val="00927AD0"/>
    <w:rsid w:val="0093023B"/>
    <w:rsid w:val="009306B5"/>
    <w:rsid w:val="00930A66"/>
    <w:rsid w:val="00930B7C"/>
    <w:rsid w:val="00930C2C"/>
    <w:rsid w:val="00930C6F"/>
    <w:rsid w:val="00930DED"/>
    <w:rsid w:val="0093186F"/>
    <w:rsid w:val="009319E9"/>
    <w:rsid w:val="00931DB7"/>
    <w:rsid w:val="00931DD6"/>
    <w:rsid w:val="00931E17"/>
    <w:rsid w:val="0093208D"/>
    <w:rsid w:val="00932278"/>
    <w:rsid w:val="00932E27"/>
    <w:rsid w:val="0093318A"/>
    <w:rsid w:val="009332C1"/>
    <w:rsid w:val="009333BA"/>
    <w:rsid w:val="0093388F"/>
    <w:rsid w:val="00933C95"/>
    <w:rsid w:val="009341D4"/>
    <w:rsid w:val="00934964"/>
    <w:rsid w:val="00934A51"/>
    <w:rsid w:val="00934AB4"/>
    <w:rsid w:val="00934C22"/>
    <w:rsid w:val="00935194"/>
    <w:rsid w:val="009351E1"/>
    <w:rsid w:val="009352A0"/>
    <w:rsid w:val="00935544"/>
    <w:rsid w:val="0093593D"/>
    <w:rsid w:val="0093632A"/>
    <w:rsid w:val="009365BE"/>
    <w:rsid w:val="009368CF"/>
    <w:rsid w:val="00936AA0"/>
    <w:rsid w:val="00936BA0"/>
    <w:rsid w:val="009379C3"/>
    <w:rsid w:val="0094014A"/>
    <w:rsid w:val="009401A6"/>
    <w:rsid w:val="00940224"/>
    <w:rsid w:val="0094055E"/>
    <w:rsid w:val="00940B16"/>
    <w:rsid w:val="00940BB5"/>
    <w:rsid w:val="00940C38"/>
    <w:rsid w:val="00940D8D"/>
    <w:rsid w:val="009413C5"/>
    <w:rsid w:val="00941442"/>
    <w:rsid w:val="00941BB2"/>
    <w:rsid w:val="00941C73"/>
    <w:rsid w:val="009433FC"/>
    <w:rsid w:val="00943B79"/>
    <w:rsid w:val="00944669"/>
    <w:rsid w:val="00944782"/>
    <w:rsid w:val="00944934"/>
    <w:rsid w:val="00944F2D"/>
    <w:rsid w:val="00945A8F"/>
    <w:rsid w:val="0094662C"/>
    <w:rsid w:val="009467C2"/>
    <w:rsid w:val="00946B6F"/>
    <w:rsid w:val="00946CF2"/>
    <w:rsid w:val="00946D45"/>
    <w:rsid w:val="00947BFF"/>
    <w:rsid w:val="00947D7D"/>
    <w:rsid w:val="00951ADD"/>
    <w:rsid w:val="00951AF7"/>
    <w:rsid w:val="00951D3B"/>
    <w:rsid w:val="0095361F"/>
    <w:rsid w:val="0095380B"/>
    <w:rsid w:val="00953CA0"/>
    <w:rsid w:val="00953DE1"/>
    <w:rsid w:val="009547F0"/>
    <w:rsid w:val="009558E4"/>
    <w:rsid w:val="009562D3"/>
    <w:rsid w:val="00956DA1"/>
    <w:rsid w:val="00957022"/>
    <w:rsid w:val="00957CE2"/>
    <w:rsid w:val="00957D68"/>
    <w:rsid w:val="00957EDC"/>
    <w:rsid w:val="00957EF3"/>
    <w:rsid w:val="009600EE"/>
    <w:rsid w:val="009605DF"/>
    <w:rsid w:val="00960690"/>
    <w:rsid w:val="009607FB"/>
    <w:rsid w:val="00960A06"/>
    <w:rsid w:val="00960A62"/>
    <w:rsid w:val="00960D85"/>
    <w:rsid w:val="00960F0A"/>
    <w:rsid w:val="009612C3"/>
    <w:rsid w:val="009612EA"/>
    <w:rsid w:val="0096187B"/>
    <w:rsid w:val="009626EF"/>
    <w:rsid w:val="009630BA"/>
    <w:rsid w:val="00963131"/>
    <w:rsid w:val="009631B5"/>
    <w:rsid w:val="0096342B"/>
    <w:rsid w:val="00963494"/>
    <w:rsid w:val="00963A2B"/>
    <w:rsid w:val="00963D9C"/>
    <w:rsid w:val="00964036"/>
    <w:rsid w:val="0096433F"/>
    <w:rsid w:val="00964371"/>
    <w:rsid w:val="00964CA5"/>
    <w:rsid w:val="00964CB7"/>
    <w:rsid w:val="0096688F"/>
    <w:rsid w:val="00966CA2"/>
    <w:rsid w:val="00967721"/>
    <w:rsid w:val="00967739"/>
    <w:rsid w:val="0097073E"/>
    <w:rsid w:val="00970B1F"/>
    <w:rsid w:val="00970F6D"/>
    <w:rsid w:val="009714B7"/>
    <w:rsid w:val="00971588"/>
    <w:rsid w:val="00971B7C"/>
    <w:rsid w:val="00971BEC"/>
    <w:rsid w:val="00971E96"/>
    <w:rsid w:val="0097259E"/>
    <w:rsid w:val="009725B0"/>
    <w:rsid w:val="0097291D"/>
    <w:rsid w:val="00973395"/>
    <w:rsid w:val="00973740"/>
    <w:rsid w:val="0097421C"/>
    <w:rsid w:val="00974240"/>
    <w:rsid w:val="00974355"/>
    <w:rsid w:val="00974612"/>
    <w:rsid w:val="0097466B"/>
    <w:rsid w:val="009748AC"/>
    <w:rsid w:val="00974906"/>
    <w:rsid w:val="00974DCF"/>
    <w:rsid w:val="00974F6B"/>
    <w:rsid w:val="00975027"/>
    <w:rsid w:val="00975227"/>
    <w:rsid w:val="00975A81"/>
    <w:rsid w:val="00976249"/>
    <w:rsid w:val="009763EE"/>
    <w:rsid w:val="009769A1"/>
    <w:rsid w:val="009769E2"/>
    <w:rsid w:val="0097702A"/>
    <w:rsid w:val="0097720A"/>
    <w:rsid w:val="0097749E"/>
    <w:rsid w:val="009776C0"/>
    <w:rsid w:val="00977C05"/>
    <w:rsid w:val="00977CA2"/>
    <w:rsid w:val="00977EDB"/>
    <w:rsid w:val="00977F4D"/>
    <w:rsid w:val="00980518"/>
    <w:rsid w:val="009808E7"/>
    <w:rsid w:val="00980EDF"/>
    <w:rsid w:val="0098111E"/>
    <w:rsid w:val="00981899"/>
    <w:rsid w:val="0098201F"/>
    <w:rsid w:val="00982C56"/>
    <w:rsid w:val="00982ED3"/>
    <w:rsid w:val="0098308F"/>
    <w:rsid w:val="009833CF"/>
    <w:rsid w:val="00983A37"/>
    <w:rsid w:val="00984372"/>
    <w:rsid w:val="00984F4F"/>
    <w:rsid w:val="00985289"/>
    <w:rsid w:val="00985FB3"/>
    <w:rsid w:val="00986085"/>
    <w:rsid w:val="00986750"/>
    <w:rsid w:val="009867FF"/>
    <w:rsid w:val="00986AC2"/>
    <w:rsid w:val="00986B50"/>
    <w:rsid w:val="00986D1B"/>
    <w:rsid w:val="009870D7"/>
    <w:rsid w:val="00987638"/>
    <w:rsid w:val="0099049F"/>
    <w:rsid w:val="009904DB"/>
    <w:rsid w:val="009915CC"/>
    <w:rsid w:val="0099173C"/>
    <w:rsid w:val="009917AB"/>
    <w:rsid w:val="00991934"/>
    <w:rsid w:val="00991A65"/>
    <w:rsid w:val="00991A71"/>
    <w:rsid w:val="00991C66"/>
    <w:rsid w:val="00991EBC"/>
    <w:rsid w:val="00991EC7"/>
    <w:rsid w:val="009923A2"/>
    <w:rsid w:val="00993B67"/>
    <w:rsid w:val="009945D9"/>
    <w:rsid w:val="00994FC0"/>
    <w:rsid w:val="00995128"/>
    <w:rsid w:val="00995F9F"/>
    <w:rsid w:val="00996300"/>
    <w:rsid w:val="009967C9"/>
    <w:rsid w:val="00996FE0"/>
    <w:rsid w:val="00997008"/>
    <w:rsid w:val="00997327"/>
    <w:rsid w:val="00997865"/>
    <w:rsid w:val="00997EE8"/>
    <w:rsid w:val="009A00DA"/>
    <w:rsid w:val="009A0275"/>
    <w:rsid w:val="009A0423"/>
    <w:rsid w:val="009A08F2"/>
    <w:rsid w:val="009A0FB9"/>
    <w:rsid w:val="009A1245"/>
    <w:rsid w:val="009A18A8"/>
    <w:rsid w:val="009A2005"/>
    <w:rsid w:val="009A2820"/>
    <w:rsid w:val="009A2CE2"/>
    <w:rsid w:val="009A3048"/>
    <w:rsid w:val="009A3736"/>
    <w:rsid w:val="009A3752"/>
    <w:rsid w:val="009A3AEB"/>
    <w:rsid w:val="009A4183"/>
    <w:rsid w:val="009A4247"/>
    <w:rsid w:val="009A466A"/>
    <w:rsid w:val="009A4C90"/>
    <w:rsid w:val="009A4CDA"/>
    <w:rsid w:val="009A4CF5"/>
    <w:rsid w:val="009A4FA1"/>
    <w:rsid w:val="009A5810"/>
    <w:rsid w:val="009A5BD3"/>
    <w:rsid w:val="009A5EFA"/>
    <w:rsid w:val="009A5FFA"/>
    <w:rsid w:val="009A6525"/>
    <w:rsid w:val="009A686C"/>
    <w:rsid w:val="009A70DE"/>
    <w:rsid w:val="009A721D"/>
    <w:rsid w:val="009A72B6"/>
    <w:rsid w:val="009A79F7"/>
    <w:rsid w:val="009B0B1F"/>
    <w:rsid w:val="009B0EDD"/>
    <w:rsid w:val="009B1280"/>
    <w:rsid w:val="009B16AC"/>
    <w:rsid w:val="009B16FC"/>
    <w:rsid w:val="009B1AAC"/>
    <w:rsid w:val="009B1CE1"/>
    <w:rsid w:val="009B239B"/>
    <w:rsid w:val="009B2763"/>
    <w:rsid w:val="009B2815"/>
    <w:rsid w:val="009B2D55"/>
    <w:rsid w:val="009B3B9F"/>
    <w:rsid w:val="009B3E06"/>
    <w:rsid w:val="009B3EC8"/>
    <w:rsid w:val="009B40F1"/>
    <w:rsid w:val="009B4406"/>
    <w:rsid w:val="009B4742"/>
    <w:rsid w:val="009B4ED1"/>
    <w:rsid w:val="009B505B"/>
    <w:rsid w:val="009B5546"/>
    <w:rsid w:val="009B579E"/>
    <w:rsid w:val="009B5A77"/>
    <w:rsid w:val="009B5EE4"/>
    <w:rsid w:val="009B604A"/>
    <w:rsid w:val="009B64CB"/>
    <w:rsid w:val="009B684F"/>
    <w:rsid w:val="009B6E0F"/>
    <w:rsid w:val="009B7D06"/>
    <w:rsid w:val="009C0166"/>
    <w:rsid w:val="009C031E"/>
    <w:rsid w:val="009C06F3"/>
    <w:rsid w:val="009C0A26"/>
    <w:rsid w:val="009C0CAA"/>
    <w:rsid w:val="009C10C7"/>
    <w:rsid w:val="009C2331"/>
    <w:rsid w:val="009C25FF"/>
    <w:rsid w:val="009C27CA"/>
    <w:rsid w:val="009C2AC7"/>
    <w:rsid w:val="009C308F"/>
    <w:rsid w:val="009C309C"/>
    <w:rsid w:val="009C3194"/>
    <w:rsid w:val="009C31ED"/>
    <w:rsid w:val="009C3356"/>
    <w:rsid w:val="009C3D4E"/>
    <w:rsid w:val="009C4CDE"/>
    <w:rsid w:val="009C505F"/>
    <w:rsid w:val="009C579E"/>
    <w:rsid w:val="009C5866"/>
    <w:rsid w:val="009C5FDA"/>
    <w:rsid w:val="009C652B"/>
    <w:rsid w:val="009C655C"/>
    <w:rsid w:val="009C68F6"/>
    <w:rsid w:val="009C6957"/>
    <w:rsid w:val="009C69F6"/>
    <w:rsid w:val="009C6AD5"/>
    <w:rsid w:val="009C6DAB"/>
    <w:rsid w:val="009C7956"/>
    <w:rsid w:val="009C79C0"/>
    <w:rsid w:val="009C7A14"/>
    <w:rsid w:val="009C7CA1"/>
    <w:rsid w:val="009C7EED"/>
    <w:rsid w:val="009D038F"/>
    <w:rsid w:val="009D03A9"/>
    <w:rsid w:val="009D03D2"/>
    <w:rsid w:val="009D09E5"/>
    <w:rsid w:val="009D0A7B"/>
    <w:rsid w:val="009D162F"/>
    <w:rsid w:val="009D176E"/>
    <w:rsid w:val="009D1BA3"/>
    <w:rsid w:val="009D1BB9"/>
    <w:rsid w:val="009D1D01"/>
    <w:rsid w:val="009D1F72"/>
    <w:rsid w:val="009D21A1"/>
    <w:rsid w:val="009D2C4A"/>
    <w:rsid w:val="009D2DCD"/>
    <w:rsid w:val="009D3330"/>
    <w:rsid w:val="009D33FC"/>
    <w:rsid w:val="009D3830"/>
    <w:rsid w:val="009D5E0D"/>
    <w:rsid w:val="009D68EF"/>
    <w:rsid w:val="009D6D54"/>
    <w:rsid w:val="009D71BD"/>
    <w:rsid w:val="009D7EA2"/>
    <w:rsid w:val="009E042A"/>
    <w:rsid w:val="009E16CF"/>
    <w:rsid w:val="009E1C19"/>
    <w:rsid w:val="009E1D3D"/>
    <w:rsid w:val="009E2202"/>
    <w:rsid w:val="009E2355"/>
    <w:rsid w:val="009E239B"/>
    <w:rsid w:val="009E260C"/>
    <w:rsid w:val="009E2909"/>
    <w:rsid w:val="009E29D8"/>
    <w:rsid w:val="009E2C5C"/>
    <w:rsid w:val="009E2D70"/>
    <w:rsid w:val="009E2D80"/>
    <w:rsid w:val="009E2F6E"/>
    <w:rsid w:val="009E2F99"/>
    <w:rsid w:val="009E3211"/>
    <w:rsid w:val="009E39D4"/>
    <w:rsid w:val="009E3A0A"/>
    <w:rsid w:val="009E3B16"/>
    <w:rsid w:val="009E4886"/>
    <w:rsid w:val="009E48C1"/>
    <w:rsid w:val="009E5670"/>
    <w:rsid w:val="009E64C8"/>
    <w:rsid w:val="009E6791"/>
    <w:rsid w:val="009E67BA"/>
    <w:rsid w:val="009E6EDB"/>
    <w:rsid w:val="009E6F91"/>
    <w:rsid w:val="009E710B"/>
    <w:rsid w:val="009E71E1"/>
    <w:rsid w:val="009E7721"/>
    <w:rsid w:val="009F08A7"/>
    <w:rsid w:val="009F0ADE"/>
    <w:rsid w:val="009F0B18"/>
    <w:rsid w:val="009F0E52"/>
    <w:rsid w:val="009F0EA4"/>
    <w:rsid w:val="009F15E2"/>
    <w:rsid w:val="009F1714"/>
    <w:rsid w:val="009F19F1"/>
    <w:rsid w:val="009F1D43"/>
    <w:rsid w:val="009F26AD"/>
    <w:rsid w:val="009F27A8"/>
    <w:rsid w:val="009F2CF7"/>
    <w:rsid w:val="009F31F3"/>
    <w:rsid w:val="009F33B1"/>
    <w:rsid w:val="009F3513"/>
    <w:rsid w:val="009F395E"/>
    <w:rsid w:val="009F3BE4"/>
    <w:rsid w:val="009F3D54"/>
    <w:rsid w:val="009F415D"/>
    <w:rsid w:val="009F4A86"/>
    <w:rsid w:val="009F4B5F"/>
    <w:rsid w:val="009F53AC"/>
    <w:rsid w:val="009F5779"/>
    <w:rsid w:val="009F57D3"/>
    <w:rsid w:val="009F687D"/>
    <w:rsid w:val="009F6DF9"/>
    <w:rsid w:val="009F6EA1"/>
    <w:rsid w:val="009F7791"/>
    <w:rsid w:val="009F7C9C"/>
    <w:rsid w:val="009F7E9D"/>
    <w:rsid w:val="009F7EA4"/>
    <w:rsid w:val="00A00137"/>
    <w:rsid w:val="00A00156"/>
    <w:rsid w:val="00A00247"/>
    <w:rsid w:val="00A002BF"/>
    <w:rsid w:val="00A00A2E"/>
    <w:rsid w:val="00A00C31"/>
    <w:rsid w:val="00A011A9"/>
    <w:rsid w:val="00A012AE"/>
    <w:rsid w:val="00A015D8"/>
    <w:rsid w:val="00A01A82"/>
    <w:rsid w:val="00A01C91"/>
    <w:rsid w:val="00A02490"/>
    <w:rsid w:val="00A024F1"/>
    <w:rsid w:val="00A02539"/>
    <w:rsid w:val="00A02D96"/>
    <w:rsid w:val="00A03598"/>
    <w:rsid w:val="00A039C4"/>
    <w:rsid w:val="00A03A24"/>
    <w:rsid w:val="00A03A8E"/>
    <w:rsid w:val="00A03D33"/>
    <w:rsid w:val="00A0405F"/>
    <w:rsid w:val="00A04184"/>
    <w:rsid w:val="00A042F8"/>
    <w:rsid w:val="00A04B5B"/>
    <w:rsid w:val="00A04BB5"/>
    <w:rsid w:val="00A056C4"/>
    <w:rsid w:val="00A062AE"/>
    <w:rsid w:val="00A062D2"/>
    <w:rsid w:val="00A06843"/>
    <w:rsid w:val="00A07A3E"/>
    <w:rsid w:val="00A07F6B"/>
    <w:rsid w:val="00A1093B"/>
    <w:rsid w:val="00A10C22"/>
    <w:rsid w:val="00A11C08"/>
    <w:rsid w:val="00A11DB9"/>
    <w:rsid w:val="00A121F5"/>
    <w:rsid w:val="00A1227E"/>
    <w:rsid w:val="00A12962"/>
    <w:rsid w:val="00A129C0"/>
    <w:rsid w:val="00A12A41"/>
    <w:rsid w:val="00A12D08"/>
    <w:rsid w:val="00A12F7D"/>
    <w:rsid w:val="00A130AA"/>
    <w:rsid w:val="00A13239"/>
    <w:rsid w:val="00A1360E"/>
    <w:rsid w:val="00A13F01"/>
    <w:rsid w:val="00A144A2"/>
    <w:rsid w:val="00A1457B"/>
    <w:rsid w:val="00A1466D"/>
    <w:rsid w:val="00A15CD3"/>
    <w:rsid w:val="00A15E5B"/>
    <w:rsid w:val="00A16274"/>
    <w:rsid w:val="00A165AC"/>
    <w:rsid w:val="00A16A31"/>
    <w:rsid w:val="00A16E30"/>
    <w:rsid w:val="00A174C0"/>
    <w:rsid w:val="00A177C5"/>
    <w:rsid w:val="00A17931"/>
    <w:rsid w:val="00A17D88"/>
    <w:rsid w:val="00A20022"/>
    <w:rsid w:val="00A205EC"/>
    <w:rsid w:val="00A2083D"/>
    <w:rsid w:val="00A214A1"/>
    <w:rsid w:val="00A214AB"/>
    <w:rsid w:val="00A22401"/>
    <w:rsid w:val="00A22844"/>
    <w:rsid w:val="00A233FF"/>
    <w:rsid w:val="00A23538"/>
    <w:rsid w:val="00A2358E"/>
    <w:rsid w:val="00A2369E"/>
    <w:rsid w:val="00A240BC"/>
    <w:rsid w:val="00A24467"/>
    <w:rsid w:val="00A25ACE"/>
    <w:rsid w:val="00A25B9D"/>
    <w:rsid w:val="00A26CE3"/>
    <w:rsid w:val="00A276E9"/>
    <w:rsid w:val="00A27E24"/>
    <w:rsid w:val="00A30008"/>
    <w:rsid w:val="00A300BC"/>
    <w:rsid w:val="00A301F2"/>
    <w:rsid w:val="00A303B4"/>
    <w:rsid w:val="00A3061E"/>
    <w:rsid w:val="00A309D7"/>
    <w:rsid w:val="00A31520"/>
    <w:rsid w:val="00A31A63"/>
    <w:rsid w:val="00A31BC9"/>
    <w:rsid w:val="00A3296F"/>
    <w:rsid w:val="00A32F01"/>
    <w:rsid w:val="00A3320E"/>
    <w:rsid w:val="00A333CF"/>
    <w:rsid w:val="00A3381D"/>
    <w:rsid w:val="00A33AD5"/>
    <w:rsid w:val="00A34215"/>
    <w:rsid w:val="00A3434A"/>
    <w:rsid w:val="00A343EE"/>
    <w:rsid w:val="00A345C3"/>
    <w:rsid w:val="00A3499F"/>
    <w:rsid w:val="00A34EE2"/>
    <w:rsid w:val="00A35367"/>
    <w:rsid w:val="00A3592E"/>
    <w:rsid w:val="00A35956"/>
    <w:rsid w:val="00A35F2B"/>
    <w:rsid w:val="00A36055"/>
    <w:rsid w:val="00A362D8"/>
    <w:rsid w:val="00A36322"/>
    <w:rsid w:val="00A36C42"/>
    <w:rsid w:val="00A36EA8"/>
    <w:rsid w:val="00A37081"/>
    <w:rsid w:val="00A376F8"/>
    <w:rsid w:val="00A377E3"/>
    <w:rsid w:val="00A3793E"/>
    <w:rsid w:val="00A37DCE"/>
    <w:rsid w:val="00A402EA"/>
    <w:rsid w:val="00A41006"/>
    <w:rsid w:val="00A41060"/>
    <w:rsid w:val="00A415A7"/>
    <w:rsid w:val="00A4168B"/>
    <w:rsid w:val="00A4171C"/>
    <w:rsid w:val="00A41BB6"/>
    <w:rsid w:val="00A41F2D"/>
    <w:rsid w:val="00A42C28"/>
    <w:rsid w:val="00A42F27"/>
    <w:rsid w:val="00A43417"/>
    <w:rsid w:val="00A4358F"/>
    <w:rsid w:val="00A435E4"/>
    <w:rsid w:val="00A437AB"/>
    <w:rsid w:val="00A43C47"/>
    <w:rsid w:val="00A43D63"/>
    <w:rsid w:val="00A44089"/>
    <w:rsid w:val="00A44124"/>
    <w:rsid w:val="00A44401"/>
    <w:rsid w:val="00A44638"/>
    <w:rsid w:val="00A44DA3"/>
    <w:rsid w:val="00A4515F"/>
    <w:rsid w:val="00A45CBC"/>
    <w:rsid w:val="00A45FD0"/>
    <w:rsid w:val="00A4616F"/>
    <w:rsid w:val="00A461F9"/>
    <w:rsid w:val="00A467A3"/>
    <w:rsid w:val="00A46C5F"/>
    <w:rsid w:val="00A47268"/>
    <w:rsid w:val="00A473A8"/>
    <w:rsid w:val="00A475BC"/>
    <w:rsid w:val="00A476A1"/>
    <w:rsid w:val="00A47955"/>
    <w:rsid w:val="00A47B7E"/>
    <w:rsid w:val="00A50189"/>
    <w:rsid w:val="00A501C0"/>
    <w:rsid w:val="00A50505"/>
    <w:rsid w:val="00A50A11"/>
    <w:rsid w:val="00A50BF7"/>
    <w:rsid w:val="00A5126F"/>
    <w:rsid w:val="00A51AD8"/>
    <w:rsid w:val="00A52441"/>
    <w:rsid w:val="00A52513"/>
    <w:rsid w:val="00A52CE3"/>
    <w:rsid w:val="00A52ECB"/>
    <w:rsid w:val="00A5336A"/>
    <w:rsid w:val="00A53849"/>
    <w:rsid w:val="00A53E14"/>
    <w:rsid w:val="00A5483D"/>
    <w:rsid w:val="00A54D64"/>
    <w:rsid w:val="00A5621B"/>
    <w:rsid w:val="00A563B5"/>
    <w:rsid w:val="00A5644D"/>
    <w:rsid w:val="00A5658C"/>
    <w:rsid w:val="00A5796B"/>
    <w:rsid w:val="00A60B99"/>
    <w:rsid w:val="00A60EBD"/>
    <w:rsid w:val="00A61115"/>
    <w:rsid w:val="00A61261"/>
    <w:rsid w:val="00A615AE"/>
    <w:rsid w:val="00A618A0"/>
    <w:rsid w:val="00A61A9E"/>
    <w:rsid w:val="00A61AD9"/>
    <w:rsid w:val="00A61BB4"/>
    <w:rsid w:val="00A61C15"/>
    <w:rsid w:val="00A61F17"/>
    <w:rsid w:val="00A620CC"/>
    <w:rsid w:val="00A6223E"/>
    <w:rsid w:val="00A62318"/>
    <w:rsid w:val="00A628FE"/>
    <w:rsid w:val="00A62B49"/>
    <w:rsid w:val="00A62F95"/>
    <w:rsid w:val="00A62FCE"/>
    <w:rsid w:val="00A630BC"/>
    <w:rsid w:val="00A634F8"/>
    <w:rsid w:val="00A637E4"/>
    <w:rsid w:val="00A63A00"/>
    <w:rsid w:val="00A63D42"/>
    <w:rsid w:val="00A63F88"/>
    <w:rsid w:val="00A64246"/>
    <w:rsid w:val="00A643EB"/>
    <w:rsid w:val="00A6460B"/>
    <w:rsid w:val="00A6487D"/>
    <w:rsid w:val="00A64E6A"/>
    <w:rsid w:val="00A65E19"/>
    <w:rsid w:val="00A66CD2"/>
    <w:rsid w:val="00A70564"/>
    <w:rsid w:val="00A708C3"/>
    <w:rsid w:val="00A70C32"/>
    <w:rsid w:val="00A70CBB"/>
    <w:rsid w:val="00A70E3B"/>
    <w:rsid w:val="00A71172"/>
    <w:rsid w:val="00A720AD"/>
    <w:rsid w:val="00A7228C"/>
    <w:rsid w:val="00A7228E"/>
    <w:rsid w:val="00A72449"/>
    <w:rsid w:val="00A729EC"/>
    <w:rsid w:val="00A72AE6"/>
    <w:rsid w:val="00A72E33"/>
    <w:rsid w:val="00A731F8"/>
    <w:rsid w:val="00A73940"/>
    <w:rsid w:val="00A73A2B"/>
    <w:rsid w:val="00A73B4D"/>
    <w:rsid w:val="00A7401B"/>
    <w:rsid w:val="00A74528"/>
    <w:rsid w:val="00A74A29"/>
    <w:rsid w:val="00A74A36"/>
    <w:rsid w:val="00A74CF8"/>
    <w:rsid w:val="00A75058"/>
    <w:rsid w:val="00A75624"/>
    <w:rsid w:val="00A75CB6"/>
    <w:rsid w:val="00A769C1"/>
    <w:rsid w:val="00A76ED0"/>
    <w:rsid w:val="00A77167"/>
    <w:rsid w:val="00A77298"/>
    <w:rsid w:val="00A77A60"/>
    <w:rsid w:val="00A80300"/>
    <w:rsid w:val="00A803F5"/>
    <w:rsid w:val="00A807A3"/>
    <w:rsid w:val="00A80B24"/>
    <w:rsid w:val="00A80F50"/>
    <w:rsid w:val="00A815E4"/>
    <w:rsid w:val="00A81CC2"/>
    <w:rsid w:val="00A81FFA"/>
    <w:rsid w:val="00A82945"/>
    <w:rsid w:val="00A82C0F"/>
    <w:rsid w:val="00A82CE3"/>
    <w:rsid w:val="00A83154"/>
    <w:rsid w:val="00A8324B"/>
    <w:rsid w:val="00A83664"/>
    <w:rsid w:val="00A8417B"/>
    <w:rsid w:val="00A844B4"/>
    <w:rsid w:val="00A84942"/>
    <w:rsid w:val="00A84A23"/>
    <w:rsid w:val="00A84BAD"/>
    <w:rsid w:val="00A84C36"/>
    <w:rsid w:val="00A84E1E"/>
    <w:rsid w:val="00A85783"/>
    <w:rsid w:val="00A859F9"/>
    <w:rsid w:val="00A85B7B"/>
    <w:rsid w:val="00A86A25"/>
    <w:rsid w:val="00A8734F"/>
    <w:rsid w:val="00A87962"/>
    <w:rsid w:val="00A87C1F"/>
    <w:rsid w:val="00A901ED"/>
    <w:rsid w:val="00A90715"/>
    <w:rsid w:val="00A90C41"/>
    <w:rsid w:val="00A90F19"/>
    <w:rsid w:val="00A91241"/>
    <w:rsid w:val="00A9133E"/>
    <w:rsid w:val="00A91B6C"/>
    <w:rsid w:val="00A91D7A"/>
    <w:rsid w:val="00A91EBC"/>
    <w:rsid w:val="00A91F29"/>
    <w:rsid w:val="00A922E5"/>
    <w:rsid w:val="00A92D87"/>
    <w:rsid w:val="00A93284"/>
    <w:rsid w:val="00A93601"/>
    <w:rsid w:val="00A937C5"/>
    <w:rsid w:val="00A93893"/>
    <w:rsid w:val="00A947AA"/>
    <w:rsid w:val="00A94D3C"/>
    <w:rsid w:val="00A94DFD"/>
    <w:rsid w:val="00A953B6"/>
    <w:rsid w:val="00A95848"/>
    <w:rsid w:val="00A95858"/>
    <w:rsid w:val="00A958D6"/>
    <w:rsid w:val="00A95E09"/>
    <w:rsid w:val="00A95E4B"/>
    <w:rsid w:val="00A96205"/>
    <w:rsid w:val="00A9659C"/>
    <w:rsid w:val="00A965CE"/>
    <w:rsid w:val="00A970F3"/>
    <w:rsid w:val="00A974BF"/>
    <w:rsid w:val="00A97705"/>
    <w:rsid w:val="00A97957"/>
    <w:rsid w:val="00A97BDE"/>
    <w:rsid w:val="00AA006E"/>
    <w:rsid w:val="00AA0349"/>
    <w:rsid w:val="00AA0893"/>
    <w:rsid w:val="00AA0E52"/>
    <w:rsid w:val="00AA1111"/>
    <w:rsid w:val="00AA1307"/>
    <w:rsid w:val="00AA244D"/>
    <w:rsid w:val="00AA24B4"/>
    <w:rsid w:val="00AA2983"/>
    <w:rsid w:val="00AA2A22"/>
    <w:rsid w:val="00AA2B53"/>
    <w:rsid w:val="00AA2C6B"/>
    <w:rsid w:val="00AA2FFE"/>
    <w:rsid w:val="00AA3309"/>
    <w:rsid w:val="00AA3731"/>
    <w:rsid w:val="00AA3800"/>
    <w:rsid w:val="00AA4073"/>
    <w:rsid w:val="00AA4658"/>
    <w:rsid w:val="00AA4A16"/>
    <w:rsid w:val="00AA4DC6"/>
    <w:rsid w:val="00AA58A6"/>
    <w:rsid w:val="00AA5EC4"/>
    <w:rsid w:val="00AA6173"/>
    <w:rsid w:val="00AA7C59"/>
    <w:rsid w:val="00AA7F04"/>
    <w:rsid w:val="00AB0134"/>
    <w:rsid w:val="00AB0182"/>
    <w:rsid w:val="00AB081E"/>
    <w:rsid w:val="00AB0DF7"/>
    <w:rsid w:val="00AB0F10"/>
    <w:rsid w:val="00AB1453"/>
    <w:rsid w:val="00AB1538"/>
    <w:rsid w:val="00AB217C"/>
    <w:rsid w:val="00AB29CD"/>
    <w:rsid w:val="00AB2BB1"/>
    <w:rsid w:val="00AB2F0C"/>
    <w:rsid w:val="00AB3650"/>
    <w:rsid w:val="00AB3839"/>
    <w:rsid w:val="00AB4362"/>
    <w:rsid w:val="00AB438B"/>
    <w:rsid w:val="00AB44F8"/>
    <w:rsid w:val="00AB483D"/>
    <w:rsid w:val="00AB525D"/>
    <w:rsid w:val="00AB5288"/>
    <w:rsid w:val="00AB5489"/>
    <w:rsid w:val="00AB620B"/>
    <w:rsid w:val="00AB6843"/>
    <w:rsid w:val="00AB68A6"/>
    <w:rsid w:val="00AB6AAB"/>
    <w:rsid w:val="00AB6CF2"/>
    <w:rsid w:val="00AB6F50"/>
    <w:rsid w:val="00AC03D0"/>
    <w:rsid w:val="00AC0721"/>
    <w:rsid w:val="00AC0AFE"/>
    <w:rsid w:val="00AC14A2"/>
    <w:rsid w:val="00AC1558"/>
    <w:rsid w:val="00AC1851"/>
    <w:rsid w:val="00AC1BFC"/>
    <w:rsid w:val="00AC2162"/>
    <w:rsid w:val="00AC21D3"/>
    <w:rsid w:val="00AC26AE"/>
    <w:rsid w:val="00AC2A35"/>
    <w:rsid w:val="00AC2AF3"/>
    <w:rsid w:val="00AC2B1B"/>
    <w:rsid w:val="00AC2DB2"/>
    <w:rsid w:val="00AC313A"/>
    <w:rsid w:val="00AC327D"/>
    <w:rsid w:val="00AC3656"/>
    <w:rsid w:val="00AC3D96"/>
    <w:rsid w:val="00AC4725"/>
    <w:rsid w:val="00AC4C1C"/>
    <w:rsid w:val="00AC4D4B"/>
    <w:rsid w:val="00AC4E07"/>
    <w:rsid w:val="00AC5116"/>
    <w:rsid w:val="00AC5521"/>
    <w:rsid w:val="00AC5728"/>
    <w:rsid w:val="00AC6022"/>
    <w:rsid w:val="00AC630E"/>
    <w:rsid w:val="00AC6A1A"/>
    <w:rsid w:val="00AC6B55"/>
    <w:rsid w:val="00AC7A4F"/>
    <w:rsid w:val="00AC7D33"/>
    <w:rsid w:val="00AC7E07"/>
    <w:rsid w:val="00AD00F5"/>
    <w:rsid w:val="00AD0217"/>
    <w:rsid w:val="00AD06DA"/>
    <w:rsid w:val="00AD1A63"/>
    <w:rsid w:val="00AD1B87"/>
    <w:rsid w:val="00AD1D0F"/>
    <w:rsid w:val="00AD271A"/>
    <w:rsid w:val="00AD2C1B"/>
    <w:rsid w:val="00AD33F7"/>
    <w:rsid w:val="00AD34DE"/>
    <w:rsid w:val="00AD4353"/>
    <w:rsid w:val="00AD46B3"/>
    <w:rsid w:val="00AD481F"/>
    <w:rsid w:val="00AD5640"/>
    <w:rsid w:val="00AD5C77"/>
    <w:rsid w:val="00AD6032"/>
    <w:rsid w:val="00AD624A"/>
    <w:rsid w:val="00AD62C3"/>
    <w:rsid w:val="00AD6882"/>
    <w:rsid w:val="00AD790E"/>
    <w:rsid w:val="00AD7BA9"/>
    <w:rsid w:val="00AE04ED"/>
    <w:rsid w:val="00AE0C73"/>
    <w:rsid w:val="00AE1410"/>
    <w:rsid w:val="00AE1AAD"/>
    <w:rsid w:val="00AE2515"/>
    <w:rsid w:val="00AE2F48"/>
    <w:rsid w:val="00AE3346"/>
    <w:rsid w:val="00AE39AE"/>
    <w:rsid w:val="00AE3A68"/>
    <w:rsid w:val="00AE3AC2"/>
    <w:rsid w:val="00AE3C08"/>
    <w:rsid w:val="00AE432B"/>
    <w:rsid w:val="00AE4332"/>
    <w:rsid w:val="00AE4364"/>
    <w:rsid w:val="00AE4DF1"/>
    <w:rsid w:val="00AE4FF8"/>
    <w:rsid w:val="00AE5A8D"/>
    <w:rsid w:val="00AE5DD2"/>
    <w:rsid w:val="00AE5EE6"/>
    <w:rsid w:val="00AE6DC2"/>
    <w:rsid w:val="00AE70C8"/>
    <w:rsid w:val="00AE747B"/>
    <w:rsid w:val="00AE76C1"/>
    <w:rsid w:val="00AE7B2C"/>
    <w:rsid w:val="00AE7B8A"/>
    <w:rsid w:val="00AE7D1E"/>
    <w:rsid w:val="00AF04DA"/>
    <w:rsid w:val="00AF07C3"/>
    <w:rsid w:val="00AF0927"/>
    <w:rsid w:val="00AF11E7"/>
    <w:rsid w:val="00AF15F3"/>
    <w:rsid w:val="00AF19BC"/>
    <w:rsid w:val="00AF2251"/>
    <w:rsid w:val="00AF23D6"/>
    <w:rsid w:val="00AF254E"/>
    <w:rsid w:val="00AF26DF"/>
    <w:rsid w:val="00AF2A02"/>
    <w:rsid w:val="00AF4079"/>
    <w:rsid w:val="00AF4C21"/>
    <w:rsid w:val="00AF512C"/>
    <w:rsid w:val="00AF5606"/>
    <w:rsid w:val="00AF594E"/>
    <w:rsid w:val="00AF6430"/>
    <w:rsid w:val="00AF6B35"/>
    <w:rsid w:val="00AF6D54"/>
    <w:rsid w:val="00AF7227"/>
    <w:rsid w:val="00AF72C7"/>
    <w:rsid w:val="00AF72EB"/>
    <w:rsid w:val="00AF7990"/>
    <w:rsid w:val="00AF79A5"/>
    <w:rsid w:val="00AF79D1"/>
    <w:rsid w:val="00AF7F05"/>
    <w:rsid w:val="00B0046A"/>
    <w:rsid w:val="00B00BA5"/>
    <w:rsid w:val="00B00EC0"/>
    <w:rsid w:val="00B0110F"/>
    <w:rsid w:val="00B01196"/>
    <w:rsid w:val="00B01329"/>
    <w:rsid w:val="00B01595"/>
    <w:rsid w:val="00B015DF"/>
    <w:rsid w:val="00B023E2"/>
    <w:rsid w:val="00B02BF5"/>
    <w:rsid w:val="00B02C07"/>
    <w:rsid w:val="00B033B2"/>
    <w:rsid w:val="00B0352E"/>
    <w:rsid w:val="00B03E0C"/>
    <w:rsid w:val="00B0407B"/>
    <w:rsid w:val="00B040AF"/>
    <w:rsid w:val="00B044F5"/>
    <w:rsid w:val="00B04512"/>
    <w:rsid w:val="00B053C3"/>
    <w:rsid w:val="00B054FF"/>
    <w:rsid w:val="00B05612"/>
    <w:rsid w:val="00B059AD"/>
    <w:rsid w:val="00B06511"/>
    <w:rsid w:val="00B07184"/>
    <w:rsid w:val="00B0769D"/>
    <w:rsid w:val="00B07B94"/>
    <w:rsid w:val="00B07C73"/>
    <w:rsid w:val="00B07D86"/>
    <w:rsid w:val="00B10109"/>
    <w:rsid w:val="00B102DD"/>
    <w:rsid w:val="00B10407"/>
    <w:rsid w:val="00B1044B"/>
    <w:rsid w:val="00B104F3"/>
    <w:rsid w:val="00B10674"/>
    <w:rsid w:val="00B1079D"/>
    <w:rsid w:val="00B10AD9"/>
    <w:rsid w:val="00B10AF4"/>
    <w:rsid w:val="00B10D47"/>
    <w:rsid w:val="00B10ED0"/>
    <w:rsid w:val="00B10F11"/>
    <w:rsid w:val="00B10F13"/>
    <w:rsid w:val="00B11037"/>
    <w:rsid w:val="00B1105A"/>
    <w:rsid w:val="00B11403"/>
    <w:rsid w:val="00B11421"/>
    <w:rsid w:val="00B11519"/>
    <w:rsid w:val="00B11C46"/>
    <w:rsid w:val="00B11CD2"/>
    <w:rsid w:val="00B12303"/>
    <w:rsid w:val="00B123B4"/>
    <w:rsid w:val="00B12826"/>
    <w:rsid w:val="00B12F52"/>
    <w:rsid w:val="00B12FD9"/>
    <w:rsid w:val="00B13064"/>
    <w:rsid w:val="00B13A69"/>
    <w:rsid w:val="00B13DBD"/>
    <w:rsid w:val="00B13EAA"/>
    <w:rsid w:val="00B13FDD"/>
    <w:rsid w:val="00B1433B"/>
    <w:rsid w:val="00B14C6A"/>
    <w:rsid w:val="00B1541C"/>
    <w:rsid w:val="00B158C4"/>
    <w:rsid w:val="00B1642C"/>
    <w:rsid w:val="00B16EF5"/>
    <w:rsid w:val="00B17B5B"/>
    <w:rsid w:val="00B17F5D"/>
    <w:rsid w:val="00B2005E"/>
    <w:rsid w:val="00B20E97"/>
    <w:rsid w:val="00B20EAB"/>
    <w:rsid w:val="00B214ED"/>
    <w:rsid w:val="00B218A3"/>
    <w:rsid w:val="00B219D8"/>
    <w:rsid w:val="00B21C02"/>
    <w:rsid w:val="00B21DC9"/>
    <w:rsid w:val="00B220F7"/>
    <w:rsid w:val="00B2222C"/>
    <w:rsid w:val="00B222AF"/>
    <w:rsid w:val="00B224BD"/>
    <w:rsid w:val="00B227D0"/>
    <w:rsid w:val="00B22A7F"/>
    <w:rsid w:val="00B23489"/>
    <w:rsid w:val="00B234FC"/>
    <w:rsid w:val="00B23A58"/>
    <w:rsid w:val="00B23AA1"/>
    <w:rsid w:val="00B243BA"/>
    <w:rsid w:val="00B2446B"/>
    <w:rsid w:val="00B249F8"/>
    <w:rsid w:val="00B253D8"/>
    <w:rsid w:val="00B25430"/>
    <w:rsid w:val="00B25613"/>
    <w:rsid w:val="00B25F32"/>
    <w:rsid w:val="00B25F84"/>
    <w:rsid w:val="00B269F8"/>
    <w:rsid w:val="00B26A8C"/>
    <w:rsid w:val="00B26B98"/>
    <w:rsid w:val="00B271DB"/>
    <w:rsid w:val="00B27710"/>
    <w:rsid w:val="00B278A9"/>
    <w:rsid w:val="00B30640"/>
    <w:rsid w:val="00B30E2E"/>
    <w:rsid w:val="00B30E70"/>
    <w:rsid w:val="00B30E88"/>
    <w:rsid w:val="00B3179A"/>
    <w:rsid w:val="00B31A80"/>
    <w:rsid w:val="00B31AF7"/>
    <w:rsid w:val="00B31C94"/>
    <w:rsid w:val="00B31D8B"/>
    <w:rsid w:val="00B322E5"/>
    <w:rsid w:val="00B3310C"/>
    <w:rsid w:val="00B3343A"/>
    <w:rsid w:val="00B33A0A"/>
    <w:rsid w:val="00B34096"/>
    <w:rsid w:val="00B342B4"/>
    <w:rsid w:val="00B34880"/>
    <w:rsid w:val="00B34C6B"/>
    <w:rsid w:val="00B35353"/>
    <w:rsid w:val="00B3571A"/>
    <w:rsid w:val="00B359EF"/>
    <w:rsid w:val="00B36898"/>
    <w:rsid w:val="00B36AE4"/>
    <w:rsid w:val="00B36DED"/>
    <w:rsid w:val="00B37764"/>
    <w:rsid w:val="00B37AB1"/>
    <w:rsid w:val="00B37AB2"/>
    <w:rsid w:val="00B400E0"/>
    <w:rsid w:val="00B40DC8"/>
    <w:rsid w:val="00B418C7"/>
    <w:rsid w:val="00B41DAF"/>
    <w:rsid w:val="00B41E61"/>
    <w:rsid w:val="00B425AD"/>
    <w:rsid w:val="00B425DC"/>
    <w:rsid w:val="00B42672"/>
    <w:rsid w:val="00B42D45"/>
    <w:rsid w:val="00B42DA8"/>
    <w:rsid w:val="00B43114"/>
    <w:rsid w:val="00B435D5"/>
    <w:rsid w:val="00B43824"/>
    <w:rsid w:val="00B438DD"/>
    <w:rsid w:val="00B43970"/>
    <w:rsid w:val="00B43FE6"/>
    <w:rsid w:val="00B44122"/>
    <w:rsid w:val="00B441C4"/>
    <w:rsid w:val="00B44999"/>
    <w:rsid w:val="00B44B8A"/>
    <w:rsid w:val="00B45173"/>
    <w:rsid w:val="00B453C1"/>
    <w:rsid w:val="00B457B8"/>
    <w:rsid w:val="00B45823"/>
    <w:rsid w:val="00B45B38"/>
    <w:rsid w:val="00B45C2F"/>
    <w:rsid w:val="00B46245"/>
    <w:rsid w:val="00B4649F"/>
    <w:rsid w:val="00B466CB"/>
    <w:rsid w:val="00B47003"/>
    <w:rsid w:val="00B4750C"/>
    <w:rsid w:val="00B47691"/>
    <w:rsid w:val="00B476BB"/>
    <w:rsid w:val="00B501D7"/>
    <w:rsid w:val="00B50687"/>
    <w:rsid w:val="00B50774"/>
    <w:rsid w:val="00B5097E"/>
    <w:rsid w:val="00B50B58"/>
    <w:rsid w:val="00B50F7B"/>
    <w:rsid w:val="00B510C0"/>
    <w:rsid w:val="00B514E6"/>
    <w:rsid w:val="00B5189B"/>
    <w:rsid w:val="00B51997"/>
    <w:rsid w:val="00B51A74"/>
    <w:rsid w:val="00B51BB0"/>
    <w:rsid w:val="00B5219E"/>
    <w:rsid w:val="00B52298"/>
    <w:rsid w:val="00B5281C"/>
    <w:rsid w:val="00B531C2"/>
    <w:rsid w:val="00B5353A"/>
    <w:rsid w:val="00B535B2"/>
    <w:rsid w:val="00B53E21"/>
    <w:rsid w:val="00B5403E"/>
    <w:rsid w:val="00B542F9"/>
    <w:rsid w:val="00B54791"/>
    <w:rsid w:val="00B55096"/>
    <w:rsid w:val="00B553D3"/>
    <w:rsid w:val="00B556DD"/>
    <w:rsid w:val="00B55A8B"/>
    <w:rsid w:val="00B55A9D"/>
    <w:rsid w:val="00B55C10"/>
    <w:rsid w:val="00B55F4D"/>
    <w:rsid w:val="00B5644D"/>
    <w:rsid w:val="00B564C9"/>
    <w:rsid w:val="00B565C7"/>
    <w:rsid w:val="00B56A75"/>
    <w:rsid w:val="00B56A88"/>
    <w:rsid w:val="00B56CA4"/>
    <w:rsid w:val="00B56FF8"/>
    <w:rsid w:val="00B570D9"/>
    <w:rsid w:val="00B575A2"/>
    <w:rsid w:val="00B57D7F"/>
    <w:rsid w:val="00B6016E"/>
    <w:rsid w:val="00B60232"/>
    <w:rsid w:val="00B6043B"/>
    <w:rsid w:val="00B60676"/>
    <w:rsid w:val="00B6072C"/>
    <w:rsid w:val="00B613FA"/>
    <w:rsid w:val="00B6176E"/>
    <w:rsid w:val="00B61A4E"/>
    <w:rsid w:val="00B61A66"/>
    <w:rsid w:val="00B61AC6"/>
    <w:rsid w:val="00B62EF0"/>
    <w:rsid w:val="00B631B7"/>
    <w:rsid w:val="00B63277"/>
    <w:rsid w:val="00B6329C"/>
    <w:rsid w:val="00B63945"/>
    <w:rsid w:val="00B639F8"/>
    <w:rsid w:val="00B63B9D"/>
    <w:rsid w:val="00B63CF6"/>
    <w:rsid w:val="00B6455A"/>
    <w:rsid w:val="00B64632"/>
    <w:rsid w:val="00B64838"/>
    <w:rsid w:val="00B64BD7"/>
    <w:rsid w:val="00B6561F"/>
    <w:rsid w:val="00B6694A"/>
    <w:rsid w:val="00B66DB8"/>
    <w:rsid w:val="00B67171"/>
    <w:rsid w:val="00B671A1"/>
    <w:rsid w:val="00B67FAA"/>
    <w:rsid w:val="00B7057B"/>
    <w:rsid w:val="00B70E69"/>
    <w:rsid w:val="00B7108B"/>
    <w:rsid w:val="00B71D6A"/>
    <w:rsid w:val="00B7231A"/>
    <w:rsid w:val="00B72C3C"/>
    <w:rsid w:val="00B72D95"/>
    <w:rsid w:val="00B73148"/>
    <w:rsid w:val="00B73175"/>
    <w:rsid w:val="00B733B2"/>
    <w:rsid w:val="00B73CE2"/>
    <w:rsid w:val="00B740FC"/>
    <w:rsid w:val="00B743C2"/>
    <w:rsid w:val="00B744EA"/>
    <w:rsid w:val="00B7466B"/>
    <w:rsid w:val="00B747D6"/>
    <w:rsid w:val="00B74B08"/>
    <w:rsid w:val="00B74B54"/>
    <w:rsid w:val="00B75541"/>
    <w:rsid w:val="00B7558B"/>
    <w:rsid w:val="00B75F4F"/>
    <w:rsid w:val="00B7627F"/>
    <w:rsid w:val="00B76BE4"/>
    <w:rsid w:val="00B770AB"/>
    <w:rsid w:val="00B771C2"/>
    <w:rsid w:val="00B772B0"/>
    <w:rsid w:val="00B77A0E"/>
    <w:rsid w:val="00B77DFC"/>
    <w:rsid w:val="00B80571"/>
    <w:rsid w:val="00B80617"/>
    <w:rsid w:val="00B807BD"/>
    <w:rsid w:val="00B82011"/>
    <w:rsid w:val="00B82330"/>
    <w:rsid w:val="00B82A19"/>
    <w:rsid w:val="00B8338D"/>
    <w:rsid w:val="00B84008"/>
    <w:rsid w:val="00B8442A"/>
    <w:rsid w:val="00B8460E"/>
    <w:rsid w:val="00B84840"/>
    <w:rsid w:val="00B848AF"/>
    <w:rsid w:val="00B84B3E"/>
    <w:rsid w:val="00B84BC0"/>
    <w:rsid w:val="00B84D25"/>
    <w:rsid w:val="00B84FF8"/>
    <w:rsid w:val="00B863C5"/>
    <w:rsid w:val="00B86BA8"/>
    <w:rsid w:val="00B871BC"/>
    <w:rsid w:val="00B8770C"/>
    <w:rsid w:val="00B87A12"/>
    <w:rsid w:val="00B87F6B"/>
    <w:rsid w:val="00B900BB"/>
    <w:rsid w:val="00B9073E"/>
    <w:rsid w:val="00B908A4"/>
    <w:rsid w:val="00B90C6F"/>
    <w:rsid w:val="00B90F2B"/>
    <w:rsid w:val="00B912A2"/>
    <w:rsid w:val="00B91343"/>
    <w:rsid w:val="00B926BE"/>
    <w:rsid w:val="00B9294A"/>
    <w:rsid w:val="00B92ECF"/>
    <w:rsid w:val="00B93462"/>
    <w:rsid w:val="00B937E1"/>
    <w:rsid w:val="00B943DE"/>
    <w:rsid w:val="00B95092"/>
    <w:rsid w:val="00B95095"/>
    <w:rsid w:val="00B9538C"/>
    <w:rsid w:val="00B96437"/>
    <w:rsid w:val="00B96512"/>
    <w:rsid w:val="00B9660A"/>
    <w:rsid w:val="00B96D7B"/>
    <w:rsid w:val="00B97620"/>
    <w:rsid w:val="00B976AA"/>
    <w:rsid w:val="00B976B6"/>
    <w:rsid w:val="00B976D8"/>
    <w:rsid w:val="00B978BC"/>
    <w:rsid w:val="00B97A87"/>
    <w:rsid w:val="00BA0066"/>
    <w:rsid w:val="00BA095D"/>
    <w:rsid w:val="00BA0E07"/>
    <w:rsid w:val="00BA1031"/>
    <w:rsid w:val="00BA11E0"/>
    <w:rsid w:val="00BA1672"/>
    <w:rsid w:val="00BA1DFA"/>
    <w:rsid w:val="00BA2267"/>
    <w:rsid w:val="00BA2E0A"/>
    <w:rsid w:val="00BA2F7E"/>
    <w:rsid w:val="00BA339E"/>
    <w:rsid w:val="00BA3509"/>
    <w:rsid w:val="00BA3E20"/>
    <w:rsid w:val="00BA4AC7"/>
    <w:rsid w:val="00BA4D56"/>
    <w:rsid w:val="00BA56DF"/>
    <w:rsid w:val="00BA5DEF"/>
    <w:rsid w:val="00BA5F67"/>
    <w:rsid w:val="00BA71AA"/>
    <w:rsid w:val="00BA749B"/>
    <w:rsid w:val="00BA75EA"/>
    <w:rsid w:val="00BA793D"/>
    <w:rsid w:val="00BB0021"/>
    <w:rsid w:val="00BB0268"/>
    <w:rsid w:val="00BB0550"/>
    <w:rsid w:val="00BB075B"/>
    <w:rsid w:val="00BB0D2A"/>
    <w:rsid w:val="00BB1176"/>
    <w:rsid w:val="00BB1BBE"/>
    <w:rsid w:val="00BB20E6"/>
    <w:rsid w:val="00BB25DC"/>
    <w:rsid w:val="00BB2748"/>
    <w:rsid w:val="00BB289F"/>
    <w:rsid w:val="00BB2C31"/>
    <w:rsid w:val="00BB43F2"/>
    <w:rsid w:val="00BB4ADF"/>
    <w:rsid w:val="00BB514A"/>
    <w:rsid w:val="00BB54F5"/>
    <w:rsid w:val="00BB6062"/>
    <w:rsid w:val="00BB630E"/>
    <w:rsid w:val="00BB64FB"/>
    <w:rsid w:val="00BB6ADA"/>
    <w:rsid w:val="00BB6C20"/>
    <w:rsid w:val="00BB7052"/>
    <w:rsid w:val="00BB7315"/>
    <w:rsid w:val="00BB735E"/>
    <w:rsid w:val="00BB7662"/>
    <w:rsid w:val="00BB7A69"/>
    <w:rsid w:val="00BC0368"/>
    <w:rsid w:val="00BC05B1"/>
    <w:rsid w:val="00BC0C28"/>
    <w:rsid w:val="00BC1238"/>
    <w:rsid w:val="00BC1A56"/>
    <w:rsid w:val="00BC1C67"/>
    <w:rsid w:val="00BC1E14"/>
    <w:rsid w:val="00BC2040"/>
    <w:rsid w:val="00BC2211"/>
    <w:rsid w:val="00BC2386"/>
    <w:rsid w:val="00BC2929"/>
    <w:rsid w:val="00BC3384"/>
    <w:rsid w:val="00BC3600"/>
    <w:rsid w:val="00BC3951"/>
    <w:rsid w:val="00BC4136"/>
    <w:rsid w:val="00BC4A4B"/>
    <w:rsid w:val="00BC4B11"/>
    <w:rsid w:val="00BC4B67"/>
    <w:rsid w:val="00BC5AEF"/>
    <w:rsid w:val="00BC5AF0"/>
    <w:rsid w:val="00BC64C6"/>
    <w:rsid w:val="00BC69F3"/>
    <w:rsid w:val="00BC6B93"/>
    <w:rsid w:val="00BC6C7A"/>
    <w:rsid w:val="00BC7575"/>
    <w:rsid w:val="00BC76E0"/>
    <w:rsid w:val="00BC7CCB"/>
    <w:rsid w:val="00BC7DB5"/>
    <w:rsid w:val="00BD00CE"/>
    <w:rsid w:val="00BD02D5"/>
    <w:rsid w:val="00BD0807"/>
    <w:rsid w:val="00BD0A50"/>
    <w:rsid w:val="00BD0B1E"/>
    <w:rsid w:val="00BD0B98"/>
    <w:rsid w:val="00BD0F24"/>
    <w:rsid w:val="00BD1438"/>
    <w:rsid w:val="00BD1539"/>
    <w:rsid w:val="00BD16F5"/>
    <w:rsid w:val="00BD1E94"/>
    <w:rsid w:val="00BD22CD"/>
    <w:rsid w:val="00BD2770"/>
    <w:rsid w:val="00BD287A"/>
    <w:rsid w:val="00BD2B85"/>
    <w:rsid w:val="00BD420C"/>
    <w:rsid w:val="00BD4469"/>
    <w:rsid w:val="00BD45F9"/>
    <w:rsid w:val="00BD465B"/>
    <w:rsid w:val="00BD46C7"/>
    <w:rsid w:val="00BD4725"/>
    <w:rsid w:val="00BD48F7"/>
    <w:rsid w:val="00BD4A25"/>
    <w:rsid w:val="00BD52D3"/>
    <w:rsid w:val="00BD52E6"/>
    <w:rsid w:val="00BD5B5C"/>
    <w:rsid w:val="00BD6AF2"/>
    <w:rsid w:val="00BD70B3"/>
    <w:rsid w:val="00BD760D"/>
    <w:rsid w:val="00BD7A32"/>
    <w:rsid w:val="00BD7B39"/>
    <w:rsid w:val="00BD7F7B"/>
    <w:rsid w:val="00BE0194"/>
    <w:rsid w:val="00BE0503"/>
    <w:rsid w:val="00BE110D"/>
    <w:rsid w:val="00BE21DC"/>
    <w:rsid w:val="00BE2AB6"/>
    <w:rsid w:val="00BE3254"/>
    <w:rsid w:val="00BE357B"/>
    <w:rsid w:val="00BE3668"/>
    <w:rsid w:val="00BE3A22"/>
    <w:rsid w:val="00BE3DDE"/>
    <w:rsid w:val="00BE3F4F"/>
    <w:rsid w:val="00BE3F87"/>
    <w:rsid w:val="00BE416E"/>
    <w:rsid w:val="00BE4223"/>
    <w:rsid w:val="00BE471E"/>
    <w:rsid w:val="00BE483A"/>
    <w:rsid w:val="00BE49BD"/>
    <w:rsid w:val="00BE4DA4"/>
    <w:rsid w:val="00BE4F46"/>
    <w:rsid w:val="00BE5278"/>
    <w:rsid w:val="00BE5327"/>
    <w:rsid w:val="00BE5507"/>
    <w:rsid w:val="00BE55CE"/>
    <w:rsid w:val="00BE65C3"/>
    <w:rsid w:val="00BE6B87"/>
    <w:rsid w:val="00BF0115"/>
    <w:rsid w:val="00BF03FE"/>
    <w:rsid w:val="00BF09FD"/>
    <w:rsid w:val="00BF0A06"/>
    <w:rsid w:val="00BF0A6B"/>
    <w:rsid w:val="00BF0FD4"/>
    <w:rsid w:val="00BF1747"/>
    <w:rsid w:val="00BF1EEE"/>
    <w:rsid w:val="00BF2151"/>
    <w:rsid w:val="00BF288E"/>
    <w:rsid w:val="00BF2B04"/>
    <w:rsid w:val="00BF2D26"/>
    <w:rsid w:val="00BF2F4E"/>
    <w:rsid w:val="00BF3B42"/>
    <w:rsid w:val="00BF478F"/>
    <w:rsid w:val="00BF5337"/>
    <w:rsid w:val="00BF57A4"/>
    <w:rsid w:val="00BF5C7D"/>
    <w:rsid w:val="00BF5F8E"/>
    <w:rsid w:val="00BF63E0"/>
    <w:rsid w:val="00BF6831"/>
    <w:rsid w:val="00BF68C7"/>
    <w:rsid w:val="00BF6B7E"/>
    <w:rsid w:val="00BF7575"/>
    <w:rsid w:val="00BF769E"/>
    <w:rsid w:val="00C001D2"/>
    <w:rsid w:val="00C002D4"/>
    <w:rsid w:val="00C00B48"/>
    <w:rsid w:val="00C00D4C"/>
    <w:rsid w:val="00C016BE"/>
    <w:rsid w:val="00C01878"/>
    <w:rsid w:val="00C0194F"/>
    <w:rsid w:val="00C019B1"/>
    <w:rsid w:val="00C01C63"/>
    <w:rsid w:val="00C01DDB"/>
    <w:rsid w:val="00C02322"/>
    <w:rsid w:val="00C0254B"/>
    <w:rsid w:val="00C0280C"/>
    <w:rsid w:val="00C02B47"/>
    <w:rsid w:val="00C02B94"/>
    <w:rsid w:val="00C02D76"/>
    <w:rsid w:val="00C02E94"/>
    <w:rsid w:val="00C02E9E"/>
    <w:rsid w:val="00C02EFF"/>
    <w:rsid w:val="00C031FE"/>
    <w:rsid w:val="00C038A5"/>
    <w:rsid w:val="00C0394F"/>
    <w:rsid w:val="00C039E4"/>
    <w:rsid w:val="00C052B2"/>
    <w:rsid w:val="00C055F4"/>
    <w:rsid w:val="00C06166"/>
    <w:rsid w:val="00C061AD"/>
    <w:rsid w:val="00C062F1"/>
    <w:rsid w:val="00C06565"/>
    <w:rsid w:val="00C0657E"/>
    <w:rsid w:val="00C07073"/>
    <w:rsid w:val="00C07245"/>
    <w:rsid w:val="00C07B0B"/>
    <w:rsid w:val="00C07FBD"/>
    <w:rsid w:val="00C100B7"/>
    <w:rsid w:val="00C102F7"/>
    <w:rsid w:val="00C10543"/>
    <w:rsid w:val="00C10C76"/>
    <w:rsid w:val="00C11080"/>
    <w:rsid w:val="00C1140E"/>
    <w:rsid w:val="00C1141A"/>
    <w:rsid w:val="00C114CD"/>
    <w:rsid w:val="00C1188D"/>
    <w:rsid w:val="00C118E6"/>
    <w:rsid w:val="00C125F1"/>
    <w:rsid w:val="00C13D47"/>
    <w:rsid w:val="00C14A00"/>
    <w:rsid w:val="00C14B28"/>
    <w:rsid w:val="00C14BA9"/>
    <w:rsid w:val="00C14C32"/>
    <w:rsid w:val="00C15BD3"/>
    <w:rsid w:val="00C15E1B"/>
    <w:rsid w:val="00C16664"/>
    <w:rsid w:val="00C1679C"/>
    <w:rsid w:val="00C16AED"/>
    <w:rsid w:val="00C174DC"/>
    <w:rsid w:val="00C1755B"/>
    <w:rsid w:val="00C17E36"/>
    <w:rsid w:val="00C17FF9"/>
    <w:rsid w:val="00C211B9"/>
    <w:rsid w:val="00C221DF"/>
    <w:rsid w:val="00C224B0"/>
    <w:rsid w:val="00C22902"/>
    <w:rsid w:val="00C22D7D"/>
    <w:rsid w:val="00C22E56"/>
    <w:rsid w:val="00C23052"/>
    <w:rsid w:val="00C2344E"/>
    <w:rsid w:val="00C23B68"/>
    <w:rsid w:val="00C23D7F"/>
    <w:rsid w:val="00C23E37"/>
    <w:rsid w:val="00C2499F"/>
    <w:rsid w:val="00C249AA"/>
    <w:rsid w:val="00C249EE"/>
    <w:rsid w:val="00C24BD9"/>
    <w:rsid w:val="00C24F58"/>
    <w:rsid w:val="00C25800"/>
    <w:rsid w:val="00C25AE7"/>
    <w:rsid w:val="00C25AFA"/>
    <w:rsid w:val="00C25B05"/>
    <w:rsid w:val="00C25CA1"/>
    <w:rsid w:val="00C25D43"/>
    <w:rsid w:val="00C26176"/>
    <w:rsid w:val="00C26355"/>
    <w:rsid w:val="00C267DB"/>
    <w:rsid w:val="00C268C0"/>
    <w:rsid w:val="00C26A0D"/>
    <w:rsid w:val="00C26E65"/>
    <w:rsid w:val="00C27626"/>
    <w:rsid w:val="00C27B41"/>
    <w:rsid w:val="00C27D43"/>
    <w:rsid w:val="00C300C4"/>
    <w:rsid w:val="00C3015E"/>
    <w:rsid w:val="00C311F6"/>
    <w:rsid w:val="00C319E6"/>
    <w:rsid w:val="00C31C4D"/>
    <w:rsid w:val="00C31D51"/>
    <w:rsid w:val="00C326A1"/>
    <w:rsid w:val="00C32CFD"/>
    <w:rsid w:val="00C32E16"/>
    <w:rsid w:val="00C32E22"/>
    <w:rsid w:val="00C331FF"/>
    <w:rsid w:val="00C3364D"/>
    <w:rsid w:val="00C337C0"/>
    <w:rsid w:val="00C33C08"/>
    <w:rsid w:val="00C34434"/>
    <w:rsid w:val="00C34B9F"/>
    <w:rsid w:val="00C35025"/>
    <w:rsid w:val="00C3579F"/>
    <w:rsid w:val="00C357A5"/>
    <w:rsid w:val="00C35E7C"/>
    <w:rsid w:val="00C3657B"/>
    <w:rsid w:val="00C36AF8"/>
    <w:rsid w:val="00C36BA8"/>
    <w:rsid w:val="00C36CD9"/>
    <w:rsid w:val="00C37700"/>
    <w:rsid w:val="00C377FD"/>
    <w:rsid w:val="00C37C63"/>
    <w:rsid w:val="00C40027"/>
    <w:rsid w:val="00C40388"/>
    <w:rsid w:val="00C40B47"/>
    <w:rsid w:val="00C416AD"/>
    <w:rsid w:val="00C41F93"/>
    <w:rsid w:val="00C42760"/>
    <w:rsid w:val="00C438C6"/>
    <w:rsid w:val="00C43A74"/>
    <w:rsid w:val="00C43AE5"/>
    <w:rsid w:val="00C43F3E"/>
    <w:rsid w:val="00C4424D"/>
    <w:rsid w:val="00C44299"/>
    <w:rsid w:val="00C44956"/>
    <w:rsid w:val="00C44A62"/>
    <w:rsid w:val="00C44FDA"/>
    <w:rsid w:val="00C45EE2"/>
    <w:rsid w:val="00C467A0"/>
    <w:rsid w:val="00C46A1C"/>
    <w:rsid w:val="00C473CD"/>
    <w:rsid w:val="00C4757E"/>
    <w:rsid w:val="00C477C1"/>
    <w:rsid w:val="00C50887"/>
    <w:rsid w:val="00C50BD6"/>
    <w:rsid w:val="00C50DDA"/>
    <w:rsid w:val="00C50E39"/>
    <w:rsid w:val="00C50E58"/>
    <w:rsid w:val="00C5165D"/>
    <w:rsid w:val="00C51A51"/>
    <w:rsid w:val="00C5211D"/>
    <w:rsid w:val="00C525A4"/>
    <w:rsid w:val="00C52663"/>
    <w:rsid w:val="00C527D8"/>
    <w:rsid w:val="00C5295A"/>
    <w:rsid w:val="00C529D6"/>
    <w:rsid w:val="00C52A1D"/>
    <w:rsid w:val="00C53228"/>
    <w:rsid w:val="00C534E6"/>
    <w:rsid w:val="00C53799"/>
    <w:rsid w:val="00C5424C"/>
    <w:rsid w:val="00C55A22"/>
    <w:rsid w:val="00C55E13"/>
    <w:rsid w:val="00C56A54"/>
    <w:rsid w:val="00C56AAE"/>
    <w:rsid w:val="00C60558"/>
    <w:rsid w:val="00C6078A"/>
    <w:rsid w:val="00C60965"/>
    <w:rsid w:val="00C60972"/>
    <w:rsid w:val="00C6232A"/>
    <w:rsid w:val="00C62B22"/>
    <w:rsid w:val="00C62D9A"/>
    <w:rsid w:val="00C62FB8"/>
    <w:rsid w:val="00C637A9"/>
    <w:rsid w:val="00C63EB2"/>
    <w:rsid w:val="00C64149"/>
    <w:rsid w:val="00C64CEF"/>
    <w:rsid w:val="00C658DE"/>
    <w:rsid w:val="00C65A5F"/>
    <w:rsid w:val="00C65DFD"/>
    <w:rsid w:val="00C661FE"/>
    <w:rsid w:val="00C666C2"/>
    <w:rsid w:val="00C6683C"/>
    <w:rsid w:val="00C669DB"/>
    <w:rsid w:val="00C66B4C"/>
    <w:rsid w:val="00C66D78"/>
    <w:rsid w:val="00C66E49"/>
    <w:rsid w:val="00C672B9"/>
    <w:rsid w:val="00C6741E"/>
    <w:rsid w:val="00C674FC"/>
    <w:rsid w:val="00C67596"/>
    <w:rsid w:val="00C67966"/>
    <w:rsid w:val="00C67B13"/>
    <w:rsid w:val="00C7051F"/>
    <w:rsid w:val="00C70A11"/>
    <w:rsid w:val="00C71378"/>
    <w:rsid w:val="00C71A49"/>
    <w:rsid w:val="00C71E6D"/>
    <w:rsid w:val="00C72698"/>
    <w:rsid w:val="00C728FC"/>
    <w:rsid w:val="00C72B79"/>
    <w:rsid w:val="00C73014"/>
    <w:rsid w:val="00C73601"/>
    <w:rsid w:val="00C73A4C"/>
    <w:rsid w:val="00C73CE7"/>
    <w:rsid w:val="00C73D70"/>
    <w:rsid w:val="00C73E32"/>
    <w:rsid w:val="00C73EB1"/>
    <w:rsid w:val="00C73F68"/>
    <w:rsid w:val="00C74BA5"/>
    <w:rsid w:val="00C75128"/>
    <w:rsid w:val="00C75474"/>
    <w:rsid w:val="00C75B58"/>
    <w:rsid w:val="00C762C8"/>
    <w:rsid w:val="00C766E6"/>
    <w:rsid w:val="00C774AE"/>
    <w:rsid w:val="00C777EA"/>
    <w:rsid w:val="00C779C2"/>
    <w:rsid w:val="00C77BB6"/>
    <w:rsid w:val="00C77E50"/>
    <w:rsid w:val="00C80215"/>
    <w:rsid w:val="00C8137B"/>
    <w:rsid w:val="00C81462"/>
    <w:rsid w:val="00C815CE"/>
    <w:rsid w:val="00C81F8A"/>
    <w:rsid w:val="00C82861"/>
    <w:rsid w:val="00C8292A"/>
    <w:rsid w:val="00C8293E"/>
    <w:rsid w:val="00C82D6B"/>
    <w:rsid w:val="00C82DC8"/>
    <w:rsid w:val="00C8388D"/>
    <w:rsid w:val="00C83B12"/>
    <w:rsid w:val="00C83D95"/>
    <w:rsid w:val="00C83F86"/>
    <w:rsid w:val="00C83FAD"/>
    <w:rsid w:val="00C84BBF"/>
    <w:rsid w:val="00C8590C"/>
    <w:rsid w:val="00C85B7D"/>
    <w:rsid w:val="00C85C51"/>
    <w:rsid w:val="00C85EDD"/>
    <w:rsid w:val="00C85F2B"/>
    <w:rsid w:val="00C86464"/>
    <w:rsid w:val="00C86D78"/>
    <w:rsid w:val="00C86EDD"/>
    <w:rsid w:val="00C86F44"/>
    <w:rsid w:val="00C87173"/>
    <w:rsid w:val="00C87340"/>
    <w:rsid w:val="00C87D81"/>
    <w:rsid w:val="00C900E7"/>
    <w:rsid w:val="00C90779"/>
    <w:rsid w:val="00C911B8"/>
    <w:rsid w:val="00C918CB"/>
    <w:rsid w:val="00C91E58"/>
    <w:rsid w:val="00C922B5"/>
    <w:rsid w:val="00C92658"/>
    <w:rsid w:val="00C9271A"/>
    <w:rsid w:val="00C92BF6"/>
    <w:rsid w:val="00C92F7F"/>
    <w:rsid w:val="00C93173"/>
    <w:rsid w:val="00C93267"/>
    <w:rsid w:val="00C933A1"/>
    <w:rsid w:val="00C933F0"/>
    <w:rsid w:val="00C936CA"/>
    <w:rsid w:val="00C93938"/>
    <w:rsid w:val="00C93B9B"/>
    <w:rsid w:val="00C93CFD"/>
    <w:rsid w:val="00C94CBD"/>
    <w:rsid w:val="00C9582F"/>
    <w:rsid w:val="00C96131"/>
    <w:rsid w:val="00C965F0"/>
    <w:rsid w:val="00C96FD5"/>
    <w:rsid w:val="00C976C4"/>
    <w:rsid w:val="00C9780A"/>
    <w:rsid w:val="00C97AD7"/>
    <w:rsid w:val="00CA0BAD"/>
    <w:rsid w:val="00CA121E"/>
    <w:rsid w:val="00CA15B6"/>
    <w:rsid w:val="00CA2FE9"/>
    <w:rsid w:val="00CA3503"/>
    <w:rsid w:val="00CA4136"/>
    <w:rsid w:val="00CA4AFF"/>
    <w:rsid w:val="00CA4E98"/>
    <w:rsid w:val="00CA509F"/>
    <w:rsid w:val="00CA5AEB"/>
    <w:rsid w:val="00CA5BC4"/>
    <w:rsid w:val="00CA626F"/>
    <w:rsid w:val="00CA6446"/>
    <w:rsid w:val="00CA64DC"/>
    <w:rsid w:val="00CA696A"/>
    <w:rsid w:val="00CA6C74"/>
    <w:rsid w:val="00CA6D1A"/>
    <w:rsid w:val="00CA6F10"/>
    <w:rsid w:val="00CA73A7"/>
    <w:rsid w:val="00CA73F8"/>
    <w:rsid w:val="00CA79E9"/>
    <w:rsid w:val="00CB0394"/>
    <w:rsid w:val="00CB06A7"/>
    <w:rsid w:val="00CB09AA"/>
    <w:rsid w:val="00CB0D88"/>
    <w:rsid w:val="00CB163A"/>
    <w:rsid w:val="00CB1EF1"/>
    <w:rsid w:val="00CB1F66"/>
    <w:rsid w:val="00CB2C99"/>
    <w:rsid w:val="00CB35E0"/>
    <w:rsid w:val="00CB3B39"/>
    <w:rsid w:val="00CB3EDD"/>
    <w:rsid w:val="00CB43D0"/>
    <w:rsid w:val="00CB4970"/>
    <w:rsid w:val="00CB5779"/>
    <w:rsid w:val="00CB5A40"/>
    <w:rsid w:val="00CB5B22"/>
    <w:rsid w:val="00CB5F5C"/>
    <w:rsid w:val="00CB73F6"/>
    <w:rsid w:val="00CB7A6B"/>
    <w:rsid w:val="00CB7EE2"/>
    <w:rsid w:val="00CC04DB"/>
    <w:rsid w:val="00CC0537"/>
    <w:rsid w:val="00CC0729"/>
    <w:rsid w:val="00CC0B8A"/>
    <w:rsid w:val="00CC0D07"/>
    <w:rsid w:val="00CC1FE4"/>
    <w:rsid w:val="00CC23C1"/>
    <w:rsid w:val="00CC2C48"/>
    <w:rsid w:val="00CC2F82"/>
    <w:rsid w:val="00CC3109"/>
    <w:rsid w:val="00CC3248"/>
    <w:rsid w:val="00CC32D6"/>
    <w:rsid w:val="00CC33C9"/>
    <w:rsid w:val="00CC3670"/>
    <w:rsid w:val="00CC4319"/>
    <w:rsid w:val="00CC43FE"/>
    <w:rsid w:val="00CC45E8"/>
    <w:rsid w:val="00CC4A7C"/>
    <w:rsid w:val="00CC4CCD"/>
    <w:rsid w:val="00CC53E1"/>
    <w:rsid w:val="00CC54C3"/>
    <w:rsid w:val="00CC5787"/>
    <w:rsid w:val="00CC57D5"/>
    <w:rsid w:val="00CC60B4"/>
    <w:rsid w:val="00CC654E"/>
    <w:rsid w:val="00CC6AF8"/>
    <w:rsid w:val="00CC6B83"/>
    <w:rsid w:val="00CC6BBF"/>
    <w:rsid w:val="00CC70F2"/>
    <w:rsid w:val="00CC72DF"/>
    <w:rsid w:val="00CC7C76"/>
    <w:rsid w:val="00CD00A1"/>
    <w:rsid w:val="00CD02F5"/>
    <w:rsid w:val="00CD09E3"/>
    <w:rsid w:val="00CD0B31"/>
    <w:rsid w:val="00CD0F92"/>
    <w:rsid w:val="00CD1247"/>
    <w:rsid w:val="00CD171D"/>
    <w:rsid w:val="00CD1919"/>
    <w:rsid w:val="00CD1D50"/>
    <w:rsid w:val="00CD272C"/>
    <w:rsid w:val="00CD33A0"/>
    <w:rsid w:val="00CD4114"/>
    <w:rsid w:val="00CD615F"/>
    <w:rsid w:val="00CD6186"/>
    <w:rsid w:val="00CD65CB"/>
    <w:rsid w:val="00CD6A23"/>
    <w:rsid w:val="00CD6E51"/>
    <w:rsid w:val="00CD6FEE"/>
    <w:rsid w:val="00CD70D5"/>
    <w:rsid w:val="00CD70E3"/>
    <w:rsid w:val="00CD71A9"/>
    <w:rsid w:val="00CD73A3"/>
    <w:rsid w:val="00CD76D5"/>
    <w:rsid w:val="00CD7E24"/>
    <w:rsid w:val="00CD7ED5"/>
    <w:rsid w:val="00CE07E8"/>
    <w:rsid w:val="00CE1098"/>
    <w:rsid w:val="00CE1158"/>
    <w:rsid w:val="00CE138F"/>
    <w:rsid w:val="00CE15DA"/>
    <w:rsid w:val="00CE1656"/>
    <w:rsid w:val="00CE18C2"/>
    <w:rsid w:val="00CE1A8B"/>
    <w:rsid w:val="00CE1CFC"/>
    <w:rsid w:val="00CE1D17"/>
    <w:rsid w:val="00CE1FA3"/>
    <w:rsid w:val="00CE2144"/>
    <w:rsid w:val="00CE21E0"/>
    <w:rsid w:val="00CE2281"/>
    <w:rsid w:val="00CE2C38"/>
    <w:rsid w:val="00CE3095"/>
    <w:rsid w:val="00CE3201"/>
    <w:rsid w:val="00CE35C6"/>
    <w:rsid w:val="00CE3A71"/>
    <w:rsid w:val="00CE3DD0"/>
    <w:rsid w:val="00CE3DD7"/>
    <w:rsid w:val="00CE4797"/>
    <w:rsid w:val="00CE48A9"/>
    <w:rsid w:val="00CE5017"/>
    <w:rsid w:val="00CE54FA"/>
    <w:rsid w:val="00CE57E9"/>
    <w:rsid w:val="00CE5825"/>
    <w:rsid w:val="00CE5E24"/>
    <w:rsid w:val="00CE5F05"/>
    <w:rsid w:val="00CE5F72"/>
    <w:rsid w:val="00CE6242"/>
    <w:rsid w:val="00CE6CA2"/>
    <w:rsid w:val="00CE7545"/>
    <w:rsid w:val="00CE772A"/>
    <w:rsid w:val="00CE7907"/>
    <w:rsid w:val="00CF000B"/>
    <w:rsid w:val="00CF033B"/>
    <w:rsid w:val="00CF077F"/>
    <w:rsid w:val="00CF085E"/>
    <w:rsid w:val="00CF0A06"/>
    <w:rsid w:val="00CF0B83"/>
    <w:rsid w:val="00CF14C3"/>
    <w:rsid w:val="00CF1A28"/>
    <w:rsid w:val="00CF249E"/>
    <w:rsid w:val="00CF2C54"/>
    <w:rsid w:val="00CF2F9D"/>
    <w:rsid w:val="00CF3074"/>
    <w:rsid w:val="00CF3BC3"/>
    <w:rsid w:val="00CF3BE8"/>
    <w:rsid w:val="00CF40AD"/>
    <w:rsid w:val="00CF42E8"/>
    <w:rsid w:val="00CF4332"/>
    <w:rsid w:val="00CF4581"/>
    <w:rsid w:val="00CF46DA"/>
    <w:rsid w:val="00CF491E"/>
    <w:rsid w:val="00CF521F"/>
    <w:rsid w:val="00CF63E6"/>
    <w:rsid w:val="00CF647E"/>
    <w:rsid w:val="00CF64DD"/>
    <w:rsid w:val="00CF67A3"/>
    <w:rsid w:val="00CF6A6A"/>
    <w:rsid w:val="00CF7881"/>
    <w:rsid w:val="00CF7A2C"/>
    <w:rsid w:val="00CF7AF5"/>
    <w:rsid w:val="00D00435"/>
    <w:rsid w:val="00D004B3"/>
    <w:rsid w:val="00D00767"/>
    <w:rsid w:val="00D008F4"/>
    <w:rsid w:val="00D01FBF"/>
    <w:rsid w:val="00D02231"/>
    <w:rsid w:val="00D0264A"/>
    <w:rsid w:val="00D02AC2"/>
    <w:rsid w:val="00D04318"/>
    <w:rsid w:val="00D046B3"/>
    <w:rsid w:val="00D046DD"/>
    <w:rsid w:val="00D046E8"/>
    <w:rsid w:val="00D04864"/>
    <w:rsid w:val="00D04B49"/>
    <w:rsid w:val="00D04C31"/>
    <w:rsid w:val="00D053FF"/>
    <w:rsid w:val="00D05591"/>
    <w:rsid w:val="00D06080"/>
    <w:rsid w:val="00D068A9"/>
    <w:rsid w:val="00D06E40"/>
    <w:rsid w:val="00D07886"/>
    <w:rsid w:val="00D078C3"/>
    <w:rsid w:val="00D078EA"/>
    <w:rsid w:val="00D07EC0"/>
    <w:rsid w:val="00D10A2B"/>
    <w:rsid w:val="00D11386"/>
    <w:rsid w:val="00D115A9"/>
    <w:rsid w:val="00D11BE3"/>
    <w:rsid w:val="00D11C2C"/>
    <w:rsid w:val="00D11C32"/>
    <w:rsid w:val="00D11D39"/>
    <w:rsid w:val="00D11DFA"/>
    <w:rsid w:val="00D12B2D"/>
    <w:rsid w:val="00D12C14"/>
    <w:rsid w:val="00D12C87"/>
    <w:rsid w:val="00D12D47"/>
    <w:rsid w:val="00D13759"/>
    <w:rsid w:val="00D13B2C"/>
    <w:rsid w:val="00D142C8"/>
    <w:rsid w:val="00D1449B"/>
    <w:rsid w:val="00D1454A"/>
    <w:rsid w:val="00D1475A"/>
    <w:rsid w:val="00D14C6F"/>
    <w:rsid w:val="00D15CBA"/>
    <w:rsid w:val="00D161A6"/>
    <w:rsid w:val="00D16356"/>
    <w:rsid w:val="00D17969"/>
    <w:rsid w:val="00D17E34"/>
    <w:rsid w:val="00D17E49"/>
    <w:rsid w:val="00D17EBA"/>
    <w:rsid w:val="00D17F38"/>
    <w:rsid w:val="00D2002E"/>
    <w:rsid w:val="00D2018B"/>
    <w:rsid w:val="00D2023C"/>
    <w:rsid w:val="00D2044D"/>
    <w:rsid w:val="00D20741"/>
    <w:rsid w:val="00D21346"/>
    <w:rsid w:val="00D213DF"/>
    <w:rsid w:val="00D219A8"/>
    <w:rsid w:val="00D21AC8"/>
    <w:rsid w:val="00D21F12"/>
    <w:rsid w:val="00D22045"/>
    <w:rsid w:val="00D22250"/>
    <w:rsid w:val="00D223FD"/>
    <w:rsid w:val="00D22567"/>
    <w:rsid w:val="00D228CF"/>
    <w:rsid w:val="00D22B00"/>
    <w:rsid w:val="00D22B09"/>
    <w:rsid w:val="00D23481"/>
    <w:rsid w:val="00D237F1"/>
    <w:rsid w:val="00D2402B"/>
    <w:rsid w:val="00D24357"/>
    <w:rsid w:val="00D24440"/>
    <w:rsid w:val="00D24711"/>
    <w:rsid w:val="00D2530B"/>
    <w:rsid w:val="00D25AB2"/>
    <w:rsid w:val="00D25E63"/>
    <w:rsid w:val="00D26B2B"/>
    <w:rsid w:val="00D27481"/>
    <w:rsid w:val="00D27598"/>
    <w:rsid w:val="00D2777D"/>
    <w:rsid w:val="00D2794F"/>
    <w:rsid w:val="00D30753"/>
    <w:rsid w:val="00D308C4"/>
    <w:rsid w:val="00D30B54"/>
    <w:rsid w:val="00D30BA0"/>
    <w:rsid w:val="00D30C70"/>
    <w:rsid w:val="00D30FD0"/>
    <w:rsid w:val="00D31680"/>
    <w:rsid w:val="00D317AC"/>
    <w:rsid w:val="00D31913"/>
    <w:rsid w:val="00D31B84"/>
    <w:rsid w:val="00D32166"/>
    <w:rsid w:val="00D32AA1"/>
    <w:rsid w:val="00D32C7C"/>
    <w:rsid w:val="00D3306E"/>
    <w:rsid w:val="00D33230"/>
    <w:rsid w:val="00D3338E"/>
    <w:rsid w:val="00D33F18"/>
    <w:rsid w:val="00D34F9F"/>
    <w:rsid w:val="00D35640"/>
    <w:rsid w:val="00D35C7F"/>
    <w:rsid w:val="00D36656"/>
    <w:rsid w:val="00D36ABD"/>
    <w:rsid w:val="00D3705D"/>
    <w:rsid w:val="00D3775D"/>
    <w:rsid w:val="00D37F5D"/>
    <w:rsid w:val="00D4145C"/>
    <w:rsid w:val="00D414C2"/>
    <w:rsid w:val="00D41BBA"/>
    <w:rsid w:val="00D41DF0"/>
    <w:rsid w:val="00D4234A"/>
    <w:rsid w:val="00D4289E"/>
    <w:rsid w:val="00D43610"/>
    <w:rsid w:val="00D436E7"/>
    <w:rsid w:val="00D43BCB"/>
    <w:rsid w:val="00D4417A"/>
    <w:rsid w:val="00D441B2"/>
    <w:rsid w:val="00D445AA"/>
    <w:rsid w:val="00D44D72"/>
    <w:rsid w:val="00D4508B"/>
    <w:rsid w:val="00D4515B"/>
    <w:rsid w:val="00D457DF"/>
    <w:rsid w:val="00D45940"/>
    <w:rsid w:val="00D45B3F"/>
    <w:rsid w:val="00D46451"/>
    <w:rsid w:val="00D4669A"/>
    <w:rsid w:val="00D479EC"/>
    <w:rsid w:val="00D50163"/>
    <w:rsid w:val="00D502D8"/>
    <w:rsid w:val="00D503A8"/>
    <w:rsid w:val="00D50623"/>
    <w:rsid w:val="00D50A68"/>
    <w:rsid w:val="00D50CB3"/>
    <w:rsid w:val="00D50FFF"/>
    <w:rsid w:val="00D5146E"/>
    <w:rsid w:val="00D514E2"/>
    <w:rsid w:val="00D51726"/>
    <w:rsid w:val="00D5245A"/>
    <w:rsid w:val="00D52679"/>
    <w:rsid w:val="00D52877"/>
    <w:rsid w:val="00D544E6"/>
    <w:rsid w:val="00D54AD1"/>
    <w:rsid w:val="00D54F79"/>
    <w:rsid w:val="00D55111"/>
    <w:rsid w:val="00D556D4"/>
    <w:rsid w:val="00D5654D"/>
    <w:rsid w:val="00D5670B"/>
    <w:rsid w:val="00D56946"/>
    <w:rsid w:val="00D57FD2"/>
    <w:rsid w:val="00D60D22"/>
    <w:rsid w:val="00D60F76"/>
    <w:rsid w:val="00D61078"/>
    <w:rsid w:val="00D61733"/>
    <w:rsid w:val="00D619FD"/>
    <w:rsid w:val="00D61C44"/>
    <w:rsid w:val="00D61F20"/>
    <w:rsid w:val="00D62532"/>
    <w:rsid w:val="00D62706"/>
    <w:rsid w:val="00D62AC4"/>
    <w:rsid w:val="00D630B3"/>
    <w:rsid w:val="00D6336D"/>
    <w:rsid w:val="00D63374"/>
    <w:rsid w:val="00D63FEA"/>
    <w:rsid w:val="00D64428"/>
    <w:rsid w:val="00D654C3"/>
    <w:rsid w:val="00D6557A"/>
    <w:rsid w:val="00D65678"/>
    <w:rsid w:val="00D6619F"/>
    <w:rsid w:val="00D66A95"/>
    <w:rsid w:val="00D66B43"/>
    <w:rsid w:val="00D678B2"/>
    <w:rsid w:val="00D67CD0"/>
    <w:rsid w:val="00D7036C"/>
    <w:rsid w:val="00D704FF"/>
    <w:rsid w:val="00D70C0B"/>
    <w:rsid w:val="00D71062"/>
    <w:rsid w:val="00D71153"/>
    <w:rsid w:val="00D71595"/>
    <w:rsid w:val="00D7162E"/>
    <w:rsid w:val="00D717D9"/>
    <w:rsid w:val="00D71F73"/>
    <w:rsid w:val="00D72826"/>
    <w:rsid w:val="00D7293C"/>
    <w:rsid w:val="00D730E5"/>
    <w:rsid w:val="00D737B6"/>
    <w:rsid w:val="00D738C9"/>
    <w:rsid w:val="00D74CEE"/>
    <w:rsid w:val="00D74F43"/>
    <w:rsid w:val="00D75115"/>
    <w:rsid w:val="00D75225"/>
    <w:rsid w:val="00D754D7"/>
    <w:rsid w:val="00D75705"/>
    <w:rsid w:val="00D758CF"/>
    <w:rsid w:val="00D75D8E"/>
    <w:rsid w:val="00D75EEC"/>
    <w:rsid w:val="00D76585"/>
    <w:rsid w:val="00D77296"/>
    <w:rsid w:val="00D7740D"/>
    <w:rsid w:val="00D776D9"/>
    <w:rsid w:val="00D802CC"/>
    <w:rsid w:val="00D8059F"/>
    <w:rsid w:val="00D805FC"/>
    <w:rsid w:val="00D810E9"/>
    <w:rsid w:val="00D8111F"/>
    <w:rsid w:val="00D81245"/>
    <w:rsid w:val="00D81525"/>
    <w:rsid w:val="00D818B1"/>
    <w:rsid w:val="00D81C8E"/>
    <w:rsid w:val="00D82576"/>
    <w:rsid w:val="00D82E0E"/>
    <w:rsid w:val="00D82F8E"/>
    <w:rsid w:val="00D832E0"/>
    <w:rsid w:val="00D83445"/>
    <w:rsid w:val="00D83CB5"/>
    <w:rsid w:val="00D83E73"/>
    <w:rsid w:val="00D840B9"/>
    <w:rsid w:val="00D842C3"/>
    <w:rsid w:val="00D8482E"/>
    <w:rsid w:val="00D84E7D"/>
    <w:rsid w:val="00D851E4"/>
    <w:rsid w:val="00D8553F"/>
    <w:rsid w:val="00D864B7"/>
    <w:rsid w:val="00D86A17"/>
    <w:rsid w:val="00D86C50"/>
    <w:rsid w:val="00D87410"/>
    <w:rsid w:val="00D877C1"/>
    <w:rsid w:val="00D87B5B"/>
    <w:rsid w:val="00D904C9"/>
    <w:rsid w:val="00D90F1D"/>
    <w:rsid w:val="00D9146F"/>
    <w:rsid w:val="00D9184E"/>
    <w:rsid w:val="00D91893"/>
    <w:rsid w:val="00D91903"/>
    <w:rsid w:val="00D91A26"/>
    <w:rsid w:val="00D91BF6"/>
    <w:rsid w:val="00D91FFB"/>
    <w:rsid w:val="00D925EA"/>
    <w:rsid w:val="00D92C75"/>
    <w:rsid w:val="00D9311F"/>
    <w:rsid w:val="00D932DC"/>
    <w:rsid w:val="00D93736"/>
    <w:rsid w:val="00D94B51"/>
    <w:rsid w:val="00D94BA2"/>
    <w:rsid w:val="00D94D69"/>
    <w:rsid w:val="00D961E7"/>
    <w:rsid w:val="00D96411"/>
    <w:rsid w:val="00D97258"/>
    <w:rsid w:val="00D972FA"/>
    <w:rsid w:val="00D97A9C"/>
    <w:rsid w:val="00D97B37"/>
    <w:rsid w:val="00DA0BD4"/>
    <w:rsid w:val="00DA0EE2"/>
    <w:rsid w:val="00DA1545"/>
    <w:rsid w:val="00DA155F"/>
    <w:rsid w:val="00DA162B"/>
    <w:rsid w:val="00DA1FB4"/>
    <w:rsid w:val="00DA22E6"/>
    <w:rsid w:val="00DA2926"/>
    <w:rsid w:val="00DA30A7"/>
    <w:rsid w:val="00DA3488"/>
    <w:rsid w:val="00DA48A9"/>
    <w:rsid w:val="00DA4F75"/>
    <w:rsid w:val="00DA5433"/>
    <w:rsid w:val="00DA5A02"/>
    <w:rsid w:val="00DA5B2E"/>
    <w:rsid w:val="00DA702D"/>
    <w:rsid w:val="00DA7D21"/>
    <w:rsid w:val="00DB0379"/>
    <w:rsid w:val="00DB0383"/>
    <w:rsid w:val="00DB0AC7"/>
    <w:rsid w:val="00DB0ED4"/>
    <w:rsid w:val="00DB12AA"/>
    <w:rsid w:val="00DB1354"/>
    <w:rsid w:val="00DB172D"/>
    <w:rsid w:val="00DB19D4"/>
    <w:rsid w:val="00DB1AD1"/>
    <w:rsid w:val="00DB1B87"/>
    <w:rsid w:val="00DB1C7B"/>
    <w:rsid w:val="00DB1C9D"/>
    <w:rsid w:val="00DB1D5A"/>
    <w:rsid w:val="00DB1F70"/>
    <w:rsid w:val="00DB264A"/>
    <w:rsid w:val="00DB2898"/>
    <w:rsid w:val="00DB3292"/>
    <w:rsid w:val="00DB32CA"/>
    <w:rsid w:val="00DB398B"/>
    <w:rsid w:val="00DB4235"/>
    <w:rsid w:val="00DB482C"/>
    <w:rsid w:val="00DB4883"/>
    <w:rsid w:val="00DB536D"/>
    <w:rsid w:val="00DB5804"/>
    <w:rsid w:val="00DB5A81"/>
    <w:rsid w:val="00DB5DCD"/>
    <w:rsid w:val="00DB5F9B"/>
    <w:rsid w:val="00DB655C"/>
    <w:rsid w:val="00DB683E"/>
    <w:rsid w:val="00DB7221"/>
    <w:rsid w:val="00DB729F"/>
    <w:rsid w:val="00DB7947"/>
    <w:rsid w:val="00DB79DC"/>
    <w:rsid w:val="00DB7B28"/>
    <w:rsid w:val="00DC01AB"/>
    <w:rsid w:val="00DC0DAF"/>
    <w:rsid w:val="00DC14C7"/>
    <w:rsid w:val="00DC232C"/>
    <w:rsid w:val="00DC25C3"/>
    <w:rsid w:val="00DC28EC"/>
    <w:rsid w:val="00DC2EC6"/>
    <w:rsid w:val="00DC3128"/>
    <w:rsid w:val="00DC44A8"/>
    <w:rsid w:val="00DC45A9"/>
    <w:rsid w:val="00DC476D"/>
    <w:rsid w:val="00DC4C11"/>
    <w:rsid w:val="00DC5193"/>
    <w:rsid w:val="00DC526B"/>
    <w:rsid w:val="00DC57CE"/>
    <w:rsid w:val="00DC59D6"/>
    <w:rsid w:val="00DC5A51"/>
    <w:rsid w:val="00DC689F"/>
    <w:rsid w:val="00DC6E08"/>
    <w:rsid w:val="00DC71D2"/>
    <w:rsid w:val="00DC7506"/>
    <w:rsid w:val="00DC7718"/>
    <w:rsid w:val="00DC79D7"/>
    <w:rsid w:val="00DC7B80"/>
    <w:rsid w:val="00DC7EBD"/>
    <w:rsid w:val="00DD00B3"/>
    <w:rsid w:val="00DD0680"/>
    <w:rsid w:val="00DD0A0A"/>
    <w:rsid w:val="00DD11E4"/>
    <w:rsid w:val="00DD13D0"/>
    <w:rsid w:val="00DD19B9"/>
    <w:rsid w:val="00DD1F3C"/>
    <w:rsid w:val="00DD2021"/>
    <w:rsid w:val="00DD228B"/>
    <w:rsid w:val="00DD25A8"/>
    <w:rsid w:val="00DD295E"/>
    <w:rsid w:val="00DD2C8A"/>
    <w:rsid w:val="00DD30B0"/>
    <w:rsid w:val="00DD3152"/>
    <w:rsid w:val="00DD3182"/>
    <w:rsid w:val="00DD37A0"/>
    <w:rsid w:val="00DD3995"/>
    <w:rsid w:val="00DD3C68"/>
    <w:rsid w:val="00DD41CD"/>
    <w:rsid w:val="00DD4226"/>
    <w:rsid w:val="00DD432C"/>
    <w:rsid w:val="00DD47D6"/>
    <w:rsid w:val="00DD4E0A"/>
    <w:rsid w:val="00DD4E37"/>
    <w:rsid w:val="00DD4EA8"/>
    <w:rsid w:val="00DD4FD3"/>
    <w:rsid w:val="00DD5E63"/>
    <w:rsid w:val="00DD61B9"/>
    <w:rsid w:val="00DD673A"/>
    <w:rsid w:val="00DD67B6"/>
    <w:rsid w:val="00DD688C"/>
    <w:rsid w:val="00DD6CEB"/>
    <w:rsid w:val="00DD6FC5"/>
    <w:rsid w:val="00DD7265"/>
    <w:rsid w:val="00DD730B"/>
    <w:rsid w:val="00DD7461"/>
    <w:rsid w:val="00DD75BF"/>
    <w:rsid w:val="00DD75FA"/>
    <w:rsid w:val="00DE009A"/>
    <w:rsid w:val="00DE0A86"/>
    <w:rsid w:val="00DE181A"/>
    <w:rsid w:val="00DE1CC5"/>
    <w:rsid w:val="00DE2646"/>
    <w:rsid w:val="00DE3577"/>
    <w:rsid w:val="00DE36C2"/>
    <w:rsid w:val="00DE3FC3"/>
    <w:rsid w:val="00DE4C45"/>
    <w:rsid w:val="00DE4E0A"/>
    <w:rsid w:val="00DE52C0"/>
    <w:rsid w:val="00DE576E"/>
    <w:rsid w:val="00DE5A66"/>
    <w:rsid w:val="00DE5B6D"/>
    <w:rsid w:val="00DE5E79"/>
    <w:rsid w:val="00DE5EC9"/>
    <w:rsid w:val="00DE64A8"/>
    <w:rsid w:val="00DE65FC"/>
    <w:rsid w:val="00DE69A6"/>
    <w:rsid w:val="00DE6A02"/>
    <w:rsid w:val="00DE7857"/>
    <w:rsid w:val="00DF032B"/>
    <w:rsid w:val="00DF041D"/>
    <w:rsid w:val="00DF0B54"/>
    <w:rsid w:val="00DF0B61"/>
    <w:rsid w:val="00DF0BCE"/>
    <w:rsid w:val="00DF100A"/>
    <w:rsid w:val="00DF13ED"/>
    <w:rsid w:val="00DF1B56"/>
    <w:rsid w:val="00DF1BC9"/>
    <w:rsid w:val="00DF205E"/>
    <w:rsid w:val="00DF3131"/>
    <w:rsid w:val="00DF381C"/>
    <w:rsid w:val="00DF389D"/>
    <w:rsid w:val="00DF38A9"/>
    <w:rsid w:val="00DF3C8D"/>
    <w:rsid w:val="00DF3DCE"/>
    <w:rsid w:val="00DF4778"/>
    <w:rsid w:val="00DF4C47"/>
    <w:rsid w:val="00DF4CE6"/>
    <w:rsid w:val="00DF4CF7"/>
    <w:rsid w:val="00DF4D76"/>
    <w:rsid w:val="00DF4E9E"/>
    <w:rsid w:val="00DF5163"/>
    <w:rsid w:val="00DF54FA"/>
    <w:rsid w:val="00DF5CE7"/>
    <w:rsid w:val="00DF5EFB"/>
    <w:rsid w:val="00DF5FB2"/>
    <w:rsid w:val="00DF610D"/>
    <w:rsid w:val="00DF65BC"/>
    <w:rsid w:val="00DF675C"/>
    <w:rsid w:val="00DF67C7"/>
    <w:rsid w:val="00DF6B02"/>
    <w:rsid w:val="00DF7263"/>
    <w:rsid w:val="00DF7645"/>
    <w:rsid w:val="00DF7EB7"/>
    <w:rsid w:val="00E001F0"/>
    <w:rsid w:val="00E005CA"/>
    <w:rsid w:val="00E00690"/>
    <w:rsid w:val="00E01396"/>
    <w:rsid w:val="00E020DA"/>
    <w:rsid w:val="00E02D57"/>
    <w:rsid w:val="00E03521"/>
    <w:rsid w:val="00E035FC"/>
    <w:rsid w:val="00E0392A"/>
    <w:rsid w:val="00E03AB1"/>
    <w:rsid w:val="00E03D8B"/>
    <w:rsid w:val="00E04355"/>
    <w:rsid w:val="00E04472"/>
    <w:rsid w:val="00E049A5"/>
    <w:rsid w:val="00E054E7"/>
    <w:rsid w:val="00E05977"/>
    <w:rsid w:val="00E05ABD"/>
    <w:rsid w:val="00E05B71"/>
    <w:rsid w:val="00E06131"/>
    <w:rsid w:val="00E062C6"/>
    <w:rsid w:val="00E0644E"/>
    <w:rsid w:val="00E075CC"/>
    <w:rsid w:val="00E07720"/>
    <w:rsid w:val="00E078E3"/>
    <w:rsid w:val="00E07F89"/>
    <w:rsid w:val="00E101C3"/>
    <w:rsid w:val="00E105AE"/>
    <w:rsid w:val="00E106E8"/>
    <w:rsid w:val="00E1075E"/>
    <w:rsid w:val="00E10A13"/>
    <w:rsid w:val="00E10C6A"/>
    <w:rsid w:val="00E10ED6"/>
    <w:rsid w:val="00E1117A"/>
    <w:rsid w:val="00E11502"/>
    <w:rsid w:val="00E1206A"/>
    <w:rsid w:val="00E12634"/>
    <w:rsid w:val="00E129CA"/>
    <w:rsid w:val="00E12DDE"/>
    <w:rsid w:val="00E1310B"/>
    <w:rsid w:val="00E133C1"/>
    <w:rsid w:val="00E13ADF"/>
    <w:rsid w:val="00E13BE6"/>
    <w:rsid w:val="00E13DD3"/>
    <w:rsid w:val="00E141AE"/>
    <w:rsid w:val="00E14393"/>
    <w:rsid w:val="00E14734"/>
    <w:rsid w:val="00E14CB1"/>
    <w:rsid w:val="00E15341"/>
    <w:rsid w:val="00E158DA"/>
    <w:rsid w:val="00E15A12"/>
    <w:rsid w:val="00E15AA4"/>
    <w:rsid w:val="00E16206"/>
    <w:rsid w:val="00E16462"/>
    <w:rsid w:val="00E16E5C"/>
    <w:rsid w:val="00E16FCB"/>
    <w:rsid w:val="00E17C59"/>
    <w:rsid w:val="00E17ED0"/>
    <w:rsid w:val="00E17FAC"/>
    <w:rsid w:val="00E202FD"/>
    <w:rsid w:val="00E20567"/>
    <w:rsid w:val="00E20802"/>
    <w:rsid w:val="00E212AB"/>
    <w:rsid w:val="00E21E50"/>
    <w:rsid w:val="00E22CC1"/>
    <w:rsid w:val="00E22D62"/>
    <w:rsid w:val="00E22FD0"/>
    <w:rsid w:val="00E24190"/>
    <w:rsid w:val="00E24568"/>
    <w:rsid w:val="00E246A4"/>
    <w:rsid w:val="00E248A8"/>
    <w:rsid w:val="00E24A67"/>
    <w:rsid w:val="00E251E7"/>
    <w:rsid w:val="00E25261"/>
    <w:rsid w:val="00E2579C"/>
    <w:rsid w:val="00E259D4"/>
    <w:rsid w:val="00E25C5B"/>
    <w:rsid w:val="00E26810"/>
    <w:rsid w:val="00E27E3D"/>
    <w:rsid w:val="00E27F0B"/>
    <w:rsid w:val="00E27FB5"/>
    <w:rsid w:val="00E30291"/>
    <w:rsid w:val="00E30294"/>
    <w:rsid w:val="00E3073D"/>
    <w:rsid w:val="00E315DC"/>
    <w:rsid w:val="00E31B8D"/>
    <w:rsid w:val="00E31F9C"/>
    <w:rsid w:val="00E3203B"/>
    <w:rsid w:val="00E321CE"/>
    <w:rsid w:val="00E32AAB"/>
    <w:rsid w:val="00E32C03"/>
    <w:rsid w:val="00E32D45"/>
    <w:rsid w:val="00E33C85"/>
    <w:rsid w:val="00E33DA7"/>
    <w:rsid w:val="00E343A5"/>
    <w:rsid w:val="00E34DA1"/>
    <w:rsid w:val="00E34EB6"/>
    <w:rsid w:val="00E354A6"/>
    <w:rsid w:val="00E35A9A"/>
    <w:rsid w:val="00E35AD7"/>
    <w:rsid w:val="00E35F3E"/>
    <w:rsid w:val="00E369CC"/>
    <w:rsid w:val="00E36AC2"/>
    <w:rsid w:val="00E37205"/>
    <w:rsid w:val="00E37301"/>
    <w:rsid w:val="00E373DD"/>
    <w:rsid w:val="00E376F5"/>
    <w:rsid w:val="00E37764"/>
    <w:rsid w:val="00E40A69"/>
    <w:rsid w:val="00E40FD1"/>
    <w:rsid w:val="00E40FDE"/>
    <w:rsid w:val="00E41E54"/>
    <w:rsid w:val="00E42292"/>
    <w:rsid w:val="00E428D3"/>
    <w:rsid w:val="00E43077"/>
    <w:rsid w:val="00E43246"/>
    <w:rsid w:val="00E43BD6"/>
    <w:rsid w:val="00E43E69"/>
    <w:rsid w:val="00E44049"/>
    <w:rsid w:val="00E44094"/>
    <w:rsid w:val="00E4411D"/>
    <w:rsid w:val="00E444CB"/>
    <w:rsid w:val="00E44806"/>
    <w:rsid w:val="00E44BB7"/>
    <w:rsid w:val="00E45085"/>
    <w:rsid w:val="00E4548F"/>
    <w:rsid w:val="00E45E03"/>
    <w:rsid w:val="00E45F11"/>
    <w:rsid w:val="00E46241"/>
    <w:rsid w:val="00E4637B"/>
    <w:rsid w:val="00E4687C"/>
    <w:rsid w:val="00E46C62"/>
    <w:rsid w:val="00E47075"/>
    <w:rsid w:val="00E47401"/>
    <w:rsid w:val="00E47CD9"/>
    <w:rsid w:val="00E47DBB"/>
    <w:rsid w:val="00E51948"/>
    <w:rsid w:val="00E5197A"/>
    <w:rsid w:val="00E51B4E"/>
    <w:rsid w:val="00E51CC3"/>
    <w:rsid w:val="00E521FE"/>
    <w:rsid w:val="00E5255A"/>
    <w:rsid w:val="00E52C0B"/>
    <w:rsid w:val="00E530A4"/>
    <w:rsid w:val="00E537C7"/>
    <w:rsid w:val="00E5412F"/>
    <w:rsid w:val="00E54663"/>
    <w:rsid w:val="00E55071"/>
    <w:rsid w:val="00E551C9"/>
    <w:rsid w:val="00E56318"/>
    <w:rsid w:val="00E56400"/>
    <w:rsid w:val="00E566F0"/>
    <w:rsid w:val="00E56E27"/>
    <w:rsid w:val="00E56EF1"/>
    <w:rsid w:val="00E56F93"/>
    <w:rsid w:val="00E57329"/>
    <w:rsid w:val="00E57D84"/>
    <w:rsid w:val="00E57E44"/>
    <w:rsid w:val="00E57FDB"/>
    <w:rsid w:val="00E60085"/>
    <w:rsid w:val="00E600B1"/>
    <w:rsid w:val="00E603A7"/>
    <w:rsid w:val="00E604CE"/>
    <w:rsid w:val="00E60655"/>
    <w:rsid w:val="00E60AB7"/>
    <w:rsid w:val="00E60D77"/>
    <w:rsid w:val="00E60F06"/>
    <w:rsid w:val="00E615F1"/>
    <w:rsid w:val="00E617D2"/>
    <w:rsid w:val="00E62904"/>
    <w:rsid w:val="00E631BC"/>
    <w:rsid w:val="00E637B0"/>
    <w:rsid w:val="00E639B1"/>
    <w:rsid w:val="00E63A13"/>
    <w:rsid w:val="00E63CBC"/>
    <w:rsid w:val="00E63D37"/>
    <w:rsid w:val="00E65261"/>
    <w:rsid w:val="00E65283"/>
    <w:rsid w:val="00E655B6"/>
    <w:rsid w:val="00E65800"/>
    <w:rsid w:val="00E65BCC"/>
    <w:rsid w:val="00E665CA"/>
    <w:rsid w:val="00E66CDA"/>
    <w:rsid w:val="00E6756C"/>
    <w:rsid w:val="00E67A58"/>
    <w:rsid w:val="00E7055A"/>
    <w:rsid w:val="00E70C0F"/>
    <w:rsid w:val="00E70CD3"/>
    <w:rsid w:val="00E70E21"/>
    <w:rsid w:val="00E7127C"/>
    <w:rsid w:val="00E712B1"/>
    <w:rsid w:val="00E713EE"/>
    <w:rsid w:val="00E71542"/>
    <w:rsid w:val="00E71695"/>
    <w:rsid w:val="00E7186F"/>
    <w:rsid w:val="00E719BA"/>
    <w:rsid w:val="00E71C96"/>
    <w:rsid w:val="00E71D87"/>
    <w:rsid w:val="00E71DDE"/>
    <w:rsid w:val="00E7231B"/>
    <w:rsid w:val="00E72563"/>
    <w:rsid w:val="00E72AB9"/>
    <w:rsid w:val="00E72B40"/>
    <w:rsid w:val="00E72F46"/>
    <w:rsid w:val="00E73565"/>
    <w:rsid w:val="00E739F8"/>
    <w:rsid w:val="00E73B36"/>
    <w:rsid w:val="00E746C6"/>
    <w:rsid w:val="00E74954"/>
    <w:rsid w:val="00E751C8"/>
    <w:rsid w:val="00E751CD"/>
    <w:rsid w:val="00E753AE"/>
    <w:rsid w:val="00E755BE"/>
    <w:rsid w:val="00E756AD"/>
    <w:rsid w:val="00E7623F"/>
    <w:rsid w:val="00E7738A"/>
    <w:rsid w:val="00E778D4"/>
    <w:rsid w:val="00E77B55"/>
    <w:rsid w:val="00E77D82"/>
    <w:rsid w:val="00E80113"/>
    <w:rsid w:val="00E80122"/>
    <w:rsid w:val="00E802BD"/>
    <w:rsid w:val="00E80798"/>
    <w:rsid w:val="00E80BF2"/>
    <w:rsid w:val="00E8168F"/>
    <w:rsid w:val="00E82914"/>
    <w:rsid w:val="00E829D2"/>
    <w:rsid w:val="00E82D27"/>
    <w:rsid w:val="00E82EFF"/>
    <w:rsid w:val="00E833EE"/>
    <w:rsid w:val="00E837C1"/>
    <w:rsid w:val="00E84265"/>
    <w:rsid w:val="00E84318"/>
    <w:rsid w:val="00E845A9"/>
    <w:rsid w:val="00E84651"/>
    <w:rsid w:val="00E8466C"/>
    <w:rsid w:val="00E84EBB"/>
    <w:rsid w:val="00E85465"/>
    <w:rsid w:val="00E85E21"/>
    <w:rsid w:val="00E86618"/>
    <w:rsid w:val="00E868C2"/>
    <w:rsid w:val="00E868D3"/>
    <w:rsid w:val="00E86FC1"/>
    <w:rsid w:val="00E876B1"/>
    <w:rsid w:val="00E87A0E"/>
    <w:rsid w:val="00E90260"/>
    <w:rsid w:val="00E904FB"/>
    <w:rsid w:val="00E911C5"/>
    <w:rsid w:val="00E91499"/>
    <w:rsid w:val="00E91C23"/>
    <w:rsid w:val="00E9220C"/>
    <w:rsid w:val="00E92E2A"/>
    <w:rsid w:val="00E93A0A"/>
    <w:rsid w:val="00E93D2C"/>
    <w:rsid w:val="00E93E4A"/>
    <w:rsid w:val="00E94042"/>
    <w:rsid w:val="00E9476E"/>
    <w:rsid w:val="00E947F5"/>
    <w:rsid w:val="00E948D9"/>
    <w:rsid w:val="00E950F8"/>
    <w:rsid w:val="00E953DF"/>
    <w:rsid w:val="00E95736"/>
    <w:rsid w:val="00E95F43"/>
    <w:rsid w:val="00E95F57"/>
    <w:rsid w:val="00E96FD3"/>
    <w:rsid w:val="00E97491"/>
    <w:rsid w:val="00E97D70"/>
    <w:rsid w:val="00EA0441"/>
    <w:rsid w:val="00EA1349"/>
    <w:rsid w:val="00EA213B"/>
    <w:rsid w:val="00EA2774"/>
    <w:rsid w:val="00EA4011"/>
    <w:rsid w:val="00EA4351"/>
    <w:rsid w:val="00EA447C"/>
    <w:rsid w:val="00EA45DC"/>
    <w:rsid w:val="00EA45FD"/>
    <w:rsid w:val="00EA462D"/>
    <w:rsid w:val="00EA4680"/>
    <w:rsid w:val="00EA46A6"/>
    <w:rsid w:val="00EA4A6F"/>
    <w:rsid w:val="00EA4C42"/>
    <w:rsid w:val="00EA5A96"/>
    <w:rsid w:val="00EA6763"/>
    <w:rsid w:val="00EA6CD5"/>
    <w:rsid w:val="00EA71EC"/>
    <w:rsid w:val="00EA7748"/>
    <w:rsid w:val="00EA7800"/>
    <w:rsid w:val="00EA7C19"/>
    <w:rsid w:val="00EB0052"/>
    <w:rsid w:val="00EB00C4"/>
    <w:rsid w:val="00EB08C5"/>
    <w:rsid w:val="00EB0E28"/>
    <w:rsid w:val="00EB1526"/>
    <w:rsid w:val="00EB19EE"/>
    <w:rsid w:val="00EB1C4A"/>
    <w:rsid w:val="00EB1F6B"/>
    <w:rsid w:val="00EB21FA"/>
    <w:rsid w:val="00EB240E"/>
    <w:rsid w:val="00EB3A56"/>
    <w:rsid w:val="00EB3B8B"/>
    <w:rsid w:val="00EB3D0C"/>
    <w:rsid w:val="00EB4388"/>
    <w:rsid w:val="00EB4FE6"/>
    <w:rsid w:val="00EB51E0"/>
    <w:rsid w:val="00EB55C3"/>
    <w:rsid w:val="00EB5776"/>
    <w:rsid w:val="00EB5902"/>
    <w:rsid w:val="00EB5BD3"/>
    <w:rsid w:val="00EB5E4E"/>
    <w:rsid w:val="00EB62A6"/>
    <w:rsid w:val="00EB6806"/>
    <w:rsid w:val="00EB6B13"/>
    <w:rsid w:val="00EB6FEB"/>
    <w:rsid w:val="00EB7460"/>
    <w:rsid w:val="00EB74E7"/>
    <w:rsid w:val="00EB7582"/>
    <w:rsid w:val="00EB7DF5"/>
    <w:rsid w:val="00EC02DC"/>
    <w:rsid w:val="00EC0691"/>
    <w:rsid w:val="00EC08EA"/>
    <w:rsid w:val="00EC0C07"/>
    <w:rsid w:val="00EC11EB"/>
    <w:rsid w:val="00EC13B9"/>
    <w:rsid w:val="00EC1BDA"/>
    <w:rsid w:val="00EC1C10"/>
    <w:rsid w:val="00EC2333"/>
    <w:rsid w:val="00EC2836"/>
    <w:rsid w:val="00EC3119"/>
    <w:rsid w:val="00EC349A"/>
    <w:rsid w:val="00EC3BDD"/>
    <w:rsid w:val="00EC4E6C"/>
    <w:rsid w:val="00EC4F9F"/>
    <w:rsid w:val="00EC521B"/>
    <w:rsid w:val="00EC5600"/>
    <w:rsid w:val="00EC596A"/>
    <w:rsid w:val="00EC5D47"/>
    <w:rsid w:val="00EC5DA6"/>
    <w:rsid w:val="00EC760E"/>
    <w:rsid w:val="00EC7974"/>
    <w:rsid w:val="00EC7DC2"/>
    <w:rsid w:val="00ED0364"/>
    <w:rsid w:val="00ED0409"/>
    <w:rsid w:val="00ED0ADD"/>
    <w:rsid w:val="00ED17C9"/>
    <w:rsid w:val="00ED1E85"/>
    <w:rsid w:val="00ED1E95"/>
    <w:rsid w:val="00ED1E99"/>
    <w:rsid w:val="00ED1FEF"/>
    <w:rsid w:val="00ED22D3"/>
    <w:rsid w:val="00ED2D27"/>
    <w:rsid w:val="00ED38B7"/>
    <w:rsid w:val="00ED421F"/>
    <w:rsid w:val="00ED48EB"/>
    <w:rsid w:val="00ED4B2E"/>
    <w:rsid w:val="00ED4C39"/>
    <w:rsid w:val="00ED4F47"/>
    <w:rsid w:val="00ED533F"/>
    <w:rsid w:val="00ED621C"/>
    <w:rsid w:val="00ED65EB"/>
    <w:rsid w:val="00ED65F4"/>
    <w:rsid w:val="00ED69E0"/>
    <w:rsid w:val="00ED6B00"/>
    <w:rsid w:val="00ED6D7B"/>
    <w:rsid w:val="00ED796A"/>
    <w:rsid w:val="00ED79DC"/>
    <w:rsid w:val="00ED7A91"/>
    <w:rsid w:val="00ED7BDD"/>
    <w:rsid w:val="00ED7CF4"/>
    <w:rsid w:val="00ED7E47"/>
    <w:rsid w:val="00ED7F44"/>
    <w:rsid w:val="00EE00AA"/>
    <w:rsid w:val="00EE05F1"/>
    <w:rsid w:val="00EE0884"/>
    <w:rsid w:val="00EE0C82"/>
    <w:rsid w:val="00EE16F5"/>
    <w:rsid w:val="00EE173E"/>
    <w:rsid w:val="00EE2307"/>
    <w:rsid w:val="00EE2311"/>
    <w:rsid w:val="00EE247A"/>
    <w:rsid w:val="00EE2746"/>
    <w:rsid w:val="00EE2976"/>
    <w:rsid w:val="00EE2A27"/>
    <w:rsid w:val="00EE2B71"/>
    <w:rsid w:val="00EE2CFC"/>
    <w:rsid w:val="00EE2D7C"/>
    <w:rsid w:val="00EE338E"/>
    <w:rsid w:val="00EE3AF1"/>
    <w:rsid w:val="00EE40DC"/>
    <w:rsid w:val="00EE44B8"/>
    <w:rsid w:val="00EE457A"/>
    <w:rsid w:val="00EE4643"/>
    <w:rsid w:val="00EE4B58"/>
    <w:rsid w:val="00EE4B9A"/>
    <w:rsid w:val="00EE5548"/>
    <w:rsid w:val="00EE5B0B"/>
    <w:rsid w:val="00EE62B1"/>
    <w:rsid w:val="00EE679B"/>
    <w:rsid w:val="00EE6D78"/>
    <w:rsid w:val="00EE6F33"/>
    <w:rsid w:val="00EE7AA5"/>
    <w:rsid w:val="00EF002C"/>
    <w:rsid w:val="00EF02E4"/>
    <w:rsid w:val="00EF0AB3"/>
    <w:rsid w:val="00EF10BB"/>
    <w:rsid w:val="00EF1291"/>
    <w:rsid w:val="00EF1784"/>
    <w:rsid w:val="00EF1B88"/>
    <w:rsid w:val="00EF202C"/>
    <w:rsid w:val="00EF2275"/>
    <w:rsid w:val="00EF2BD7"/>
    <w:rsid w:val="00EF2DB2"/>
    <w:rsid w:val="00EF3596"/>
    <w:rsid w:val="00EF3C6C"/>
    <w:rsid w:val="00EF3CC8"/>
    <w:rsid w:val="00EF4445"/>
    <w:rsid w:val="00EF4560"/>
    <w:rsid w:val="00EF4568"/>
    <w:rsid w:val="00EF46F7"/>
    <w:rsid w:val="00EF475B"/>
    <w:rsid w:val="00EF56C3"/>
    <w:rsid w:val="00EF5997"/>
    <w:rsid w:val="00EF5BEF"/>
    <w:rsid w:val="00EF5DC2"/>
    <w:rsid w:val="00EF6339"/>
    <w:rsid w:val="00EF639D"/>
    <w:rsid w:val="00EF6434"/>
    <w:rsid w:val="00EF7072"/>
    <w:rsid w:val="00EF7A7E"/>
    <w:rsid w:val="00EF7C9F"/>
    <w:rsid w:val="00EF7DD9"/>
    <w:rsid w:val="00EF7E34"/>
    <w:rsid w:val="00F00160"/>
    <w:rsid w:val="00F006BE"/>
    <w:rsid w:val="00F008D3"/>
    <w:rsid w:val="00F016AE"/>
    <w:rsid w:val="00F0191E"/>
    <w:rsid w:val="00F01963"/>
    <w:rsid w:val="00F02B32"/>
    <w:rsid w:val="00F02B4E"/>
    <w:rsid w:val="00F03F9E"/>
    <w:rsid w:val="00F03FB0"/>
    <w:rsid w:val="00F04519"/>
    <w:rsid w:val="00F047C9"/>
    <w:rsid w:val="00F05D10"/>
    <w:rsid w:val="00F05E5A"/>
    <w:rsid w:val="00F06944"/>
    <w:rsid w:val="00F07691"/>
    <w:rsid w:val="00F078BF"/>
    <w:rsid w:val="00F07E24"/>
    <w:rsid w:val="00F07F3D"/>
    <w:rsid w:val="00F1060D"/>
    <w:rsid w:val="00F108A4"/>
    <w:rsid w:val="00F110C6"/>
    <w:rsid w:val="00F11FB8"/>
    <w:rsid w:val="00F12099"/>
    <w:rsid w:val="00F124C2"/>
    <w:rsid w:val="00F1257A"/>
    <w:rsid w:val="00F12641"/>
    <w:rsid w:val="00F128CF"/>
    <w:rsid w:val="00F12E4F"/>
    <w:rsid w:val="00F138E0"/>
    <w:rsid w:val="00F13E98"/>
    <w:rsid w:val="00F141DD"/>
    <w:rsid w:val="00F1422F"/>
    <w:rsid w:val="00F142D1"/>
    <w:rsid w:val="00F14845"/>
    <w:rsid w:val="00F14DF1"/>
    <w:rsid w:val="00F152EE"/>
    <w:rsid w:val="00F1582A"/>
    <w:rsid w:val="00F158FA"/>
    <w:rsid w:val="00F15CF0"/>
    <w:rsid w:val="00F1634C"/>
    <w:rsid w:val="00F16AAA"/>
    <w:rsid w:val="00F16B38"/>
    <w:rsid w:val="00F177DE"/>
    <w:rsid w:val="00F17EB0"/>
    <w:rsid w:val="00F17EEB"/>
    <w:rsid w:val="00F200E2"/>
    <w:rsid w:val="00F203C7"/>
    <w:rsid w:val="00F2078A"/>
    <w:rsid w:val="00F20AC3"/>
    <w:rsid w:val="00F20DAE"/>
    <w:rsid w:val="00F21DBA"/>
    <w:rsid w:val="00F22164"/>
    <w:rsid w:val="00F221F6"/>
    <w:rsid w:val="00F22C46"/>
    <w:rsid w:val="00F2336B"/>
    <w:rsid w:val="00F2359E"/>
    <w:rsid w:val="00F23B74"/>
    <w:rsid w:val="00F23BC4"/>
    <w:rsid w:val="00F23C4F"/>
    <w:rsid w:val="00F23D40"/>
    <w:rsid w:val="00F23DCD"/>
    <w:rsid w:val="00F23DED"/>
    <w:rsid w:val="00F242DE"/>
    <w:rsid w:val="00F24A36"/>
    <w:rsid w:val="00F24B27"/>
    <w:rsid w:val="00F25051"/>
    <w:rsid w:val="00F251E6"/>
    <w:rsid w:val="00F25D91"/>
    <w:rsid w:val="00F26037"/>
    <w:rsid w:val="00F261A0"/>
    <w:rsid w:val="00F266E2"/>
    <w:rsid w:val="00F26B9E"/>
    <w:rsid w:val="00F26C49"/>
    <w:rsid w:val="00F26F4F"/>
    <w:rsid w:val="00F27578"/>
    <w:rsid w:val="00F27C83"/>
    <w:rsid w:val="00F30300"/>
    <w:rsid w:val="00F3030F"/>
    <w:rsid w:val="00F304AD"/>
    <w:rsid w:val="00F3088E"/>
    <w:rsid w:val="00F30D56"/>
    <w:rsid w:val="00F31393"/>
    <w:rsid w:val="00F313A1"/>
    <w:rsid w:val="00F3142E"/>
    <w:rsid w:val="00F31444"/>
    <w:rsid w:val="00F31D39"/>
    <w:rsid w:val="00F320CB"/>
    <w:rsid w:val="00F32259"/>
    <w:rsid w:val="00F32574"/>
    <w:rsid w:val="00F3275C"/>
    <w:rsid w:val="00F328AF"/>
    <w:rsid w:val="00F32B29"/>
    <w:rsid w:val="00F32E1A"/>
    <w:rsid w:val="00F32F86"/>
    <w:rsid w:val="00F330D7"/>
    <w:rsid w:val="00F33CF3"/>
    <w:rsid w:val="00F33F17"/>
    <w:rsid w:val="00F3515D"/>
    <w:rsid w:val="00F35A6A"/>
    <w:rsid w:val="00F35E6B"/>
    <w:rsid w:val="00F36012"/>
    <w:rsid w:val="00F3726C"/>
    <w:rsid w:val="00F40244"/>
    <w:rsid w:val="00F40274"/>
    <w:rsid w:val="00F40314"/>
    <w:rsid w:val="00F40551"/>
    <w:rsid w:val="00F40811"/>
    <w:rsid w:val="00F408D3"/>
    <w:rsid w:val="00F40CC6"/>
    <w:rsid w:val="00F4107A"/>
    <w:rsid w:val="00F4159C"/>
    <w:rsid w:val="00F4189F"/>
    <w:rsid w:val="00F418E6"/>
    <w:rsid w:val="00F41EDC"/>
    <w:rsid w:val="00F41F9F"/>
    <w:rsid w:val="00F42381"/>
    <w:rsid w:val="00F42502"/>
    <w:rsid w:val="00F42591"/>
    <w:rsid w:val="00F42ADC"/>
    <w:rsid w:val="00F433C5"/>
    <w:rsid w:val="00F43459"/>
    <w:rsid w:val="00F4362E"/>
    <w:rsid w:val="00F436ED"/>
    <w:rsid w:val="00F43CFA"/>
    <w:rsid w:val="00F44DF1"/>
    <w:rsid w:val="00F45518"/>
    <w:rsid w:val="00F4568F"/>
    <w:rsid w:val="00F45AD1"/>
    <w:rsid w:val="00F45C21"/>
    <w:rsid w:val="00F4665C"/>
    <w:rsid w:val="00F4669A"/>
    <w:rsid w:val="00F46BF0"/>
    <w:rsid w:val="00F4710F"/>
    <w:rsid w:val="00F4723C"/>
    <w:rsid w:val="00F4731A"/>
    <w:rsid w:val="00F475EA"/>
    <w:rsid w:val="00F47A89"/>
    <w:rsid w:val="00F47DDA"/>
    <w:rsid w:val="00F50359"/>
    <w:rsid w:val="00F514D2"/>
    <w:rsid w:val="00F51C75"/>
    <w:rsid w:val="00F51D0F"/>
    <w:rsid w:val="00F51FD9"/>
    <w:rsid w:val="00F528D2"/>
    <w:rsid w:val="00F52A79"/>
    <w:rsid w:val="00F52BC9"/>
    <w:rsid w:val="00F53398"/>
    <w:rsid w:val="00F548BE"/>
    <w:rsid w:val="00F55E26"/>
    <w:rsid w:val="00F55FA1"/>
    <w:rsid w:val="00F56299"/>
    <w:rsid w:val="00F568C9"/>
    <w:rsid w:val="00F56C27"/>
    <w:rsid w:val="00F56F6C"/>
    <w:rsid w:val="00F57BC8"/>
    <w:rsid w:val="00F57F3E"/>
    <w:rsid w:val="00F60118"/>
    <w:rsid w:val="00F603DE"/>
    <w:rsid w:val="00F605AA"/>
    <w:rsid w:val="00F607E0"/>
    <w:rsid w:val="00F6093C"/>
    <w:rsid w:val="00F60E17"/>
    <w:rsid w:val="00F61BC3"/>
    <w:rsid w:val="00F6248E"/>
    <w:rsid w:val="00F62530"/>
    <w:rsid w:val="00F62FC4"/>
    <w:rsid w:val="00F6368D"/>
    <w:rsid w:val="00F63736"/>
    <w:rsid w:val="00F63B11"/>
    <w:rsid w:val="00F6404F"/>
    <w:rsid w:val="00F64170"/>
    <w:rsid w:val="00F644AB"/>
    <w:rsid w:val="00F647D4"/>
    <w:rsid w:val="00F64849"/>
    <w:rsid w:val="00F648A9"/>
    <w:rsid w:val="00F64B2C"/>
    <w:rsid w:val="00F655DD"/>
    <w:rsid w:val="00F66B12"/>
    <w:rsid w:val="00F679B4"/>
    <w:rsid w:val="00F70364"/>
    <w:rsid w:val="00F7075D"/>
    <w:rsid w:val="00F709AE"/>
    <w:rsid w:val="00F70CAC"/>
    <w:rsid w:val="00F7131F"/>
    <w:rsid w:val="00F71AA3"/>
    <w:rsid w:val="00F71C7B"/>
    <w:rsid w:val="00F72A4E"/>
    <w:rsid w:val="00F731AE"/>
    <w:rsid w:val="00F73399"/>
    <w:rsid w:val="00F73582"/>
    <w:rsid w:val="00F73696"/>
    <w:rsid w:val="00F73A12"/>
    <w:rsid w:val="00F74112"/>
    <w:rsid w:val="00F74388"/>
    <w:rsid w:val="00F753DA"/>
    <w:rsid w:val="00F75558"/>
    <w:rsid w:val="00F75FCE"/>
    <w:rsid w:val="00F7622B"/>
    <w:rsid w:val="00F76AA5"/>
    <w:rsid w:val="00F76F76"/>
    <w:rsid w:val="00F771C0"/>
    <w:rsid w:val="00F773BE"/>
    <w:rsid w:val="00F7748B"/>
    <w:rsid w:val="00F77867"/>
    <w:rsid w:val="00F77BDA"/>
    <w:rsid w:val="00F80568"/>
    <w:rsid w:val="00F817D3"/>
    <w:rsid w:val="00F82969"/>
    <w:rsid w:val="00F833CB"/>
    <w:rsid w:val="00F83A17"/>
    <w:rsid w:val="00F83AD7"/>
    <w:rsid w:val="00F840F8"/>
    <w:rsid w:val="00F84A5F"/>
    <w:rsid w:val="00F84A69"/>
    <w:rsid w:val="00F84AA3"/>
    <w:rsid w:val="00F84D1E"/>
    <w:rsid w:val="00F84D3F"/>
    <w:rsid w:val="00F84E64"/>
    <w:rsid w:val="00F8509A"/>
    <w:rsid w:val="00F85389"/>
    <w:rsid w:val="00F854DF"/>
    <w:rsid w:val="00F85B5F"/>
    <w:rsid w:val="00F85C18"/>
    <w:rsid w:val="00F86047"/>
    <w:rsid w:val="00F8629E"/>
    <w:rsid w:val="00F86449"/>
    <w:rsid w:val="00F867F6"/>
    <w:rsid w:val="00F87100"/>
    <w:rsid w:val="00F8739E"/>
    <w:rsid w:val="00F87930"/>
    <w:rsid w:val="00F9032E"/>
    <w:rsid w:val="00F903F0"/>
    <w:rsid w:val="00F91237"/>
    <w:rsid w:val="00F91580"/>
    <w:rsid w:val="00F91798"/>
    <w:rsid w:val="00F91BB7"/>
    <w:rsid w:val="00F91D8C"/>
    <w:rsid w:val="00F92254"/>
    <w:rsid w:val="00F92389"/>
    <w:rsid w:val="00F926E2"/>
    <w:rsid w:val="00F929D5"/>
    <w:rsid w:val="00F92CF9"/>
    <w:rsid w:val="00F92DDD"/>
    <w:rsid w:val="00F93504"/>
    <w:rsid w:val="00F9365B"/>
    <w:rsid w:val="00F94808"/>
    <w:rsid w:val="00F94BFB"/>
    <w:rsid w:val="00F94F8B"/>
    <w:rsid w:val="00F957F8"/>
    <w:rsid w:val="00F9589A"/>
    <w:rsid w:val="00F95E63"/>
    <w:rsid w:val="00F9646F"/>
    <w:rsid w:val="00F96898"/>
    <w:rsid w:val="00F96C29"/>
    <w:rsid w:val="00F96ECC"/>
    <w:rsid w:val="00F977FE"/>
    <w:rsid w:val="00F97B0A"/>
    <w:rsid w:val="00F97F1B"/>
    <w:rsid w:val="00FA00F9"/>
    <w:rsid w:val="00FA0313"/>
    <w:rsid w:val="00FA1061"/>
    <w:rsid w:val="00FA110B"/>
    <w:rsid w:val="00FA112C"/>
    <w:rsid w:val="00FA12B8"/>
    <w:rsid w:val="00FA1888"/>
    <w:rsid w:val="00FA24B7"/>
    <w:rsid w:val="00FA26CE"/>
    <w:rsid w:val="00FA30BD"/>
    <w:rsid w:val="00FA3178"/>
    <w:rsid w:val="00FA32FD"/>
    <w:rsid w:val="00FA3406"/>
    <w:rsid w:val="00FA397D"/>
    <w:rsid w:val="00FA41A9"/>
    <w:rsid w:val="00FA423A"/>
    <w:rsid w:val="00FA4758"/>
    <w:rsid w:val="00FA4E91"/>
    <w:rsid w:val="00FA52A1"/>
    <w:rsid w:val="00FA58CD"/>
    <w:rsid w:val="00FA5919"/>
    <w:rsid w:val="00FA59EA"/>
    <w:rsid w:val="00FA5A9B"/>
    <w:rsid w:val="00FA674D"/>
    <w:rsid w:val="00FA6D74"/>
    <w:rsid w:val="00FA7056"/>
    <w:rsid w:val="00FA78B1"/>
    <w:rsid w:val="00FA7C20"/>
    <w:rsid w:val="00FA7CC9"/>
    <w:rsid w:val="00FB14E7"/>
    <w:rsid w:val="00FB1D97"/>
    <w:rsid w:val="00FB22B3"/>
    <w:rsid w:val="00FB2884"/>
    <w:rsid w:val="00FB2B34"/>
    <w:rsid w:val="00FB3289"/>
    <w:rsid w:val="00FB34FE"/>
    <w:rsid w:val="00FB3956"/>
    <w:rsid w:val="00FB3A0D"/>
    <w:rsid w:val="00FB3CEE"/>
    <w:rsid w:val="00FB46ED"/>
    <w:rsid w:val="00FB5318"/>
    <w:rsid w:val="00FB540D"/>
    <w:rsid w:val="00FB588C"/>
    <w:rsid w:val="00FB59A4"/>
    <w:rsid w:val="00FB5BA0"/>
    <w:rsid w:val="00FB67FA"/>
    <w:rsid w:val="00FB69FC"/>
    <w:rsid w:val="00FB6C20"/>
    <w:rsid w:val="00FB7089"/>
    <w:rsid w:val="00FB7171"/>
    <w:rsid w:val="00FB7ED7"/>
    <w:rsid w:val="00FB7EE3"/>
    <w:rsid w:val="00FC006E"/>
    <w:rsid w:val="00FC0FE5"/>
    <w:rsid w:val="00FC137F"/>
    <w:rsid w:val="00FC13BB"/>
    <w:rsid w:val="00FC18E4"/>
    <w:rsid w:val="00FC19C6"/>
    <w:rsid w:val="00FC2E5D"/>
    <w:rsid w:val="00FC32B7"/>
    <w:rsid w:val="00FC342D"/>
    <w:rsid w:val="00FC388A"/>
    <w:rsid w:val="00FC38EF"/>
    <w:rsid w:val="00FC394B"/>
    <w:rsid w:val="00FC3A0E"/>
    <w:rsid w:val="00FC3A32"/>
    <w:rsid w:val="00FC3D20"/>
    <w:rsid w:val="00FC3E23"/>
    <w:rsid w:val="00FC444E"/>
    <w:rsid w:val="00FC4466"/>
    <w:rsid w:val="00FC4FE2"/>
    <w:rsid w:val="00FC5012"/>
    <w:rsid w:val="00FC5115"/>
    <w:rsid w:val="00FC56F5"/>
    <w:rsid w:val="00FC5785"/>
    <w:rsid w:val="00FC57D3"/>
    <w:rsid w:val="00FC60A3"/>
    <w:rsid w:val="00FC65BB"/>
    <w:rsid w:val="00FC7431"/>
    <w:rsid w:val="00FC7A84"/>
    <w:rsid w:val="00FC7D7D"/>
    <w:rsid w:val="00FD0799"/>
    <w:rsid w:val="00FD07EB"/>
    <w:rsid w:val="00FD0803"/>
    <w:rsid w:val="00FD0CFE"/>
    <w:rsid w:val="00FD118F"/>
    <w:rsid w:val="00FD11B3"/>
    <w:rsid w:val="00FD14D8"/>
    <w:rsid w:val="00FD1649"/>
    <w:rsid w:val="00FD19D7"/>
    <w:rsid w:val="00FD274E"/>
    <w:rsid w:val="00FD2807"/>
    <w:rsid w:val="00FD28E1"/>
    <w:rsid w:val="00FD32C3"/>
    <w:rsid w:val="00FD4B97"/>
    <w:rsid w:val="00FD56F5"/>
    <w:rsid w:val="00FD5832"/>
    <w:rsid w:val="00FD594A"/>
    <w:rsid w:val="00FD5B6A"/>
    <w:rsid w:val="00FD5E47"/>
    <w:rsid w:val="00FD6057"/>
    <w:rsid w:val="00FD620E"/>
    <w:rsid w:val="00FD6212"/>
    <w:rsid w:val="00FD66F7"/>
    <w:rsid w:val="00FD6E08"/>
    <w:rsid w:val="00FD6E70"/>
    <w:rsid w:val="00FD7A43"/>
    <w:rsid w:val="00FD7DFA"/>
    <w:rsid w:val="00FE00A9"/>
    <w:rsid w:val="00FE00C5"/>
    <w:rsid w:val="00FE0178"/>
    <w:rsid w:val="00FE01B7"/>
    <w:rsid w:val="00FE028B"/>
    <w:rsid w:val="00FE0C0D"/>
    <w:rsid w:val="00FE17D5"/>
    <w:rsid w:val="00FE1D0C"/>
    <w:rsid w:val="00FE2603"/>
    <w:rsid w:val="00FE261C"/>
    <w:rsid w:val="00FE26C9"/>
    <w:rsid w:val="00FE2858"/>
    <w:rsid w:val="00FE28A0"/>
    <w:rsid w:val="00FE2AA0"/>
    <w:rsid w:val="00FE2F82"/>
    <w:rsid w:val="00FE3201"/>
    <w:rsid w:val="00FE32E7"/>
    <w:rsid w:val="00FE361B"/>
    <w:rsid w:val="00FE40E8"/>
    <w:rsid w:val="00FE475F"/>
    <w:rsid w:val="00FE4F8A"/>
    <w:rsid w:val="00FE51B4"/>
    <w:rsid w:val="00FE581B"/>
    <w:rsid w:val="00FE5E18"/>
    <w:rsid w:val="00FE62B1"/>
    <w:rsid w:val="00FE64BF"/>
    <w:rsid w:val="00FE6869"/>
    <w:rsid w:val="00FF04F2"/>
    <w:rsid w:val="00FF074C"/>
    <w:rsid w:val="00FF0A48"/>
    <w:rsid w:val="00FF0FA6"/>
    <w:rsid w:val="00FF100B"/>
    <w:rsid w:val="00FF16F0"/>
    <w:rsid w:val="00FF186B"/>
    <w:rsid w:val="00FF19D6"/>
    <w:rsid w:val="00FF1AF2"/>
    <w:rsid w:val="00FF2402"/>
    <w:rsid w:val="00FF2A61"/>
    <w:rsid w:val="00FF2E3C"/>
    <w:rsid w:val="00FF40B4"/>
    <w:rsid w:val="00FF4460"/>
    <w:rsid w:val="00FF44D2"/>
    <w:rsid w:val="00FF47F1"/>
    <w:rsid w:val="00FF4E82"/>
    <w:rsid w:val="00FF5244"/>
    <w:rsid w:val="00FF52E0"/>
    <w:rsid w:val="00FF56B5"/>
    <w:rsid w:val="00FF5954"/>
    <w:rsid w:val="00FF5C37"/>
    <w:rsid w:val="00FF60FC"/>
    <w:rsid w:val="00FF614B"/>
    <w:rsid w:val="00FF654F"/>
    <w:rsid w:val="00FF65CE"/>
    <w:rsid w:val="00FF6953"/>
    <w:rsid w:val="00FF6DA7"/>
    <w:rsid w:val="00FF776B"/>
    <w:rsid w:val="039A81FD"/>
    <w:rsid w:val="05B8CA57"/>
    <w:rsid w:val="098916DE"/>
    <w:rsid w:val="0B1AD535"/>
    <w:rsid w:val="0E8AA583"/>
    <w:rsid w:val="1352A051"/>
    <w:rsid w:val="195F0E50"/>
    <w:rsid w:val="19BA0424"/>
    <w:rsid w:val="1A2DB8ED"/>
    <w:rsid w:val="1A5D8353"/>
    <w:rsid w:val="1AF79EBC"/>
    <w:rsid w:val="1B9685BB"/>
    <w:rsid w:val="1BFF4C54"/>
    <w:rsid w:val="1DE126FC"/>
    <w:rsid w:val="1E702B3C"/>
    <w:rsid w:val="1ECAA087"/>
    <w:rsid w:val="23AB632D"/>
    <w:rsid w:val="2400DC4F"/>
    <w:rsid w:val="26CDF7D8"/>
    <w:rsid w:val="2739FC62"/>
    <w:rsid w:val="2FAF2F3B"/>
    <w:rsid w:val="3025E225"/>
    <w:rsid w:val="346485FF"/>
    <w:rsid w:val="34A64D88"/>
    <w:rsid w:val="3A13721D"/>
    <w:rsid w:val="3B676879"/>
    <w:rsid w:val="3C67133A"/>
    <w:rsid w:val="3D00FCBE"/>
    <w:rsid w:val="40F6F7AB"/>
    <w:rsid w:val="4296A86B"/>
    <w:rsid w:val="46830FF0"/>
    <w:rsid w:val="49332BC9"/>
    <w:rsid w:val="4AED5FE6"/>
    <w:rsid w:val="4C490858"/>
    <w:rsid w:val="4E14AC46"/>
    <w:rsid w:val="4E15F12B"/>
    <w:rsid w:val="4F1D366C"/>
    <w:rsid w:val="50A24A28"/>
    <w:rsid w:val="514F1F87"/>
    <w:rsid w:val="516D1CBE"/>
    <w:rsid w:val="51FBD027"/>
    <w:rsid w:val="524858D4"/>
    <w:rsid w:val="53820AE2"/>
    <w:rsid w:val="53DA2FFA"/>
    <w:rsid w:val="575F1DC4"/>
    <w:rsid w:val="58822D17"/>
    <w:rsid w:val="58883380"/>
    <w:rsid w:val="598B94EC"/>
    <w:rsid w:val="5AE62DF6"/>
    <w:rsid w:val="5DDE50F3"/>
    <w:rsid w:val="5FF344FF"/>
    <w:rsid w:val="62F2CCEF"/>
    <w:rsid w:val="6434778F"/>
    <w:rsid w:val="645D7658"/>
    <w:rsid w:val="653E5FD6"/>
    <w:rsid w:val="6ADC2AB2"/>
    <w:rsid w:val="6B3E079A"/>
    <w:rsid w:val="6F64C05D"/>
    <w:rsid w:val="7077C55A"/>
    <w:rsid w:val="73F00171"/>
    <w:rsid w:val="7B136AA1"/>
    <w:rsid w:val="7C897C68"/>
    <w:rsid w:val="7E46FDAD"/>
    <w:rsid w:val="7F6CF9AB"/>
    <w:rsid w:val="7FCB5B73"/>
    <w:rsid w:val="7FE3DEC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656EDD07-0040-4C5C-ADAC-CF6997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link w:val="Ttulo3Car"/>
    <w:uiPriority w:val="9"/>
    <w:unhideWhenUsed/>
    <w:qFormat/>
    <w:rsid w:val="00815358"/>
    <w:pPr>
      <w:widowControl w:val="0"/>
      <w:autoSpaceDE w:val="0"/>
      <w:autoSpaceDN w:val="0"/>
      <w:spacing w:after="0" w:line="240" w:lineRule="auto"/>
      <w:ind w:left="672" w:right="1030"/>
      <w:jc w:val="center"/>
      <w:outlineLvl w:val="2"/>
    </w:pPr>
    <w:rPr>
      <w:rFonts w:eastAsia="Times New Roman"/>
      <w:b/>
      <w:bCs/>
      <w:i/>
      <w:iCs/>
      <w:color w:val="auto"/>
      <w:spacing w:val="0"/>
      <w:lang w:val="es-ES"/>
    </w:rPr>
  </w:style>
  <w:style w:type="paragraph" w:styleId="Ttulo4">
    <w:name w:val="heading 4"/>
    <w:basedOn w:val="Normal"/>
    <w:next w:val="Normal"/>
    <w:link w:val="Ttulo4Car"/>
    <w:uiPriority w:val="9"/>
    <w:semiHidden/>
    <w:unhideWhenUsed/>
    <w:qFormat/>
    <w:rsid w:val="009F7C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qFormat/>
    <w:rsid w:val="007C0383"/>
    <w:pPr>
      <w:tabs>
        <w:tab w:val="left" w:pos="720"/>
        <w:tab w:val="right" w:leader="dot" w:pos="9350"/>
      </w:tabs>
      <w:spacing w:after="100" w:line="360" w:lineRule="auto"/>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customStyle="1" w:styleId="SUBTITULOM">
    <w:name w:val="SUBTITULO M"/>
    <w:basedOn w:val="Normal"/>
    <w:link w:val="SUBTITULOMCar"/>
    <w:autoRedefine/>
    <w:qFormat/>
    <w:rsid w:val="007A0F4F"/>
    <w:pPr>
      <w:keepNext/>
      <w:spacing w:before="240" w:after="60" w:line="360" w:lineRule="auto"/>
      <w:ind w:left="900"/>
      <w:jc w:val="center"/>
      <w:outlineLvl w:val="1"/>
    </w:pPr>
    <w:rPr>
      <w:rFonts w:eastAsia="Calibri"/>
      <w:b/>
      <w:bCs/>
      <w:noProof/>
      <w:spacing w:val="0"/>
      <w:lang w:val="es-DO" w:eastAsia="es-DO"/>
    </w:rPr>
  </w:style>
  <w:style w:type="character" w:customStyle="1" w:styleId="SUBTITULOMCar">
    <w:name w:val="SUBTITULO M Car"/>
    <w:basedOn w:val="Fuentedeprrafopredeter"/>
    <w:link w:val="SUBTITULOM"/>
    <w:rsid w:val="007A0F4F"/>
    <w:rPr>
      <w:rFonts w:eastAsia="Calibri"/>
      <w:b/>
      <w:bCs/>
      <w:noProof/>
      <w:spacing w:val="0"/>
      <w:lang w:val="es-DO" w:eastAsia="es-DO"/>
    </w:rPr>
  </w:style>
  <w:style w:type="paragraph" w:customStyle="1" w:styleId="SUBTITULITO">
    <w:name w:val="SUBTITULITO"/>
    <w:basedOn w:val="Prrafodelista"/>
    <w:link w:val="SUBTITULITOCar"/>
    <w:qFormat/>
    <w:rsid w:val="00023EB3"/>
    <w:pPr>
      <w:keepNext/>
      <w:spacing w:before="360" w:after="60" w:line="360" w:lineRule="auto"/>
      <w:ind w:left="0"/>
      <w:jc w:val="center"/>
      <w:outlineLvl w:val="1"/>
    </w:pPr>
    <w:rPr>
      <w:rFonts w:eastAsia="Times New Roman"/>
      <w:b/>
      <w:bCs/>
      <w:spacing w:val="0"/>
      <w:lang w:val="es-DO"/>
    </w:rPr>
  </w:style>
  <w:style w:type="character" w:customStyle="1" w:styleId="SUBTITULITOCar">
    <w:name w:val="SUBTITULITO Car"/>
    <w:basedOn w:val="Fuentedeprrafopredeter"/>
    <w:link w:val="SUBTITULITO"/>
    <w:rsid w:val="00023EB3"/>
    <w:rPr>
      <w:rFonts w:eastAsia="Times New Roman"/>
      <w:b/>
      <w:bCs/>
      <w:spacing w:val="0"/>
      <w:lang w:val="es-DO"/>
    </w:rPr>
  </w:style>
  <w:style w:type="paragraph" w:styleId="Prrafodelista">
    <w:name w:val="List Paragraph"/>
    <w:aliases w:val="Compomente"/>
    <w:basedOn w:val="Normal"/>
    <w:link w:val="PrrafodelistaCar"/>
    <w:uiPriority w:val="34"/>
    <w:qFormat/>
    <w:rsid w:val="00023EB3"/>
    <w:pPr>
      <w:ind w:left="720"/>
      <w:contextualSpacing/>
    </w:pPr>
  </w:style>
  <w:style w:type="paragraph" w:styleId="TDC2">
    <w:name w:val="toc 2"/>
    <w:basedOn w:val="Normal"/>
    <w:next w:val="Normal"/>
    <w:autoRedefine/>
    <w:uiPriority w:val="39"/>
    <w:unhideWhenUsed/>
    <w:qFormat/>
    <w:rsid w:val="00432E83"/>
    <w:pPr>
      <w:spacing w:after="100"/>
      <w:ind w:left="240"/>
    </w:pPr>
  </w:style>
  <w:style w:type="paragraph" w:styleId="Textoindependiente">
    <w:name w:val="Body Text"/>
    <w:basedOn w:val="Normal"/>
    <w:link w:val="TextoindependienteCar"/>
    <w:uiPriority w:val="1"/>
    <w:qFormat/>
    <w:rsid w:val="00560772"/>
    <w:pPr>
      <w:widowControl w:val="0"/>
      <w:autoSpaceDE w:val="0"/>
      <w:autoSpaceDN w:val="0"/>
      <w:spacing w:after="0" w:line="240" w:lineRule="auto"/>
    </w:pPr>
    <w:rPr>
      <w:rFonts w:eastAsia="Times New Roman"/>
      <w:b/>
      <w:bCs/>
      <w:i/>
      <w:iCs/>
      <w:color w:val="auto"/>
      <w:spacing w:val="0"/>
      <w:sz w:val="56"/>
      <w:szCs w:val="56"/>
      <w:lang w:val="es-ES"/>
    </w:rPr>
  </w:style>
  <w:style w:type="character" w:customStyle="1" w:styleId="TextoindependienteCar">
    <w:name w:val="Texto independiente Car"/>
    <w:basedOn w:val="Fuentedeprrafopredeter"/>
    <w:link w:val="Textoindependiente"/>
    <w:uiPriority w:val="1"/>
    <w:rsid w:val="00560772"/>
    <w:rPr>
      <w:rFonts w:eastAsia="Times New Roman"/>
      <w:b/>
      <w:bCs/>
      <w:i/>
      <w:iCs/>
      <w:color w:val="auto"/>
      <w:spacing w:val="0"/>
      <w:sz w:val="56"/>
      <w:szCs w:val="56"/>
      <w:lang w:val="es-ES"/>
    </w:rPr>
  </w:style>
  <w:style w:type="character" w:styleId="Refdecomentario">
    <w:name w:val="annotation reference"/>
    <w:basedOn w:val="Fuentedeprrafopredeter"/>
    <w:uiPriority w:val="99"/>
    <w:semiHidden/>
    <w:unhideWhenUsed/>
    <w:rsid w:val="007B4AC9"/>
    <w:rPr>
      <w:sz w:val="16"/>
      <w:szCs w:val="16"/>
    </w:rPr>
  </w:style>
  <w:style w:type="paragraph" w:styleId="Textocomentario">
    <w:name w:val="annotation text"/>
    <w:basedOn w:val="Normal"/>
    <w:link w:val="TextocomentarioCar"/>
    <w:uiPriority w:val="99"/>
    <w:unhideWhenUsed/>
    <w:rsid w:val="007B4AC9"/>
    <w:pPr>
      <w:spacing w:line="240" w:lineRule="auto"/>
    </w:pPr>
    <w:rPr>
      <w:sz w:val="20"/>
      <w:szCs w:val="20"/>
    </w:rPr>
  </w:style>
  <w:style w:type="character" w:customStyle="1" w:styleId="TextocomentarioCar">
    <w:name w:val="Texto comentario Car"/>
    <w:basedOn w:val="Fuentedeprrafopredeter"/>
    <w:link w:val="Textocomentario"/>
    <w:uiPriority w:val="99"/>
    <w:rsid w:val="007B4AC9"/>
    <w:rPr>
      <w:sz w:val="20"/>
      <w:szCs w:val="20"/>
    </w:rPr>
  </w:style>
  <w:style w:type="paragraph" w:styleId="Asuntodelcomentario">
    <w:name w:val="annotation subject"/>
    <w:basedOn w:val="Textocomentario"/>
    <w:next w:val="Textocomentario"/>
    <w:link w:val="AsuntodelcomentarioCar"/>
    <w:uiPriority w:val="99"/>
    <w:semiHidden/>
    <w:unhideWhenUsed/>
    <w:rsid w:val="007B4AC9"/>
    <w:rPr>
      <w:b/>
      <w:bCs/>
    </w:rPr>
  </w:style>
  <w:style w:type="character" w:customStyle="1" w:styleId="AsuntodelcomentarioCar">
    <w:name w:val="Asunto del comentario Car"/>
    <w:basedOn w:val="TextocomentarioCar"/>
    <w:link w:val="Asuntodelcomentario"/>
    <w:uiPriority w:val="99"/>
    <w:semiHidden/>
    <w:rsid w:val="007B4AC9"/>
    <w:rPr>
      <w:b/>
      <w:bCs/>
      <w:sz w:val="20"/>
      <w:szCs w:val="20"/>
    </w:rPr>
  </w:style>
  <w:style w:type="character" w:customStyle="1" w:styleId="PrrafodelistaCar">
    <w:name w:val="Párrafo de lista Car"/>
    <w:aliases w:val="Compomente Car"/>
    <w:basedOn w:val="Fuentedeprrafopredeter"/>
    <w:link w:val="Prrafodelista"/>
    <w:uiPriority w:val="34"/>
    <w:locked/>
    <w:rsid w:val="003F5FAA"/>
  </w:style>
  <w:style w:type="character" w:customStyle="1" w:styleId="normaltextrun">
    <w:name w:val="normaltextrun"/>
    <w:basedOn w:val="Fuentedeprrafopredeter"/>
    <w:rsid w:val="003F5FAA"/>
  </w:style>
  <w:style w:type="paragraph" w:customStyle="1" w:styleId="paragraph">
    <w:name w:val="paragraph"/>
    <w:basedOn w:val="Normal"/>
    <w:rsid w:val="003F5FAA"/>
    <w:pPr>
      <w:spacing w:before="100" w:beforeAutospacing="1" w:after="100" w:afterAutospacing="1" w:line="240" w:lineRule="auto"/>
    </w:pPr>
    <w:rPr>
      <w:rFonts w:eastAsia="Times New Roman"/>
      <w:color w:val="auto"/>
      <w:spacing w:val="0"/>
      <w:lang w:val="es-ES" w:eastAsia="es-ES"/>
    </w:rPr>
  </w:style>
  <w:style w:type="paragraph" w:styleId="Descripcin">
    <w:name w:val="caption"/>
    <w:basedOn w:val="Normal"/>
    <w:next w:val="Normal"/>
    <w:uiPriority w:val="35"/>
    <w:unhideWhenUsed/>
    <w:qFormat/>
    <w:rsid w:val="005F2989"/>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647F3C"/>
    <w:pPr>
      <w:spacing w:after="0"/>
    </w:pPr>
  </w:style>
  <w:style w:type="paragraph" w:styleId="NormalWeb">
    <w:name w:val="Normal (Web)"/>
    <w:basedOn w:val="Normal"/>
    <w:uiPriority w:val="99"/>
    <w:unhideWhenUsed/>
    <w:rsid w:val="00B514E6"/>
    <w:pPr>
      <w:spacing w:before="100" w:beforeAutospacing="1" w:after="100" w:afterAutospacing="1" w:line="240" w:lineRule="auto"/>
    </w:pPr>
    <w:rPr>
      <w:rFonts w:eastAsia="Times New Roman"/>
      <w:color w:val="auto"/>
      <w:spacing w:val="0"/>
      <w:lang w:val="es-DO" w:eastAsia="es-DO"/>
    </w:rPr>
  </w:style>
  <w:style w:type="table" w:styleId="Tablaconcuadrcula">
    <w:name w:val="Table Grid"/>
    <w:basedOn w:val="Tablanormal"/>
    <w:uiPriority w:val="59"/>
    <w:rsid w:val="004449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444A01"/>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4A01"/>
    <w:pPr>
      <w:widowControl w:val="0"/>
      <w:autoSpaceDE w:val="0"/>
      <w:autoSpaceDN w:val="0"/>
      <w:spacing w:after="0" w:line="240" w:lineRule="auto"/>
    </w:pPr>
    <w:rPr>
      <w:rFonts w:eastAsia="Times New Roman"/>
      <w:color w:val="auto"/>
      <w:spacing w:val="0"/>
      <w:sz w:val="22"/>
      <w:szCs w:val="22"/>
      <w:lang w:val="es-ES"/>
    </w:rPr>
  </w:style>
  <w:style w:type="character" w:customStyle="1" w:styleId="Ttulo3Car">
    <w:name w:val="Título 3 Car"/>
    <w:basedOn w:val="Fuentedeprrafopredeter"/>
    <w:link w:val="Ttulo3"/>
    <w:uiPriority w:val="9"/>
    <w:rsid w:val="00815358"/>
    <w:rPr>
      <w:rFonts w:eastAsia="Times New Roman"/>
      <w:b/>
      <w:bCs/>
      <w:i/>
      <w:iCs/>
      <w:color w:val="auto"/>
      <w:spacing w:val="0"/>
      <w:lang w:val="es-ES"/>
    </w:rPr>
  </w:style>
  <w:style w:type="paragraph" w:styleId="TDC3">
    <w:name w:val="toc 3"/>
    <w:basedOn w:val="Normal"/>
    <w:uiPriority w:val="1"/>
    <w:qFormat/>
    <w:rsid w:val="00815358"/>
    <w:pPr>
      <w:widowControl w:val="0"/>
      <w:autoSpaceDE w:val="0"/>
      <w:autoSpaceDN w:val="0"/>
      <w:spacing w:before="238" w:after="0" w:line="240" w:lineRule="auto"/>
      <w:ind w:left="941" w:hanging="360"/>
    </w:pPr>
    <w:rPr>
      <w:rFonts w:eastAsia="Times New Roman"/>
      <w:color w:val="auto"/>
      <w:spacing w:val="0"/>
      <w:lang w:val="es-ES"/>
    </w:rPr>
  </w:style>
  <w:style w:type="paragraph" w:styleId="Revisin">
    <w:name w:val="Revision"/>
    <w:hidden/>
    <w:uiPriority w:val="99"/>
    <w:semiHidden/>
    <w:rsid w:val="00815358"/>
    <w:pPr>
      <w:spacing w:after="0" w:line="240" w:lineRule="auto"/>
    </w:pPr>
    <w:rPr>
      <w:rFonts w:eastAsia="Times New Roman"/>
      <w:color w:val="auto"/>
      <w:spacing w:val="0"/>
      <w:sz w:val="22"/>
      <w:szCs w:val="22"/>
      <w:lang w:val="es-ES"/>
    </w:rPr>
  </w:style>
  <w:style w:type="character" w:styleId="Textodelmarcadordeposicin">
    <w:name w:val="Placeholder Text"/>
    <w:basedOn w:val="Fuentedeprrafopredeter"/>
    <w:uiPriority w:val="99"/>
    <w:semiHidden/>
    <w:rsid w:val="00815358"/>
    <w:rPr>
      <w:color w:val="666666"/>
    </w:rPr>
  </w:style>
  <w:style w:type="character" w:styleId="Mencinsinresolver">
    <w:name w:val="Unresolved Mention"/>
    <w:basedOn w:val="Fuentedeprrafopredeter"/>
    <w:uiPriority w:val="99"/>
    <w:semiHidden/>
    <w:unhideWhenUsed/>
    <w:rsid w:val="00B63277"/>
    <w:rPr>
      <w:color w:val="605E5C"/>
      <w:shd w:val="clear" w:color="auto" w:fill="E1DFDD"/>
    </w:rPr>
  </w:style>
  <w:style w:type="character" w:customStyle="1" w:styleId="Ttulo4Car">
    <w:name w:val="Título 4 Car"/>
    <w:basedOn w:val="Fuentedeprrafopredeter"/>
    <w:link w:val="Ttulo4"/>
    <w:uiPriority w:val="9"/>
    <w:semiHidden/>
    <w:rsid w:val="009F7C9C"/>
    <w:rPr>
      <w:rFonts w:asciiTheme="majorHAnsi" w:eastAsiaTheme="majorEastAsia" w:hAnsiTheme="majorHAnsi" w:cstheme="majorBidi"/>
      <w:i/>
      <w:iCs/>
      <w:color w:val="2F5496" w:themeColor="accent1" w:themeShade="BF"/>
    </w:rPr>
  </w:style>
  <w:style w:type="table" w:styleId="Tablanormal3">
    <w:name w:val="Plain Table 3"/>
    <w:basedOn w:val="Tablanormal"/>
    <w:uiPriority w:val="43"/>
    <w:rsid w:val="009F7C9C"/>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
    <w:name w:val="TableGrid"/>
    <w:rsid w:val="007B5BB3"/>
    <w:pPr>
      <w:spacing w:after="0" w:line="240" w:lineRule="auto"/>
    </w:pPr>
    <w:rPr>
      <w:rFonts w:asciiTheme="minorHAnsi" w:eastAsiaTheme="minorEastAsia" w:hAnsiTheme="minorHAnsi" w:cstheme="minorBidi"/>
      <w:color w:val="auto"/>
      <w:spacing w:val="0"/>
      <w:kern w:val="2"/>
      <w:lang w:val="es-DO" w:eastAsia="es-DO"/>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3128">
      <w:marLeft w:val="0"/>
      <w:marRight w:val="0"/>
      <w:marTop w:val="0"/>
      <w:marBottom w:val="0"/>
      <w:divBdr>
        <w:top w:val="none" w:sz="0" w:space="0" w:color="auto"/>
        <w:left w:val="none" w:sz="0" w:space="0" w:color="auto"/>
        <w:bottom w:val="none" w:sz="0" w:space="0" w:color="auto"/>
        <w:right w:val="none" w:sz="0" w:space="0" w:color="auto"/>
      </w:divBdr>
      <w:divsChild>
        <w:div w:id="779296810">
          <w:marLeft w:val="0"/>
          <w:marRight w:val="0"/>
          <w:marTop w:val="0"/>
          <w:marBottom w:val="0"/>
          <w:divBdr>
            <w:top w:val="none" w:sz="0" w:space="0" w:color="auto"/>
            <w:left w:val="none" w:sz="0" w:space="0" w:color="auto"/>
            <w:bottom w:val="none" w:sz="0" w:space="0" w:color="auto"/>
            <w:right w:val="none" w:sz="0" w:space="0" w:color="auto"/>
          </w:divBdr>
        </w:div>
      </w:divsChild>
    </w:div>
    <w:div w:id="184251706">
      <w:marLeft w:val="0"/>
      <w:marRight w:val="0"/>
      <w:marTop w:val="0"/>
      <w:marBottom w:val="0"/>
      <w:divBdr>
        <w:top w:val="none" w:sz="0" w:space="0" w:color="auto"/>
        <w:left w:val="none" w:sz="0" w:space="0" w:color="auto"/>
        <w:bottom w:val="none" w:sz="0" w:space="0" w:color="auto"/>
        <w:right w:val="none" w:sz="0" w:space="0" w:color="auto"/>
      </w:divBdr>
    </w:div>
    <w:div w:id="450251691">
      <w:marLeft w:val="0"/>
      <w:marRight w:val="0"/>
      <w:marTop w:val="0"/>
      <w:marBottom w:val="0"/>
      <w:divBdr>
        <w:top w:val="none" w:sz="0" w:space="0" w:color="auto"/>
        <w:left w:val="none" w:sz="0" w:space="0" w:color="auto"/>
        <w:bottom w:val="none" w:sz="0" w:space="0" w:color="auto"/>
        <w:right w:val="none" w:sz="0" w:space="0" w:color="auto"/>
      </w:divBdr>
      <w:divsChild>
        <w:div w:id="1198664574">
          <w:marLeft w:val="0"/>
          <w:marRight w:val="0"/>
          <w:marTop w:val="0"/>
          <w:marBottom w:val="0"/>
          <w:divBdr>
            <w:top w:val="none" w:sz="0" w:space="0" w:color="auto"/>
            <w:left w:val="none" w:sz="0" w:space="0" w:color="auto"/>
            <w:bottom w:val="none" w:sz="0" w:space="0" w:color="auto"/>
            <w:right w:val="none" w:sz="0" w:space="0" w:color="auto"/>
          </w:divBdr>
        </w:div>
      </w:divsChild>
    </w:div>
    <w:div w:id="686448656">
      <w:marLeft w:val="0"/>
      <w:marRight w:val="0"/>
      <w:marTop w:val="0"/>
      <w:marBottom w:val="0"/>
      <w:divBdr>
        <w:top w:val="none" w:sz="0" w:space="0" w:color="auto"/>
        <w:left w:val="none" w:sz="0" w:space="0" w:color="auto"/>
        <w:bottom w:val="none" w:sz="0" w:space="0" w:color="auto"/>
        <w:right w:val="none" w:sz="0" w:space="0" w:color="auto"/>
      </w:divBdr>
      <w:divsChild>
        <w:div w:id="1934046246">
          <w:marLeft w:val="0"/>
          <w:marRight w:val="0"/>
          <w:marTop w:val="0"/>
          <w:marBottom w:val="0"/>
          <w:divBdr>
            <w:top w:val="none" w:sz="0" w:space="0" w:color="auto"/>
            <w:left w:val="none" w:sz="0" w:space="0" w:color="auto"/>
            <w:bottom w:val="none" w:sz="0" w:space="0" w:color="auto"/>
            <w:right w:val="none" w:sz="0" w:space="0" w:color="auto"/>
          </w:divBdr>
        </w:div>
      </w:divsChild>
    </w:div>
    <w:div w:id="803277145">
      <w:marLeft w:val="0"/>
      <w:marRight w:val="0"/>
      <w:marTop w:val="0"/>
      <w:marBottom w:val="0"/>
      <w:divBdr>
        <w:top w:val="none" w:sz="0" w:space="0" w:color="auto"/>
        <w:left w:val="none" w:sz="0" w:space="0" w:color="auto"/>
        <w:bottom w:val="none" w:sz="0" w:space="0" w:color="auto"/>
        <w:right w:val="none" w:sz="0" w:space="0" w:color="auto"/>
      </w:divBdr>
      <w:divsChild>
        <w:div w:id="456217914">
          <w:marLeft w:val="0"/>
          <w:marRight w:val="0"/>
          <w:marTop w:val="0"/>
          <w:marBottom w:val="0"/>
          <w:divBdr>
            <w:top w:val="none" w:sz="0" w:space="0" w:color="auto"/>
            <w:left w:val="none" w:sz="0" w:space="0" w:color="auto"/>
            <w:bottom w:val="none" w:sz="0" w:space="0" w:color="auto"/>
            <w:right w:val="none" w:sz="0" w:space="0" w:color="auto"/>
          </w:divBdr>
        </w:div>
      </w:divsChild>
    </w:div>
    <w:div w:id="900092486">
      <w:marLeft w:val="0"/>
      <w:marRight w:val="0"/>
      <w:marTop w:val="0"/>
      <w:marBottom w:val="0"/>
      <w:divBdr>
        <w:top w:val="none" w:sz="0" w:space="0" w:color="auto"/>
        <w:left w:val="none" w:sz="0" w:space="0" w:color="auto"/>
        <w:bottom w:val="none" w:sz="0" w:space="0" w:color="auto"/>
        <w:right w:val="none" w:sz="0" w:space="0" w:color="auto"/>
      </w:divBdr>
      <w:divsChild>
        <w:div w:id="1304773021">
          <w:marLeft w:val="0"/>
          <w:marRight w:val="0"/>
          <w:marTop w:val="0"/>
          <w:marBottom w:val="0"/>
          <w:divBdr>
            <w:top w:val="none" w:sz="0" w:space="0" w:color="auto"/>
            <w:left w:val="none" w:sz="0" w:space="0" w:color="auto"/>
            <w:bottom w:val="none" w:sz="0" w:space="0" w:color="auto"/>
            <w:right w:val="none" w:sz="0" w:space="0" w:color="auto"/>
          </w:divBdr>
        </w:div>
      </w:divsChild>
    </w:div>
    <w:div w:id="1004554883">
      <w:marLeft w:val="0"/>
      <w:marRight w:val="0"/>
      <w:marTop w:val="0"/>
      <w:marBottom w:val="0"/>
      <w:divBdr>
        <w:top w:val="none" w:sz="0" w:space="0" w:color="auto"/>
        <w:left w:val="none" w:sz="0" w:space="0" w:color="auto"/>
        <w:bottom w:val="none" w:sz="0" w:space="0" w:color="auto"/>
        <w:right w:val="none" w:sz="0" w:space="0" w:color="auto"/>
      </w:divBdr>
      <w:divsChild>
        <w:div w:id="1718702321">
          <w:marLeft w:val="0"/>
          <w:marRight w:val="0"/>
          <w:marTop w:val="0"/>
          <w:marBottom w:val="0"/>
          <w:divBdr>
            <w:top w:val="none" w:sz="0" w:space="0" w:color="auto"/>
            <w:left w:val="none" w:sz="0" w:space="0" w:color="auto"/>
            <w:bottom w:val="none" w:sz="0" w:space="0" w:color="auto"/>
            <w:right w:val="none" w:sz="0" w:space="0" w:color="auto"/>
          </w:divBdr>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686902106">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5480042">
      <w:marLeft w:val="0"/>
      <w:marRight w:val="0"/>
      <w:marTop w:val="0"/>
      <w:marBottom w:val="0"/>
      <w:divBdr>
        <w:top w:val="none" w:sz="0" w:space="0" w:color="auto"/>
        <w:left w:val="none" w:sz="0" w:space="0" w:color="auto"/>
        <w:bottom w:val="none" w:sz="0" w:space="0" w:color="auto"/>
        <w:right w:val="none" w:sz="0" w:space="0" w:color="auto"/>
      </w:divBdr>
      <w:divsChild>
        <w:div w:id="1871382444">
          <w:marLeft w:val="0"/>
          <w:marRight w:val="0"/>
          <w:marTop w:val="0"/>
          <w:marBottom w:val="0"/>
          <w:divBdr>
            <w:top w:val="none" w:sz="0" w:space="0" w:color="auto"/>
            <w:left w:val="none" w:sz="0" w:space="0" w:color="auto"/>
            <w:bottom w:val="none" w:sz="0" w:space="0" w:color="auto"/>
            <w:right w:val="none" w:sz="0" w:space="0" w:color="auto"/>
          </w:divBdr>
        </w:div>
      </w:divsChild>
    </w:div>
    <w:div w:id="1318415737">
      <w:bodyDiv w:val="1"/>
      <w:marLeft w:val="0"/>
      <w:marRight w:val="0"/>
      <w:marTop w:val="0"/>
      <w:marBottom w:val="0"/>
      <w:divBdr>
        <w:top w:val="none" w:sz="0" w:space="0" w:color="auto"/>
        <w:left w:val="none" w:sz="0" w:space="0" w:color="auto"/>
        <w:bottom w:val="none" w:sz="0" w:space="0" w:color="auto"/>
        <w:right w:val="none" w:sz="0" w:space="0" w:color="auto"/>
      </w:divBdr>
      <w:divsChild>
        <w:div w:id="1775319082">
          <w:marLeft w:val="0"/>
          <w:marRight w:val="0"/>
          <w:marTop w:val="0"/>
          <w:marBottom w:val="0"/>
          <w:divBdr>
            <w:top w:val="none" w:sz="0" w:space="0" w:color="auto"/>
            <w:left w:val="none" w:sz="0" w:space="0" w:color="auto"/>
            <w:bottom w:val="none" w:sz="0" w:space="0" w:color="auto"/>
            <w:right w:val="none" w:sz="0" w:space="0" w:color="auto"/>
          </w:divBdr>
          <w:divsChild>
            <w:div w:id="9989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3511">
      <w:marLeft w:val="0"/>
      <w:marRight w:val="0"/>
      <w:marTop w:val="0"/>
      <w:marBottom w:val="0"/>
      <w:divBdr>
        <w:top w:val="none" w:sz="0" w:space="0" w:color="auto"/>
        <w:left w:val="none" w:sz="0" w:space="0" w:color="auto"/>
        <w:bottom w:val="none" w:sz="0" w:space="0" w:color="auto"/>
        <w:right w:val="none" w:sz="0" w:space="0" w:color="auto"/>
      </w:divBdr>
      <w:divsChild>
        <w:div w:id="1999268373">
          <w:marLeft w:val="0"/>
          <w:marRight w:val="0"/>
          <w:marTop w:val="0"/>
          <w:marBottom w:val="0"/>
          <w:divBdr>
            <w:top w:val="none" w:sz="0" w:space="0" w:color="auto"/>
            <w:left w:val="none" w:sz="0" w:space="0" w:color="auto"/>
            <w:bottom w:val="none" w:sz="0" w:space="0" w:color="auto"/>
            <w:right w:val="none" w:sz="0" w:space="0" w:color="auto"/>
          </w:divBdr>
        </w:div>
      </w:divsChild>
    </w:div>
    <w:div w:id="1407462093">
      <w:marLeft w:val="0"/>
      <w:marRight w:val="0"/>
      <w:marTop w:val="0"/>
      <w:marBottom w:val="0"/>
      <w:divBdr>
        <w:top w:val="none" w:sz="0" w:space="0" w:color="auto"/>
        <w:left w:val="none" w:sz="0" w:space="0" w:color="auto"/>
        <w:bottom w:val="none" w:sz="0" w:space="0" w:color="auto"/>
        <w:right w:val="none" w:sz="0" w:space="0" w:color="auto"/>
      </w:divBdr>
      <w:divsChild>
        <w:div w:id="2062945363">
          <w:marLeft w:val="0"/>
          <w:marRight w:val="0"/>
          <w:marTop w:val="0"/>
          <w:marBottom w:val="0"/>
          <w:divBdr>
            <w:top w:val="none" w:sz="0" w:space="0" w:color="auto"/>
            <w:left w:val="none" w:sz="0" w:space="0" w:color="auto"/>
            <w:bottom w:val="none" w:sz="0" w:space="0" w:color="auto"/>
            <w:right w:val="none" w:sz="0" w:space="0" w:color="auto"/>
          </w:divBdr>
        </w:div>
      </w:divsChild>
    </w:div>
    <w:div w:id="1509827600">
      <w:marLeft w:val="0"/>
      <w:marRight w:val="0"/>
      <w:marTop w:val="0"/>
      <w:marBottom w:val="0"/>
      <w:divBdr>
        <w:top w:val="none" w:sz="0" w:space="0" w:color="auto"/>
        <w:left w:val="none" w:sz="0" w:space="0" w:color="auto"/>
        <w:bottom w:val="none" w:sz="0" w:space="0" w:color="auto"/>
        <w:right w:val="none" w:sz="0" w:space="0" w:color="auto"/>
      </w:divBdr>
      <w:divsChild>
        <w:div w:id="886841358">
          <w:marLeft w:val="0"/>
          <w:marRight w:val="0"/>
          <w:marTop w:val="0"/>
          <w:marBottom w:val="0"/>
          <w:divBdr>
            <w:top w:val="none" w:sz="0" w:space="0" w:color="auto"/>
            <w:left w:val="none" w:sz="0" w:space="0" w:color="auto"/>
            <w:bottom w:val="none" w:sz="0" w:space="0" w:color="auto"/>
            <w:right w:val="none" w:sz="0" w:space="0" w:color="auto"/>
          </w:divBdr>
        </w:div>
      </w:divsChild>
    </w:div>
    <w:div w:id="1652784997">
      <w:marLeft w:val="0"/>
      <w:marRight w:val="0"/>
      <w:marTop w:val="0"/>
      <w:marBottom w:val="0"/>
      <w:divBdr>
        <w:top w:val="none" w:sz="0" w:space="0" w:color="auto"/>
        <w:left w:val="none" w:sz="0" w:space="0" w:color="auto"/>
        <w:bottom w:val="none" w:sz="0" w:space="0" w:color="auto"/>
        <w:right w:val="none" w:sz="0" w:space="0" w:color="auto"/>
      </w:divBdr>
      <w:divsChild>
        <w:div w:id="181435917">
          <w:marLeft w:val="0"/>
          <w:marRight w:val="0"/>
          <w:marTop w:val="0"/>
          <w:marBottom w:val="0"/>
          <w:divBdr>
            <w:top w:val="none" w:sz="0" w:space="0" w:color="auto"/>
            <w:left w:val="none" w:sz="0" w:space="0" w:color="auto"/>
            <w:bottom w:val="none" w:sz="0" w:space="0" w:color="auto"/>
            <w:right w:val="none" w:sz="0" w:space="0" w:color="auto"/>
          </w:divBdr>
        </w:div>
      </w:divsChild>
    </w:div>
    <w:div w:id="1704817388">
      <w:marLeft w:val="0"/>
      <w:marRight w:val="0"/>
      <w:marTop w:val="0"/>
      <w:marBottom w:val="0"/>
      <w:divBdr>
        <w:top w:val="none" w:sz="0" w:space="0" w:color="auto"/>
        <w:left w:val="none" w:sz="0" w:space="0" w:color="auto"/>
        <w:bottom w:val="none" w:sz="0" w:space="0" w:color="auto"/>
        <w:right w:val="none" w:sz="0" w:space="0" w:color="auto"/>
      </w:divBdr>
      <w:divsChild>
        <w:div w:id="1817184336">
          <w:marLeft w:val="0"/>
          <w:marRight w:val="0"/>
          <w:marTop w:val="0"/>
          <w:marBottom w:val="0"/>
          <w:divBdr>
            <w:top w:val="none" w:sz="0" w:space="0" w:color="auto"/>
            <w:left w:val="none" w:sz="0" w:space="0" w:color="auto"/>
            <w:bottom w:val="none" w:sz="0" w:space="0" w:color="auto"/>
            <w:right w:val="none" w:sz="0" w:space="0" w:color="auto"/>
          </w:divBdr>
        </w:div>
      </w:divsChild>
    </w:div>
    <w:div w:id="1870217089">
      <w:marLeft w:val="0"/>
      <w:marRight w:val="0"/>
      <w:marTop w:val="0"/>
      <w:marBottom w:val="0"/>
      <w:divBdr>
        <w:top w:val="none" w:sz="0" w:space="0" w:color="auto"/>
        <w:left w:val="none" w:sz="0" w:space="0" w:color="auto"/>
        <w:bottom w:val="none" w:sz="0" w:space="0" w:color="auto"/>
        <w:right w:val="none" w:sz="0" w:space="0" w:color="auto"/>
      </w:divBdr>
      <w:divsChild>
        <w:div w:id="1875540493">
          <w:marLeft w:val="0"/>
          <w:marRight w:val="0"/>
          <w:marTop w:val="0"/>
          <w:marBottom w:val="0"/>
          <w:divBdr>
            <w:top w:val="none" w:sz="0" w:space="0" w:color="auto"/>
            <w:left w:val="none" w:sz="0" w:space="0" w:color="auto"/>
            <w:bottom w:val="none" w:sz="0" w:space="0" w:color="auto"/>
            <w:right w:val="none" w:sz="0" w:space="0" w:color="auto"/>
          </w:divBdr>
        </w:div>
      </w:divsChild>
    </w:div>
    <w:div w:id="2021083130">
      <w:marLeft w:val="0"/>
      <w:marRight w:val="0"/>
      <w:marTop w:val="0"/>
      <w:marBottom w:val="0"/>
      <w:divBdr>
        <w:top w:val="none" w:sz="0" w:space="0" w:color="auto"/>
        <w:left w:val="none" w:sz="0" w:space="0" w:color="auto"/>
        <w:bottom w:val="none" w:sz="0" w:space="0" w:color="auto"/>
        <w:right w:val="none" w:sz="0" w:space="0" w:color="auto"/>
      </w:divBdr>
      <w:divsChild>
        <w:div w:id="1554808263">
          <w:marLeft w:val="0"/>
          <w:marRight w:val="0"/>
          <w:marTop w:val="0"/>
          <w:marBottom w:val="0"/>
          <w:divBdr>
            <w:top w:val="none" w:sz="0" w:space="0" w:color="auto"/>
            <w:left w:val="none" w:sz="0" w:space="0" w:color="auto"/>
            <w:bottom w:val="none" w:sz="0" w:space="0" w:color="auto"/>
            <w:right w:val="none" w:sz="0" w:space="0" w:color="auto"/>
          </w:divBdr>
        </w:div>
      </w:divsChild>
    </w:div>
    <w:div w:id="2144806040">
      <w:marLeft w:val="0"/>
      <w:marRight w:val="0"/>
      <w:marTop w:val="0"/>
      <w:marBottom w:val="0"/>
      <w:divBdr>
        <w:top w:val="none" w:sz="0" w:space="0" w:color="auto"/>
        <w:left w:val="none" w:sz="0" w:space="0" w:color="auto"/>
        <w:bottom w:val="none" w:sz="0" w:space="0" w:color="auto"/>
        <w:right w:val="none" w:sz="0" w:space="0" w:color="auto"/>
      </w:divBdr>
      <w:divsChild>
        <w:div w:id="1797673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cessdata.fda.gov/drugsatfda_docs/label/2005/021923lbl.pdf" TargetMode="External"/><Relationship Id="rId21" Type="http://schemas.openxmlformats.org/officeDocument/2006/relationships/hyperlink" Target="https://www.accessdata.fda.gov/drugsatfda_docs/label/2022/103471s5201lbl.pdf" TargetMode="External"/><Relationship Id="rId42" Type="http://schemas.openxmlformats.org/officeDocument/2006/relationships/hyperlink" Target="https://www.accessdata.fda.gov/drugsatfda_docs/label/2016/208246s000lbl.pdf" TargetMode="External"/><Relationship Id="rId47" Type="http://schemas.openxmlformats.org/officeDocument/2006/relationships/hyperlink" Target="https://www.accessdata.fda.gov/drugsatfda_docs/label/2020/214787Orig1s000lbl.pdf" TargetMode="External"/><Relationship Id="rId63" Type="http://schemas.openxmlformats.org/officeDocument/2006/relationships/chart" Target="charts/chart8.xml"/><Relationship Id="rId68" Type="http://schemas.openxmlformats.org/officeDocument/2006/relationships/chart" Target="charts/chart13.xml"/><Relationship Id="rId16"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s://www.accessdata.fda.gov/drugsatfda_docs/label/2008/022291lbl.pdf" TargetMode="External"/><Relationship Id="rId32" Type="http://schemas.openxmlformats.org/officeDocument/2006/relationships/hyperlink" Target="https://www.accessdata.fda.gov/drugsatfda_docs/label/2013/204819s000lbl.pdf" TargetMode="External"/><Relationship Id="rId37" Type="http://schemas.openxmlformats.org/officeDocument/2006/relationships/hyperlink" Target="https://www.accessdata.fda.gov/drugsatfda_docs/label/2016/208246s000lbl.pdf" TargetMode="External"/><Relationship Id="rId40" Type="http://schemas.openxmlformats.org/officeDocument/2006/relationships/hyperlink" Target="https://www.accessdata.fda.gov/drugsatfda_docs/label/2016/208341s000lbl.pdf" TargetMode="External"/><Relationship Id="rId45" Type="http://schemas.openxmlformats.org/officeDocument/2006/relationships/hyperlink" Target="https://www.accessdata.fda.gov/drugsatfda_docs/label/2003/omalgen062003LB.pdf" TargetMode="External"/><Relationship Id="rId53" Type="http://schemas.openxmlformats.org/officeDocument/2006/relationships/hyperlink" Target="https://www.sisalril.gob.do/evtesa/" TargetMode="External"/><Relationship Id="rId58" Type="http://schemas.openxmlformats.org/officeDocument/2006/relationships/chart" Target="charts/chart3.xml"/><Relationship Id="rId66" Type="http://schemas.openxmlformats.org/officeDocument/2006/relationships/chart" Target="charts/chart11.xml"/><Relationship Id="rId74" Type="http://schemas.openxmlformats.org/officeDocument/2006/relationships/hyperlink" Target="https://www.sisalril.gob.do/estadisticas-2/" TargetMode="External"/><Relationship Id="rId5" Type="http://schemas.openxmlformats.org/officeDocument/2006/relationships/numbering" Target="numbering.xml"/><Relationship Id="rId61" Type="http://schemas.openxmlformats.org/officeDocument/2006/relationships/chart" Target="charts/chart6.xml"/><Relationship Id="rId1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hyperlink" Target="https://www.accessdata.fda.gov/drugsatfda_docs/label/2014/022535s000lbl.pdf" TargetMode="External"/><Relationship Id="rId27" Type="http://schemas.openxmlformats.org/officeDocument/2006/relationships/hyperlink" Target="https://www.accessdata.fda.gov/drugsatfda_docs/label/2019/212640s000lbl.pdf" TargetMode="External"/><Relationship Id="rId30" Type="http://schemas.openxmlformats.org/officeDocument/2006/relationships/hyperlink" Target="https://www.accessdata.fda.gov/drugsatfda_docs/label/2015/125504s000lbl.pdf" TargetMode="External"/><Relationship Id="rId35" Type="http://schemas.openxmlformats.org/officeDocument/2006/relationships/hyperlink" Target="https://www.accessdata.fda.gov/drugsatfda_docs/label/2015/125504s000lbl.pdf" TargetMode="External"/><Relationship Id="rId43" Type="http://schemas.openxmlformats.org/officeDocument/2006/relationships/hyperlink" Target="https://www.accessdata.fda.gov/drugsatfda_docs/label/2016/208246s000lbl.pdf" TargetMode="External"/><Relationship Id="rId48" Type="http://schemas.openxmlformats.org/officeDocument/2006/relationships/hyperlink" Target="https://www.accessdata.fda.gov/drugsatfda_docs/label/2017/761061s000lbl.pdf" TargetMode="External"/><Relationship Id="rId56" Type="http://schemas.openxmlformats.org/officeDocument/2006/relationships/chart" Target="charts/chart1.xml"/><Relationship Id="rId64" Type="http://schemas.openxmlformats.org/officeDocument/2006/relationships/chart" Target="charts/chart9.xml"/><Relationship Id="rId69" Type="http://schemas.openxmlformats.org/officeDocument/2006/relationships/chart" Target="charts/chart14.xml"/><Relationship Id="rId77"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accessdata.fda.gov/drugsatfda_docs/label/2005/021923lbl.pdf" TargetMode="External"/><Relationship Id="rId72" Type="http://schemas.openxmlformats.org/officeDocument/2006/relationships/hyperlink" Target="https://www.sisalril.gob.do/transparencia/declaracion-jurada-de-patrimonio/"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accessdata.fda.gov/drugsatfda_docs/label/2012/203085lbl.pdf" TargetMode="External"/><Relationship Id="rId33" Type="http://schemas.openxmlformats.org/officeDocument/2006/relationships/hyperlink" Target="https://www.accessdata.fda.gov/drugsatfda_docs/label/2012/203085lbl.pdf" TargetMode="External"/><Relationship Id="rId38" Type="http://schemas.openxmlformats.org/officeDocument/2006/relationships/hyperlink" Target="https://www.accessdata.fda.gov/drugsatfda_docs/label/2019/761066s000lbl.pdf" TargetMode="External"/><Relationship Id="rId46" Type="http://schemas.openxmlformats.org/officeDocument/2006/relationships/hyperlink" Target="https://www.accessdata.fda.gov/drugsatfda_docs/label/2022/019667s073lbl.pdf" TargetMode="External"/><Relationship Id="rId59" Type="http://schemas.openxmlformats.org/officeDocument/2006/relationships/chart" Target="charts/chart4.xml"/><Relationship Id="rId67" Type="http://schemas.openxmlformats.org/officeDocument/2006/relationships/chart" Target="charts/chart12.xml"/><Relationship Id="rId20" Type="http://schemas.openxmlformats.org/officeDocument/2006/relationships/hyperlink" Target="https://www.accessdata.fda.gov/drugsatfda_docs/label/2009/022264lbl.pdf" TargetMode="External"/><Relationship Id="rId41" Type="http://schemas.openxmlformats.org/officeDocument/2006/relationships/hyperlink" Target="https://www.accessdata.fda.gov/drugsatfda_docs/label/2019/211939s000lbl.pdf" TargetMode="External"/><Relationship Id="rId54" Type="http://schemas.openxmlformats.org/officeDocument/2006/relationships/image" Target="media/image7.png"/><Relationship Id="rId62" Type="http://schemas.openxmlformats.org/officeDocument/2006/relationships/chart" Target="charts/chart7.xml"/><Relationship Id="rId70" Type="http://schemas.openxmlformats.org/officeDocument/2006/relationships/chart" Target="charts/chart1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accessdata.fda.gov/drugsatfda_docs/label/2012/202992s000lbl.pdf" TargetMode="External"/><Relationship Id="rId28" Type="http://schemas.openxmlformats.org/officeDocument/2006/relationships/hyperlink" Target="https://www.accessdata.fda.gov/drugsatfda_docs/label/2014/205834s000lbl.pdf" TargetMode="External"/><Relationship Id="rId36" Type="http://schemas.openxmlformats.org/officeDocument/2006/relationships/hyperlink" Target="https://www.accessdata.fda.gov/drugsatfda_docs/label/2014/205834s000lbl.pdf" TargetMode="External"/><Relationship Id="rId49" Type="http://schemas.openxmlformats.org/officeDocument/2006/relationships/hyperlink" Target="https://www.accessdata.fda.gov/drugsatfda_docs/label/2015/125504s000lbl.pdf" TargetMode="External"/><Relationship Id="rId57" Type="http://schemas.openxmlformats.org/officeDocument/2006/relationships/chart" Target="charts/chart2.xml"/><Relationship Id="rId10" Type="http://schemas.openxmlformats.org/officeDocument/2006/relationships/endnotes" Target="endnotes.xml"/><Relationship Id="rId31" Type="http://schemas.openxmlformats.org/officeDocument/2006/relationships/hyperlink" Target="https://www.accessdata.fda.gov/drugsatfda_docs/label/2015/125504s000lbl.pdf" TargetMode="External"/><Relationship Id="rId44" Type="http://schemas.openxmlformats.org/officeDocument/2006/relationships/hyperlink" Target="https://www.accessdata.fda.gov/drugsatfda_docs/label/2016/208246s000lbl.pdf" TargetMode="External"/><Relationship Id="rId52" Type="http://schemas.openxmlformats.org/officeDocument/2006/relationships/hyperlink" Target="https://www.accessdata.fda.gov/drugsatfda_docs/label/2005/021923lbl.pdf" TargetMode="External"/><Relationship Id="rId60" Type="http://schemas.openxmlformats.org/officeDocument/2006/relationships/chart" Target="charts/chart5.xml"/><Relationship Id="rId65" Type="http://schemas.openxmlformats.org/officeDocument/2006/relationships/chart" Target="charts/chart10.xm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hyperlink" Target="https://www.accessdata.fda.gov/drugsatfda_docs/label/2005/021923lbl.pdf" TargetMode="External"/><Relationship Id="rId34" Type="http://schemas.openxmlformats.org/officeDocument/2006/relationships/hyperlink" Target="https://www.accessdata.fda.gov/drugsatfda_docs/label/2015/125504s000lbl.pdf" TargetMode="External"/><Relationship Id="rId50" Type="http://schemas.openxmlformats.org/officeDocument/2006/relationships/hyperlink" Target="https://www.accessdata.fda.gov/drugsatfda_docs/label/2016/761034Orig1s000lbl.pdf" TargetMode="External"/><Relationship Id="rId55" Type="http://schemas.openxmlformats.org/officeDocument/2006/relationships/image" Target="media/image8.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9.png"/><Relationship Id="rId2" Type="http://schemas.openxmlformats.org/officeDocument/2006/relationships/customXml" Target="../customXml/item2.xml"/><Relationship Id="rId29" Type="http://schemas.openxmlformats.org/officeDocument/2006/relationships/hyperlink" Target="https://www.accessdata.fda.gov/drugsatfda_docs/label/2016/208341s000lbl.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maria\AppData\Local\Microsoft\Windows\INetCache\Content.Outlook\AE9LVZRN\Memorias%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maria\AppData\Local\Microsoft\Windows\INetCache\Content.Outlook\AE9LVZRN\Memorias%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419" b="1">
                <a:solidFill>
                  <a:srgbClr val="767171"/>
                </a:solidFill>
                <a:latin typeface="Times New Roman" panose="02020603050405020304" pitchFamily="18" charset="0"/>
                <a:cs typeface="Times New Roman" panose="02020603050405020304" pitchFamily="18" charset="0"/>
              </a:rPr>
              <a:t>Disponibilidad y Variación Mensual</a:t>
            </a:r>
          </a:p>
          <a:p>
            <a:pPr>
              <a:defRPr/>
            </a:pPr>
            <a:r>
              <a:rPr lang="es-419" b="1">
                <a:solidFill>
                  <a:srgbClr val="767171"/>
                </a:solidFill>
                <a:latin typeface="Times New Roman" panose="02020603050405020304" pitchFamily="18" charset="0"/>
                <a:cs typeface="Times New Roman" panose="02020603050405020304" pitchFamily="18" charset="0"/>
              </a:rPr>
              <a:t>(Ene - Ago 2025</a:t>
            </a:r>
            <a:r>
              <a:rPr lang="es-419">
                <a:latin typeface="Times New Roman" panose="02020603050405020304" pitchFamily="18" charset="0"/>
                <a:cs typeface="Times New Roman" panose="02020603050405020304" pitchFamily="18" charset="0"/>
              </a:rPr>
              <a:t>)</a:t>
            </a:r>
          </a:p>
        </c:rich>
      </c:tx>
      <c:layout>
        <c:manualLayout>
          <c:xMode val="edge"/>
          <c:yMode val="edge"/>
          <c:x val="0.33458326008217326"/>
          <c:y val="4.812467913372244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'CSP - RS'!$B$1</c:f>
              <c:strCache>
                <c:ptCount val="1"/>
                <c:pt idx="0">
                  <c:v>Inversiones</c:v>
                </c:pt>
              </c:strCache>
            </c:strRef>
          </c:tx>
          <c:spPr>
            <a:solidFill>
              <a:srgbClr val="002060"/>
            </a:solidFill>
            <a:ln>
              <a:noFill/>
            </a:ln>
            <a:effectLst/>
          </c:spPr>
          <c:invertIfNegative val="0"/>
          <c:cat>
            <c:numRef>
              <c:f>'CSP - RS'!$A$2:$A$9</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RS'!$B$2:$B$9</c:f>
              <c:numCache>
                <c:formatCode>_(* #,##0.00_);_(* \(#,##0.00\);_(* "-"??_);_(@_)</c:formatCode>
                <c:ptCount val="8"/>
                <c:pt idx="0">
                  <c:v>243387012.25</c:v>
                </c:pt>
                <c:pt idx="1">
                  <c:v>260323047.94</c:v>
                </c:pt>
                <c:pt idx="2">
                  <c:v>284449741.83999997</c:v>
                </c:pt>
                <c:pt idx="3">
                  <c:v>306660999.41000003</c:v>
                </c:pt>
                <c:pt idx="4">
                  <c:v>332771055.72000003</c:v>
                </c:pt>
                <c:pt idx="5">
                  <c:v>366379104.95999998</c:v>
                </c:pt>
                <c:pt idx="6">
                  <c:v>404260983.18000001</c:v>
                </c:pt>
                <c:pt idx="7">
                  <c:v>433528493.04000002</c:v>
                </c:pt>
              </c:numCache>
            </c:numRef>
          </c:val>
          <c:extLst>
            <c:ext xmlns:c16="http://schemas.microsoft.com/office/drawing/2014/chart" uri="{C3380CC4-5D6E-409C-BE32-E72D297353CC}">
              <c16:uniqueId val="{00000000-2365-4ED5-A2F9-F780E7B18C93}"/>
            </c:ext>
          </c:extLst>
        </c:ser>
        <c:dLbls>
          <c:showLegendKey val="0"/>
          <c:showVal val="0"/>
          <c:showCatName val="0"/>
          <c:showSerName val="0"/>
          <c:showPercent val="0"/>
          <c:showBubbleSize val="0"/>
        </c:dLbls>
        <c:gapWidth val="219"/>
        <c:overlap val="-27"/>
        <c:axId val="929934832"/>
        <c:axId val="929930032"/>
      </c:barChart>
      <c:lineChart>
        <c:grouping val="standard"/>
        <c:varyColors val="0"/>
        <c:ser>
          <c:idx val="1"/>
          <c:order val="1"/>
          <c:tx>
            <c:strRef>
              <c:f>'CSP - RS'!$C$1</c:f>
              <c:strCache>
                <c:ptCount val="1"/>
                <c:pt idx="0">
                  <c:v>Variación %</c:v>
                </c:pt>
              </c:strCache>
            </c:strRef>
          </c:tx>
          <c:spPr>
            <a:ln w="28575" cap="rnd">
              <a:solidFill>
                <a:srgbClr val="FFC000"/>
              </a:solidFill>
              <a:round/>
            </a:ln>
            <a:effectLst/>
          </c:spPr>
          <c:marker>
            <c:symbol val="none"/>
          </c:marker>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65-4ED5-A2F9-F780E7B18C93}"/>
                </c:ext>
              </c:extLst>
            </c:dLbl>
            <c:dLbl>
              <c:idx val="4"/>
              <c:delete val="1"/>
              <c:extLst>
                <c:ext xmlns:c15="http://schemas.microsoft.com/office/drawing/2012/chart" uri="{CE6537A1-D6FC-4f65-9D91-7224C49458BB}">
                  <c15:layout>
                    <c:manualLayout>
                      <c:w val="7.2770983975178519E-2"/>
                      <c:h val="4.3643517861793137E-2"/>
                    </c:manualLayout>
                  </c15:layout>
                </c:ext>
                <c:ext xmlns:c16="http://schemas.microsoft.com/office/drawing/2014/chart" uri="{C3380CC4-5D6E-409C-BE32-E72D297353CC}">
                  <c16:uniqueId val="{00000002-2365-4ED5-A2F9-F780E7B18C93}"/>
                </c:ext>
              </c:extLst>
            </c:dLbl>
            <c:dLbl>
              <c:idx val="5"/>
              <c:layout>
                <c:manualLayout>
                  <c:x val="-3.9870557923524626E-2"/>
                  <c:y val="-3.4563803126392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65-4ED5-A2F9-F780E7B18C93}"/>
                </c:ext>
              </c:extLst>
            </c:dLbl>
            <c:spPr>
              <a:solidFill>
                <a:srgbClr val="FFC000"/>
              </a:solid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 - RS'!$A$2:$A$9</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RS'!$C$2:$C$9</c:f>
              <c:numCache>
                <c:formatCode>0.00%</c:formatCode>
                <c:ptCount val="8"/>
                <c:pt idx="1">
                  <c:v>6.9584796384302539E-2</c:v>
                </c:pt>
                <c:pt idx="2">
                  <c:v>9.2679822593198763E-2</c:v>
                </c:pt>
                <c:pt idx="3">
                  <c:v>7.8084998166367312E-2</c:v>
                </c:pt>
                <c:pt idx="4">
                  <c:v>8.5143061426899425E-2</c:v>
                </c:pt>
                <c:pt idx="5">
                  <c:v>0.10099450857372165</c:v>
                </c:pt>
                <c:pt idx="6">
                  <c:v>0.1033953020441377</c:v>
                </c:pt>
                <c:pt idx="7">
                  <c:v>7.2397562658102113E-2</c:v>
                </c:pt>
              </c:numCache>
            </c:numRef>
          </c:val>
          <c:smooth val="0"/>
          <c:extLst>
            <c:ext xmlns:c16="http://schemas.microsoft.com/office/drawing/2014/chart" uri="{C3380CC4-5D6E-409C-BE32-E72D297353CC}">
              <c16:uniqueId val="{00000004-2365-4ED5-A2F9-F780E7B18C93}"/>
            </c:ext>
          </c:extLst>
        </c:ser>
        <c:dLbls>
          <c:showLegendKey val="0"/>
          <c:showVal val="0"/>
          <c:showCatName val="0"/>
          <c:showSerName val="0"/>
          <c:showPercent val="0"/>
          <c:showBubbleSize val="0"/>
        </c:dLbls>
        <c:marker val="1"/>
        <c:smooth val="0"/>
        <c:axId val="929933392"/>
        <c:axId val="929932912"/>
      </c:lineChart>
      <c:dateAx>
        <c:axId val="92993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Offset val="100"/>
        <c:baseTimeUnit val="months"/>
      </c:date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valAx>
        <c:axId val="929932912"/>
        <c:scaling>
          <c:orientation val="minMax"/>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3392"/>
        <c:crosses val="max"/>
        <c:crossBetween val="between"/>
      </c:valAx>
      <c:dateAx>
        <c:axId val="929933392"/>
        <c:scaling>
          <c:orientation val="minMax"/>
        </c:scaling>
        <c:delete val="1"/>
        <c:axPos val="b"/>
        <c:numFmt formatCode="mmm\-yy" sourceLinked="1"/>
        <c:majorTickMark val="out"/>
        <c:minorTickMark val="none"/>
        <c:tickLblPos val="nextTo"/>
        <c:crossAx val="92993291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419" sz="1200">
                <a:solidFill>
                  <a:srgbClr val="767171"/>
                </a:solidFill>
                <a:latin typeface="Times New Roman" panose="02020603050405020304" pitchFamily="18" charset="0"/>
                <a:cs typeface="Times New Roman" panose="02020603050405020304" pitchFamily="18" charset="0"/>
              </a:rPr>
              <a:t>Neto de Inversiones Por</a:t>
            </a:r>
            <a:r>
              <a:rPr lang="es-419" sz="1200" baseline="0">
                <a:solidFill>
                  <a:srgbClr val="767171"/>
                </a:solidFill>
                <a:latin typeface="Times New Roman" panose="02020603050405020304" pitchFamily="18" charset="0"/>
                <a:cs typeface="Times New Roman" panose="02020603050405020304" pitchFamily="18" charset="0"/>
              </a:rPr>
              <a:t> Planes Especiales</a:t>
            </a:r>
            <a:endParaRPr lang="es-419" sz="12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2117845188922431"/>
          <c:y val="0.10661094224924011"/>
          <c:w val="0.66540112445729804"/>
          <c:h val="0.84749678896520919"/>
        </c:manualLayout>
      </c:layout>
      <c:lineChart>
        <c:grouping val="standard"/>
        <c:varyColors val="0"/>
        <c:ser>
          <c:idx val="0"/>
          <c:order val="0"/>
          <c:tx>
            <c:strRef>
              <c:f>'CSP - PEPJ'!$B$36</c:f>
              <c:strCache>
                <c:ptCount val="1"/>
                <c:pt idx="0">
                  <c:v>FFAA</c:v>
                </c:pt>
              </c:strCache>
            </c:strRef>
          </c:tx>
          <c:spPr>
            <a:ln w="28575" cap="rnd">
              <a:solidFill>
                <a:schemeClr val="accent1"/>
              </a:solidFill>
              <a:round/>
            </a:ln>
            <a:effectLst/>
          </c:spPr>
          <c:marker>
            <c:symbol val="none"/>
          </c:marker>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PEPJ'!$B$37:$B$44</c:f>
              <c:numCache>
                <c:formatCode>_(* #,##0.00_);_(* \(#,##0.00\);_(* "-"??_);_(@_)</c:formatCode>
                <c:ptCount val="8"/>
                <c:pt idx="0">
                  <c:v>265375084.41</c:v>
                </c:pt>
                <c:pt idx="1">
                  <c:v>217383633.30000001</c:v>
                </c:pt>
                <c:pt idx="2">
                  <c:v>196908577.05000001</c:v>
                </c:pt>
                <c:pt idx="3">
                  <c:v>272007646.72000003</c:v>
                </c:pt>
                <c:pt idx="4">
                  <c:v>346907069.66000003</c:v>
                </c:pt>
                <c:pt idx="5">
                  <c:v>313720224.31999999</c:v>
                </c:pt>
                <c:pt idx="6">
                  <c:v>389551521.27999997</c:v>
                </c:pt>
                <c:pt idx="7">
                  <c:v>356162805.69999999</c:v>
                </c:pt>
              </c:numCache>
            </c:numRef>
          </c:val>
          <c:smooth val="0"/>
          <c:extLst>
            <c:ext xmlns:c16="http://schemas.microsoft.com/office/drawing/2014/chart" uri="{C3380CC4-5D6E-409C-BE32-E72D297353CC}">
              <c16:uniqueId val="{00000000-5A18-4C1D-B1A1-0AC13246099D}"/>
            </c:ext>
          </c:extLst>
        </c:ser>
        <c:ser>
          <c:idx val="1"/>
          <c:order val="1"/>
          <c:tx>
            <c:strRef>
              <c:f>'CSP - PEPJ'!$C$36</c:f>
              <c:strCache>
                <c:ptCount val="1"/>
                <c:pt idx="0">
                  <c:v>MINISTERIO DE HACIENDA</c:v>
                </c:pt>
              </c:strCache>
            </c:strRef>
          </c:tx>
          <c:spPr>
            <a:ln w="28575" cap="rnd">
              <a:solidFill>
                <a:schemeClr val="accent2"/>
              </a:solidFill>
              <a:round/>
            </a:ln>
            <a:effectLst/>
          </c:spPr>
          <c:marker>
            <c:symbol val="none"/>
          </c:marker>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PEPJ'!$C$37:$C$44</c:f>
              <c:numCache>
                <c:formatCode>_(* #,##0.00_);_(* \(#,##0.00\);_(* "-"??_);_(@_)</c:formatCode>
                <c:ptCount val="8"/>
                <c:pt idx="0">
                  <c:v>605996075.91999996</c:v>
                </c:pt>
                <c:pt idx="1">
                  <c:v>587407750.09000003</c:v>
                </c:pt>
                <c:pt idx="2">
                  <c:v>564939614.84000003</c:v>
                </c:pt>
                <c:pt idx="3">
                  <c:v>659644580.74000001</c:v>
                </c:pt>
                <c:pt idx="4">
                  <c:v>755372558.38</c:v>
                </c:pt>
                <c:pt idx="5">
                  <c:v>743877725.21000004</c:v>
                </c:pt>
                <c:pt idx="6">
                  <c:v>837611599.29999995</c:v>
                </c:pt>
                <c:pt idx="7">
                  <c:v>827524389.33000004</c:v>
                </c:pt>
              </c:numCache>
            </c:numRef>
          </c:val>
          <c:smooth val="0"/>
          <c:extLst>
            <c:ext xmlns:c16="http://schemas.microsoft.com/office/drawing/2014/chart" uri="{C3380CC4-5D6E-409C-BE32-E72D297353CC}">
              <c16:uniqueId val="{00000001-5A18-4C1D-B1A1-0AC13246099D}"/>
            </c:ext>
          </c:extLst>
        </c:ser>
        <c:ser>
          <c:idx val="2"/>
          <c:order val="2"/>
          <c:tx>
            <c:strRef>
              <c:f>'CSP - PEPJ'!$D$36</c:f>
              <c:strCache>
                <c:ptCount val="1"/>
                <c:pt idx="0">
                  <c:v>PENSIONADOS DEL ESTADO 
18-19</c:v>
                </c:pt>
              </c:strCache>
            </c:strRef>
          </c:tx>
          <c:spPr>
            <a:ln w="28575" cap="rnd">
              <a:solidFill>
                <a:srgbClr val="FFC000"/>
              </a:solidFill>
              <a:round/>
            </a:ln>
            <a:effectLst/>
          </c:spPr>
          <c:marker>
            <c:symbol val="none"/>
          </c:marker>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PEPJ'!$D$37:$D$44</c:f>
              <c:numCache>
                <c:formatCode>_(* #,##0.00_);_(* \(#,##0.00\);_(* "-"??_);_(@_)</c:formatCode>
                <c:ptCount val="8"/>
                <c:pt idx="0">
                  <c:v>471545759.68000001</c:v>
                </c:pt>
                <c:pt idx="1">
                  <c:v>433619044.06</c:v>
                </c:pt>
                <c:pt idx="2">
                  <c:v>395532793.69999999</c:v>
                </c:pt>
                <c:pt idx="3">
                  <c:v>543640049.00999999</c:v>
                </c:pt>
                <c:pt idx="4">
                  <c:v>692763930.12</c:v>
                </c:pt>
                <c:pt idx="5">
                  <c:v>657444010.66999996</c:v>
                </c:pt>
                <c:pt idx="6">
                  <c:v>807850968.15999997</c:v>
                </c:pt>
                <c:pt idx="7">
                  <c:v>773043916.62</c:v>
                </c:pt>
              </c:numCache>
            </c:numRef>
          </c:val>
          <c:smooth val="0"/>
          <c:extLst>
            <c:ext xmlns:c16="http://schemas.microsoft.com/office/drawing/2014/chart" uri="{C3380CC4-5D6E-409C-BE32-E72D297353CC}">
              <c16:uniqueId val="{00000002-5A18-4C1D-B1A1-0AC13246099D}"/>
            </c:ext>
          </c:extLst>
        </c:ser>
        <c:ser>
          <c:idx val="3"/>
          <c:order val="3"/>
          <c:tx>
            <c:strRef>
              <c:f>'CSP - PEPJ'!$E$36</c:f>
              <c:strCache>
                <c:ptCount val="1"/>
                <c:pt idx="0">
                  <c:v>POLICIA NAC.</c:v>
                </c:pt>
              </c:strCache>
            </c:strRef>
          </c:tx>
          <c:spPr>
            <a:ln w="28575" cap="rnd">
              <a:solidFill>
                <a:schemeClr val="accent4"/>
              </a:solidFill>
              <a:round/>
            </a:ln>
            <a:effectLst/>
          </c:spPr>
          <c:marker>
            <c:symbol val="none"/>
          </c:marker>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PEPJ'!$E$37:$E$44</c:f>
              <c:numCache>
                <c:formatCode>_(* #,##0.00_);_(* \(#,##0.00\);_(* "-"??_);_(@_)</c:formatCode>
                <c:ptCount val="8"/>
                <c:pt idx="0">
                  <c:v>226137810.41</c:v>
                </c:pt>
                <c:pt idx="1">
                  <c:v>183222896.99000001</c:v>
                </c:pt>
                <c:pt idx="2">
                  <c:v>139664479.77000001</c:v>
                </c:pt>
                <c:pt idx="3">
                  <c:v>216246771.50999999</c:v>
                </c:pt>
                <c:pt idx="4">
                  <c:v>292871353.55000001</c:v>
                </c:pt>
                <c:pt idx="5">
                  <c:v>252543877.53</c:v>
                </c:pt>
                <c:pt idx="6">
                  <c:v>329349131.04000002</c:v>
                </c:pt>
                <c:pt idx="7">
                  <c:v>287587137.51999998</c:v>
                </c:pt>
              </c:numCache>
            </c:numRef>
          </c:val>
          <c:smooth val="0"/>
          <c:extLst>
            <c:ext xmlns:c16="http://schemas.microsoft.com/office/drawing/2014/chart" uri="{C3380CC4-5D6E-409C-BE32-E72D297353CC}">
              <c16:uniqueId val="{00000003-5A18-4C1D-B1A1-0AC13246099D}"/>
            </c:ext>
          </c:extLst>
        </c:ser>
        <c:ser>
          <c:idx val="4"/>
          <c:order val="4"/>
          <c:tx>
            <c:strRef>
              <c:f>'CSP - PEPJ'!$F$36</c:f>
              <c:strCache>
                <c:ptCount val="1"/>
                <c:pt idx="0">
                  <c:v>SECTOR SALUD</c:v>
                </c:pt>
              </c:strCache>
            </c:strRef>
          </c:tx>
          <c:spPr>
            <a:ln w="28575" cap="rnd">
              <a:solidFill>
                <a:srgbClr val="92D050"/>
              </a:solidFill>
              <a:round/>
            </a:ln>
            <a:effectLst/>
          </c:spPr>
          <c:marker>
            <c:symbol val="none"/>
          </c:marker>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PEPJ'!$F$37:$F$44</c:f>
              <c:numCache>
                <c:formatCode>_(* #,##0.00_);_(* \(#,##0.00\);_(* "-"??_);_(@_)</c:formatCode>
                <c:ptCount val="8"/>
                <c:pt idx="0">
                  <c:v>172595114.38</c:v>
                </c:pt>
                <c:pt idx="1">
                  <c:v>159445859.22</c:v>
                </c:pt>
                <c:pt idx="2">
                  <c:v>146211823.06</c:v>
                </c:pt>
                <c:pt idx="3">
                  <c:v>181079425.00999999</c:v>
                </c:pt>
                <c:pt idx="4">
                  <c:v>216311844.66999999</c:v>
                </c:pt>
                <c:pt idx="5">
                  <c:v>203959239.86000001</c:v>
                </c:pt>
                <c:pt idx="6">
                  <c:v>239832718.65000001</c:v>
                </c:pt>
                <c:pt idx="7">
                  <c:v>227947813.31999999</c:v>
                </c:pt>
              </c:numCache>
            </c:numRef>
          </c:val>
          <c:smooth val="0"/>
          <c:extLst>
            <c:ext xmlns:c16="http://schemas.microsoft.com/office/drawing/2014/chart" uri="{C3380CC4-5D6E-409C-BE32-E72D297353CC}">
              <c16:uniqueId val="{00000004-5A18-4C1D-B1A1-0AC13246099D}"/>
            </c:ext>
          </c:extLst>
        </c:ser>
        <c:dLbls>
          <c:showLegendKey val="0"/>
          <c:showVal val="0"/>
          <c:showCatName val="0"/>
          <c:showSerName val="0"/>
          <c:showPercent val="0"/>
          <c:showBubbleSize val="0"/>
        </c:dLbls>
        <c:smooth val="0"/>
        <c:axId val="1140054224"/>
        <c:axId val="1140054704"/>
      </c:lineChart>
      <c:dateAx>
        <c:axId val="11400542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140054704"/>
        <c:crosses val="autoZero"/>
        <c:auto val="1"/>
        <c:lblOffset val="100"/>
        <c:baseTimeUnit val="months"/>
      </c:dateAx>
      <c:valAx>
        <c:axId val="1140054704"/>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140054224"/>
        <c:crosses val="autoZero"/>
        <c:crossBetween val="between"/>
      </c:valAx>
      <c:spPr>
        <a:noFill/>
        <a:ln>
          <a:noFill/>
        </a:ln>
        <a:effectLst/>
      </c:spPr>
    </c:plotArea>
    <c:legend>
      <c:legendPos val="r"/>
      <c:layout>
        <c:manualLayout>
          <c:xMode val="edge"/>
          <c:yMode val="edge"/>
          <c:x val="0.75205936530660933"/>
          <c:y val="0.28038740771438658"/>
          <c:w val="0.21642548317823909"/>
          <c:h val="0.54094027720219184"/>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419" sz="1200" b="1" i="0" u="none" strike="noStrike" baseline="0">
                <a:solidFill>
                  <a:srgbClr val="767171"/>
                </a:solidFill>
                <a:latin typeface="Times New Roman" panose="02020603050405020304" pitchFamily="18" charset="0"/>
                <a:cs typeface="Times New Roman" panose="02020603050405020304" pitchFamily="18" charset="0"/>
              </a:rPr>
              <a:t>Recaudo y  Pagos</a:t>
            </a:r>
          </a:p>
          <a:p>
            <a:pPr>
              <a:defRPr sz="1200" b="1">
                <a:solidFill>
                  <a:srgbClr val="767171"/>
                </a:solidFill>
                <a:latin typeface="Times New Roman" panose="02020603050405020304" pitchFamily="18" charset="0"/>
                <a:cs typeface="Times New Roman" panose="02020603050405020304" pitchFamily="18" charset="0"/>
              </a:defRPr>
            </a:pPr>
            <a:r>
              <a:rPr lang="es-419" sz="1200" b="1" i="0" u="none" strike="noStrike" baseline="0">
                <a:solidFill>
                  <a:srgbClr val="767171"/>
                </a:solidFill>
                <a:latin typeface="Times New Roman" panose="02020603050405020304" pitchFamily="18" charset="0"/>
                <a:cs typeface="Times New Roman" panose="02020603050405020304" pitchFamily="18" charset="0"/>
              </a:rPr>
              <a:t>(Ene - Ago 2025)</a:t>
            </a:r>
            <a:endParaRPr lang="es-419" sz="1200" b="1">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46371547475712638"/>
          <c:y val="3.2785672509234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SRL!$B$1</c:f>
              <c:strCache>
                <c:ptCount val="1"/>
                <c:pt idx="0">
                  <c:v>Total Transferencias de Recaudo Recibida</c:v>
                </c:pt>
              </c:strCache>
            </c:strRef>
          </c:tx>
          <c:spPr>
            <a:solidFill>
              <a:srgbClr val="002060"/>
            </a:solidFill>
            <a:ln>
              <a:noFill/>
            </a:ln>
            <a:effectLst/>
          </c:spPr>
          <c:invertIfNegative val="0"/>
          <c:cat>
            <c:strRef>
              <c:f>SRL!$A$2:$A$9</c:f>
              <c:strCache>
                <c:ptCount val="8"/>
                <c:pt idx="0">
                  <c:v>ene</c:v>
                </c:pt>
                <c:pt idx="1">
                  <c:v>feb</c:v>
                </c:pt>
                <c:pt idx="2">
                  <c:v>mar</c:v>
                </c:pt>
                <c:pt idx="3">
                  <c:v>abr</c:v>
                </c:pt>
                <c:pt idx="4">
                  <c:v>may</c:v>
                </c:pt>
                <c:pt idx="5">
                  <c:v>jun</c:v>
                </c:pt>
                <c:pt idx="6">
                  <c:v>jul</c:v>
                </c:pt>
                <c:pt idx="7">
                  <c:v>ago</c:v>
                </c:pt>
              </c:strCache>
            </c:strRef>
          </c:cat>
          <c:val>
            <c:numRef>
              <c:f>SRL!$B$2:$B$9</c:f>
              <c:numCache>
                <c:formatCode>_(* #,##0.00_);_(* \(#,##0.00\);_(* "-"??_);_(@_)</c:formatCode>
                <c:ptCount val="8"/>
                <c:pt idx="0">
                  <c:v>850219200.17999995</c:v>
                </c:pt>
                <c:pt idx="1">
                  <c:v>867405582.00999987</c:v>
                </c:pt>
                <c:pt idx="2">
                  <c:v>895044727.5</c:v>
                </c:pt>
                <c:pt idx="3">
                  <c:v>894603589.36000013</c:v>
                </c:pt>
                <c:pt idx="4">
                  <c:v>947812157.96000004</c:v>
                </c:pt>
                <c:pt idx="5">
                  <c:v>938528600.38000023</c:v>
                </c:pt>
                <c:pt idx="6">
                  <c:v>962033935.33999991</c:v>
                </c:pt>
                <c:pt idx="7">
                  <c:v>943760262.58000004</c:v>
                </c:pt>
              </c:numCache>
            </c:numRef>
          </c:val>
          <c:extLst>
            <c:ext xmlns:c16="http://schemas.microsoft.com/office/drawing/2014/chart" uri="{C3380CC4-5D6E-409C-BE32-E72D297353CC}">
              <c16:uniqueId val="{00000000-BE3E-4223-B9D0-38C30AFC61FC}"/>
            </c:ext>
          </c:extLst>
        </c:ser>
        <c:ser>
          <c:idx val="1"/>
          <c:order val="1"/>
          <c:tx>
            <c:strRef>
              <c:f>SRL!$C$1</c:f>
              <c:strCache>
                <c:ptCount val="1"/>
                <c:pt idx="0">
                  <c:v>Pagos a Entidades del SRL</c:v>
                </c:pt>
              </c:strCache>
            </c:strRef>
          </c:tx>
          <c:spPr>
            <a:solidFill>
              <a:srgbClr val="00B0F0"/>
            </a:solidFill>
            <a:ln>
              <a:noFill/>
            </a:ln>
            <a:effectLst/>
          </c:spPr>
          <c:invertIfNegative val="0"/>
          <c:cat>
            <c:strRef>
              <c:f>SRL!$A$2:$A$9</c:f>
              <c:strCache>
                <c:ptCount val="8"/>
                <c:pt idx="0">
                  <c:v>ene</c:v>
                </c:pt>
                <c:pt idx="1">
                  <c:v>feb</c:v>
                </c:pt>
                <c:pt idx="2">
                  <c:v>mar</c:v>
                </c:pt>
                <c:pt idx="3">
                  <c:v>abr</c:v>
                </c:pt>
                <c:pt idx="4">
                  <c:v>may</c:v>
                </c:pt>
                <c:pt idx="5">
                  <c:v>jun</c:v>
                </c:pt>
                <c:pt idx="6">
                  <c:v>jul</c:v>
                </c:pt>
                <c:pt idx="7">
                  <c:v>ago</c:v>
                </c:pt>
              </c:strCache>
            </c:strRef>
          </c:cat>
          <c:val>
            <c:numRef>
              <c:f>SRL!$C$2:$C$9</c:f>
              <c:numCache>
                <c:formatCode>_(* #,##0.00_);_(* \(#,##0.00\);_(* "-"??_);_(@_)</c:formatCode>
                <c:ptCount val="8"/>
                <c:pt idx="0">
                  <c:v>850219200.17999995</c:v>
                </c:pt>
                <c:pt idx="1">
                  <c:v>867405087.48999977</c:v>
                </c:pt>
                <c:pt idx="2">
                  <c:v>895044417.86000001</c:v>
                </c:pt>
                <c:pt idx="3">
                  <c:v>894603406.53999996</c:v>
                </c:pt>
                <c:pt idx="4">
                  <c:v>947811495.24000001</c:v>
                </c:pt>
                <c:pt idx="5">
                  <c:v>938528468.38000023</c:v>
                </c:pt>
                <c:pt idx="6">
                  <c:v>962033303.44000006</c:v>
                </c:pt>
                <c:pt idx="7">
                  <c:v>943760262.58000004</c:v>
                </c:pt>
              </c:numCache>
            </c:numRef>
          </c:val>
          <c:extLst>
            <c:ext xmlns:c16="http://schemas.microsoft.com/office/drawing/2014/chart" uri="{C3380CC4-5D6E-409C-BE32-E72D297353CC}">
              <c16:uniqueId val="{00000001-BE3E-4223-B9D0-38C30AFC61FC}"/>
            </c:ext>
          </c:extLst>
        </c:ser>
        <c:dLbls>
          <c:showLegendKey val="0"/>
          <c:showVal val="0"/>
          <c:showCatName val="0"/>
          <c:showSerName val="0"/>
          <c:showPercent val="0"/>
          <c:showBubbleSize val="0"/>
        </c:dLbls>
        <c:gapWidth val="219"/>
        <c:overlap val="-27"/>
        <c:axId val="929934832"/>
        <c:axId val="929930032"/>
      </c:barChart>
      <c:catAx>
        <c:axId val="929934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Algn val="ctr"/>
        <c:lblOffset val="100"/>
        <c:noMultiLvlLbl val="0"/>
      </c:cat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SRL!$C$13</c:f>
              <c:strCache>
                <c:ptCount val="1"/>
                <c:pt idx="0">
                  <c:v>%</c:v>
                </c:pt>
              </c:strCache>
            </c:strRef>
          </c:tx>
          <c:explosion val="5"/>
          <c:dPt>
            <c:idx val="0"/>
            <c:bubble3D val="0"/>
            <c:spPr>
              <a:solidFill>
                <a:srgbClr val="002060"/>
              </a:solidFill>
              <a:ln w="19050">
                <a:solidFill>
                  <a:schemeClr val="lt1"/>
                </a:solidFill>
              </a:ln>
              <a:effectLst/>
            </c:spPr>
            <c:extLst>
              <c:ext xmlns:c16="http://schemas.microsoft.com/office/drawing/2014/chart" uri="{C3380CC4-5D6E-409C-BE32-E72D297353CC}">
                <c16:uniqueId val="{00000001-4BDB-4C67-8D77-895EA8398C09}"/>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4BDB-4C67-8D77-895EA8398C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DB-4C67-8D77-895EA8398C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DB-4C67-8D77-895EA8398C09}"/>
              </c:ext>
            </c:extLst>
          </c:dPt>
          <c:dLbls>
            <c:dLbl>
              <c:idx val="1"/>
              <c:layout>
                <c:manualLayout>
                  <c:x val="2.9385918788532018E-2"/>
                  <c:y val="9.4160929883764524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fld id="{7B25780B-E7A0-484D-A6ED-66085FD7D13A}" type="VALUE">
                      <a:rPr lang="en-US" sz="800"/>
                      <a:pPr>
                        <a:defRPr b="1">
                          <a:solidFill>
                            <a:schemeClr val="bg1"/>
                          </a:solidFill>
                        </a:defRPr>
                      </a:pPr>
                      <a:t>[VALOR]</a:t>
                    </a:fld>
                    <a:endParaRPr lang="es-DO"/>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9.1402337228714506E-2"/>
                      <c:h val="6.0895388076490441E-2"/>
                    </c:manualLayout>
                  </c15:layout>
                  <c15:dlblFieldTable/>
                  <c15:showDataLabelsRange val="0"/>
                </c:ext>
                <c:ext xmlns:c16="http://schemas.microsoft.com/office/drawing/2014/chart" uri="{C3380CC4-5D6E-409C-BE32-E72D297353CC}">
                  <c16:uniqueId val="{00000003-4BDB-4C67-8D77-895EA8398C09}"/>
                </c:ext>
              </c:extLst>
            </c:dLbl>
            <c:dLbl>
              <c:idx val="2"/>
              <c:delete val="1"/>
              <c:extLst>
                <c:ext xmlns:c15="http://schemas.microsoft.com/office/drawing/2012/chart" uri="{CE6537A1-D6FC-4f65-9D91-7224C49458BB}"/>
                <c:ext xmlns:c16="http://schemas.microsoft.com/office/drawing/2014/chart" uri="{C3380CC4-5D6E-409C-BE32-E72D297353CC}">
                  <c16:uniqueId val="{00000005-4BDB-4C67-8D77-895EA8398C09}"/>
                </c:ext>
              </c:extLst>
            </c:dLbl>
            <c:dLbl>
              <c:idx val="3"/>
              <c:delete val="1"/>
              <c:extLst>
                <c:ext xmlns:c15="http://schemas.microsoft.com/office/drawing/2012/chart" uri="{CE6537A1-D6FC-4f65-9D91-7224C49458BB}"/>
                <c:ext xmlns:c16="http://schemas.microsoft.com/office/drawing/2014/chart" uri="{C3380CC4-5D6E-409C-BE32-E72D297353CC}">
                  <c16:uniqueId val="{00000007-4BDB-4C67-8D77-895EA8398C0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SRL!$A$14:$A$17</c:f>
              <c:strCache>
                <c:ptCount val="4"/>
                <c:pt idx="0">
                  <c:v>Prestaciones a Beneficiarios SRL Acumulado Año</c:v>
                </c:pt>
                <c:pt idx="1">
                  <c:v>Operación SISALRIL SRL Acumulado Año</c:v>
                </c:pt>
                <c:pt idx="2">
                  <c:v>Recargos SRL Acumulado Año</c:v>
                </c:pt>
                <c:pt idx="3">
                  <c:v>Intereses SRL Acumulado Año</c:v>
                </c:pt>
              </c:strCache>
            </c:strRef>
          </c:cat>
          <c:val>
            <c:numRef>
              <c:f>SRL!$C$14:$C$17</c:f>
              <c:numCache>
                <c:formatCode>0%</c:formatCode>
                <c:ptCount val="4"/>
                <c:pt idx="0">
                  <c:v>0.95770684329886357</c:v>
                </c:pt>
                <c:pt idx="1">
                  <c:v>4.1673596798319321E-2</c:v>
                </c:pt>
                <c:pt idx="2">
                  <c:v>6.1954602497479199E-4</c:v>
                </c:pt>
                <c:pt idx="3">
                  <c:v>1.3877842248025671E-8</c:v>
                </c:pt>
              </c:numCache>
            </c:numRef>
          </c:val>
          <c:extLst>
            <c:ext xmlns:c16="http://schemas.microsoft.com/office/drawing/2014/chart" uri="{C3380CC4-5D6E-409C-BE32-E72D297353CC}">
              <c16:uniqueId val="{00000008-4BDB-4C67-8D77-895EA8398C0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Entry>
      <c:legendEntry>
        <c:idx val="1"/>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Entry>
      <c:legendEntry>
        <c:idx val="2"/>
        <c:delete val="1"/>
      </c:legendEntry>
      <c:legendEntry>
        <c:idx val="3"/>
        <c:delete val="1"/>
      </c:legendEntry>
      <c:layout>
        <c:manualLayout>
          <c:xMode val="edge"/>
          <c:yMode val="edge"/>
          <c:x val="0.17284237173902323"/>
          <c:y val="0.78240123063294398"/>
          <c:w val="0.64318072975742335"/>
          <c:h val="0.1947937522632931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852262785333654"/>
          <c:y val="4.356243949661180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20417472671592768"/>
          <c:y val="0.15906873614190686"/>
          <c:w val="0.77016780054513712"/>
          <c:h val="0.64444366848822388"/>
        </c:manualLayout>
      </c:layout>
      <c:barChart>
        <c:barDir val="col"/>
        <c:grouping val="clustered"/>
        <c:varyColors val="0"/>
        <c:ser>
          <c:idx val="0"/>
          <c:order val="0"/>
          <c:tx>
            <c:strRef>
              <c:f>SRL!$I$24</c:f>
              <c:strCache>
                <c:ptCount val="1"/>
                <c:pt idx="0">
                  <c:v>Neto de Inversiones</c:v>
                </c:pt>
              </c:strCache>
            </c:strRef>
          </c:tx>
          <c:spPr>
            <a:solidFill>
              <a:srgbClr val="002060"/>
            </a:solidFill>
            <a:ln>
              <a:noFill/>
            </a:ln>
            <a:effectLst/>
          </c:spPr>
          <c:invertIfNegative val="0"/>
          <c:cat>
            <c:strRef>
              <c:f>SRL!$A$25:$A$32</c:f>
              <c:strCache>
                <c:ptCount val="8"/>
                <c:pt idx="0">
                  <c:v>ene</c:v>
                </c:pt>
                <c:pt idx="1">
                  <c:v>feb</c:v>
                </c:pt>
                <c:pt idx="2">
                  <c:v>mar</c:v>
                </c:pt>
                <c:pt idx="3">
                  <c:v>abr</c:v>
                </c:pt>
                <c:pt idx="4">
                  <c:v>may</c:v>
                </c:pt>
                <c:pt idx="5">
                  <c:v>jun</c:v>
                </c:pt>
                <c:pt idx="6">
                  <c:v>jul</c:v>
                </c:pt>
                <c:pt idx="7">
                  <c:v>ago</c:v>
                </c:pt>
              </c:strCache>
            </c:strRef>
          </c:cat>
          <c:val>
            <c:numRef>
              <c:f>SRL!$I$25:$I$32</c:f>
              <c:numCache>
                <c:formatCode>_(* #,##0.00_);_(* \(#,##0.00\);_(* "-"??_);_(@_)</c:formatCode>
                <c:ptCount val="8"/>
                <c:pt idx="0">
                  <c:v>63845222030.899994</c:v>
                </c:pt>
                <c:pt idx="1">
                  <c:v>63703628735.610001</c:v>
                </c:pt>
                <c:pt idx="2">
                  <c:v>65787528747.029999</c:v>
                </c:pt>
                <c:pt idx="3">
                  <c:v>65672210207.82</c:v>
                </c:pt>
                <c:pt idx="4">
                  <c:v>65599547717.240005</c:v>
                </c:pt>
                <c:pt idx="5">
                  <c:v>66916777771.25</c:v>
                </c:pt>
                <c:pt idx="6">
                  <c:v>68696561536.270004</c:v>
                </c:pt>
                <c:pt idx="7">
                  <c:v>69849769173</c:v>
                </c:pt>
              </c:numCache>
            </c:numRef>
          </c:val>
          <c:extLst>
            <c:ext xmlns:c16="http://schemas.microsoft.com/office/drawing/2014/chart" uri="{C3380CC4-5D6E-409C-BE32-E72D297353CC}">
              <c16:uniqueId val="{00000000-8D0A-4AC3-9B7A-1A78C2B106BE}"/>
            </c:ext>
          </c:extLst>
        </c:ser>
        <c:dLbls>
          <c:showLegendKey val="0"/>
          <c:showVal val="0"/>
          <c:showCatName val="0"/>
          <c:showSerName val="0"/>
          <c:showPercent val="0"/>
          <c:showBubbleSize val="0"/>
        </c:dLbls>
        <c:gapWidth val="219"/>
        <c:overlap val="-27"/>
        <c:axId val="929934832"/>
        <c:axId val="929930032"/>
      </c:barChart>
      <c:catAx>
        <c:axId val="929934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Algn val="ctr"/>
        <c:lblOffset val="100"/>
        <c:noMultiLvlLbl val="0"/>
      </c:cat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latin typeface="Franklin Gothic Book" panose="020B0503020102020204" pitchFamily="34" charset="0"/>
        </a:defRPr>
      </a:pPr>
      <a:endParaRPr lang="es-419"/>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DO" sz="1200" b="0">
                <a:solidFill>
                  <a:srgbClr val="767171"/>
                </a:solidFill>
                <a:effectLst/>
                <a:latin typeface="Times New Roman" panose="02020603050405020304" pitchFamily="18" charset="0"/>
                <a:cs typeface="Times New Roman" panose="02020603050405020304" pitchFamily="18" charset="0"/>
              </a:rPr>
              <a:t>Composición de la Inversión de las Reservas Técnicas y Participación de los Reaseguradores</a:t>
            </a:r>
            <a:endParaRPr lang="es-419" sz="1200" b="0">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419"/>
        </a:p>
      </c:txPr>
    </c:title>
    <c:autoTitleDeleted val="0"/>
    <c:plotArea>
      <c:layout/>
      <c:pieChart>
        <c:varyColors val="1"/>
        <c:ser>
          <c:idx val="0"/>
          <c:order val="0"/>
          <c:tx>
            <c:strRef>
              <c:f>SRL!$A$36</c:f>
              <c:strCache>
                <c:ptCount val="1"/>
                <c:pt idx="0">
                  <c:v>Promedio</c:v>
                </c:pt>
              </c:strCache>
            </c:strRef>
          </c:tx>
          <c:dPt>
            <c:idx val="0"/>
            <c:bubble3D val="0"/>
            <c:spPr>
              <a:solidFill>
                <a:schemeClr val="accent1">
                  <a:shade val="65000"/>
                </a:schemeClr>
              </a:solidFill>
              <a:ln>
                <a:noFill/>
              </a:ln>
              <a:effectLst/>
            </c:spPr>
            <c:extLst>
              <c:ext xmlns:c16="http://schemas.microsoft.com/office/drawing/2014/chart" uri="{C3380CC4-5D6E-409C-BE32-E72D297353CC}">
                <c16:uniqueId val="{00000001-47E2-4B46-B42B-7708241D7EFC}"/>
              </c:ext>
            </c:extLst>
          </c:dPt>
          <c:dPt>
            <c:idx val="1"/>
            <c:bubble3D val="0"/>
            <c:spPr>
              <a:solidFill>
                <a:schemeClr val="accent1"/>
              </a:solidFill>
              <a:ln>
                <a:noFill/>
              </a:ln>
              <a:effectLst/>
            </c:spPr>
            <c:extLst>
              <c:ext xmlns:c16="http://schemas.microsoft.com/office/drawing/2014/chart" uri="{C3380CC4-5D6E-409C-BE32-E72D297353CC}">
                <c16:uniqueId val="{00000003-47E2-4B46-B42B-7708241D7EFC}"/>
              </c:ext>
            </c:extLst>
          </c:dPt>
          <c:dPt>
            <c:idx val="2"/>
            <c:bubble3D val="0"/>
            <c:spPr>
              <a:solidFill>
                <a:schemeClr val="accent1">
                  <a:tint val="65000"/>
                </a:schemeClr>
              </a:solidFill>
              <a:ln>
                <a:noFill/>
              </a:ln>
              <a:effectLst/>
            </c:spPr>
            <c:extLst>
              <c:ext xmlns:c16="http://schemas.microsoft.com/office/drawing/2014/chart" uri="{C3380CC4-5D6E-409C-BE32-E72D297353CC}">
                <c16:uniqueId val="{00000005-47E2-4B46-B42B-7708241D7EF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SRL!$B$35:$D$35</c:f>
              <c:strCache>
                <c:ptCount val="3"/>
                <c:pt idx="0">
                  <c:v> Valores del Estado Dominicano </c:v>
                </c:pt>
                <c:pt idx="1">
                  <c:v>Instrumentos del Banco Central (Letras, Notas y Certificados)</c:v>
                </c:pt>
                <c:pt idx="2">
                  <c:v>Certificados y Depósitos a Plazo del Sistema Financiero</c:v>
                </c:pt>
              </c:strCache>
            </c:strRef>
          </c:cat>
          <c:val>
            <c:numRef>
              <c:f>SRL!$B$36:$D$36</c:f>
              <c:numCache>
                <c:formatCode>_(* #,##0.00_);_(* \(#,##0.00\);_(* "-"??_);_(@_)</c:formatCode>
                <c:ptCount val="3"/>
                <c:pt idx="0">
                  <c:v>37986953967.868744</c:v>
                </c:pt>
                <c:pt idx="1">
                  <c:v>20070231822.918747</c:v>
                </c:pt>
                <c:pt idx="2">
                  <c:v>2805000000</c:v>
                </c:pt>
              </c:numCache>
            </c:numRef>
          </c:val>
          <c:extLst>
            <c:ext xmlns:c16="http://schemas.microsoft.com/office/drawing/2014/chart" uri="{C3380CC4-5D6E-409C-BE32-E72D297353CC}">
              <c16:uniqueId val="{00000006-47E2-4B46-B42B-7708241D7EF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577761187722733"/>
          <c:y val="0.29588020505701251"/>
          <c:w val="0.39497604000665448"/>
          <c:h val="0.65482664810990843"/>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1">
                <a:solidFill>
                  <a:srgbClr val="767171"/>
                </a:solidFill>
                <a:effectLst/>
                <a:latin typeface="Times New Roman" panose="02020603050405020304" pitchFamily="18" charset="0"/>
                <a:cs typeface="Times New Roman" panose="02020603050405020304" pitchFamily="18" charset="0"/>
              </a:rPr>
              <a:t>Distribución de Certificados de Depósito por Institución Financiera</a:t>
            </a:r>
            <a:endParaRPr lang="es-419" sz="1200" b="1">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SRL!$A$63</c:f>
              <c:strCache>
                <c:ptCount val="1"/>
                <c:pt idx="0">
                  <c:v>Promedio</c:v>
                </c:pt>
              </c:strCache>
            </c:strRef>
          </c:tx>
          <c:dPt>
            <c:idx val="0"/>
            <c:bubble3D val="0"/>
            <c:spPr>
              <a:solidFill>
                <a:schemeClr val="accent1">
                  <a:shade val="76000"/>
                </a:schemeClr>
              </a:solidFill>
              <a:ln>
                <a:noFill/>
              </a:ln>
              <a:effectLst/>
            </c:spPr>
            <c:extLst>
              <c:ext xmlns:c16="http://schemas.microsoft.com/office/drawing/2014/chart" uri="{C3380CC4-5D6E-409C-BE32-E72D297353CC}">
                <c16:uniqueId val="{00000001-E8A1-45B3-8D22-64E5597D88DE}"/>
              </c:ext>
            </c:extLst>
          </c:dPt>
          <c:dPt>
            <c:idx val="1"/>
            <c:bubble3D val="0"/>
            <c:spPr>
              <a:solidFill>
                <a:schemeClr val="accent1">
                  <a:tint val="77000"/>
                </a:schemeClr>
              </a:solidFill>
              <a:ln>
                <a:noFill/>
              </a:ln>
              <a:effectLst/>
            </c:spPr>
            <c:extLst>
              <c:ext xmlns:c16="http://schemas.microsoft.com/office/drawing/2014/chart" uri="{C3380CC4-5D6E-409C-BE32-E72D297353CC}">
                <c16:uniqueId val="{00000003-E8A1-45B3-8D22-64E5597D88D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SRL!$B$62:$C$62</c:f>
              <c:strCache>
                <c:ptCount val="2"/>
                <c:pt idx="0">
                  <c:v>BanReservas</c:v>
                </c:pt>
                <c:pt idx="1">
                  <c:v>Banco Nacional de Fomento de la Vivienda y la Producción (BNV)</c:v>
                </c:pt>
              </c:strCache>
            </c:strRef>
          </c:cat>
          <c:val>
            <c:numRef>
              <c:f>SRL!$B$63:$C$63</c:f>
              <c:numCache>
                <c:formatCode>_(* #,##0.00_);_(* \(#,##0.00\);_(* "-"??_);_(@_)</c:formatCode>
                <c:ptCount val="2"/>
                <c:pt idx="0">
                  <c:v>105000000</c:v>
                </c:pt>
                <c:pt idx="1">
                  <c:v>2700000000</c:v>
                </c:pt>
              </c:numCache>
            </c:numRef>
          </c:val>
          <c:extLst>
            <c:ext xmlns:c16="http://schemas.microsoft.com/office/drawing/2014/chart" uri="{C3380CC4-5D6E-409C-BE32-E72D297353CC}">
              <c16:uniqueId val="{00000004-E8A1-45B3-8D22-64E5597D88D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57775418579403"/>
          <c:y val="0.17466800799755938"/>
          <c:w val="0.39497604000665448"/>
          <c:h val="0.654826648109908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419" sz="1200" b="0" i="0" u="none" strike="noStrike" baseline="0">
                <a:solidFill>
                  <a:srgbClr val="767171"/>
                </a:solidFill>
                <a:latin typeface="Times New Roman" panose="02020603050405020304" pitchFamily="18" charset="0"/>
                <a:cs typeface="Times New Roman" panose="02020603050405020304" pitchFamily="18" charset="0"/>
              </a:rPr>
              <a:t>Disponibilidad de la Cuenta del Cuidado de la Salud del RC</a:t>
            </a:r>
          </a:p>
          <a:p>
            <a:pPr algn="ctr">
              <a:defRPr sz="1200">
                <a:solidFill>
                  <a:schemeClr val="tx1"/>
                </a:solidFill>
                <a:latin typeface="Times New Roman" panose="02020603050405020304" pitchFamily="18" charset="0"/>
                <a:cs typeface="Times New Roman" panose="02020603050405020304" pitchFamily="18" charset="0"/>
              </a:defRPr>
            </a:pPr>
            <a:r>
              <a:rPr lang="es-419" sz="1200" b="0" i="0" u="none" strike="noStrike" baseline="0">
                <a:solidFill>
                  <a:srgbClr val="767171"/>
                </a:solidFill>
                <a:latin typeface="Times New Roman" panose="02020603050405020304" pitchFamily="18" charset="0"/>
                <a:cs typeface="Times New Roman" panose="02020603050405020304" pitchFamily="18" charset="0"/>
              </a:rPr>
              <a:t>(Ene - Ago 2025)</a:t>
            </a:r>
            <a:endParaRPr lang="es-419" sz="1200" b="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2221173014998834"/>
          <c:y val="4.8124629582592504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'CSP - RC'!$B$2</c:f>
              <c:strCache>
                <c:ptCount val="1"/>
                <c:pt idx="0">
                  <c:v>Disponibilidad </c:v>
                </c:pt>
              </c:strCache>
            </c:strRef>
          </c:tx>
          <c:spPr>
            <a:solidFill>
              <a:srgbClr val="002060"/>
            </a:solidFill>
            <a:ln>
              <a:noFill/>
            </a:ln>
            <a:effectLst/>
          </c:spPr>
          <c:invertIfNegative val="0"/>
          <c:cat>
            <c:numRef>
              <c:f>'CSP - RC'!$A$3:$A$10</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RC'!$B$3:$B$10</c:f>
              <c:numCache>
                <c:formatCode>_(* #,##0.00_);_(* \(#,##0.00\);_(* "-"??_);_(@_)</c:formatCode>
                <c:ptCount val="8"/>
                <c:pt idx="0">
                  <c:v>2552186505.2759843</c:v>
                </c:pt>
                <c:pt idx="1">
                  <c:v>2599021371.7259831</c:v>
                </c:pt>
                <c:pt idx="2">
                  <c:v>2775200673.6059799</c:v>
                </c:pt>
                <c:pt idx="3">
                  <c:v>2705116795.0159845</c:v>
                </c:pt>
                <c:pt idx="4">
                  <c:v>3256479501.8959842</c:v>
                </c:pt>
                <c:pt idx="5">
                  <c:v>3722441465.29</c:v>
                </c:pt>
                <c:pt idx="6">
                  <c:v>4355429466.6400003</c:v>
                </c:pt>
                <c:pt idx="7">
                  <c:v>4875519037.5699997</c:v>
                </c:pt>
              </c:numCache>
            </c:numRef>
          </c:val>
          <c:extLst>
            <c:ext xmlns:c16="http://schemas.microsoft.com/office/drawing/2014/chart" uri="{C3380CC4-5D6E-409C-BE32-E72D297353CC}">
              <c16:uniqueId val="{00000000-6B04-4EBC-9D26-DA17EEE0A092}"/>
            </c:ext>
          </c:extLst>
        </c:ser>
        <c:dLbls>
          <c:showLegendKey val="0"/>
          <c:showVal val="0"/>
          <c:showCatName val="0"/>
          <c:showSerName val="0"/>
          <c:showPercent val="0"/>
          <c:showBubbleSize val="0"/>
        </c:dLbls>
        <c:gapWidth val="219"/>
        <c:overlap val="-27"/>
        <c:axId val="929934832"/>
        <c:axId val="929930032"/>
      </c:barChart>
      <c:lineChart>
        <c:grouping val="standard"/>
        <c:varyColors val="0"/>
        <c:ser>
          <c:idx val="1"/>
          <c:order val="1"/>
          <c:tx>
            <c:strRef>
              <c:f>'CSP - RC'!$C$2</c:f>
              <c:strCache>
                <c:ptCount val="1"/>
                <c:pt idx="0">
                  <c:v>Variación %</c:v>
                </c:pt>
              </c:strCache>
            </c:strRef>
          </c:tx>
          <c:spPr>
            <a:ln w="28575" cap="rnd">
              <a:solidFill>
                <a:srgbClr val="FFC000"/>
              </a:solidFill>
              <a:round/>
            </a:ln>
            <a:effectLst/>
          </c:spPr>
          <c:marker>
            <c:symbol val="none"/>
          </c:marker>
          <c:dLbls>
            <c:dLbl>
              <c:idx val="3"/>
              <c:layout>
                <c:manualLayout>
                  <c:x val="-4.7985648773284068E-2"/>
                  <c:y val="-1.1343203158970212E-2"/>
                </c:manualLayout>
              </c:layout>
              <c:spPr>
                <a:solidFill>
                  <a:srgbClr val="FFC000"/>
                </a:solid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s-419"/>
                </a:p>
              </c:txPr>
              <c:showLegendKey val="0"/>
              <c:showVal val="1"/>
              <c:showCatName val="0"/>
              <c:showSerName val="0"/>
              <c:showPercent val="0"/>
              <c:showBubbleSize val="0"/>
              <c:extLst>
                <c:ext xmlns:c15="http://schemas.microsoft.com/office/drawing/2012/chart" uri="{CE6537A1-D6FC-4f65-9D91-7224C49458BB}">
                  <c15:layout>
                    <c:manualLayout>
                      <c:w val="9.2934819820490275E-2"/>
                      <c:h val="9.1433409533485735E-2"/>
                    </c:manualLayout>
                  </c15:layout>
                </c:ext>
                <c:ext xmlns:c16="http://schemas.microsoft.com/office/drawing/2014/chart" uri="{C3380CC4-5D6E-409C-BE32-E72D297353CC}">
                  <c16:uniqueId val="{00000001-6B04-4EBC-9D26-DA17EEE0A092}"/>
                </c:ext>
              </c:extLst>
            </c:dLbl>
            <c:dLbl>
              <c:idx val="4"/>
              <c:layout>
                <c:manualLayout>
                  <c:x val="-3.9870557923524626E-2"/>
                  <c:y val="-3.4563803126392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04-4EBC-9D26-DA17EEE0A092}"/>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 - RC'!$A$3:$A$10</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RC'!$C$3:$C$10</c:f>
              <c:numCache>
                <c:formatCode>0.00%</c:formatCode>
                <c:ptCount val="8"/>
                <c:pt idx="1">
                  <c:v>1.8350879276722097E-2</c:v>
                </c:pt>
                <c:pt idx="2">
                  <c:v>6.7786784593848085E-2</c:v>
                </c:pt>
                <c:pt idx="3">
                  <c:v>-2.5253625532935361E-2</c:v>
                </c:pt>
                <c:pt idx="4">
                  <c:v>0.20382214472064658</c:v>
                </c:pt>
                <c:pt idx="5">
                  <c:v>0.14308763900485905</c:v>
                </c:pt>
                <c:pt idx="6">
                  <c:v>0.17004646204710352</c:v>
                </c:pt>
                <c:pt idx="7">
                  <c:v>0.11941177670619538</c:v>
                </c:pt>
              </c:numCache>
            </c:numRef>
          </c:val>
          <c:smooth val="0"/>
          <c:extLst>
            <c:ext xmlns:c16="http://schemas.microsoft.com/office/drawing/2014/chart" uri="{C3380CC4-5D6E-409C-BE32-E72D297353CC}">
              <c16:uniqueId val="{00000003-6B04-4EBC-9D26-DA17EEE0A092}"/>
            </c:ext>
          </c:extLst>
        </c:ser>
        <c:dLbls>
          <c:showLegendKey val="0"/>
          <c:showVal val="0"/>
          <c:showCatName val="0"/>
          <c:showSerName val="0"/>
          <c:showPercent val="0"/>
          <c:showBubbleSize val="0"/>
        </c:dLbls>
        <c:marker val="1"/>
        <c:smooth val="0"/>
        <c:axId val="929933392"/>
        <c:axId val="929932912"/>
      </c:lineChart>
      <c:dateAx>
        <c:axId val="92993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Offset val="100"/>
        <c:baseTimeUnit val="months"/>
      </c:date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valAx>
        <c:axId val="929932912"/>
        <c:scaling>
          <c:orientation val="minMax"/>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3392"/>
        <c:crosses val="max"/>
        <c:crossBetween val="between"/>
      </c:valAx>
      <c:dateAx>
        <c:axId val="929933392"/>
        <c:scaling>
          <c:orientation val="minMax"/>
        </c:scaling>
        <c:delete val="1"/>
        <c:axPos val="b"/>
        <c:numFmt formatCode="mmm\-yy" sourceLinked="1"/>
        <c:majorTickMark val="out"/>
        <c:minorTickMark val="none"/>
        <c:tickLblPos val="nextTo"/>
        <c:crossAx val="92993291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419">
                <a:solidFill>
                  <a:srgbClr val="767170"/>
                </a:solidFill>
              </a:rPr>
              <a:t>Recuado y  Pagos</a:t>
            </a:r>
          </a:p>
          <a:p>
            <a:pPr>
              <a:defRPr/>
            </a:pPr>
            <a:r>
              <a:rPr lang="es-419">
                <a:solidFill>
                  <a:srgbClr val="767170"/>
                </a:solidFill>
              </a:rPr>
              <a:t>(Ene - Ago 2025)</a:t>
            </a:r>
          </a:p>
        </c:rich>
      </c:tx>
      <c:layout>
        <c:manualLayout>
          <c:xMode val="edge"/>
          <c:yMode val="edge"/>
          <c:x val="0.46371547475712638"/>
          <c:y val="3.278567250923428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'CSP - RC'!$B$21</c:f>
              <c:strCache>
                <c:ptCount val="1"/>
                <c:pt idx="0">
                  <c:v>Recuado</c:v>
                </c:pt>
              </c:strCache>
            </c:strRef>
          </c:tx>
          <c:spPr>
            <a:solidFill>
              <a:srgbClr val="002060"/>
            </a:solidFill>
            <a:ln>
              <a:solidFill>
                <a:srgbClr val="002060"/>
              </a:solidFill>
            </a:ln>
            <a:effectLst/>
          </c:spPr>
          <c:invertIfNegative val="0"/>
          <c:cat>
            <c:numRef>
              <c:f>'CSP - RC'!$A$22:$A$29</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RC'!$B$22:$B$29</c:f>
              <c:numCache>
                <c:formatCode>_(* #,##0.00_);_(* \(#,##0.00\);_(* "-"??_);_(@_)</c:formatCode>
                <c:ptCount val="8"/>
                <c:pt idx="0">
                  <c:v>8051181611.8300009</c:v>
                </c:pt>
                <c:pt idx="1">
                  <c:v>8256699371.8800001</c:v>
                </c:pt>
                <c:pt idx="2">
                  <c:v>8474408385.2299995</c:v>
                </c:pt>
                <c:pt idx="3">
                  <c:v>8450685656.4300013</c:v>
                </c:pt>
                <c:pt idx="4">
                  <c:v>8862650256.0400009</c:v>
                </c:pt>
                <c:pt idx="5">
                  <c:v>8758523260.6800003</c:v>
                </c:pt>
                <c:pt idx="6">
                  <c:v>8979711129.7800007</c:v>
                </c:pt>
                <c:pt idx="7">
                  <c:v>8803496925.5599995</c:v>
                </c:pt>
              </c:numCache>
            </c:numRef>
          </c:val>
          <c:extLst>
            <c:ext xmlns:c16="http://schemas.microsoft.com/office/drawing/2014/chart" uri="{C3380CC4-5D6E-409C-BE32-E72D297353CC}">
              <c16:uniqueId val="{00000000-EE5F-4F6A-890B-AC8D7AAC0507}"/>
            </c:ext>
          </c:extLst>
        </c:ser>
        <c:ser>
          <c:idx val="1"/>
          <c:order val="1"/>
          <c:tx>
            <c:strRef>
              <c:f>'CSP - RC'!$D$21</c:f>
              <c:strCache>
                <c:ptCount val="1"/>
                <c:pt idx="0">
                  <c:v>Pagos </c:v>
                </c:pt>
              </c:strCache>
            </c:strRef>
          </c:tx>
          <c:spPr>
            <a:solidFill>
              <a:srgbClr val="00B0F0"/>
            </a:solidFill>
            <a:ln>
              <a:noFill/>
            </a:ln>
            <a:effectLst/>
          </c:spPr>
          <c:invertIfNegative val="0"/>
          <c:cat>
            <c:numRef>
              <c:f>'CSP - RC'!$A$22:$A$29</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RC'!$D$22:$D$29</c:f>
              <c:numCache>
                <c:formatCode>_(* #,##0.00_);_(* \(#,##0.00\);_(* "-"??_);_(@_)</c:formatCode>
                <c:ptCount val="8"/>
                <c:pt idx="0">
                  <c:v>7787410965.1000004</c:v>
                </c:pt>
                <c:pt idx="1">
                  <c:v>7779853524.1800003</c:v>
                </c:pt>
                <c:pt idx="2">
                  <c:v>7846994391.5099993</c:v>
                </c:pt>
                <c:pt idx="3">
                  <c:v>7845353255.8900003</c:v>
                </c:pt>
                <c:pt idx="4">
                  <c:v>7865439835.8599997</c:v>
                </c:pt>
                <c:pt idx="5">
                  <c:v>7870773108.7600002</c:v>
                </c:pt>
                <c:pt idx="6">
                  <c:v>7905536902.1199999</c:v>
                </c:pt>
                <c:pt idx="7">
                  <c:v>7861493933.4700003</c:v>
                </c:pt>
              </c:numCache>
            </c:numRef>
          </c:val>
          <c:extLst>
            <c:ext xmlns:c16="http://schemas.microsoft.com/office/drawing/2014/chart" uri="{C3380CC4-5D6E-409C-BE32-E72D297353CC}">
              <c16:uniqueId val="{00000001-EE5F-4F6A-890B-AC8D7AAC0507}"/>
            </c:ext>
          </c:extLst>
        </c:ser>
        <c:dLbls>
          <c:showLegendKey val="0"/>
          <c:showVal val="0"/>
          <c:showCatName val="0"/>
          <c:showSerName val="0"/>
          <c:showPercent val="0"/>
          <c:showBubbleSize val="0"/>
        </c:dLbls>
        <c:gapWidth val="219"/>
        <c:overlap val="-27"/>
        <c:axId val="929934832"/>
        <c:axId val="929930032"/>
      </c:barChart>
      <c:dateAx>
        <c:axId val="92993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Offset val="100"/>
        <c:baseTimeUnit val="months"/>
      </c:date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0"/>
                </a:solidFill>
                <a:latin typeface="Times New Roman" panose="02020603050405020304" pitchFamily="18" charset="0"/>
                <a:ea typeface="+mn-ea"/>
                <a:cs typeface="Times New Roman" panose="02020603050405020304" pitchFamily="18" charset="0"/>
              </a:defRPr>
            </a:pPr>
            <a:r>
              <a:rPr lang="es-419" sz="1200">
                <a:solidFill>
                  <a:srgbClr val="767170"/>
                </a:solidFill>
              </a:rPr>
              <a:t>Neto de Inversiones</a:t>
            </a:r>
          </a:p>
          <a:p>
            <a:pPr>
              <a:defRPr sz="1200">
                <a:solidFill>
                  <a:srgbClr val="767170"/>
                </a:solidFill>
              </a:defRPr>
            </a:pPr>
            <a:r>
              <a:rPr lang="es-419" sz="1200">
                <a:solidFill>
                  <a:srgbClr val="767170"/>
                </a:solidFill>
              </a:rPr>
              <a:t>(Ene - Ago 2025)</a:t>
            </a:r>
          </a:p>
        </c:rich>
      </c:tx>
      <c:layout>
        <c:manualLayout>
          <c:xMode val="edge"/>
          <c:yMode val="edge"/>
          <c:x val="0.40614946164251697"/>
          <c:y val="4.812453832492495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0"/>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'CSP - RC'!$B$33</c:f>
              <c:strCache>
                <c:ptCount val="1"/>
                <c:pt idx="0">
                  <c:v>Inversiones</c:v>
                </c:pt>
              </c:strCache>
            </c:strRef>
          </c:tx>
          <c:spPr>
            <a:solidFill>
              <a:srgbClr val="002060"/>
            </a:solidFill>
            <a:ln>
              <a:noFill/>
            </a:ln>
            <a:effectLst/>
          </c:spPr>
          <c:invertIfNegative val="0"/>
          <c:cat>
            <c:numRef>
              <c:f>'CSP - RC'!$A$34:$A$41</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RC'!$B$34:$B$41</c:f>
              <c:numCache>
                <c:formatCode>_(* #,##0.00_);_(* \(#,##0.00\);_(* "-"??_);_(@_)</c:formatCode>
                <c:ptCount val="8"/>
                <c:pt idx="0">
                  <c:v>2160448107.9400001</c:v>
                </c:pt>
                <c:pt idx="1">
                  <c:v>2260448106.1700001</c:v>
                </c:pt>
                <c:pt idx="2">
                  <c:v>2260448106.1700001</c:v>
                </c:pt>
                <c:pt idx="3">
                  <c:v>2410445121.96</c:v>
                </c:pt>
                <c:pt idx="4">
                  <c:v>2510440478.9000001</c:v>
                </c:pt>
                <c:pt idx="5">
                  <c:v>2910432961.21</c:v>
                </c:pt>
                <c:pt idx="6">
                  <c:v>3810429070.1399999</c:v>
                </c:pt>
                <c:pt idx="7">
                  <c:v>3960412118.75</c:v>
                </c:pt>
              </c:numCache>
            </c:numRef>
          </c:val>
          <c:extLst>
            <c:ext xmlns:c16="http://schemas.microsoft.com/office/drawing/2014/chart" uri="{C3380CC4-5D6E-409C-BE32-E72D297353CC}">
              <c16:uniqueId val="{00000000-B6D4-4D74-BD7F-BBE61CBAE2F4}"/>
            </c:ext>
          </c:extLst>
        </c:ser>
        <c:dLbls>
          <c:showLegendKey val="0"/>
          <c:showVal val="0"/>
          <c:showCatName val="0"/>
          <c:showSerName val="0"/>
          <c:showPercent val="0"/>
          <c:showBubbleSize val="0"/>
        </c:dLbls>
        <c:gapWidth val="219"/>
        <c:overlap val="-27"/>
        <c:axId val="929934832"/>
        <c:axId val="929930032"/>
      </c:barChart>
      <c:lineChart>
        <c:grouping val="standard"/>
        <c:varyColors val="0"/>
        <c:ser>
          <c:idx val="1"/>
          <c:order val="1"/>
          <c:tx>
            <c:strRef>
              <c:f>'CSP - RC'!$C$33</c:f>
              <c:strCache>
                <c:ptCount val="1"/>
                <c:pt idx="0">
                  <c:v>Variación %</c:v>
                </c:pt>
              </c:strCache>
            </c:strRef>
          </c:tx>
          <c:spPr>
            <a:ln w="28575" cap="rnd">
              <a:solidFill>
                <a:srgbClr val="FFC000"/>
              </a:solidFill>
              <a:round/>
            </a:ln>
            <a:effectLst/>
          </c:spPr>
          <c:marker>
            <c:symbol val="none"/>
          </c:marker>
          <c:cat>
            <c:numRef>
              <c:f>'CSP - RC'!$A$34:$A$41</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RC'!$C$34:$C$41</c:f>
              <c:numCache>
                <c:formatCode>0.0%</c:formatCode>
                <c:ptCount val="8"/>
                <c:pt idx="1">
                  <c:v>4.6286692960818485E-2</c:v>
                </c:pt>
                <c:pt idx="2">
                  <c:v>0</c:v>
                </c:pt>
                <c:pt idx="3">
                  <c:v>6.6357203857313071E-2</c:v>
                </c:pt>
                <c:pt idx="4">
                  <c:v>4.1484187310056264E-2</c:v>
                </c:pt>
                <c:pt idx="5">
                  <c:v>0.1593315936672853</c:v>
                </c:pt>
                <c:pt idx="6">
                  <c:v>0.30923100477663307</c:v>
                </c:pt>
                <c:pt idx="7">
                  <c:v>3.9361196823036404E-2</c:v>
                </c:pt>
              </c:numCache>
            </c:numRef>
          </c:val>
          <c:smooth val="0"/>
          <c:extLst>
            <c:ext xmlns:c16="http://schemas.microsoft.com/office/drawing/2014/chart" uri="{C3380CC4-5D6E-409C-BE32-E72D297353CC}">
              <c16:uniqueId val="{00000001-B6D4-4D74-BD7F-BBE61CBAE2F4}"/>
            </c:ext>
          </c:extLst>
        </c:ser>
        <c:dLbls>
          <c:showLegendKey val="0"/>
          <c:showVal val="0"/>
          <c:showCatName val="0"/>
          <c:showSerName val="0"/>
          <c:showPercent val="0"/>
          <c:showBubbleSize val="0"/>
        </c:dLbls>
        <c:marker val="1"/>
        <c:smooth val="0"/>
        <c:axId val="929933392"/>
        <c:axId val="929932912"/>
      </c:lineChart>
      <c:dateAx>
        <c:axId val="92993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Offset val="100"/>
        <c:baseTimeUnit val="months"/>
      </c:dateAx>
      <c:valAx>
        <c:axId val="92993003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929934832"/>
        <c:crosses val="autoZero"/>
        <c:crossBetween val="between"/>
      </c:valAx>
      <c:valAx>
        <c:axId val="929932912"/>
        <c:scaling>
          <c:orientation val="minMax"/>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929933392"/>
        <c:crosses val="max"/>
        <c:crossBetween val="between"/>
      </c:valAx>
      <c:dateAx>
        <c:axId val="929933392"/>
        <c:scaling>
          <c:orientation val="minMax"/>
        </c:scaling>
        <c:delete val="1"/>
        <c:axPos val="b"/>
        <c:numFmt formatCode="mmm\-yy" sourceLinked="1"/>
        <c:majorTickMark val="out"/>
        <c:minorTickMark val="none"/>
        <c:tickLblPos val="nextTo"/>
        <c:crossAx val="92993291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419" sz="1050" b="0" i="0" u="none" strike="noStrike" baseline="0">
                <a:solidFill>
                  <a:srgbClr val="767171"/>
                </a:solidFill>
                <a:latin typeface="Times New Roman" panose="02020603050405020304" pitchFamily="18" charset="0"/>
                <a:cs typeface="Times New Roman" panose="02020603050405020304" pitchFamily="18" charset="0"/>
              </a:rPr>
              <a:t>Distribución del Total de Inversiones por Entidad Financiera </a:t>
            </a:r>
          </a:p>
          <a:p>
            <a:pPr>
              <a:defRPr sz="1050">
                <a:solidFill>
                  <a:schemeClr val="tx1"/>
                </a:solidFill>
                <a:latin typeface="Times New Roman" panose="02020603050405020304" pitchFamily="18" charset="0"/>
                <a:cs typeface="Times New Roman" panose="02020603050405020304" pitchFamily="18" charset="0"/>
              </a:defRPr>
            </a:pPr>
            <a:r>
              <a:rPr lang="es-419" sz="1050" b="0" i="0" u="none" strike="noStrike" baseline="0">
                <a:solidFill>
                  <a:srgbClr val="767171"/>
                </a:solidFill>
                <a:latin typeface="Times New Roman" panose="02020603050405020304" pitchFamily="18" charset="0"/>
                <a:cs typeface="Times New Roman" panose="02020603050405020304" pitchFamily="18" charset="0"/>
              </a:rPr>
              <a:t>(Ago 2025)</a:t>
            </a:r>
            <a:endParaRPr lang="es-419" sz="1050" b="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22613636363636364"/>
          <c:y val="3.3302754631399228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3333399339504812"/>
          <c:y val="0.20280254371108836"/>
          <c:w val="0.40087267054861769"/>
          <c:h val="0.73261812276671112"/>
        </c:manualLayout>
      </c:layout>
      <c:pieChart>
        <c:varyColors val="1"/>
        <c:ser>
          <c:idx val="0"/>
          <c:order val="0"/>
          <c:tx>
            <c:strRef>
              <c:f>'CSP - RC'!$J$44</c:f>
              <c:strCache>
                <c:ptCount val="1"/>
                <c:pt idx="0">
                  <c:v>% del total </c:v>
                </c:pt>
              </c:strCache>
            </c:strRef>
          </c:tx>
          <c:dPt>
            <c:idx val="0"/>
            <c:bubble3D val="0"/>
            <c:spPr>
              <a:solidFill>
                <a:schemeClr val="accent1">
                  <a:shade val="41000"/>
                </a:schemeClr>
              </a:solidFill>
              <a:ln>
                <a:noFill/>
              </a:ln>
              <a:effectLst/>
            </c:spPr>
            <c:extLst>
              <c:ext xmlns:c16="http://schemas.microsoft.com/office/drawing/2014/chart" uri="{C3380CC4-5D6E-409C-BE32-E72D297353CC}">
                <c16:uniqueId val="{00000001-8933-4141-9AD6-4C3323831902}"/>
              </c:ext>
            </c:extLst>
          </c:dPt>
          <c:dPt>
            <c:idx val="1"/>
            <c:bubble3D val="0"/>
            <c:spPr>
              <a:solidFill>
                <a:schemeClr val="accent1">
                  <a:shade val="53000"/>
                </a:schemeClr>
              </a:solidFill>
              <a:ln>
                <a:noFill/>
              </a:ln>
              <a:effectLst/>
            </c:spPr>
            <c:extLst>
              <c:ext xmlns:c16="http://schemas.microsoft.com/office/drawing/2014/chart" uri="{C3380CC4-5D6E-409C-BE32-E72D297353CC}">
                <c16:uniqueId val="{00000003-8933-4141-9AD6-4C3323831902}"/>
              </c:ext>
            </c:extLst>
          </c:dPt>
          <c:dPt>
            <c:idx val="2"/>
            <c:bubble3D val="0"/>
            <c:spPr>
              <a:solidFill>
                <a:schemeClr val="accent1">
                  <a:shade val="65000"/>
                </a:schemeClr>
              </a:solidFill>
              <a:ln>
                <a:noFill/>
              </a:ln>
              <a:effectLst/>
            </c:spPr>
            <c:extLst>
              <c:ext xmlns:c16="http://schemas.microsoft.com/office/drawing/2014/chart" uri="{C3380CC4-5D6E-409C-BE32-E72D297353CC}">
                <c16:uniqueId val="{00000005-8933-4141-9AD6-4C3323831902}"/>
              </c:ext>
            </c:extLst>
          </c:dPt>
          <c:dPt>
            <c:idx val="3"/>
            <c:bubble3D val="0"/>
            <c:spPr>
              <a:solidFill>
                <a:schemeClr val="accent1">
                  <a:shade val="76000"/>
                </a:schemeClr>
              </a:solidFill>
              <a:ln>
                <a:noFill/>
              </a:ln>
              <a:effectLst/>
            </c:spPr>
            <c:extLst>
              <c:ext xmlns:c16="http://schemas.microsoft.com/office/drawing/2014/chart" uri="{C3380CC4-5D6E-409C-BE32-E72D297353CC}">
                <c16:uniqueId val="{00000007-8933-4141-9AD6-4C3323831902}"/>
              </c:ext>
            </c:extLst>
          </c:dPt>
          <c:dPt>
            <c:idx val="4"/>
            <c:bubble3D val="0"/>
            <c:spPr>
              <a:solidFill>
                <a:schemeClr val="accent1">
                  <a:shade val="88000"/>
                </a:schemeClr>
              </a:solidFill>
              <a:ln>
                <a:noFill/>
              </a:ln>
              <a:effectLst/>
            </c:spPr>
            <c:extLst>
              <c:ext xmlns:c16="http://schemas.microsoft.com/office/drawing/2014/chart" uri="{C3380CC4-5D6E-409C-BE32-E72D297353CC}">
                <c16:uniqueId val="{00000009-8933-4141-9AD6-4C3323831902}"/>
              </c:ext>
            </c:extLst>
          </c:dPt>
          <c:dPt>
            <c:idx val="5"/>
            <c:bubble3D val="0"/>
            <c:spPr>
              <a:solidFill>
                <a:schemeClr val="accent1"/>
              </a:solidFill>
              <a:ln>
                <a:noFill/>
              </a:ln>
              <a:effectLst/>
            </c:spPr>
            <c:extLst>
              <c:ext xmlns:c16="http://schemas.microsoft.com/office/drawing/2014/chart" uri="{C3380CC4-5D6E-409C-BE32-E72D297353CC}">
                <c16:uniqueId val="{0000000B-8933-4141-9AD6-4C3323831902}"/>
              </c:ext>
            </c:extLst>
          </c:dPt>
          <c:dPt>
            <c:idx val="6"/>
            <c:bubble3D val="0"/>
            <c:spPr>
              <a:solidFill>
                <a:schemeClr val="accent1">
                  <a:tint val="89000"/>
                </a:schemeClr>
              </a:solidFill>
              <a:ln>
                <a:noFill/>
              </a:ln>
              <a:effectLst/>
            </c:spPr>
            <c:extLst>
              <c:ext xmlns:c16="http://schemas.microsoft.com/office/drawing/2014/chart" uri="{C3380CC4-5D6E-409C-BE32-E72D297353CC}">
                <c16:uniqueId val="{0000000D-8933-4141-9AD6-4C3323831902}"/>
              </c:ext>
            </c:extLst>
          </c:dPt>
          <c:dPt>
            <c:idx val="7"/>
            <c:bubble3D val="0"/>
            <c:spPr>
              <a:solidFill>
                <a:schemeClr val="accent1">
                  <a:tint val="77000"/>
                </a:schemeClr>
              </a:solidFill>
              <a:ln>
                <a:noFill/>
              </a:ln>
              <a:effectLst/>
            </c:spPr>
            <c:extLst>
              <c:ext xmlns:c16="http://schemas.microsoft.com/office/drawing/2014/chart" uri="{C3380CC4-5D6E-409C-BE32-E72D297353CC}">
                <c16:uniqueId val="{0000000F-8933-4141-9AD6-4C3323831902}"/>
              </c:ext>
            </c:extLst>
          </c:dPt>
          <c:dPt>
            <c:idx val="8"/>
            <c:bubble3D val="0"/>
            <c:spPr>
              <a:solidFill>
                <a:schemeClr val="accent1">
                  <a:tint val="65000"/>
                </a:schemeClr>
              </a:solidFill>
              <a:ln>
                <a:noFill/>
              </a:ln>
              <a:effectLst/>
            </c:spPr>
            <c:extLst>
              <c:ext xmlns:c16="http://schemas.microsoft.com/office/drawing/2014/chart" uri="{C3380CC4-5D6E-409C-BE32-E72D297353CC}">
                <c16:uniqueId val="{00000011-8933-4141-9AD6-4C3323831902}"/>
              </c:ext>
            </c:extLst>
          </c:dPt>
          <c:dPt>
            <c:idx val="9"/>
            <c:bubble3D val="0"/>
            <c:spPr>
              <a:solidFill>
                <a:schemeClr val="accent1">
                  <a:tint val="54000"/>
                </a:schemeClr>
              </a:solidFill>
              <a:ln>
                <a:noFill/>
              </a:ln>
              <a:effectLst/>
            </c:spPr>
            <c:extLst>
              <c:ext xmlns:c16="http://schemas.microsoft.com/office/drawing/2014/chart" uri="{C3380CC4-5D6E-409C-BE32-E72D297353CC}">
                <c16:uniqueId val="{00000013-8933-4141-9AD6-4C3323831902}"/>
              </c:ext>
            </c:extLst>
          </c:dPt>
          <c:dPt>
            <c:idx val="10"/>
            <c:bubble3D val="0"/>
            <c:spPr>
              <a:solidFill>
                <a:schemeClr val="accent1">
                  <a:tint val="42000"/>
                </a:schemeClr>
              </a:solidFill>
              <a:ln>
                <a:noFill/>
              </a:ln>
              <a:effectLst/>
            </c:spPr>
            <c:extLst>
              <c:ext xmlns:c16="http://schemas.microsoft.com/office/drawing/2014/chart" uri="{C3380CC4-5D6E-409C-BE32-E72D297353CC}">
                <c16:uniqueId val="{00000015-8933-4141-9AD6-4C332383190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('CSP - RC'!$A$46:$A$49,'CSP - RC'!$A$51:$A$57)</c:f>
              <c:strCache>
                <c:ptCount val="11"/>
                <c:pt idx="0">
                  <c:v>Banco Santa Cruz</c:v>
                </c:pt>
                <c:pt idx="1">
                  <c:v>CARIBBEAN INVESTMENT CAPITAL</c:v>
                </c:pt>
                <c:pt idx="2">
                  <c:v>Banco de Reservas</c:v>
                </c:pt>
                <c:pt idx="3">
                  <c:v>Inversiones Santa Cruz</c:v>
                </c:pt>
                <c:pt idx="4">
                  <c:v>Banco Popular</c:v>
                </c:pt>
                <c:pt idx="5">
                  <c:v>United Capital Puesto de Bolsas</c:v>
                </c:pt>
                <c:pt idx="6">
                  <c:v>JMMB Puesto de Bolsa</c:v>
                </c:pt>
                <c:pt idx="7">
                  <c:v>BHD Puesto de Bolsas</c:v>
                </c:pt>
                <c:pt idx="8">
                  <c:v>Scotiabank</c:v>
                </c:pt>
                <c:pt idx="9">
                  <c:v>Banco BHD</c:v>
                </c:pt>
                <c:pt idx="10">
                  <c:v>Alpha Puesto de Bolsa</c:v>
                </c:pt>
              </c:strCache>
              <c:extLst/>
            </c:strRef>
          </c:cat>
          <c:val>
            <c:numRef>
              <c:f>('CSP - RC'!$J$46:$J$49,'CSP - RC'!$J$51:$J$57)</c:f>
              <c:numCache>
                <c:formatCode>0.0%</c:formatCode>
                <c:ptCount val="11"/>
                <c:pt idx="0">
                  <c:v>7.2289051143081887E-2</c:v>
                </c:pt>
                <c:pt idx="1">
                  <c:v>0.11488703356043886</c:v>
                </c:pt>
                <c:pt idx="2">
                  <c:v>0.13531377545101095</c:v>
                </c:pt>
                <c:pt idx="3">
                  <c:v>0.10004797189517238</c:v>
                </c:pt>
                <c:pt idx="4">
                  <c:v>6.6027398972441864E-2</c:v>
                </c:pt>
                <c:pt idx="5">
                  <c:v>0.10003447187840722</c:v>
                </c:pt>
                <c:pt idx="6">
                  <c:v>8.9411293631169925E-2</c:v>
                </c:pt>
                <c:pt idx="7">
                  <c:v>7.3475719787425731E-2</c:v>
                </c:pt>
                <c:pt idx="8">
                  <c:v>0.162773289738712</c:v>
                </c:pt>
                <c:pt idx="9">
                  <c:v>5.3957947976749313E-2</c:v>
                </c:pt>
                <c:pt idx="10">
                  <c:v>3.1782045965389978E-2</c:v>
                </c:pt>
              </c:numCache>
              <c:extLst/>
            </c:numRef>
          </c:val>
          <c:extLst>
            <c:ext xmlns:c16="http://schemas.microsoft.com/office/drawing/2014/chart" uri="{C3380CC4-5D6E-409C-BE32-E72D297353CC}">
              <c16:uniqueId val="{00000016-8933-4141-9AD6-4C332383190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249868628015426"/>
          <c:y val="0.2336264195081586"/>
          <c:w val="0.29902211087250458"/>
          <c:h val="0.67982145435704033"/>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0"/>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419" sz="1200" b="0" i="0" u="none" strike="noStrike" baseline="0">
                <a:solidFill>
                  <a:srgbClr val="767171"/>
                </a:solidFill>
                <a:latin typeface="Times New Roman" panose="02020603050405020304" pitchFamily="18" charset="0"/>
                <a:cs typeface="Times New Roman" panose="02020603050405020304" pitchFamily="18" charset="0"/>
              </a:rPr>
              <a:t>Distribución del Portafolio de Inversiones por Tipo de Instrumento</a:t>
            </a:r>
          </a:p>
          <a:p>
            <a:pPr>
              <a:defRPr sz="1200">
                <a:solidFill>
                  <a:schemeClr val="tx1"/>
                </a:solidFill>
                <a:latin typeface="Times New Roman" panose="02020603050405020304" pitchFamily="18" charset="0"/>
                <a:cs typeface="Times New Roman" panose="02020603050405020304" pitchFamily="18" charset="0"/>
              </a:defRPr>
            </a:pPr>
            <a:r>
              <a:rPr lang="es-419" sz="1200" b="0" i="0" u="none" strike="noStrike" baseline="0">
                <a:solidFill>
                  <a:srgbClr val="767171"/>
                </a:solidFill>
                <a:latin typeface="Times New Roman" panose="02020603050405020304" pitchFamily="18" charset="0"/>
                <a:cs typeface="Times New Roman" panose="02020603050405020304" pitchFamily="18" charset="0"/>
              </a:rPr>
              <a:t>(Ago 2025)</a:t>
            </a:r>
            <a:endParaRPr lang="es-419" sz="1200" b="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2113241451771046"/>
          <c:y val="4.458813231899608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3333399339504812"/>
          <c:y val="0.20280254371108836"/>
          <c:w val="0.40087267054861769"/>
          <c:h val="0.73261812276671112"/>
        </c:manualLayout>
      </c:layout>
      <c:pieChart>
        <c:varyColors val="1"/>
        <c:ser>
          <c:idx val="0"/>
          <c:order val="0"/>
          <c:tx>
            <c:strRef>
              <c:f>'CSP - RC'!$C$61</c:f>
              <c:strCache>
                <c:ptCount val="1"/>
                <c:pt idx="0">
                  <c:v>% del total </c:v>
                </c:pt>
              </c:strCache>
            </c:strRef>
          </c:tx>
          <c:dPt>
            <c:idx val="0"/>
            <c:bubble3D val="0"/>
            <c:spPr>
              <a:solidFill>
                <a:schemeClr val="accent1">
                  <a:shade val="65000"/>
                </a:schemeClr>
              </a:solidFill>
              <a:ln>
                <a:noFill/>
              </a:ln>
              <a:effectLst/>
            </c:spPr>
            <c:extLst>
              <c:ext xmlns:c16="http://schemas.microsoft.com/office/drawing/2014/chart" uri="{C3380CC4-5D6E-409C-BE32-E72D297353CC}">
                <c16:uniqueId val="{00000001-70CA-428F-B9B7-2717B64A2647}"/>
              </c:ext>
            </c:extLst>
          </c:dPt>
          <c:dPt>
            <c:idx val="1"/>
            <c:bubble3D val="0"/>
            <c:spPr>
              <a:solidFill>
                <a:schemeClr val="accent1"/>
              </a:solidFill>
              <a:ln>
                <a:noFill/>
              </a:ln>
              <a:effectLst/>
            </c:spPr>
            <c:extLst>
              <c:ext xmlns:c16="http://schemas.microsoft.com/office/drawing/2014/chart" uri="{C3380CC4-5D6E-409C-BE32-E72D297353CC}">
                <c16:uniqueId val="{00000003-70CA-428F-B9B7-2717B64A2647}"/>
              </c:ext>
            </c:extLst>
          </c:dPt>
          <c:dPt>
            <c:idx val="2"/>
            <c:bubble3D val="0"/>
            <c:spPr>
              <a:solidFill>
                <a:schemeClr val="accent1">
                  <a:tint val="65000"/>
                </a:schemeClr>
              </a:solidFill>
              <a:ln>
                <a:noFill/>
              </a:ln>
              <a:effectLst/>
            </c:spPr>
            <c:extLst>
              <c:ext xmlns:c16="http://schemas.microsoft.com/office/drawing/2014/chart" uri="{C3380CC4-5D6E-409C-BE32-E72D297353CC}">
                <c16:uniqueId val="{00000005-70CA-428F-B9B7-2717B64A2647}"/>
              </c:ext>
            </c:extLst>
          </c:dPt>
          <c:dPt>
            <c:idx val="3"/>
            <c:bubble3D val="0"/>
            <c:spPr>
              <a:solidFill>
                <a:schemeClr val="accent1">
                  <a:tint val="30000"/>
                </a:schemeClr>
              </a:solidFill>
              <a:ln>
                <a:noFill/>
              </a:ln>
              <a:effectLst/>
            </c:spPr>
            <c:extLst>
              <c:ext xmlns:c16="http://schemas.microsoft.com/office/drawing/2014/chart" uri="{C3380CC4-5D6E-409C-BE32-E72D297353CC}">
                <c16:uniqueId val="{00000007-70CA-428F-B9B7-2717B64A2647}"/>
              </c:ext>
            </c:extLst>
          </c:dPt>
          <c:dPt>
            <c:idx val="4"/>
            <c:bubble3D val="0"/>
            <c:spPr>
              <a:solidFill>
                <a:schemeClr val="accent1">
                  <a:tint val="95000"/>
                </a:schemeClr>
              </a:solidFill>
              <a:ln>
                <a:noFill/>
              </a:ln>
              <a:effectLst/>
            </c:spPr>
            <c:extLst>
              <c:ext xmlns:c16="http://schemas.microsoft.com/office/drawing/2014/chart" uri="{C3380CC4-5D6E-409C-BE32-E72D297353CC}">
                <c16:uniqueId val="{00000009-70CA-428F-B9B7-2717B64A2647}"/>
              </c:ext>
            </c:extLst>
          </c:dPt>
          <c:dPt>
            <c:idx val="5"/>
            <c:bubble3D val="0"/>
            <c:spPr>
              <a:solidFill>
                <a:schemeClr val="accent1">
                  <a:tint val="60000"/>
                </a:schemeClr>
              </a:solidFill>
              <a:ln>
                <a:noFill/>
              </a:ln>
              <a:effectLst/>
            </c:spPr>
            <c:extLst>
              <c:ext xmlns:c16="http://schemas.microsoft.com/office/drawing/2014/chart" uri="{C3380CC4-5D6E-409C-BE32-E72D297353CC}">
                <c16:uniqueId val="{0000000B-70CA-428F-B9B7-2717B64A2647}"/>
              </c:ext>
            </c:extLst>
          </c:dPt>
          <c:dPt>
            <c:idx val="6"/>
            <c:bubble3D val="0"/>
            <c:spPr>
              <a:solidFill>
                <a:schemeClr val="accent1">
                  <a:tint val="25000"/>
                </a:schemeClr>
              </a:solidFill>
              <a:ln>
                <a:noFill/>
              </a:ln>
              <a:effectLst/>
            </c:spPr>
            <c:extLst>
              <c:ext xmlns:c16="http://schemas.microsoft.com/office/drawing/2014/chart" uri="{C3380CC4-5D6E-409C-BE32-E72D297353CC}">
                <c16:uniqueId val="{0000000D-70CA-428F-B9B7-2717B64A2647}"/>
              </c:ext>
            </c:extLst>
          </c:dPt>
          <c:dPt>
            <c:idx val="7"/>
            <c:bubble3D val="0"/>
            <c:spPr>
              <a:solidFill>
                <a:schemeClr val="accent1">
                  <a:tint val="90000"/>
                </a:schemeClr>
              </a:solidFill>
              <a:ln>
                <a:noFill/>
              </a:ln>
              <a:effectLst/>
            </c:spPr>
            <c:extLst>
              <c:ext xmlns:c16="http://schemas.microsoft.com/office/drawing/2014/chart" uri="{C3380CC4-5D6E-409C-BE32-E72D297353CC}">
                <c16:uniqueId val="{0000000F-70CA-428F-B9B7-2717B64A2647}"/>
              </c:ext>
            </c:extLst>
          </c:dPt>
          <c:dPt>
            <c:idx val="8"/>
            <c:bubble3D val="0"/>
            <c:spPr>
              <a:solidFill>
                <a:schemeClr val="accent1">
                  <a:tint val="55000"/>
                </a:schemeClr>
              </a:solidFill>
              <a:ln>
                <a:noFill/>
              </a:ln>
              <a:effectLst/>
            </c:spPr>
            <c:extLst>
              <c:ext xmlns:c16="http://schemas.microsoft.com/office/drawing/2014/chart" uri="{C3380CC4-5D6E-409C-BE32-E72D297353CC}">
                <c16:uniqueId val="{00000011-70CA-428F-B9B7-2717B64A2647}"/>
              </c:ext>
            </c:extLst>
          </c:dPt>
          <c:dPt>
            <c:idx val="9"/>
            <c:bubble3D val="0"/>
            <c:spPr>
              <a:solidFill>
                <a:schemeClr val="accent1">
                  <a:tint val="20000"/>
                </a:schemeClr>
              </a:solidFill>
              <a:ln>
                <a:noFill/>
              </a:ln>
              <a:effectLst/>
            </c:spPr>
            <c:extLst>
              <c:ext xmlns:c16="http://schemas.microsoft.com/office/drawing/2014/chart" uri="{C3380CC4-5D6E-409C-BE32-E72D297353CC}">
                <c16:uniqueId val="{00000013-70CA-428F-B9B7-2717B64A2647}"/>
              </c:ext>
            </c:extLst>
          </c:dPt>
          <c:dPt>
            <c:idx val="10"/>
            <c:bubble3D val="0"/>
            <c:spPr>
              <a:solidFill>
                <a:schemeClr val="accent1">
                  <a:tint val="85000"/>
                </a:schemeClr>
              </a:solidFill>
              <a:ln>
                <a:noFill/>
              </a:ln>
              <a:effectLst/>
            </c:spPr>
            <c:extLst>
              <c:ext xmlns:c16="http://schemas.microsoft.com/office/drawing/2014/chart" uri="{C3380CC4-5D6E-409C-BE32-E72D297353CC}">
                <c16:uniqueId val="{00000015-70CA-428F-B9B7-2717B64A2647}"/>
              </c:ext>
            </c:extLst>
          </c:dPt>
          <c:dPt>
            <c:idx val="11"/>
            <c:bubble3D val="0"/>
            <c:spPr>
              <a:solidFill>
                <a:schemeClr val="accent1">
                  <a:tint val="42000"/>
                </a:schemeClr>
              </a:solidFill>
              <a:ln>
                <a:noFill/>
              </a:ln>
              <a:effectLst/>
            </c:spPr>
            <c:extLst>
              <c:ext xmlns:c16="http://schemas.microsoft.com/office/drawing/2014/chart" uri="{C3380CC4-5D6E-409C-BE32-E72D297353CC}">
                <c16:uniqueId val="{00000017-70CA-428F-B9B7-2717B64A2647}"/>
              </c:ext>
            </c:extLst>
          </c:dPt>
          <c:dLbls>
            <c:dLbl>
              <c:idx val="1"/>
              <c:layout>
                <c:manualLayout>
                  <c:x val="7.7118110236220477E-2"/>
                  <c:y val="-0.1879810856976211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CA-428F-B9B7-2717B64A26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'CSP - RC'!$A$62:$A$64</c:f>
              <c:strCache>
                <c:ptCount val="3"/>
                <c:pt idx="0">
                  <c:v>Acuerdo de Recompra</c:v>
                </c:pt>
                <c:pt idx="1">
                  <c:v>Certificados Financieros </c:v>
                </c:pt>
                <c:pt idx="2">
                  <c:v>Fideicomiso de Administracion, Fuente de Pago, Garantia e Inversión CIIC</c:v>
                </c:pt>
              </c:strCache>
            </c:strRef>
          </c:cat>
          <c:val>
            <c:numRef>
              <c:f>'CSP - RC'!$C$62:$C$64</c:f>
              <c:numCache>
                <c:formatCode>0.00%</c:formatCode>
                <c:ptCount val="3"/>
                <c:pt idx="0">
                  <c:v>0.39475150315756519</c:v>
                </c:pt>
                <c:pt idx="1">
                  <c:v>0.49036146328199598</c:v>
                </c:pt>
                <c:pt idx="2">
                  <c:v>0.11488703356043885</c:v>
                </c:pt>
              </c:numCache>
            </c:numRef>
          </c:val>
          <c:extLst>
            <c:ext xmlns:c16="http://schemas.microsoft.com/office/drawing/2014/chart" uri="{C3380CC4-5D6E-409C-BE32-E72D297353CC}">
              <c16:uniqueId val="{00000018-70CA-428F-B9B7-2717B64A264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249868628015426"/>
          <c:y val="0.2336264195081586"/>
          <c:w val="0.26114323164690051"/>
          <c:h val="0.63667153778283825"/>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0">
                <a:solidFill>
                  <a:srgbClr val="767171"/>
                </a:solidFill>
                <a:effectLst/>
                <a:latin typeface="Times New Roman" panose="02020603050405020304" pitchFamily="18" charset="0"/>
                <a:cs typeface="Times New Roman" panose="02020603050405020304" pitchFamily="18" charset="0"/>
              </a:rPr>
              <a:t>Distribución de la Disponibilidad por Plan</a:t>
            </a:r>
            <a:endParaRPr lang="es-419" sz="1200" b="0">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4378986817363013"/>
          <c:y val="0.15580569207372569"/>
          <c:w val="0.40087267054861769"/>
          <c:h val="0.73261812276671112"/>
        </c:manualLayout>
      </c:layout>
      <c:pieChart>
        <c:varyColors val="1"/>
        <c:ser>
          <c:idx val="0"/>
          <c:order val="0"/>
          <c:tx>
            <c:strRef>
              <c:f>'CSP - PEPJ'!$A$12</c:f>
              <c:strCache>
                <c:ptCount val="1"/>
                <c:pt idx="0">
                  <c:v>Disponibilidad*</c:v>
                </c:pt>
              </c:strCache>
            </c:strRef>
          </c:tx>
          <c:dPt>
            <c:idx val="0"/>
            <c:bubble3D val="0"/>
            <c:spPr>
              <a:solidFill>
                <a:schemeClr val="accent1">
                  <a:shade val="53000"/>
                </a:schemeClr>
              </a:solidFill>
              <a:ln>
                <a:noFill/>
              </a:ln>
              <a:effectLst/>
            </c:spPr>
            <c:extLst>
              <c:ext xmlns:c16="http://schemas.microsoft.com/office/drawing/2014/chart" uri="{C3380CC4-5D6E-409C-BE32-E72D297353CC}">
                <c16:uniqueId val="{00000001-EA18-4CBD-B88A-1529E0296FA6}"/>
              </c:ext>
            </c:extLst>
          </c:dPt>
          <c:dPt>
            <c:idx val="1"/>
            <c:bubble3D val="0"/>
            <c:spPr>
              <a:solidFill>
                <a:schemeClr val="accent1">
                  <a:shade val="76000"/>
                </a:schemeClr>
              </a:solidFill>
              <a:ln>
                <a:noFill/>
              </a:ln>
              <a:effectLst/>
            </c:spPr>
            <c:extLst>
              <c:ext xmlns:c16="http://schemas.microsoft.com/office/drawing/2014/chart" uri="{C3380CC4-5D6E-409C-BE32-E72D297353CC}">
                <c16:uniqueId val="{00000003-EA18-4CBD-B88A-1529E0296FA6}"/>
              </c:ext>
            </c:extLst>
          </c:dPt>
          <c:dPt>
            <c:idx val="2"/>
            <c:bubble3D val="0"/>
            <c:spPr>
              <a:solidFill>
                <a:schemeClr val="accent1"/>
              </a:solidFill>
              <a:ln>
                <a:noFill/>
              </a:ln>
              <a:effectLst/>
            </c:spPr>
            <c:extLst>
              <c:ext xmlns:c16="http://schemas.microsoft.com/office/drawing/2014/chart" uri="{C3380CC4-5D6E-409C-BE32-E72D297353CC}">
                <c16:uniqueId val="{00000005-EA18-4CBD-B88A-1529E0296FA6}"/>
              </c:ext>
            </c:extLst>
          </c:dPt>
          <c:dPt>
            <c:idx val="3"/>
            <c:bubble3D val="0"/>
            <c:spPr>
              <a:solidFill>
                <a:schemeClr val="accent1">
                  <a:tint val="77000"/>
                </a:schemeClr>
              </a:solidFill>
              <a:ln>
                <a:noFill/>
              </a:ln>
              <a:effectLst/>
            </c:spPr>
            <c:extLst>
              <c:ext xmlns:c16="http://schemas.microsoft.com/office/drawing/2014/chart" uri="{C3380CC4-5D6E-409C-BE32-E72D297353CC}">
                <c16:uniqueId val="{00000007-EA18-4CBD-B88A-1529E0296FA6}"/>
              </c:ext>
            </c:extLst>
          </c:dPt>
          <c:dPt>
            <c:idx val="4"/>
            <c:bubble3D val="0"/>
            <c:spPr>
              <a:solidFill>
                <a:schemeClr val="accent1">
                  <a:tint val="54000"/>
                </a:schemeClr>
              </a:solidFill>
              <a:ln>
                <a:noFill/>
              </a:ln>
              <a:effectLst/>
            </c:spPr>
            <c:extLst>
              <c:ext xmlns:c16="http://schemas.microsoft.com/office/drawing/2014/chart" uri="{C3380CC4-5D6E-409C-BE32-E72D297353CC}">
                <c16:uniqueId val="{00000009-EA18-4CBD-B88A-1529E0296FA6}"/>
              </c:ext>
            </c:extLst>
          </c:dPt>
          <c:dPt>
            <c:idx val="5"/>
            <c:bubble3D val="0"/>
            <c:spPr>
              <a:solidFill>
                <a:schemeClr val="accent1">
                  <a:tint val="30000"/>
                </a:schemeClr>
              </a:solidFill>
              <a:ln>
                <a:noFill/>
              </a:ln>
              <a:effectLst/>
            </c:spPr>
            <c:extLst>
              <c:ext xmlns:c16="http://schemas.microsoft.com/office/drawing/2014/chart" uri="{C3380CC4-5D6E-409C-BE32-E72D297353CC}">
                <c16:uniqueId val="{0000000B-EA18-4CBD-B88A-1529E0296FA6}"/>
              </c:ext>
            </c:extLst>
          </c:dPt>
          <c:dPt>
            <c:idx val="6"/>
            <c:bubble3D val="0"/>
            <c:spPr>
              <a:solidFill>
                <a:schemeClr val="accent1">
                  <a:tint val="7000"/>
                </a:schemeClr>
              </a:solidFill>
              <a:ln>
                <a:noFill/>
              </a:ln>
              <a:effectLst/>
            </c:spPr>
            <c:extLst>
              <c:ext xmlns:c16="http://schemas.microsoft.com/office/drawing/2014/chart" uri="{C3380CC4-5D6E-409C-BE32-E72D297353CC}">
                <c16:uniqueId val="{0000000D-EA18-4CBD-B88A-1529E0296FA6}"/>
              </c:ext>
            </c:extLst>
          </c:dPt>
          <c:dPt>
            <c:idx val="7"/>
            <c:bubble3D val="0"/>
            <c:spPr>
              <a:solidFill>
                <a:schemeClr val="accent1">
                  <a:tint val="84000"/>
                </a:schemeClr>
              </a:solidFill>
              <a:ln>
                <a:noFill/>
              </a:ln>
              <a:effectLst/>
            </c:spPr>
            <c:extLst>
              <c:ext xmlns:c16="http://schemas.microsoft.com/office/drawing/2014/chart" uri="{C3380CC4-5D6E-409C-BE32-E72D297353CC}">
                <c16:uniqueId val="{0000000F-EA18-4CBD-B88A-1529E0296FA6}"/>
              </c:ext>
            </c:extLst>
          </c:dPt>
          <c:dPt>
            <c:idx val="8"/>
            <c:bubble3D val="0"/>
            <c:spPr>
              <a:solidFill>
                <a:schemeClr val="accent1">
                  <a:tint val="60000"/>
                </a:schemeClr>
              </a:solidFill>
              <a:ln>
                <a:noFill/>
              </a:ln>
              <a:effectLst/>
            </c:spPr>
            <c:extLst>
              <c:ext xmlns:c16="http://schemas.microsoft.com/office/drawing/2014/chart" uri="{C3380CC4-5D6E-409C-BE32-E72D297353CC}">
                <c16:uniqueId val="{00000011-EA18-4CBD-B88A-1529E0296FA6}"/>
              </c:ext>
            </c:extLst>
          </c:dPt>
          <c:dPt>
            <c:idx val="9"/>
            <c:bubble3D val="0"/>
            <c:spPr>
              <a:solidFill>
                <a:schemeClr val="accent1">
                  <a:tint val="37000"/>
                </a:schemeClr>
              </a:solidFill>
              <a:ln>
                <a:noFill/>
              </a:ln>
              <a:effectLst/>
            </c:spPr>
            <c:extLst>
              <c:ext xmlns:c16="http://schemas.microsoft.com/office/drawing/2014/chart" uri="{C3380CC4-5D6E-409C-BE32-E72D297353CC}">
                <c16:uniqueId val="{00000013-EA18-4CBD-B88A-1529E0296FA6}"/>
              </c:ext>
            </c:extLst>
          </c:dPt>
          <c:dPt>
            <c:idx val="10"/>
            <c:bubble3D val="0"/>
            <c:spPr>
              <a:solidFill>
                <a:schemeClr val="accent1">
                  <a:tint val="14000"/>
                </a:schemeClr>
              </a:solidFill>
              <a:ln>
                <a:noFill/>
              </a:ln>
              <a:effectLst/>
            </c:spPr>
            <c:extLst>
              <c:ext xmlns:c16="http://schemas.microsoft.com/office/drawing/2014/chart" uri="{C3380CC4-5D6E-409C-BE32-E72D297353CC}">
                <c16:uniqueId val="{00000015-EA18-4CBD-B88A-1529E0296FA6}"/>
              </c:ext>
            </c:extLst>
          </c:dPt>
          <c:dPt>
            <c:idx val="11"/>
            <c:bubble3D val="0"/>
            <c:spPr>
              <a:solidFill>
                <a:schemeClr val="accent1">
                  <a:tint val="42000"/>
                </a:schemeClr>
              </a:solidFill>
              <a:ln>
                <a:noFill/>
              </a:ln>
              <a:effectLst/>
            </c:spPr>
            <c:extLst>
              <c:ext xmlns:c16="http://schemas.microsoft.com/office/drawing/2014/chart" uri="{C3380CC4-5D6E-409C-BE32-E72D297353CC}">
                <c16:uniqueId val="{00000017-EA18-4CBD-B88A-1529E0296FA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0"/>
            <c:extLst>
              <c:ext xmlns:c15="http://schemas.microsoft.com/office/drawing/2012/chart" uri="{CE6537A1-D6FC-4f65-9D91-7224C49458BB}"/>
            </c:extLst>
          </c:dLbls>
          <c:cat>
            <c:strRef>
              <c:f>'CSP - PEPJ'!$B$1:$F$1</c:f>
              <c:strCache>
                <c:ptCount val="5"/>
                <c:pt idx="0">
                  <c:v>FFAA</c:v>
                </c:pt>
                <c:pt idx="1">
                  <c:v>MINISTERIO DE HACIENDA</c:v>
                </c:pt>
                <c:pt idx="2">
                  <c:v>PENSIONADOS DEL ESTADO 
18-19</c:v>
                </c:pt>
                <c:pt idx="3">
                  <c:v>POLICIA NAC.</c:v>
                </c:pt>
                <c:pt idx="4">
                  <c:v>SECTOR SALUD</c:v>
                </c:pt>
              </c:strCache>
            </c:strRef>
          </c:cat>
          <c:val>
            <c:numRef>
              <c:f>'CSP - PEPJ'!$B$12:$F$12</c:f>
              <c:numCache>
                <c:formatCode>_(* #,##0.00_);_(* \(#,##0.00\);_(* "-"??_);_(@_)</c:formatCode>
                <c:ptCount val="5"/>
                <c:pt idx="0">
                  <c:v>356163573.09000009</c:v>
                </c:pt>
                <c:pt idx="1">
                  <c:v>827524391.71999967</c:v>
                </c:pt>
                <c:pt idx="2">
                  <c:v>773044516.36000001</c:v>
                </c:pt>
                <c:pt idx="3">
                  <c:v>287587274.61999989</c:v>
                </c:pt>
                <c:pt idx="4">
                  <c:v>227948290.56999987</c:v>
                </c:pt>
              </c:numCache>
            </c:numRef>
          </c:val>
          <c:extLst>
            <c:ext xmlns:c16="http://schemas.microsoft.com/office/drawing/2014/chart" uri="{C3380CC4-5D6E-409C-BE32-E72D297353CC}">
              <c16:uniqueId val="{00000018-EA18-4CBD-B88A-1529E0296FA6}"/>
            </c:ext>
          </c:extLst>
        </c:ser>
        <c:dLbls>
          <c:showLegendKey val="0"/>
          <c:showVal val="0"/>
          <c:showCatName val="0"/>
          <c:showSerName val="0"/>
          <c:showPercent val="1"/>
          <c:showBubbleSize val="0"/>
          <c:showLeaderLines val="0"/>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Entry>
      <c:layout>
        <c:manualLayout>
          <c:xMode val="edge"/>
          <c:yMode val="edge"/>
          <c:x val="0.62249868628015426"/>
          <c:y val="0.2336264195081586"/>
          <c:w val="0.33520229237400373"/>
          <c:h val="0.568588308012861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'CSP - PEPJ'!$B$27</c:f>
              <c:strCache>
                <c:ptCount val="1"/>
                <c:pt idx="0">
                  <c:v> Aportes Recibidos </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'CSP - PEPJ'!$A$28:$A$32</c:f>
              <c:strCache>
                <c:ptCount val="5"/>
                <c:pt idx="0">
                  <c:v>FFAA</c:v>
                </c:pt>
                <c:pt idx="1">
                  <c:v>MINISTERIO DE HACIENDA</c:v>
                </c:pt>
                <c:pt idx="2">
                  <c:v>PENSIONADOS DEL ESTADO 
18-19</c:v>
                </c:pt>
                <c:pt idx="3">
                  <c:v>POLICIA NAC.</c:v>
                </c:pt>
                <c:pt idx="4">
                  <c:v>SECTOR SALUD</c:v>
                </c:pt>
              </c:strCache>
            </c:strRef>
          </c:cat>
          <c:val>
            <c:numRef>
              <c:f>'CSP - PEPJ'!$B$28:$B$32</c:f>
              <c:numCache>
                <c:formatCode>_(* #,##0.00_);_(* \(#,##0.00\);_(* "-"??_);_(@_)</c:formatCode>
                <c:ptCount val="5"/>
                <c:pt idx="0">
                  <c:v>594913551.38999999</c:v>
                </c:pt>
                <c:pt idx="1">
                  <c:v>584608331.92999995</c:v>
                </c:pt>
                <c:pt idx="2">
                  <c:v>797499364.28999996</c:v>
                </c:pt>
                <c:pt idx="3">
                  <c:v>519326831.80000001</c:v>
                </c:pt>
                <c:pt idx="4">
                  <c:v>193317447.48999998</c:v>
                </c:pt>
              </c:numCache>
            </c:numRef>
          </c:val>
          <c:extLst>
            <c:ext xmlns:c16="http://schemas.microsoft.com/office/drawing/2014/chart" uri="{C3380CC4-5D6E-409C-BE32-E72D297353CC}">
              <c16:uniqueId val="{00000000-DC89-416D-8787-4166B87CA1B3}"/>
            </c:ext>
          </c:extLst>
        </c:ser>
        <c:ser>
          <c:idx val="1"/>
          <c:order val="1"/>
          <c:tx>
            <c:strRef>
              <c:f>'CSP - PEPJ'!$C$27</c:f>
              <c:strCache>
                <c:ptCount val="1"/>
                <c:pt idx="0">
                  <c:v>Pagos Realizados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'CSP - PEPJ'!$A$28:$A$32</c:f>
              <c:strCache>
                <c:ptCount val="5"/>
                <c:pt idx="0">
                  <c:v>FFAA</c:v>
                </c:pt>
                <c:pt idx="1">
                  <c:v>MINISTERIO DE HACIENDA</c:v>
                </c:pt>
                <c:pt idx="2">
                  <c:v>PENSIONADOS DEL ESTADO 
18-19</c:v>
                </c:pt>
                <c:pt idx="3">
                  <c:v>POLICIA NAC.</c:v>
                </c:pt>
                <c:pt idx="4">
                  <c:v>SECTOR SALUD</c:v>
                </c:pt>
              </c:strCache>
            </c:strRef>
          </c:cat>
          <c:val>
            <c:numRef>
              <c:f>'CSP - PEPJ'!$C$28:$C$32</c:f>
              <c:numCache>
                <c:formatCode>_(* #,##0.00_);_(* \(#,##0.00\);_(* "-"??_);_(@_)</c:formatCode>
                <c:ptCount val="5"/>
                <c:pt idx="0">
                  <c:v>529258390.02000004</c:v>
                </c:pt>
                <c:pt idx="1">
                  <c:v>409409511.27000004</c:v>
                </c:pt>
                <c:pt idx="2">
                  <c:v>526131476.67000008</c:v>
                </c:pt>
                <c:pt idx="3">
                  <c:v>482868963.63999999</c:v>
                </c:pt>
                <c:pt idx="4">
                  <c:v>153933199.20000002</c:v>
                </c:pt>
              </c:numCache>
            </c:numRef>
          </c:val>
          <c:extLst>
            <c:ext xmlns:c16="http://schemas.microsoft.com/office/drawing/2014/chart" uri="{C3380CC4-5D6E-409C-BE32-E72D297353CC}">
              <c16:uniqueId val="{00000001-DC89-416D-8787-4166B87CA1B3}"/>
            </c:ext>
          </c:extLst>
        </c:ser>
        <c:dLbls>
          <c:dLblPos val="outEnd"/>
          <c:showLegendKey val="0"/>
          <c:showVal val="1"/>
          <c:showCatName val="0"/>
          <c:showSerName val="0"/>
          <c:showPercent val="0"/>
          <c:showBubbleSize val="0"/>
        </c:dLbls>
        <c:gapWidth val="200"/>
        <c:overlap val="-40"/>
        <c:axId val="929934832"/>
        <c:axId val="929930032"/>
      </c:barChart>
      <c:catAx>
        <c:axId val="929934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929930032"/>
        <c:crosses val="autoZero"/>
        <c:auto val="1"/>
        <c:lblAlgn val="ctr"/>
        <c:lblOffset val="100"/>
        <c:noMultiLvlLbl val="0"/>
      </c:catAx>
      <c:valAx>
        <c:axId val="929930032"/>
        <c:scaling>
          <c:orientation val="minMax"/>
        </c:scaling>
        <c:delete val="1"/>
        <c:axPos val="b"/>
        <c:numFmt formatCode="_(* #,##0.00_);_(* \(#,##0.00\);_(* &quot;-&quot;??_);_(@_)" sourceLinked="1"/>
        <c:majorTickMark val="none"/>
        <c:minorTickMark val="none"/>
        <c:tickLblPos val="nextTo"/>
        <c:crossAx val="929934832"/>
        <c:crosses val="autoZero"/>
        <c:crossBetween val="between"/>
      </c:valAx>
      <c:spPr>
        <a:noFill/>
        <a:ln>
          <a:noFill/>
        </a:ln>
        <a:effectLst/>
      </c:spPr>
    </c:plotArea>
    <c:legend>
      <c:legendPos val="t"/>
      <c:layout>
        <c:manualLayout>
          <c:xMode val="edge"/>
          <c:yMode val="edge"/>
          <c:x val="0.30032941293730692"/>
          <c:y val="7.7889892016286072E-2"/>
          <c:w val="0.43275655357895076"/>
          <c:h val="4.75012194272176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noFill/>
      <a:round/>
    </a:ln>
    <a:effectLst/>
  </c:spPr>
  <c:txPr>
    <a:bodyPr/>
    <a:lstStyle/>
    <a:p>
      <a:pPr>
        <a:defRPr>
          <a:latin typeface="Franklin Gothic Book" panose="020B0503020102020204" pitchFamily="34" charset="0"/>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419" sz="1200">
                <a:latin typeface="Times New Roman" panose="02020603050405020304" pitchFamily="18" charset="0"/>
                <a:cs typeface="Times New Roman" panose="02020603050405020304" pitchFamily="18" charset="0"/>
              </a:rPr>
              <a:t>Evolución del Total General Neto de Inversiones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718680469509839"/>
          <c:y val="0.17339878447872839"/>
          <c:w val="0.7308620448459171"/>
          <c:h val="0.61157837388138547"/>
        </c:manualLayout>
      </c:layout>
      <c:barChart>
        <c:barDir val="col"/>
        <c:grouping val="clustered"/>
        <c:varyColors val="0"/>
        <c:ser>
          <c:idx val="0"/>
          <c:order val="0"/>
          <c:tx>
            <c:strRef>
              <c:f>'CSP - PEPJ'!$G$36</c:f>
              <c:strCache>
                <c:ptCount val="1"/>
                <c:pt idx="0">
                  <c:v>Total General Neto De Inversiones</c:v>
                </c:pt>
              </c:strCache>
            </c:strRef>
          </c:tx>
          <c:spPr>
            <a:solidFill>
              <a:schemeClr val="accent1"/>
            </a:solidFill>
            <a:ln>
              <a:noFill/>
            </a:ln>
            <a:effectLst/>
          </c:spPr>
          <c:invertIfNegative val="0"/>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PEPJ'!$G$37:$G$44</c:f>
              <c:numCache>
                <c:formatCode>_(* #,##0.00_);_(* \(#,##0.00\);_(* "-"??_);_(@_)</c:formatCode>
                <c:ptCount val="8"/>
                <c:pt idx="0">
                  <c:v>1741649844.8000002</c:v>
                </c:pt>
                <c:pt idx="1">
                  <c:v>1581079183.6600001</c:v>
                </c:pt>
                <c:pt idx="2">
                  <c:v>1443257288.4200001</c:v>
                </c:pt>
                <c:pt idx="3">
                  <c:v>1872618472.99</c:v>
                </c:pt>
                <c:pt idx="4">
                  <c:v>2304226756.3799996</c:v>
                </c:pt>
                <c:pt idx="5">
                  <c:v>2171545077.5899997</c:v>
                </c:pt>
                <c:pt idx="6">
                  <c:v>2604195938.4299998</c:v>
                </c:pt>
                <c:pt idx="7">
                  <c:v>2472266062.4900002</c:v>
                </c:pt>
              </c:numCache>
            </c:numRef>
          </c:val>
          <c:extLst>
            <c:ext xmlns:c16="http://schemas.microsoft.com/office/drawing/2014/chart" uri="{C3380CC4-5D6E-409C-BE32-E72D297353CC}">
              <c16:uniqueId val="{00000000-2BCD-471C-8F34-E51052E0BC8D}"/>
            </c:ext>
          </c:extLst>
        </c:ser>
        <c:dLbls>
          <c:showLegendKey val="0"/>
          <c:showVal val="0"/>
          <c:showCatName val="0"/>
          <c:showSerName val="0"/>
          <c:showPercent val="0"/>
          <c:showBubbleSize val="0"/>
        </c:dLbls>
        <c:gapWidth val="219"/>
        <c:overlap val="-27"/>
        <c:axId val="1140158864"/>
        <c:axId val="1140157424"/>
      </c:barChart>
      <c:lineChart>
        <c:grouping val="standard"/>
        <c:varyColors val="0"/>
        <c:ser>
          <c:idx val="1"/>
          <c:order val="1"/>
          <c:tx>
            <c:strRef>
              <c:f>'CSP - PEPJ'!$H$36</c:f>
              <c:strCache>
                <c:ptCount val="1"/>
                <c:pt idx="0">
                  <c:v>Variación %</c:v>
                </c:pt>
              </c:strCache>
            </c:strRef>
          </c:tx>
          <c:spPr>
            <a:ln w="28575" cap="rnd">
              <a:solidFill>
                <a:srgbClr val="FFC000"/>
              </a:solidFill>
              <a:round/>
            </a:ln>
            <a:effectLst/>
          </c:spPr>
          <c:marker>
            <c:symbol val="none"/>
          </c:marker>
          <c:dLbls>
            <c:dLbl>
              <c:idx val="2"/>
              <c:layout>
                <c:manualLayout>
                  <c:x val="-3.5956006768189511E-2"/>
                  <c:y val="5.1425899953249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CD-471C-8F34-E51052E0BC8D}"/>
                </c:ext>
              </c:extLst>
            </c:dLbl>
            <c:dLbl>
              <c:idx val="3"/>
              <c:layout>
                <c:manualLayout>
                  <c:x val="-4.6531302876480544E-2"/>
                  <c:y val="-4.675081813931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CD-471C-8F34-E51052E0BC8D}"/>
                </c:ext>
              </c:extLst>
            </c:dLbl>
            <c:dLbl>
              <c:idx val="6"/>
              <c:layout>
                <c:manualLayout>
                  <c:x val="-4.2301184433164128E-2"/>
                  <c:y val="-3.2725572697522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CD-471C-8F34-E51052E0BC8D}"/>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 - PEPJ'!$A$37:$A$44</c:f>
              <c:numCache>
                <c:formatCode>mmm\-yy</c:formatCode>
                <c:ptCount val="8"/>
                <c:pt idx="0">
                  <c:v>45658</c:v>
                </c:pt>
                <c:pt idx="1">
                  <c:v>45689</c:v>
                </c:pt>
                <c:pt idx="2">
                  <c:v>45717</c:v>
                </c:pt>
                <c:pt idx="3">
                  <c:v>45748</c:v>
                </c:pt>
                <c:pt idx="4">
                  <c:v>45778</c:v>
                </c:pt>
                <c:pt idx="5">
                  <c:v>45809</c:v>
                </c:pt>
                <c:pt idx="6">
                  <c:v>45839</c:v>
                </c:pt>
                <c:pt idx="7">
                  <c:v>45870</c:v>
                </c:pt>
              </c:numCache>
            </c:numRef>
          </c:cat>
          <c:val>
            <c:numRef>
              <c:f>'CSP - PEPJ'!$H$37:$H$44</c:f>
              <c:numCache>
                <c:formatCode>0.0%</c:formatCode>
                <c:ptCount val="8"/>
                <c:pt idx="1">
                  <c:v>-9.2194571497486624E-2</c:v>
                </c:pt>
                <c:pt idx="2">
                  <c:v>-8.7169508437243221E-2</c:v>
                </c:pt>
                <c:pt idx="3">
                  <c:v>0.2974945548621073</c:v>
                </c:pt>
                <c:pt idx="4">
                  <c:v>0.23048383299394296</c:v>
                </c:pt>
                <c:pt idx="5">
                  <c:v>-5.7581867072165387E-2</c:v>
                </c:pt>
                <c:pt idx="6">
                  <c:v>0.19923641710452542</c:v>
                </c:pt>
                <c:pt idx="7">
                  <c:v>-5.0660502918815159E-2</c:v>
                </c:pt>
              </c:numCache>
            </c:numRef>
          </c:val>
          <c:smooth val="0"/>
          <c:extLst>
            <c:ext xmlns:c16="http://schemas.microsoft.com/office/drawing/2014/chart" uri="{C3380CC4-5D6E-409C-BE32-E72D297353CC}">
              <c16:uniqueId val="{00000004-2BCD-471C-8F34-E51052E0BC8D}"/>
            </c:ext>
          </c:extLst>
        </c:ser>
        <c:dLbls>
          <c:showLegendKey val="0"/>
          <c:showVal val="0"/>
          <c:showCatName val="0"/>
          <c:showSerName val="0"/>
          <c:showPercent val="0"/>
          <c:showBubbleSize val="0"/>
        </c:dLbls>
        <c:marker val="1"/>
        <c:smooth val="0"/>
        <c:axId val="1140036464"/>
        <c:axId val="1140155504"/>
      </c:lineChart>
      <c:dateAx>
        <c:axId val="114015886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140157424"/>
        <c:crosses val="autoZero"/>
        <c:auto val="1"/>
        <c:lblOffset val="100"/>
        <c:baseTimeUnit val="months"/>
      </c:dateAx>
      <c:valAx>
        <c:axId val="1140157424"/>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140158864"/>
        <c:crosses val="autoZero"/>
        <c:crossBetween val="between"/>
      </c:valAx>
      <c:valAx>
        <c:axId val="1140155504"/>
        <c:scaling>
          <c:orientation val="minMax"/>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140036464"/>
        <c:crosses val="max"/>
        <c:crossBetween val="between"/>
      </c:valAx>
      <c:dateAx>
        <c:axId val="1140036464"/>
        <c:scaling>
          <c:orientation val="minMax"/>
        </c:scaling>
        <c:delete val="1"/>
        <c:axPos val="b"/>
        <c:numFmt formatCode="mmm\-yy" sourceLinked="1"/>
        <c:majorTickMark val="out"/>
        <c:minorTickMark val="none"/>
        <c:tickLblPos val="nextTo"/>
        <c:crossAx val="114015550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98E49EB33F1084191D91743F8B13E68" ma:contentTypeVersion="15" ma:contentTypeDescription="Crear nuevo documento." ma:contentTypeScope="" ma:versionID="98e4bf3ff04f1f16ee0a3d39c926d1cf">
  <xsd:schema xmlns:xsd="http://www.w3.org/2001/XMLSchema" xmlns:xs="http://www.w3.org/2001/XMLSchema" xmlns:p="http://schemas.microsoft.com/office/2006/metadata/properties" xmlns:ns2="8ee37f8b-5fee-452a-8390-9290ba7917f4" xmlns:ns3="e157465c-7a24-4da0-8751-b3560bee90f6" targetNamespace="http://schemas.microsoft.com/office/2006/metadata/properties" ma:root="true" ma:fieldsID="84c6b0007d91964ad5eb7d6f20a95fe8" ns2:_="" ns3:_="">
    <xsd:import namespace="8ee37f8b-5fee-452a-8390-9290ba7917f4"/>
    <xsd:import namespace="e157465c-7a24-4da0-8751-b3560bee90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7f8b-5fee-452a-8390-9290ba791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eb73b12-8ddb-4f55-80c4-689901f3e0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Fecha" ma:index="22"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57465c-7a24-4da0-8751-b3560bee90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e08ef5-b4b3-4809-b830-928ba21e89bd}" ma:internalName="TaxCatchAll" ma:showField="CatchAllData" ma:web="e157465c-7a24-4da0-8751-b3560bee90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8ee37f8b-5fee-452a-8390-9290ba7917f4" xsi:nil="true"/>
    <TaxCatchAll xmlns="e157465c-7a24-4da0-8751-b3560bee90f6" xsi:nil="true"/>
    <lcf76f155ced4ddcb4097134ff3c332f xmlns="8ee37f8b-5fee-452a-8390-9290ba7917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customXml/itemProps2.xml><?xml version="1.0" encoding="utf-8"?>
<ds:datastoreItem xmlns:ds="http://schemas.openxmlformats.org/officeDocument/2006/customXml" ds:itemID="{3CA69D83-A9FA-4CC7-A5C9-7A9C81BC2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7f8b-5fee-452a-8390-9290ba7917f4"/>
    <ds:schemaRef ds:uri="e157465c-7a24-4da0-8751-b3560be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72817-C3E6-4C02-99D1-5C0812F1BE0C}">
  <ds:schemaRefs>
    <ds:schemaRef ds:uri="http://schemas.microsoft.com/sharepoint/v3/contenttype/forms"/>
  </ds:schemaRefs>
</ds:datastoreItem>
</file>

<file path=customXml/itemProps4.xml><?xml version="1.0" encoding="utf-8"?>
<ds:datastoreItem xmlns:ds="http://schemas.openxmlformats.org/officeDocument/2006/customXml" ds:itemID="{5A7EDD7A-67AE-45DE-9504-C4FF9AB6EF0D}">
  <ds:schemaRefs>
    <ds:schemaRef ds:uri="http://schemas.microsoft.com/office/2006/metadata/properties"/>
    <ds:schemaRef ds:uri="http://schemas.microsoft.com/office/infopath/2007/PartnerControls"/>
    <ds:schemaRef ds:uri="8ee37f8b-5fee-452a-8390-9290ba7917f4"/>
    <ds:schemaRef ds:uri="e157465c-7a24-4da0-8751-b3560bee90f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56425</Words>
  <Characters>316550</Characters>
  <Application>Microsoft Office Word</Application>
  <DocSecurity>0</DocSecurity>
  <Lines>13189</Lines>
  <Paragraphs>7172</Paragraphs>
  <ScaleCrop>false</ScaleCrop>
  <Company/>
  <LinksUpToDate>false</LinksUpToDate>
  <CharactersWithSpaces>365803</CharactersWithSpaces>
  <SharedDoc>false</SharedDoc>
  <HLinks>
    <vt:vector size="948" baseType="variant">
      <vt:variant>
        <vt:i4>3997798</vt:i4>
      </vt:variant>
      <vt:variant>
        <vt:i4>1089</vt:i4>
      </vt:variant>
      <vt:variant>
        <vt:i4>0</vt:i4>
      </vt:variant>
      <vt:variant>
        <vt:i4>5</vt:i4>
      </vt:variant>
      <vt:variant>
        <vt:lpwstr>https://www.sisalril.gob.do/estadisticas-2/</vt:lpwstr>
      </vt:variant>
      <vt:variant>
        <vt:lpwstr/>
      </vt:variant>
      <vt:variant>
        <vt:i4>4128890</vt:i4>
      </vt:variant>
      <vt:variant>
        <vt:i4>1020</vt:i4>
      </vt:variant>
      <vt:variant>
        <vt:i4>0</vt:i4>
      </vt:variant>
      <vt:variant>
        <vt:i4>5</vt:i4>
      </vt:variant>
      <vt:variant>
        <vt:lpwstr>https://www.sisalril.gob.do/transparencia/declaracion-jurada-de-patrimonio/</vt:lpwstr>
      </vt:variant>
      <vt:variant>
        <vt:lpwstr/>
      </vt:variant>
      <vt:variant>
        <vt:i4>6422567</vt:i4>
      </vt:variant>
      <vt:variant>
        <vt:i4>879</vt:i4>
      </vt:variant>
      <vt:variant>
        <vt:i4>0</vt:i4>
      </vt:variant>
      <vt:variant>
        <vt:i4>5</vt:i4>
      </vt:variant>
      <vt:variant>
        <vt:lpwstr>https://www.sisalril.gob.do/evtesa/</vt:lpwstr>
      </vt:variant>
      <vt:variant>
        <vt:lpwstr/>
      </vt:variant>
      <vt:variant>
        <vt:i4>4522035</vt:i4>
      </vt:variant>
      <vt:variant>
        <vt:i4>873</vt:i4>
      </vt:variant>
      <vt:variant>
        <vt:i4>0</vt:i4>
      </vt:variant>
      <vt:variant>
        <vt:i4>5</vt:i4>
      </vt:variant>
      <vt:variant>
        <vt:lpwstr>https://www.accessdata.fda.gov/drugsatfda_docs/label/2005/021923lbl.pdf</vt:lpwstr>
      </vt:variant>
      <vt:variant>
        <vt:lpwstr/>
      </vt:variant>
      <vt:variant>
        <vt:i4>4522035</vt:i4>
      </vt:variant>
      <vt:variant>
        <vt:i4>870</vt:i4>
      </vt:variant>
      <vt:variant>
        <vt:i4>0</vt:i4>
      </vt:variant>
      <vt:variant>
        <vt:i4>5</vt:i4>
      </vt:variant>
      <vt:variant>
        <vt:lpwstr>https://www.accessdata.fda.gov/drugsatfda_docs/label/2005/021923lbl.pdf</vt:lpwstr>
      </vt:variant>
      <vt:variant>
        <vt:lpwstr/>
      </vt:variant>
      <vt:variant>
        <vt:i4>2490457</vt:i4>
      </vt:variant>
      <vt:variant>
        <vt:i4>867</vt:i4>
      </vt:variant>
      <vt:variant>
        <vt:i4>0</vt:i4>
      </vt:variant>
      <vt:variant>
        <vt:i4>5</vt:i4>
      </vt:variant>
      <vt:variant>
        <vt:lpwstr>https://www.accessdata.fda.gov/drugsatfda_docs/label/2016/761034Orig1s000lbl.pdf</vt:lpwstr>
      </vt:variant>
      <vt:variant>
        <vt:lpwstr/>
      </vt:variant>
      <vt:variant>
        <vt:i4>5177463</vt:i4>
      </vt:variant>
      <vt:variant>
        <vt:i4>864</vt:i4>
      </vt:variant>
      <vt:variant>
        <vt:i4>0</vt:i4>
      </vt:variant>
      <vt:variant>
        <vt:i4>5</vt:i4>
      </vt:variant>
      <vt:variant>
        <vt:lpwstr>https://www.accessdata.fda.gov/drugsatfda_docs/label/2015/125504s000lbl.pdf</vt:lpwstr>
      </vt:variant>
      <vt:variant>
        <vt:lpwstr/>
      </vt:variant>
      <vt:variant>
        <vt:i4>4915313</vt:i4>
      </vt:variant>
      <vt:variant>
        <vt:i4>861</vt:i4>
      </vt:variant>
      <vt:variant>
        <vt:i4>0</vt:i4>
      </vt:variant>
      <vt:variant>
        <vt:i4>5</vt:i4>
      </vt:variant>
      <vt:variant>
        <vt:lpwstr>https://www.accessdata.fda.gov/drugsatfda_docs/label/2017/761061s000lbl.pdf</vt:lpwstr>
      </vt:variant>
      <vt:variant>
        <vt:lpwstr/>
      </vt:variant>
      <vt:variant>
        <vt:i4>2490452</vt:i4>
      </vt:variant>
      <vt:variant>
        <vt:i4>858</vt:i4>
      </vt:variant>
      <vt:variant>
        <vt:i4>0</vt:i4>
      </vt:variant>
      <vt:variant>
        <vt:i4>5</vt:i4>
      </vt:variant>
      <vt:variant>
        <vt:lpwstr>https://www.accessdata.fda.gov/drugsatfda_docs/label/2020/214787Orig1s000lbl.pdf</vt:lpwstr>
      </vt:variant>
      <vt:variant>
        <vt:lpwstr/>
      </vt:variant>
      <vt:variant>
        <vt:i4>4980860</vt:i4>
      </vt:variant>
      <vt:variant>
        <vt:i4>855</vt:i4>
      </vt:variant>
      <vt:variant>
        <vt:i4>0</vt:i4>
      </vt:variant>
      <vt:variant>
        <vt:i4>5</vt:i4>
      </vt:variant>
      <vt:variant>
        <vt:lpwstr>https://www.accessdata.fda.gov/drugsatfda_docs/label/2022/019667s073lbl.pdf</vt:lpwstr>
      </vt:variant>
      <vt:variant>
        <vt:lpwstr/>
      </vt:variant>
      <vt:variant>
        <vt:i4>2424918</vt:i4>
      </vt:variant>
      <vt:variant>
        <vt:i4>852</vt:i4>
      </vt:variant>
      <vt:variant>
        <vt:i4>0</vt:i4>
      </vt:variant>
      <vt:variant>
        <vt:i4>5</vt:i4>
      </vt:variant>
      <vt:variant>
        <vt:lpwstr>https://www.accessdata.fda.gov/drugsatfda_docs/label/2003/omalgen062003LB.pdf</vt:lpwstr>
      </vt:variant>
      <vt:variant>
        <vt:lpwstr/>
      </vt:variant>
      <vt:variant>
        <vt:i4>4718718</vt:i4>
      </vt:variant>
      <vt:variant>
        <vt:i4>849</vt:i4>
      </vt:variant>
      <vt:variant>
        <vt:i4>0</vt:i4>
      </vt:variant>
      <vt:variant>
        <vt:i4>5</vt:i4>
      </vt:variant>
      <vt:variant>
        <vt:lpwstr>https://www.accessdata.fda.gov/drugsatfda_docs/label/2016/208246s000lbl.pdf</vt:lpwstr>
      </vt:variant>
      <vt:variant>
        <vt:lpwstr/>
      </vt:variant>
      <vt:variant>
        <vt:i4>4718718</vt:i4>
      </vt:variant>
      <vt:variant>
        <vt:i4>846</vt:i4>
      </vt:variant>
      <vt:variant>
        <vt:i4>0</vt:i4>
      </vt:variant>
      <vt:variant>
        <vt:i4>5</vt:i4>
      </vt:variant>
      <vt:variant>
        <vt:lpwstr>https://www.accessdata.fda.gov/drugsatfda_docs/label/2016/208246s000lbl.pdf</vt:lpwstr>
      </vt:variant>
      <vt:variant>
        <vt:lpwstr/>
      </vt:variant>
      <vt:variant>
        <vt:i4>4718718</vt:i4>
      </vt:variant>
      <vt:variant>
        <vt:i4>843</vt:i4>
      </vt:variant>
      <vt:variant>
        <vt:i4>0</vt:i4>
      </vt:variant>
      <vt:variant>
        <vt:i4>5</vt:i4>
      </vt:variant>
      <vt:variant>
        <vt:lpwstr>https://www.accessdata.fda.gov/drugsatfda_docs/label/2016/208246s000lbl.pdf</vt:lpwstr>
      </vt:variant>
      <vt:variant>
        <vt:lpwstr/>
      </vt:variant>
      <vt:variant>
        <vt:i4>5046399</vt:i4>
      </vt:variant>
      <vt:variant>
        <vt:i4>840</vt:i4>
      </vt:variant>
      <vt:variant>
        <vt:i4>0</vt:i4>
      </vt:variant>
      <vt:variant>
        <vt:i4>5</vt:i4>
      </vt:variant>
      <vt:variant>
        <vt:lpwstr>https://www.accessdata.fda.gov/drugsatfda_docs/label/2019/211939s000lbl.pdf</vt:lpwstr>
      </vt:variant>
      <vt:variant>
        <vt:lpwstr/>
      </vt:variant>
      <vt:variant>
        <vt:i4>5111934</vt:i4>
      </vt:variant>
      <vt:variant>
        <vt:i4>837</vt:i4>
      </vt:variant>
      <vt:variant>
        <vt:i4>0</vt:i4>
      </vt:variant>
      <vt:variant>
        <vt:i4>5</vt:i4>
      </vt:variant>
      <vt:variant>
        <vt:lpwstr>https://www.accessdata.fda.gov/drugsatfda_docs/label/2016/208341s000lbl.pdf</vt:lpwstr>
      </vt:variant>
      <vt:variant>
        <vt:lpwstr/>
      </vt:variant>
      <vt:variant>
        <vt:i4>4522035</vt:i4>
      </vt:variant>
      <vt:variant>
        <vt:i4>834</vt:i4>
      </vt:variant>
      <vt:variant>
        <vt:i4>0</vt:i4>
      </vt:variant>
      <vt:variant>
        <vt:i4>5</vt:i4>
      </vt:variant>
      <vt:variant>
        <vt:lpwstr>https://www.accessdata.fda.gov/drugsatfda_docs/label/2005/021923lbl.pdf</vt:lpwstr>
      </vt:variant>
      <vt:variant>
        <vt:lpwstr/>
      </vt:variant>
      <vt:variant>
        <vt:i4>4980863</vt:i4>
      </vt:variant>
      <vt:variant>
        <vt:i4>831</vt:i4>
      </vt:variant>
      <vt:variant>
        <vt:i4>0</vt:i4>
      </vt:variant>
      <vt:variant>
        <vt:i4>5</vt:i4>
      </vt:variant>
      <vt:variant>
        <vt:lpwstr>https://www.accessdata.fda.gov/drugsatfda_docs/label/2019/761066s000lbl.pdf</vt:lpwstr>
      </vt:variant>
      <vt:variant>
        <vt:lpwstr/>
      </vt:variant>
      <vt:variant>
        <vt:i4>4718718</vt:i4>
      </vt:variant>
      <vt:variant>
        <vt:i4>828</vt:i4>
      </vt:variant>
      <vt:variant>
        <vt:i4>0</vt:i4>
      </vt:variant>
      <vt:variant>
        <vt:i4>5</vt:i4>
      </vt:variant>
      <vt:variant>
        <vt:lpwstr>https://www.accessdata.fda.gov/drugsatfda_docs/label/2016/208246s000lbl.pdf</vt:lpwstr>
      </vt:variant>
      <vt:variant>
        <vt:lpwstr/>
      </vt:variant>
      <vt:variant>
        <vt:i4>4194422</vt:i4>
      </vt:variant>
      <vt:variant>
        <vt:i4>825</vt:i4>
      </vt:variant>
      <vt:variant>
        <vt:i4>0</vt:i4>
      </vt:variant>
      <vt:variant>
        <vt:i4>5</vt:i4>
      </vt:variant>
      <vt:variant>
        <vt:lpwstr>https://www.accessdata.fda.gov/drugsatfda_docs/label/2014/205834s000lbl.pdf</vt:lpwstr>
      </vt:variant>
      <vt:variant>
        <vt:lpwstr/>
      </vt:variant>
      <vt:variant>
        <vt:i4>5177463</vt:i4>
      </vt:variant>
      <vt:variant>
        <vt:i4>822</vt:i4>
      </vt:variant>
      <vt:variant>
        <vt:i4>0</vt:i4>
      </vt:variant>
      <vt:variant>
        <vt:i4>5</vt:i4>
      </vt:variant>
      <vt:variant>
        <vt:lpwstr>https://www.accessdata.fda.gov/drugsatfda_docs/label/2015/125504s000lbl.pdf</vt:lpwstr>
      </vt:variant>
      <vt:variant>
        <vt:lpwstr/>
      </vt:variant>
      <vt:variant>
        <vt:i4>5177463</vt:i4>
      </vt:variant>
      <vt:variant>
        <vt:i4>819</vt:i4>
      </vt:variant>
      <vt:variant>
        <vt:i4>0</vt:i4>
      </vt:variant>
      <vt:variant>
        <vt:i4>5</vt:i4>
      </vt:variant>
      <vt:variant>
        <vt:lpwstr>https://www.accessdata.fda.gov/drugsatfda_docs/label/2015/125504s000lbl.pdf</vt:lpwstr>
      </vt:variant>
      <vt:variant>
        <vt:lpwstr/>
      </vt:variant>
      <vt:variant>
        <vt:i4>4784190</vt:i4>
      </vt:variant>
      <vt:variant>
        <vt:i4>816</vt:i4>
      </vt:variant>
      <vt:variant>
        <vt:i4>0</vt:i4>
      </vt:variant>
      <vt:variant>
        <vt:i4>5</vt:i4>
      </vt:variant>
      <vt:variant>
        <vt:lpwstr>https://www.accessdata.fda.gov/drugsatfda_docs/label/2012/203085lbl.pdf</vt:lpwstr>
      </vt:variant>
      <vt:variant>
        <vt:lpwstr/>
      </vt:variant>
      <vt:variant>
        <vt:i4>5046386</vt:i4>
      </vt:variant>
      <vt:variant>
        <vt:i4>813</vt:i4>
      </vt:variant>
      <vt:variant>
        <vt:i4>0</vt:i4>
      </vt:variant>
      <vt:variant>
        <vt:i4>5</vt:i4>
      </vt:variant>
      <vt:variant>
        <vt:lpwstr>https://www.accessdata.fda.gov/drugsatfda_docs/label/2013/204819s000lbl.pdf</vt:lpwstr>
      </vt:variant>
      <vt:variant>
        <vt:lpwstr/>
      </vt:variant>
      <vt:variant>
        <vt:i4>5177463</vt:i4>
      </vt:variant>
      <vt:variant>
        <vt:i4>810</vt:i4>
      </vt:variant>
      <vt:variant>
        <vt:i4>0</vt:i4>
      </vt:variant>
      <vt:variant>
        <vt:i4>5</vt:i4>
      </vt:variant>
      <vt:variant>
        <vt:lpwstr>https://www.accessdata.fda.gov/drugsatfda_docs/label/2015/125504s000lbl.pdf</vt:lpwstr>
      </vt:variant>
      <vt:variant>
        <vt:lpwstr/>
      </vt:variant>
      <vt:variant>
        <vt:i4>5177463</vt:i4>
      </vt:variant>
      <vt:variant>
        <vt:i4>807</vt:i4>
      </vt:variant>
      <vt:variant>
        <vt:i4>0</vt:i4>
      </vt:variant>
      <vt:variant>
        <vt:i4>5</vt:i4>
      </vt:variant>
      <vt:variant>
        <vt:lpwstr>https://www.accessdata.fda.gov/drugsatfda_docs/label/2015/125504s000lbl.pdf</vt:lpwstr>
      </vt:variant>
      <vt:variant>
        <vt:lpwstr/>
      </vt:variant>
      <vt:variant>
        <vt:i4>5111934</vt:i4>
      </vt:variant>
      <vt:variant>
        <vt:i4>804</vt:i4>
      </vt:variant>
      <vt:variant>
        <vt:i4>0</vt:i4>
      </vt:variant>
      <vt:variant>
        <vt:i4>5</vt:i4>
      </vt:variant>
      <vt:variant>
        <vt:lpwstr>https://www.accessdata.fda.gov/drugsatfda_docs/label/2016/208341s000lbl.pdf</vt:lpwstr>
      </vt:variant>
      <vt:variant>
        <vt:lpwstr/>
      </vt:variant>
      <vt:variant>
        <vt:i4>4194422</vt:i4>
      </vt:variant>
      <vt:variant>
        <vt:i4>801</vt:i4>
      </vt:variant>
      <vt:variant>
        <vt:i4>0</vt:i4>
      </vt:variant>
      <vt:variant>
        <vt:i4>5</vt:i4>
      </vt:variant>
      <vt:variant>
        <vt:lpwstr>https://www.accessdata.fda.gov/drugsatfda_docs/label/2014/205834s000lbl.pdf</vt:lpwstr>
      </vt:variant>
      <vt:variant>
        <vt:lpwstr/>
      </vt:variant>
      <vt:variant>
        <vt:i4>4915323</vt:i4>
      </vt:variant>
      <vt:variant>
        <vt:i4>798</vt:i4>
      </vt:variant>
      <vt:variant>
        <vt:i4>0</vt:i4>
      </vt:variant>
      <vt:variant>
        <vt:i4>5</vt:i4>
      </vt:variant>
      <vt:variant>
        <vt:lpwstr>https://www.accessdata.fda.gov/drugsatfda_docs/label/2019/212640s000lbl.pdf</vt:lpwstr>
      </vt:variant>
      <vt:variant>
        <vt:lpwstr/>
      </vt:variant>
      <vt:variant>
        <vt:i4>4522035</vt:i4>
      </vt:variant>
      <vt:variant>
        <vt:i4>795</vt:i4>
      </vt:variant>
      <vt:variant>
        <vt:i4>0</vt:i4>
      </vt:variant>
      <vt:variant>
        <vt:i4>5</vt:i4>
      </vt:variant>
      <vt:variant>
        <vt:lpwstr>https://www.accessdata.fda.gov/drugsatfda_docs/label/2005/021923lbl.pdf</vt:lpwstr>
      </vt:variant>
      <vt:variant>
        <vt:lpwstr/>
      </vt:variant>
      <vt:variant>
        <vt:i4>4784190</vt:i4>
      </vt:variant>
      <vt:variant>
        <vt:i4>792</vt:i4>
      </vt:variant>
      <vt:variant>
        <vt:i4>0</vt:i4>
      </vt:variant>
      <vt:variant>
        <vt:i4>5</vt:i4>
      </vt:variant>
      <vt:variant>
        <vt:lpwstr>https://www.accessdata.fda.gov/drugsatfda_docs/label/2012/203085lbl.pdf</vt:lpwstr>
      </vt:variant>
      <vt:variant>
        <vt:lpwstr/>
      </vt:variant>
      <vt:variant>
        <vt:i4>4980790</vt:i4>
      </vt:variant>
      <vt:variant>
        <vt:i4>789</vt:i4>
      </vt:variant>
      <vt:variant>
        <vt:i4>0</vt:i4>
      </vt:variant>
      <vt:variant>
        <vt:i4>5</vt:i4>
      </vt:variant>
      <vt:variant>
        <vt:lpwstr>https://www.accessdata.fda.gov/drugsatfda_docs/label/2008/022291lbl.pdf</vt:lpwstr>
      </vt:variant>
      <vt:variant>
        <vt:lpwstr/>
      </vt:variant>
      <vt:variant>
        <vt:i4>4653181</vt:i4>
      </vt:variant>
      <vt:variant>
        <vt:i4>786</vt:i4>
      </vt:variant>
      <vt:variant>
        <vt:i4>0</vt:i4>
      </vt:variant>
      <vt:variant>
        <vt:i4>5</vt:i4>
      </vt:variant>
      <vt:variant>
        <vt:lpwstr>https://www.accessdata.fda.gov/drugsatfda_docs/label/2012/202992s000lbl.pdf</vt:lpwstr>
      </vt:variant>
      <vt:variant>
        <vt:lpwstr/>
      </vt:variant>
      <vt:variant>
        <vt:i4>5111923</vt:i4>
      </vt:variant>
      <vt:variant>
        <vt:i4>783</vt:i4>
      </vt:variant>
      <vt:variant>
        <vt:i4>0</vt:i4>
      </vt:variant>
      <vt:variant>
        <vt:i4>5</vt:i4>
      </vt:variant>
      <vt:variant>
        <vt:lpwstr>https://www.accessdata.fda.gov/drugsatfda_docs/label/2014/022535s000lbl.pdf</vt:lpwstr>
      </vt:variant>
      <vt:variant>
        <vt:lpwstr/>
      </vt:variant>
      <vt:variant>
        <vt:i4>7405594</vt:i4>
      </vt:variant>
      <vt:variant>
        <vt:i4>780</vt:i4>
      </vt:variant>
      <vt:variant>
        <vt:i4>0</vt:i4>
      </vt:variant>
      <vt:variant>
        <vt:i4>5</vt:i4>
      </vt:variant>
      <vt:variant>
        <vt:lpwstr>https://www.accessdata.fda.gov/drugsatfda_docs/label/2022/103471s5201lbl.pdf</vt:lpwstr>
      </vt:variant>
      <vt:variant>
        <vt:lpwstr/>
      </vt:variant>
      <vt:variant>
        <vt:i4>4784184</vt:i4>
      </vt:variant>
      <vt:variant>
        <vt:i4>777</vt:i4>
      </vt:variant>
      <vt:variant>
        <vt:i4>0</vt:i4>
      </vt:variant>
      <vt:variant>
        <vt:i4>5</vt:i4>
      </vt:variant>
      <vt:variant>
        <vt:lpwstr>https://www.accessdata.fda.gov/drugsatfda_docs/label/2009/022264lbl.pdf</vt:lpwstr>
      </vt:variant>
      <vt:variant>
        <vt:lpwstr/>
      </vt:variant>
      <vt:variant>
        <vt:i4>1048633</vt:i4>
      </vt:variant>
      <vt:variant>
        <vt:i4>734</vt:i4>
      </vt:variant>
      <vt:variant>
        <vt:i4>0</vt:i4>
      </vt:variant>
      <vt:variant>
        <vt:i4>5</vt:i4>
      </vt:variant>
      <vt:variant>
        <vt:lpwstr/>
      </vt:variant>
      <vt:variant>
        <vt:lpwstr>_Toc217047819</vt:lpwstr>
      </vt:variant>
      <vt:variant>
        <vt:i4>1048633</vt:i4>
      </vt:variant>
      <vt:variant>
        <vt:i4>728</vt:i4>
      </vt:variant>
      <vt:variant>
        <vt:i4>0</vt:i4>
      </vt:variant>
      <vt:variant>
        <vt:i4>5</vt:i4>
      </vt:variant>
      <vt:variant>
        <vt:lpwstr/>
      </vt:variant>
      <vt:variant>
        <vt:lpwstr>_Toc217047818</vt:lpwstr>
      </vt:variant>
      <vt:variant>
        <vt:i4>1048633</vt:i4>
      </vt:variant>
      <vt:variant>
        <vt:i4>722</vt:i4>
      </vt:variant>
      <vt:variant>
        <vt:i4>0</vt:i4>
      </vt:variant>
      <vt:variant>
        <vt:i4>5</vt:i4>
      </vt:variant>
      <vt:variant>
        <vt:lpwstr/>
      </vt:variant>
      <vt:variant>
        <vt:lpwstr>_Toc217047817</vt:lpwstr>
      </vt:variant>
      <vt:variant>
        <vt:i4>1048633</vt:i4>
      </vt:variant>
      <vt:variant>
        <vt:i4>716</vt:i4>
      </vt:variant>
      <vt:variant>
        <vt:i4>0</vt:i4>
      </vt:variant>
      <vt:variant>
        <vt:i4>5</vt:i4>
      </vt:variant>
      <vt:variant>
        <vt:lpwstr/>
      </vt:variant>
      <vt:variant>
        <vt:lpwstr>_Toc217047816</vt:lpwstr>
      </vt:variant>
      <vt:variant>
        <vt:i4>1048633</vt:i4>
      </vt:variant>
      <vt:variant>
        <vt:i4>710</vt:i4>
      </vt:variant>
      <vt:variant>
        <vt:i4>0</vt:i4>
      </vt:variant>
      <vt:variant>
        <vt:i4>5</vt:i4>
      </vt:variant>
      <vt:variant>
        <vt:lpwstr/>
      </vt:variant>
      <vt:variant>
        <vt:lpwstr>_Toc217047815</vt:lpwstr>
      </vt:variant>
      <vt:variant>
        <vt:i4>1048633</vt:i4>
      </vt:variant>
      <vt:variant>
        <vt:i4>704</vt:i4>
      </vt:variant>
      <vt:variant>
        <vt:i4>0</vt:i4>
      </vt:variant>
      <vt:variant>
        <vt:i4>5</vt:i4>
      </vt:variant>
      <vt:variant>
        <vt:lpwstr/>
      </vt:variant>
      <vt:variant>
        <vt:lpwstr>_Toc217047814</vt:lpwstr>
      </vt:variant>
      <vt:variant>
        <vt:i4>1048633</vt:i4>
      </vt:variant>
      <vt:variant>
        <vt:i4>698</vt:i4>
      </vt:variant>
      <vt:variant>
        <vt:i4>0</vt:i4>
      </vt:variant>
      <vt:variant>
        <vt:i4>5</vt:i4>
      </vt:variant>
      <vt:variant>
        <vt:lpwstr/>
      </vt:variant>
      <vt:variant>
        <vt:lpwstr>_Toc217047813</vt:lpwstr>
      </vt:variant>
      <vt:variant>
        <vt:i4>1048633</vt:i4>
      </vt:variant>
      <vt:variant>
        <vt:i4>692</vt:i4>
      </vt:variant>
      <vt:variant>
        <vt:i4>0</vt:i4>
      </vt:variant>
      <vt:variant>
        <vt:i4>5</vt:i4>
      </vt:variant>
      <vt:variant>
        <vt:lpwstr/>
      </vt:variant>
      <vt:variant>
        <vt:lpwstr>_Toc217047812</vt:lpwstr>
      </vt:variant>
      <vt:variant>
        <vt:i4>1048633</vt:i4>
      </vt:variant>
      <vt:variant>
        <vt:i4>686</vt:i4>
      </vt:variant>
      <vt:variant>
        <vt:i4>0</vt:i4>
      </vt:variant>
      <vt:variant>
        <vt:i4>5</vt:i4>
      </vt:variant>
      <vt:variant>
        <vt:lpwstr/>
      </vt:variant>
      <vt:variant>
        <vt:lpwstr>_Toc217047811</vt:lpwstr>
      </vt:variant>
      <vt:variant>
        <vt:i4>1048633</vt:i4>
      </vt:variant>
      <vt:variant>
        <vt:i4>680</vt:i4>
      </vt:variant>
      <vt:variant>
        <vt:i4>0</vt:i4>
      </vt:variant>
      <vt:variant>
        <vt:i4>5</vt:i4>
      </vt:variant>
      <vt:variant>
        <vt:lpwstr/>
      </vt:variant>
      <vt:variant>
        <vt:lpwstr>_Toc217047810</vt:lpwstr>
      </vt:variant>
      <vt:variant>
        <vt:i4>1114169</vt:i4>
      </vt:variant>
      <vt:variant>
        <vt:i4>674</vt:i4>
      </vt:variant>
      <vt:variant>
        <vt:i4>0</vt:i4>
      </vt:variant>
      <vt:variant>
        <vt:i4>5</vt:i4>
      </vt:variant>
      <vt:variant>
        <vt:lpwstr/>
      </vt:variant>
      <vt:variant>
        <vt:lpwstr>_Toc217047809</vt:lpwstr>
      </vt:variant>
      <vt:variant>
        <vt:i4>1114169</vt:i4>
      </vt:variant>
      <vt:variant>
        <vt:i4>668</vt:i4>
      </vt:variant>
      <vt:variant>
        <vt:i4>0</vt:i4>
      </vt:variant>
      <vt:variant>
        <vt:i4>5</vt:i4>
      </vt:variant>
      <vt:variant>
        <vt:lpwstr/>
      </vt:variant>
      <vt:variant>
        <vt:lpwstr>_Toc217047808</vt:lpwstr>
      </vt:variant>
      <vt:variant>
        <vt:i4>1114169</vt:i4>
      </vt:variant>
      <vt:variant>
        <vt:i4>662</vt:i4>
      </vt:variant>
      <vt:variant>
        <vt:i4>0</vt:i4>
      </vt:variant>
      <vt:variant>
        <vt:i4>5</vt:i4>
      </vt:variant>
      <vt:variant>
        <vt:lpwstr/>
      </vt:variant>
      <vt:variant>
        <vt:lpwstr>_Toc217047807</vt:lpwstr>
      </vt:variant>
      <vt:variant>
        <vt:i4>1114169</vt:i4>
      </vt:variant>
      <vt:variant>
        <vt:i4>656</vt:i4>
      </vt:variant>
      <vt:variant>
        <vt:i4>0</vt:i4>
      </vt:variant>
      <vt:variant>
        <vt:i4>5</vt:i4>
      </vt:variant>
      <vt:variant>
        <vt:lpwstr/>
      </vt:variant>
      <vt:variant>
        <vt:lpwstr>_Toc217047806</vt:lpwstr>
      </vt:variant>
      <vt:variant>
        <vt:i4>1114169</vt:i4>
      </vt:variant>
      <vt:variant>
        <vt:i4>650</vt:i4>
      </vt:variant>
      <vt:variant>
        <vt:i4>0</vt:i4>
      </vt:variant>
      <vt:variant>
        <vt:i4>5</vt:i4>
      </vt:variant>
      <vt:variant>
        <vt:lpwstr/>
      </vt:variant>
      <vt:variant>
        <vt:lpwstr>_Toc217047805</vt:lpwstr>
      </vt:variant>
      <vt:variant>
        <vt:i4>1114169</vt:i4>
      </vt:variant>
      <vt:variant>
        <vt:i4>644</vt:i4>
      </vt:variant>
      <vt:variant>
        <vt:i4>0</vt:i4>
      </vt:variant>
      <vt:variant>
        <vt:i4>5</vt:i4>
      </vt:variant>
      <vt:variant>
        <vt:lpwstr/>
      </vt:variant>
      <vt:variant>
        <vt:lpwstr>_Toc217047804</vt:lpwstr>
      </vt:variant>
      <vt:variant>
        <vt:i4>1835059</vt:i4>
      </vt:variant>
      <vt:variant>
        <vt:i4>635</vt:i4>
      </vt:variant>
      <vt:variant>
        <vt:i4>0</vt:i4>
      </vt:variant>
      <vt:variant>
        <vt:i4>5</vt:i4>
      </vt:variant>
      <vt:variant>
        <vt:lpwstr/>
      </vt:variant>
      <vt:variant>
        <vt:lpwstr>_Toc218784197</vt:lpwstr>
      </vt:variant>
      <vt:variant>
        <vt:i4>1835059</vt:i4>
      </vt:variant>
      <vt:variant>
        <vt:i4>629</vt:i4>
      </vt:variant>
      <vt:variant>
        <vt:i4>0</vt:i4>
      </vt:variant>
      <vt:variant>
        <vt:i4>5</vt:i4>
      </vt:variant>
      <vt:variant>
        <vt:lpwstr/>
      </vt:variant>
      <vt:variant>
        <vt:lpwstr>_Toc218784196</vt:lpwstr>
      </vt:variant>
      <vt:variant>
        <vt:i4>1835059</vt:i4>
      </vt:variant>
      <vt:variant>
        <vt:i4>623</vt:i4>
      </vt:variant>
      <vt:variant>
        <vt:i4>0</vt:i4>
      </vt:variant>
      <vt:variant>
        <vt:i4>5</vt:i4>
      </vt:variant>
      <vt:variant>
        <vt:lpwstr/>
      </vt:variant>
      <vt:variant>
        <vt:lpwstr>_Toc218784195</vt:lpwstr>
      </vt:variant>
      <vt:variant>
        <vt:i4>1835059</vt:i4>
      </vt:variant>
      <vt:variant>
        <vt:i4>617</vt:i4>
      </vt:variant>
      <vt:variant>
        <vt:i4>0</vt:i4>
      </vt:variant>
      <vt:variant>
        <vt:i4>5</vt:i4>
      </vt:variant>
      <vt:variant>
        <vt:lpwstr/>
      </vt:variant>
      <vt:variant>
        <vt:lpwstr>_Toc218784194</vt:lpwstr>
      </vt:variant>
      <vt:variant>
        <vt:i4>1835059</vt:i4>
      </vt:variant>
      <vt:variant>
        <vt:i4>611</vt:i4>
      </vt:variant>
      <vt:variant>
        <vt:i4>0</vt:i4>
      </vt:variant>
      <vt:variant>
        <vt:i4>5</vt:i4>
      </vt:variant>
      <vt:variant>
        <vt:lpwstr/>
      </vt:variant>
      <vt:variant>
        <vt:lpwstr>_Toc218784193</vt:lpwstr>
      </vt:variant>
      <vt:variant>
        <vt:i4>1835059</vt:i4>
      </vt:variant>
      <vt:variant>
        <vt:i4>605</vt:i4>
      </vt:variant>
      <vt:variant>
        <vt:i4>0</vt:i4>
      </vt:variant>
      <vt:variant>
        <vt:i4>5</vt:i4>
      </vt:variant>
      <vt:variant>
        <vt:lpwstr/>
      </vt:variant>
      <vt:variant>
        <vt:lpwstr>_Toc218784192</vt:lpwstr>
      </vt:variant>
      <vt:variant>
        <vt:i4>1835059</vt:i4>
      </vt:variant>
      <vt:variant>
        <vt:i4>599</vt:i4>
      </vt:variant>
      <vt:variant>
        <vt:i4>0</vt:i4>
      </vt:variant>
      <vt:variant>
        <vt:i4>5</vt:i4>
      </vt:variant>
      <vt:variant>
        <vt:lpwstr/>
      </vt:variant>
      <vt:variant>
        <vt:lpwstr>_Toc218784191</vt:lpwstr>
      </vt:variant>
      <vt:variant>
        <vt:i4>1835059</vt:i4>
      </vt:variant>
      <vt:variant>
        <vt:i4>593</vt:i4>
      </vt:variant>
      <vt:variant>
        <vt:i4>0</vt:i4>
      </vt:variant>
      <vt:variant>
        <vt:i4>5</vt:i4>
      </vt:variant>
      <vt:variant>
        <vt:lpwstr/>
      </vt:variant>
      <vt:variant>
        <vt:lpwstr>_Toc218784190</vt:lpwstr>
      </vt:variant>
      <vt:variant>
        <vt:i4>1900595</vt:i4>
      </vt:variant>
      <vt:variant>
        <vt:i4>587</vt:i4>
      </vt:variant>
      <vt:variant>
        <vt:i4>0</vt:i4>
      </vt:variant>
      <vt:variant>
        <vt:i4>5</vt:i4>
      </vt:variant>
      <vt:variant>
        <vt:lpwstr/>
      </vt:variant>
      <vt:variant>
        <vt:lpwstr>_Toc218784189</vt:lpwstr>
      </vt:variant>
      <vt:variant>
        <vt:i4>1900595</vt:i4>
      </vt:variant>
      <vt:variant>
        <vt:i4>581</vt:i4>
      </vt:variant>
      <vt:variant>
        <vt:i4>0</vt:i4>
      </vt:variant>
      <vt:variant>
        <vt:i4>5</vt:i4>
      </vt:variant>
      <vt:variant>
        <vt:lpwstr/>
      </vt:variant>
      <vt:variant>
        <vt:lpwstr>_Toc218784188</vt:lpwstr>
      </vt:variant>
      <vt:variant>
        <vt:i4>1900595</vt:i4>
      </vt:variant>
      <vt:variant>
        <vt:i4>575</vt:i4>
      </vt:variant>
      <vt:variant>
        <vt:i4>0</vt:i4>
      </vt:variant>
      <vt:variant>
        <vt:i4>5</vt:i4>
      </vt:variant>
      <vt:variant>
        <vt:lpwstr/>
      </vt:variant>
      <vt:variant>
        <vt:lpwstr>_Toc218784187</vt:lpwstr>
      </vt:variant>
      <vt:variant>
        <vt:i4>1900595</vt:i4>
      </vt:variant>
      <vt:variant>
        <vt:i4>569</vt:i4>
      </vt:variant>
      <vt:variant>
        <vt:i4>0</vt:i4>
      </vt:variant>
      <vt:variant>
        <vt:i4>5</vt:i4>
      </vt:variant>
      <vt:variant>
        <vt:lpwstr/>
      </vt:variant>
      <vt:variant>
        <vt:lpwstr>_Toc218784186</vt:lpwstr>
      </vt:variant>
      <vt:variant>
        <vt:i4>1900595</vt:i4>
      </vt:variant>
      <vt:variant>
        <vt:i4>563</vt:i4>
      </vt:variant>
      <vt:variant>
        <vt:i4>0</vt:i4>
      </vt:variant>
      <vt:variant>
        <vt:i4>5</vt:i4>
      </vt:variant>
      <vt:variant>
        <vt:lpwstr/>
      </vt:variant>
      <vt:variant>
        <vt:lpwstr>_Toc218784185</vt:lpwstr>
      </vt:variant>
      <vt:variant>
        <vt:i4>1900595</vt:i4>
      </vt:variant>
      <vt:variant>
        <vt:i4>557</vt:i4>
      </vt:variant>
      <vt:variant>
        <vt:i4>0</vt:i4>
      </vt:variant>
      <vt:variant>
        <vt:i4>5</vt:i4>
      </vt:variant>
      <vt:variant>
        <vt:lpwstr/>
      </vt:variant>
      <vt:variant>
        <vt:lpwstr>_Toc218784184</vt:lpwstr>
      </vt:variant>
      <vt:variant>
        <vt:i4>1900595</vt:i4>
      </vt:variant>
      <vt:variant>
        <vt:i4>551</vt:i4>
      </vt:variant>
      <vt:variant>
        <vt:i4>0</vt:i4>
      </vt:variant>
      <vt:variant>
        <vt:i4>5</vt:i4>
      </vt:variant>
      <vt:variant>
        <vt:lpwstr/>
      </vt:variant>
      <vt:variant>
        <vt:lpwstr>_Toc218784183</vt:lpwstr>
      </vt:variant>
      <vt:variant>
        <vt:i4>1900595</vt:i4>
      </vt:variant>
      <vt:variant>
        <vt:i4>545</vt:i4>
      </vt:variant>
      <vt:variant>
        <vt:i4>0</vt:i4>
      </vt:variant>
      <vt:variant>
        <vt:i4>5</vt:i4>
      </vt:variant>
      <vt:variant>
        <vt:lpwstr/>
      </vt:variant>
      <vt:variant>
        <vt:lpwstr>_Toc218784182</vt:lpwstr>
      </vt:variant>
      <vt:variant>
        <vt:i4>1900595</vt:i4>
      </vt:variant>
      <vt:variant>
        <vt:i4>539</vt:i4>
      </vt:variant>
      <vt:variant>
        <vt:i4>0</vt:i4>
      </vt:variant>
      <vt:variant>
        <vt:i4>5</vt:i4>
      </vt:variant>
      <vt:variant>
        <vt:lpwstr/>
      </vt:variant>
      <vt:variant>
        <vt:lpwstr>_Toc218784181</vt:lpwstr>
      </vt:variant>
      <vt:variant>
        <vt:i4>1900595</vt:i4>
      </vt:variant>
      <vt:variant>
        <vt:i4>533</vt:i4>
      </vt:variant>
      <vt:variant>
        <vt:i4>0</vt:i4>
      </vt:variant>
      <vt:variant>
        <vt:i4>5</vt:i4>
      </vt:variant>
      <vt:variant>
        <vt:lpwstr/>
      </vt:variant>
      <vt:variant>
        <vt:lpwstr>_Toc218784180</vt:lpwstr>
      </vt:variant>
      <vt:variant>
        <vt:i4>1179699</vt:i4>
      </vt:variant>
      <vt:variant>
        <vt:i4>527</vt:i4>
      </vt:variant>
      <vt:variant>
        <vt:i4>0</vt:i4>
      </vt:variant>
      <vt:variant>
        <vt:i4>5</vt:i4>
      </vt:variant>
      <vt:variant>
        <vt:lpwstr/>
      </vt:variant>
      <vt:variant>
        <vt:lpwstr>_Toc218784179</vt:lpwstr>
      </vt:variant>
      <vt:variant>
        <vt:i4>1179699</vt:i4>
      </vt:variant>
      <vt:variant>
        <vt:i4>521</vt:i4>
      </vt:variant>
      <vt:variant>
        <vt:i4>0</vt:i4>
      </vt:variant>
      <vt:variant>
        <vt:i4>5</vt:i4>
      </vt:variant>
      <vt:variant>
        <vt:lpwstr/>
      </vt:variant>
      <vt:variant>
        <vt:lpwstr>_Toc218784178</vt:lpwstr>
      </vt:variant>
      <vt:variant>
        <vt:i4>1179699</vt:i4>
      </vt:variant>
      <vt:variant>
        <vt:i4>515</vt:i4>
      </vt:variant>
      <vt:variant>
        <vt:i4>0</vt:i4>
      </vt:variant>
      <vt:variant>
        <vt:i4>5</vt:i4>
      </vt:variant>
      <vt:variant>
        <vt:lpwstr/>
      </vt:variant>
      <vt:variant>
        <vt:lpwstr>_Toc218784177</vt:lpwstr>
      </vt:variant>
      <vt:variant>
        <vt:i4>1179699</vt:i4>
      </vt:variant>
      <vt:variant>
        <vt:i4>509</vt:i4>
      </vt:variant>
      <vt:variant>
        <vt:i4>0</vt:i4>
      </vt:variant>
      <vt:variant>
        <vt:i4>5</vt:i4>
      </vt:variant>
      <vt:variant>
        <vt:lpwstr/>
      </vt:variant>
      <vt:variant>
        <vt:lpwstr>_Toc218784176</vt:lpwstr>
      </vt:variant>
      <vt:variant>
        <vt:i4>1179699</vt:i4>
      </vt:variant>
      <vt:variant>
        <vt:i4>503</vt:i4>
      </vt:variant>
      <vt:variant>
        <vt:i4>0</vt:i4>
      </vt:variant>
      <vt:variant>
        <vt:i4>5</vt:i4>
      </vt:variant>
      <vt:variant>
        <vt:lpwstr/>
      </vt:variant>
      <vt:variant>
        <vt:lpwstr>_Toc218784175</vt:lpwstr>
      </vt:variant>
      <vt:variant>
        <vt:i4>1179699</vt:i4>
      </vt:variant>
      <vt:variant>
        <vt:i4>497</vt:i4>
      </vt:variant>
      <vt:variant>
        <vt:i4>0</vt:i4>
      </vt:variant>
      <vt:variant>
        <vt:i4>5</vt:i4>
      </vt:variant>
      <vt:variant>
        <vt:lpwstr/>
      </vt:variant>
      <vt:variant>
        <vt:lpwstr>_Toc218784174</vt:lpwstr>
      </vt:variant>
      <vt:variant>
        <vt:i4>1179699</vt:i4>
      </vt:variant>
      <vt:variant>
        <vt:i4>491</vt:i4>
      </vt:variant>
      <vt:variant>
        <vt:i4>0</vt:i4>
      </vt:variant>
      <vt:variant>
        <vt:i4>5</vt:i4>
      </vt:variant>
      <vt:variant>
        <vt:lpwstr/>
      </vt:variant>
      <vt:variant>
        <vt:lpwstr>_Toc218784173</vt:lpwstr>
      </vt:variant>
      <vt:variant>
        <vt:i4>1179699</vt:i4>
      </vt:variant>
      <vt:variant>
        <vt:i4>485</vt:i4>
      </vt:variant>
      <vt:variant>
        <vt:i4>0</vt:i4>
      </vt:variant>
      <vt:variant>
        <vt:i4>5</vt:i4>
      </vt:variant>
      <vt:variant>
        <vt:lpwstr/>
      </vt:variant>
      <vt:variant>
        <vt:lpwstr>_Toc218784172</vt:lpwstr>
      </vt:variant>
      <vt:variant>
        <vt:i4>1179699</vt:i4>
      </vt:variant>
      <vt:variant>
        <vt:i4>479</vt:i4>
      </vt:variant>
      <vt:variant>
        <vt:i4>0</vt:i4>
      </vt:variant>
      <vt:variant>
        <vt:i4>5</vt:i4>
      </vt:variant>
      <vt:variant>
        <vt:lpwstr/>
      </vt:variant>
      <vt:variant>
        <vt:lpwstr>_Toc218784171</vt:lpwstr>
      </vt:variant>
      <vt:variant>
        <vt:i4>1179699</vt:i4>
      </vt:variant>
      <vt:variant>
        <vt:i4>473</vt:i4>
      </vt:variant>
      <vt:variant>
        <vt:i4>0</vt:i4>
      </vt:variant>
      <vt:variant>
        <vt:i4>5</vt:i4>
      </vt:variant>
      <vt:variant>
        <vt:lpwstr/>
      </vt:variant>
      <vt:variant>
        <vt:lpwstr>_Toc218784170</vt:lpwstr>
      </vt:variant>
      <vt:variant>
        <vt:i4>1245235</vt:i4>
      </vt:variant>
      <vt:variant>
        <vt:i4>467</vt:i4>
      </vt:variant>
      <vt:variant>
        <vt:i4>0</vt:i4>
      </vt:variant>
      <vt:variant>
        <vt:i4>5</vt:i4>
      </vt:variant>
      <vt:variant>
        <vt:lpwstr/>
      </vt:variant>
      <vt:variant>
        <vt:lpwstr>_Toc218784169</vt:lpwstr>
      </vt:variant>
      <vt:variant>
        <vt:i4>1245235</vt:i4>
      </vt:variant>
      <vt:variant>
        <vt:i4>461</vt:i4>
      </vt:variant>
      <vt:variant>
        <vt:i4>0</vt:i4>
      </vt:variant>
      <vt:variant>
        <vt:i4>5</vt:i4>
      </vt:variant>
      <vt:variant>
        <vt:lpwstr/>
      </vt:variant>
      <vt:variant>
        <vt:lpwstr>_Toc218784168</vt:lpwstr>
      </vt:variant>
      <vt:variant>
        <vt:i4>1245235</vt:i4>
      </vt:variant>
      <vt:variant>
        <vt:i4>455</vt:i4>
      </vt:variant>
      <vt:variant>
        <vt:i4>0</vt:i4>
      </vt:variant>
      <vt:variant>
        <vt:i4>5</vt:i4>
      </vt:variant>
      <vt:variant>
        <vt:lpwstr/>
      </vt:variant>
      <vt:variant>
        <vt:lpwstr>_Toc218784167</vt:lpwstr>
      </vt:variant>
      <vt:variant>
        <vt:i4>1245235</vt:i4>
      </vt:variant>
      <vt:variant>
        <vt:i4>449</vt:i4>
      </vt:variant>
      <vt:variant>
        <vt:i4>0</vt:i4>
      </vt:variant>
      <vt:variant>
        <vt:i4>5</vt:i4>
      </vt:variant>
      <vt:variant>
        <vt:lpwstr/>
      </vt:variant>
      <vt:variant>
        <vt:lpwstr>_Toc218784166</vt:lpwstr>
      </vt:variant>
      <vt:variant>
        <vt:i4>1245235</vt:i4>
      </vt:variant>
      <vt:variant>
        <vt:i4>443</vt:i4>
      </vt:variant>
      <vt:variant>
        <vt:i4>0</vt:i4>
      </vt:variant>
      <vt:variant>
        <vt:i4>5</vt:i4>
      </vt:variant>
      <vt:variant>
        <vt:lpwstr/>
      </vt:variant>
      <vt:variant>
        <vt:lpwstr>_Toc218784165</vt:lpwstr>
      </vt:variant>
      <vt:variant>
        <vt:i4>1245235</vt:i4>
      </vt:variant>
      <vt:variant>
        <vt:i4>437</vt:i4>
      </vt:variant>
      <vt:variant>
        <vt:i4>0</vt:i4>
      </vt:variant>
      <vt:variant>
        <vt:i4>5</vt:i4>
      </vt:variant>
      <vt:variant>
        <vt:lpwstr/>
      </vt:variant>
      <vt:variant>
        <vt:lpwstr>_Toc218784164</vt:lpwstr>
      </vt:variant>
      <vt:variant>
        <vt:i4>1245235</vt:i4>
      </vt:variant>
      <vt:variant>
        <vt:i4>431</vt:i4>
      </vt:variant>
      <vt:variant>
        <vt:i4>0</vt:i4>
      </vt:variant>
      <vt:variant>
        <vt:i4>5</vt:i4>
      </vt:variant>
      <vt:variant>
        <vt:lpwstr/>
      </vt:variant>
      <vt:variant>
        <vt:lpwstr>_Toc218784163</vt:lpwstr>
      </vt:variant>
      <vt:variant>
        <vt:i4>1245235</vt:i4>
      </vt:variant>
      <vt:variant>
        <vt:i4>425</vt:i4>
      </vt:variant>
      <vt:variant>
        <vt:i4>0</vt:i4>
      </vt:variant>
      <vt:variant>
        <vt:i4>5</vt:i4>
      </vt:variant>
      <vt:variant>
        <vt:lpwstr/>
      </vt:variant>
      <vt:variant>
        <vt:lpwstr>_Toc218784162</vt:lpwstr>
      </vt:variant>
      <vt:variant>
        <vt:i4>1245235</vt:i4>
      </vt:variant>
      <vt:variant>
        <vt:i4>419</vt:i4>
      </vt:variant>
      <vt:variant>
        <vt:i4>0</vt:i4>
      </vt:variant>
      <vt:variant>
        <vt:i4>5</vt:i4>
      </vt:variant>
      <vt:variant>
        <vt:lpwstr/>
      </vt:variant>
      <vt:variant>
        <vt:lpwstr>_Toc218784161</vt:lpwstr>
      </vt:variant>
      <vt:variant>
        <vt:i4>1245235</vt:i4>
      </vt:variant>
      <vt:variant>
        <vt:i4>413</vt:i4>
      </vt:variant>
      <vt:variant>
        <vt:i4>0</vt:i4>
      </vt:variant>
      <vt:variant>
        <vt:i4>5</vt:i4>
      </vt:variant>
      <vt:variant>
        <vt:lpwstr/>
      </vt:variant>
      <vt:variant>
        <vt:lpwstr>_Toc218784160</vt:lpwstr>
      </vt:variant>
      <vt:variant>
        <vt:i4>1048627</vt:i4>
      </vt:variant>
      <vt:variant>
        <vt:i4>407</vt:i4>
      </vt:variant>
      <vt:variant>
        <vt:i4>0</vt:i4>
      </vt:variant>
      <vt:variant>
        <vt:i4>5</vt:i4>
      </vt:variant>
      <vt:variant>
        <vt:lpwstr/>
      </vt:variant>
      <vt:variant>
        <vt:lpwstr>_Toc218784159</vt:lpwstr>
      </vt:variant>
      <vt:variant>
        <vt:i4>1048627</vt:i4>
      </vt:variant>
      <vt:variant>
        <vt:i4>401</vt:i4>
      </vt:variant>
      <vt:variant>
        <vt:i4>0</vt:i4>
      </vt:variant>
      <vt:variant>
        <vt:i4>5</vt:i4>
      </vt:variant>
      <vt:variant>
        <vt:lpwstr/>
      </vt:variant>
      <vt:variant>
        <vt:lpwstr>_Toc218784158</vt:lpwstr>
      </vt:variant>
      <vt:variant>
        <vt:i4>1048627</vt:i4>
      </vt:variant>
      <vt:variant>
        <vt:i4>395</vt:i4>
      </vt:variant>
      <vt:variant>
        <vt:i4>0</vt:i4>
      </vt:variant>
      <vt:variant>
        <vt:i4>5</vt:i4>
      </vt:variant>
      <vt:variant>
        <vt:lpwstr/>
      </vt:variant>
      <vt:variant>
        <vt:lpwstr>_Toc218784157</vt:lpwstr>
      </vt:variant>
      <vt:variant>
        <vt:i4>1048627</vt:i4>
      </vt:variant>
      <vt:variant>
        <vt:i4>389</vt:i4>
      </vt:variant>
      <vt:variant>
        <vt:i4>0</vt:i4>
      </vt:variant>
      <vt:variant>
        <vt:i4>5</vt:i4>
      </vt:variant>
      <vt:variant>
        <vt:lpwstr/>
      </vt:variant>
      <vt:variant>
        <vt:lpwstr>_Toc218784156</vt:lpwstr>
      </vt:variant>
      <vt:variant>
        <vt:i4>1048627</vt:i4>
      </vt:variant>
      <vt:variant>
        <vt:i4>383</vt:i4>
      </vt:variant>
      <vt:variant>
        <vt:i4>0</vt:i4>
      </vt:variant>
      <vt:variant>
        <vt:i4>5</vt:i4>
      </vt:variant>
      <vt:variant>
        <vt:lpwstr/>
      </vt:variant>
      <vt:variant>
        <vt:lpwstr>_Toc218784155</vt:lpwstr>
      </vt:variant>
      <vt:variant>
        <vt:i4>1048627</vt:i4>
      </vt:variant>
      <vt:variant>
        <vt:i4>377</vt:i4>
      </vt:variant>
      <vt:variant>
        <vt:i4>0</vt:i4>
      </vt:variant>
      <vt:variant>
        <vt:i4>5</vt:i4>
      </vt:variant>
      <vt:variant>
        <vt:lpwstr/>
      </vt:variant>
      <vt:variant>
        <vt:lpwstr>_Toc218784154</vt:lpwstr>
      </vt:variant>
      <vt:variant>
        <vt:i4>1048627</vt:i4>
      </vt:variant>
      <vt:variant>
        <vt:i4>371</vt:i4>
      </vt:variant>
      <vt:variant>
        <vt:i4>0</vt:i4>
      </vt:variant>
      <vt:variant>
        <vt:i4>5</vt:i4>
      </vt:variant>
      <vt:variant>
        <vt:lpwstr/>
      </vt:variant>
      <vt:variant>
        <vt:lpwstr>_Toc218784153</vt:lpwstr>
      </vt:variant>
      <vt:variant>
        <vt:i4>1048627</vt:i4>
      </vt:variant>
      <vt:variant>
        <vt:i4>365</vt:i4>
      </vt:variant>
      <vt:variant>
        <vt:i4>0</vt:i4>
      </vt:variant>
      <vt:variant>
        <vt:i4>5</vt:i4>
      </vt:variant>
      <vt:variant>
        <vt:lpwstr/>
      </vt:variant>
      <vt:variant>
        <vt:lpwstr>_Toc218784152</vt:lpwstr>
      </vt:variant>
      <vt:variant>
        <vt:i4>1048627</vt:i4>
      </vt:variant>
      <vt:variant>
        <vt:i4>359</vt:i4>
      </vt:variant>
      <vt:variant>
        <vt:i4>0</vt:i4>
      </vt:variant>
      <vt:variant>
        <vt:i4>5</vt:i4>
      </vt:variant>
      <vt:variant>
        <vt:lpwstr/>
      </vt:variant>
      <vt:variant>
        <vt:lpwstr>_Toc218784151</vt:lpwstr>
      </vt:variant>
      <vt:variant>
        <vt:i4>1048627</vt:i4>
      </vt:variant>
      <vt:variant>
        <vt:i4>353</vt:i4>
      </vt:variant>
      <vt:variant>
        <vt:i4>0</vt:i4>
      </vt:variant>
      <vt:variant>
        <vt:i4>5</vt:i4>
      </vt:variant>
      <vt:variant>
        <vt:lpwstr/>
      </vt:variant>
      <vt:variant>
        <vt:lpwstr>_Toc218784150</vt:lpwstr>
      </vt:variant>
      <vt:variant>
        <vt:i4>1114163</vt:i4>
      </vt:variant>
      <vt:variant>
        <vt:i4>347</vt:i4>
      </vt:variant>
      <vt:variant>
        <vt:i4>0</vt:i4>
      </vt:variant>
      <vt:variant>
        <vt:i4>5</vt:i4>
      </vt:variant>
      <vt:variant>
        <vt:lpwstr/>
      </vt:variant>
      <vt:variant>
        <vt:lpwstr>_Toc218784149</vt:lpwstr>
      </vt:variant>
      <vt:variant>
        <vt:i4>1114163</vt:i4>
      </vt:variant>
      <vt:variant>
        <vt:i4>341</vt:i4>
      </vt:variant>
      <vt:variant>
        <vt:i4>0</vt:i4>
      </vt:variant>
      <vt:variant>
        <vt:i4>5</vt:i4>
      </vt:variant>
      <vt:variant>
        <vt:lpwstr/>
      </vt:variant>
      <vt:variant>
        <vt:lpwstr>_Toc218784148</vt:lpwstr>
      </vt:variant>
      <vt:variant>
        <vt:i4>1114163</vt:i4>
      </vt:variant>
      <vt:variant>
        <vt:i4>335</vt:i4>
      </vt:variant>
      <vt:variant>
        <vt:i4>0</vt:i4>
      </vt:variant>
      <vt:variant>
        <vt:i4>5</vt:i4>
      </vt:variant>
      <vt:variant>
        <vt:lpwstr/>
      </vt:variant>
      <vt:variant>
        <vt:lpwstr>_Toc218784147</vt:lpwstr>
      </vt:variant>
      <vt:variant>
        <vt:i4>1114163</vt:i4>
      </vt:variant>
      <vt:variant>
        <vt:i4>329</vt:i4>
      </vt:variant>
      <vt:variant>
        <vt:i4>0</vt:i4>
      </vt:variant>
      <vt:variant>
        <vt:i4>5</vt:i4>
      </vt:variant>
      <vt:variant>
        <vt:lpwstr/>
      </vt:variant>
      <vt:variant>
        <vt:lpwstr>_Toc218784146</vt:lpwstr>
      </vt:variant>
      <vt:variant>
        <vt:i4>1114163</vt:i4>
      </vt:variant>
      <vt:variant>
        <vt:i4>323</vt:i4>
      </vt:variant>
      <vt:variant>
        <vt:i4>0</vt:i4>
      </vt:variant>
      <vt:variant>
        <vt:i4>5</vt:i4>
      </vt:variant>
      <vt:variant>
        <vt:lpwstr/>
      </vt:variant>
      <vt:variant>
        <vt:lpwstr>_Toc218784145</vt:lpwstr>
      </vt:variant>
      <vt:variant>
        <vt:i4>1114163</vt:i4>
      </vt:variant>
      <vt:variant>
        <vt:i4>317</vt:i4>
      </vt:variant>
      <vt:variant>
        <vt:i4>0</vt:i4>
      </vt:variant>
      <vt:variant>
        <vt:i4>5</vt:i4>
      </vt:variant>
      <vt:variant>
        <vt:lpwstr/>
      </vt:variant>
      <vt:variant>
        <vt:lpwstr>_Toc218784144</vt:lpwstr>
      </vt:variant>
      <vt:variant>
        <vt:i4>1114163</vt:i4>
      </vt:variant>
      <vt:variant>
        <vt:i4>311</vt:i4>
      </vt:variant>
      <vt:variant>
        <vt:i4>0</vt:i4>
      </vt:variant>
      <vt:variant>
        <vt:i4>5</vt:i4>
      </vt:variant>
      <vt:variant>
        <vt:lpwstr/>
      </vt:variant>
      <vt:variant>
        <vt:lpwstr>_Toc218784143</vt:lpwstr>
      </vt:variant>
      <vt:variant>
        <vt:i4>1114163</vt:i4>
      </vt:variant>
      <vt:variant>
        <vt:i4>305</vt:i4>
      </vt:variant>
      <vt:variant>
        <vt:i4>0</vt:i4>
      </vt:variant>
      <vt:variant>
        <vt:i4>5</vt:i4>
      </vt:variant>
      <vt:variant>
        <vt:lpwstr/>
      </vt:variant>
      <vt:variant>
        <vt:lpwstr>_Toc218784142</vt:lpwstr>
      </vt:variant>
      <vt:variant>
        <vt:i4>1114163</vt:i4>
      </vt:variant>
      <vt:variant>
        <vt:i4>299</vt:i4>
      </vt:variant>
      <vt:variant>
        <vt:i4>0</vt:i4>
      </vt:variant>
      <vt:variant>
        <vt:i4>5</vt:i4>
      </vt:variant>
      <vt:variant>
        <vt:lpwstr/>
      </vt:variant>
      <vt:variant>
        <vt:lpwstr>_Toc218784141</vt:lpwstr>
      </vt:variant>
      <vt:variant>
        <vt:i4>1114163</vt:i4>
      </vt:variant>
      <vt:variant>
        <vt:i4>293</vt:i4>
      </vt:variant>
      <vt:variant>
        <vt:i4>0</vt:i4>
      </vt:variant>
      <vt:variant>
        <vt:i4>5</vt:i4>
      </vt:variant>
      <vt:variant>
        <vt:lpwstr/>
      </vt:variant>
      <vt:variant>
        <vt:lpwstr>_Toc218784140</vt:lpwstr>
      </vt:variant>
      <vt:variant>
        <vt:i4>1441843</vt:i4>
      </vt:variant>
      <vt:variant>
        <vt:i4>287</vt:i4>
      </vt:variant>
      <vt:variant>
        <vt:i4>0</vt:i4>
      </vt:variant>
      <vt:variant>
        <vt:i4>5</vt:i4>
      </vt:variant>
      <vt:variant>
        <vt:lpwstr/>
      </vt:variant>
      <vt:variant>
        <vt:lpwstr>_Toc218784139</vt:lpwstr>
      </vt:variant>
      <vt:variant>
        <vt:i4>1441843</vt:i4>
      </vt:variant>
      <vt:variant>
        <vt:i4>281</vt:i4>
      </vt:variant>
      <vt:variant>
        <vt:i4>0</vt:i4>
      </vt:variant>
      <vt:variant>
        <vt:i4>5</vt:i4>
      </vt:variant>
      <vt:variant>
        <vt:lpwstr/>
      </vt:variant>
      <vt:variant>
        <vt:lpwstr>_Toc218784138</vt:lpwstr>
      </vt:variant>
      <vt:variant>
        <vt:i4>1441843</vt:i4>
      </vt:variant>
      <vt:variant>
        <vt:i4>275</vt:i4>
      </vt:variant>
      <vt:variant>
        <vt:i4>0</vt:i4>
      </vt:variant>
      <vt:variant>
        <vt:i4>5</vt:i4>
      </vt:variant>
      <vt:variant>
        <vt:lpwstr/>
      </vt:variant>
      <vt:variant>
        <vt:lpwstr>_Toc218784137</vt:lpwstr>
      </vt:variant>
      <vt:variant>
        <vt:i4>1441843</vt:i4>
      </vt:variant>
      <vt:variant>
        <vt:i4>269</vt:i4>
      </vt:variant>
      <vt:variant>
        <vt:i4>0</vt:i4>
      </vt:variant>
      <vt:variant>
        <vt:i4>5</vt:i4>
      </vt:variant>
      <vt:variant>
        <vt:lpwstr/>
      </vt:variant>
      <vt:variant>
        <vt:lpwstr>_Toc218784136</vt:lpwstr>
      </vt:variant>
      <vt:variant>
        <vt:i4>1441843</vt:i4>
      </vt:variant>
      <vt:variant>
        <vt:i4>263</vt:i4>
      </vt:variant>
      <vt:variant>
        <vt:i4>0</vt:i4>
      </vt:variant>
      <vt:variant>
        <vt:i4>5</vt:i4>
      </vt:variant>
      <vt:variant>
        <vt:lpwstr/>
      </vt:variant>
      <vt:variant>
        <vt:lpwstr>_Toc218784135</vt:lpwstr>
      </vt:variant>
      <vt:variant>
        <vt:i4>1441843</vt:i4>
      </vt:variant>
      <vt:variant>
        <vt:i4>257</vt:i4>
      </vt:variant>
      <vt:variant>
        <vt:i4>0</vt:i4>
      </vt:variant>
      <vt:variant>
        <vt:i4>5</vt:i4>
      </vt:variant>
      <vt:variant>
        <vt:lpwstr/>
      </vt:variant>
      <vt:variant>
        <vt:lpwstr>_Toc218784134</vt:lpwstr>
      </vt:variant>
      <vt:variant>
        <vt:i4>1441843</vt:i4>
      </vt:variant>
      <vt:variant>
        <vt:i4>251</vt:i4>
      </vt:variant>
      <vt:variant>
        <vt:i4>0</vt:i4>
      </vt:variant>
      <vt:variant>
        <vt:i4>5</vt:i4>
      </vt:variant>
      <vt:variant>
        <vt:lpwstr/>
      </vt:variant>
      <vt:variant>
        <vt:lpwstr>_Toc218784133</vt:lpwstr>
      </vt:variant>
      <vt:variant>
        <vt:i4>1048625</vt:i4>
      </vt:variant>
      <vt:variant>
        <vt:i4>242</vt:i4>
      </vt:variant>
      <vt:variant>
        <vt:i4>0</vt:i4>
      </vt:variant>
      <vt:variant>
        <vt:i4>5</vt:i4>
      </vt:variant>
      <vt:variant>
        <vt:lpwstr/>
      </vt:variant>
      <vt:variant>
        <vt:lpwstr>_Toc219121869</vt:lpwstr>
      </vt:variant>
      <vt:variant>
        <vt:i4>1048625</vt:i4>
      </vt:variant>
      <vt:variant>
        <vt:i4>236</vt:i4>
      </vt:variant>
      <vt:variant>
        <vt:i4>0</vt:i4>
      </vt:variant>
      <vt:variant>
        <vt:i4>5</vt:i4>
      </vt:variant>
      <vt:variant>
        <vt:lpwstr/>
      </vt:variant>
      <vt:variant>
        <vt:lpwstr>_Toc219121868</vt:lpwstr>
      </vt:variant>
      <vt:variant>
        <vt:i4>1048625</vt:i4>
      </vt:variant>
      <vt:variant>
        <vt:i4>230</vt:i4>
      </vt:variant>
      <vt:variant>
        <vt:i4>0</vt:i4>
      </vt:variant>
      <vt:variant>
        <vt:i4>5</vt:i4>
      </vt:variant>
      <vt:variant>
        <vt:lpwstr/>
      </vt:variant>
      <vt:variant>
        <vt:lpwstr>_Toc219121867</vt:lpwstr>
      </vt:variant>
      <vt:variant>
        <vt:i4>1048625</vt:i4>
      </vt:variant>
      <vt:variant>
        <vt:i4>224</vt:i4>
      </vt:variant>
      <vt:variant>
        <vt:i4>0</vt:i4>
      </vt:variant>
      <vt:variant>
        <vt:i4>5</vt:i4>
      </vt:variant>
      <vt:variant>
        <vt:lpwstr/>
      </vt:variant>
      <vt:variant>
        <vt:lpwstr>_Toc219121866</vt:lpwstr>
      </vt:variant>
      <vt:variant>
        <vt:i4>1048625</vt:i4>
      </vt:variant>
      <vt:variant>
        <vt:i4>218</vt:i4>
      </vt:variant>
      <vt:variant>
        <vt:i4>0</vt:i4>
      </vt:variant>
      <vt:variant>
        <vt:i4>5</vt:i4>
      </vt:variant>
      <vt:variant>
        <vt:lpwstr/>
      </vt:variant>
      <vt:variant>
        <vt:lpwstr>_Toc219121865</vt:lpwstr>
      </vt:variant>
      <vt:variant>
        <vt:i4>1048625</vt:i4>
      </vt:variant>
      <vt:variant>
        <vt:i4>212</vt:i4>
      </vt:variant>
      <vt:variant>
        <vt:i4>0</vt:i4>
      </vt:variant>
      <vt:variant>
        <vt:i4>5</vt:i4>
      </vt:variant>
      <vt:variant>
        <vt:lpwstr/>
      </vt:variant>
      <vt:variant>
        <vt:lpwstr>_Toc219121864</vt:lpwstr>
      </vt:variant>
      <vt:variant>
        <vt:i4>1048625</vt:i4>
      </vt:variant>
      <vt:variant>
        <vt:i4>206</vt:i4>
      </vt:variant>
      <vt:variant>
        <vt:i4>0</vt:i4>
      </vt:variant>
      <vt:variant>
        <vt:i4>5</vt:i4>
      </vt:variant>
      <vt:variant>
        <vt:lpwstr/>
      </vt:variant>
      <vt:variant>
        <vt:lpwstr>_Toc219121863</vt:lpwstr>
      </vt:variant>
      <vt:variant>
        <vt:i4>1048625</vt:i4>
      </vt:variant>
      <vt:variant>
        <vt:i4>200</vt:i4>
      </vt:variant>
      <vt:variant>
        <vt:i4>0</vt:i4>
      </vt:variant>
      <vt:variant>
        <vt:i4>5</vt:i4>
      </vt:variant>
      <vt:variant>
        <vt:lpwstr/>
      </vt:variant>
      <vt:variant>
        <vt:lpwstr>_Toc219121862</vt:lpwstr>
      </vt:variant>
      <vt:variant>
        <vt:i4>1048625</vt:i4>
      </vt:variant>
      <vt:variant>
        <vt:i4>194</vt:i4>
      </vt:variant>
      <vt:variant>
        <vt:i4>0</vt:i4>
      </vt:variant>
      <vt:variant>
        <vt:i4>5</vt:i4>
      </vt:variant>
      <vt:variant>
        <vt:lpwstr/>
      </vt:variant>
      <vt:variant>
        <vt:lpwstr>_Toc219121861</vt:lpwstr>
      </vt:variant>
      <vt:variant>
        <vt:i4>1048625</vt:i4>
      </vt:variant>
      <vt:variant>
        <vt:i4>188</vt:i4>
      </vt:variant>
      <vt:variant>
        <vt:i4>0</vt:i4>
      </vt:variant>
      <vt:variant>
        <vt:i4>5</vt:i4>
      </vt:variant>
      <vt:variant>
        <vt:lpwstr/>
      </vt:variant>
      <vt:variant>
        <vt:lpwstr>_Toc219121860</vt:lpwstr>
      </vt:variant>
      <vt:variant>
        <vt:i4>1245233</vt:i4>
      </vt:variant>
      <vt:variant>
        <vt:i4>182</vt:i4>
      </vt:variant>
      <vt:variant>
        <vt:i4>0</vt:i4>
      </vt:variant>
      <vt:variant>
        <vt:i4>5</vt:i4>
      </vt:variant>
      <vt:variant>
        <vt:lpwstr/>
      </vt:variant>
      <vt:variant>
        <vt:lpwstr>_Toc219121859</vt:lpwstr>
      </vt:variant>
      <vt:variant>
        <vt:i4>1245233</vt:i4>
      </vt:variant>
      <vt:variant>
        <vt:i4>176</vt:i4>
      </vt:variant>
      <vt:variant>
        <vt:i4>0</vt:i4>
      </vt:variant>
      <vt:variant>
        <vt:i4>5</vt:i4>
      </vt:variant>
      <vt:variant>
        <vt:lpwstr/>
      </vt:variant>
      <vt:variant>
        <vt:lpwstr>_Toc219121858</vt:lpwstr>
      </vt:variant>
      <vt:variant>
        <vt:i4>1245233</vt:i4>
      </vt:variant>
      <vt:variant>
        <vt:i4>170</vt:i4>
      </vt:variant>
      <vt:variant>
        <vt:i4>0</vt:i4>
      </vt:variant>
      <vt:variant>
        <vt:i4>5</vt:i4>
      </vt:variant>
      <vt:variant>
        <vt:lpwstr/>
      </vt:variant>
      <vt:variant>
        <vt:lpwstr>_Toc219121857</vt:lpwstr>
      </vt:variant>
      <vt:variant>
        <vt:i4>1245233</vt:i4>
      </vt:variant>
      <vt:variant>
        <vt:i4>164</vt:i4>
      </vt:variant>
      <vt:variant>
        <vt:i4>0</vt:i4>
      </vt:variant>
      <vt:variant>
        <vt:i4>5</vt:i4>
      </vt:variant>
      <vt:variant>
        <vt:lpwstr/>
      </vt:variant>
      <vt:variant>
        <vt:lpwstr>_Toc219121856</vt:lpwstr>
      </vt:variant>
      <vt:variant>
        <vt:i4>1245233</vt:i4>
      </vt:variant>
      <vt:variant>
        <vt:i4>158</vt:i4>
      </vt:variant>
      <vt:variant>
        <vt:i4>0</vt:i4>
      </vt:variant>
      <vt:variant>
        <vt:i4>5</vt:i4>
      </vt:variant>
      <vt:variant>
        <vt:lpwstr/>
      </vt:variant>
      <vt:variant>
        <vt:lpwstr>_Toc219121855</vt:lpwstr>
      </vt:variant>
      <vt:variant>
        <vt:i4>1245233</vt:i4>
      </vt:variant>
      <vt:variant>
        <vt:i4>152</vt:i4>
      </vt:variant>
      <vt:variant>
        <vt:i4>0</vt:i4>
      </vt:variant>
      <vt:variant>
        <vt:i4>5</vt:i4>
      </vt:variant>
      <vt:variant>
        <vt:lpwstr/>
      </vt:variant>
      <vt:variant>
        <vt:lpwstr>_Toc219121854</vt:lpwstr>
      </vt:variant>
      <vt:variant>
        <vt:i4>1245233</vt:i4>
      </vt:variant>
      <vt:variant>
        <vt:i4>146</vt:i4>
      </vt:variant>
      <vt:variant>
        <vt:i4>0</vt:i4>
      </vt:variant>
      <vt:variant>
        <vt:i4>5</vt:i4>
      </vt:variant>
      <vt:variant>
        <vt:lpwstr/>
      </vt:variant>
      <vt:variant>
        <vt:lpwstr>_Toc219121853</vt:lpwstr>
      </vt:variant>
      <vt:variant>
        <vt:i4>1245233</vt:i4>
      </vt:variant>
      <vt:variant>
        <vt:i4>140</vt:i4>
      </vt:variant>
      <vt:variant>
        <vt:i4>0</vt:i4>
      </vt:variant>
      <vt:variant>
        <vt:i4>5</vt:i4>
      </vt:variant>
      <vt:variant>
        <vt:lpwstr/>
      </vt:variant>
      <vt:variant>
        <vt:lpwstr>_Toc219121852</vt:lpwstr>
      </vt:variant>
      <vt:variant>
        <vt:i4>1245233</vt:i4>
      </vt:variant>
      <vt:variant>
        <vt:i4>134</vt:i4>
      </vt:variant>
      <vt:variant>
        <vt:i4>0</vt:i4>
      </vt:variant>
      <vt:variant>
        <vt:i4>5</vt:i4>
      </vt:variant>
      <vt:variant>
        <vt:lpwstr/>
      </vt:variant>
      <vt:variant>
        <vt:lpwstr>_Toc219121851</vt:lpwstr>
      </vt:variant>
      <vt:variant>
        <vt:i4>1245233</vt:i4>
      </vt:variant>
      <vt:variant>
        <vt:i4>128</vt:i4>
      </vt:variant>
      <vt:variant>
        <vt:i4>0</vt:i4>
      </vt:variant>
      <vt:variant>
        <vt:i4>5</vt:i4>
      </vt:variant>
      <vt:variant>
        <vt:lpwstr/>
      </vt:variant>
      <vt:variant>
        <vt:lpwstr>_Toc219121850</vt:lpwstr>
      </vt:variant>
      <vt:variant>
        <vt:i4>1179697</vt:i4>
      </vt:variant>
      <vt:variant>
        <vt:i4>122</vt:i4>
      </vt:variant>
      <vt:variant>
        <vt:i4>0</vt:i4>
      </vt:variant>
      <vt:variant>
        <vt:i4>5</vt:i4>
      </vt:variant>
      <vt:variant>
        <vt:lpwstr/>
      </vt:variant>
      <vt:variant>
        <vt:lpwstr>_Toc219121849</vt:lpwstr>
      </vt:variant>
      <vt:variant>
        <vt:i4>1179697</vt:i4>
      </vt:variant>
      <vt:variant>
        <vt:i4>116</vt:i4>
      </vt:variant>
      <vt:variant>
        <vt:i4>0</vt:i4>
      </vt:variant>
      <vt:variant>
        <vt:i4>5</vt:i4>
      </vt:variant>
      <vt:variant>
        <vt:lpwstr/>
      </vt:variant>
      <vt:variant>
        <vt:lpwstr>_Toc219121848</vt:lpwstr>
      </vt:variant>
      <vt:variant>
        <vt:i4>1179697</vt:i4>
      </vt:variant>
      <vt:variant>
        <vt:i4>110</vt:i4>
      </vt:variant>
      <vt:variant>
        <vt:i4>0</vt:i4>
      </vt:variant>
      <vt:variant>
        <vt:i4>5</vt:i4>
      </vt:variant>
      <vt:variant>
        <vt:lpwstr/>
      </vt:variant>
      <vt:variant>
        <vt:lpwstr>_Toc219121847</vt:lpwstr>
      </vt:variant>
      <vt:variant>
        <vt:i4>1179697</vt:i4>
      </vt:variant>
      <vt:variant>
        <vt:i4>104</vt:i4>
      </vt:variant>
      <vt:variant>
        <vt:i4>0</vt:i4>
      </vt:variant>
      <vt:variant>
        <vt:i4>5</vt:i4>
      </vt:variant>
      <vt:variant>
        <vt:lpwstr/>
      </vt:variant>
      <vt:variant>
        <vt:lpwstr>_Toc219121846</vt:lpwstr>
      </vt:variant>
      <vt:variant>
        <vt:i4>1179697</vt:i4>
      </vt:variant>
      <vt:variant>
        <vt:i4>98</vt:i4>
      </vt:variant>
      <vt:variant>
        <vt:i4>0</vt:i4>
      </vt:variant>
      <vt:variant>
        <vt:i4>5</vt:i4>
      </vt:variant>
      <vt:variant>
        <vt:lpwstr/>
      </vt:variant>
      <vt:variant>
        <vt:lpwstr>_Toc219121845</vt:lpwstr>
      </vt:variant>
      <vt:variant>
        <vt:i4>1179697</vt:i4>
      </vt:variant>
      <vt:variant>
        <vt:i4>92</vt:i4>
      </vt:variant>
      <vt:variant>
        <vt:i4>0</vt:i4>
      </vt:variant>
      <vt:variant>
        <vt:i4>5</vt:i4>
      </vt:variant>
      <vt:variant>
        <vt:lpwstr/>
      </vt:variant>
      <vt:variant>
        <vt:lpwstr>_Toc219121844</vt:lpwstr>
      </vt:variant>
      <vt:variant>
        <vt:i4>1179697</vt:i4>
      </vt:variant>
      <vt:variant>
        <vt:i4>86</vt:i4>
      </vt:variant>
      <vt:variant>
        <vt:i4>0</vt:i4>
      </vt:variant>
      <vt:variant>
        <vt:i4>5</vt:i4>
      </vt:variant>
      <vt:variant>
        <vt:lpwstr/>
      </vt:variant>
      <vt:variant>
        <vt:lpwstr>_Toc219121843</vt:lpwstr>
      </vt:variant>
      <vt:variant>
        <vt:i4>1179697</vt:i4>
      </vt:variant>
      <vt:variant>
        <vt:i4>80</vt:i4>
      </vt:variant>
      <vt:variant>
        <vt:i4>0</vt:i4>
      </vt:variant>
      <vt:variant>
        <vt:i4>5</vt:i4>
      </vt:variant>
      <vt:variant>
        <vt:lpwstr/>
      </vt:variant>
      <vt:variant>
        <vt:lpwstr>_Toc219121842</vt:lpwstr>
      </vt:variant>
      <vt:variant>
        <vt:i4>1179697</vt:i4>
      </vt:variant>
      <vt:variant>
        <vt:i4>74</vt:i4>
      </vt:variant>
      <vt:variant>
        <vt:i4>0</vt:i4>
      </vt:variant>
      <vt:variant>
        <vt:i4>5</vt:i4>
      </vt:variant>
      <vt:variant>
        <vt:lpwstr/>
      </vt:variant>
      <vt:variant>
        <vt:lpwstr>_Toc219121841</vt:lpwstr>
      </vt:variant>
      <vt:variant>
        <vt:i4>1179697</vt:i4>
      </vt:variant>
      <vt:variant>
        <vt:i4>68</vt:i4>
      </vt:variant>
      <vt:variant>
        <vt:i4>0</vt:i4>
      </vt:variant>
      <vt:variant>
        <vt:i4>5</vt:i4>
      </vt:variant>
      <vt:variant>
        <vt:lpwstr/>
      </vt:variant>
      <vt:variant>
        <vt:lpwstr>_Toc219121840</vt:lpwstr>
      </vt:variant>
      <vt:variant>
        <vt:i4>1376305</vt:i4>
      </vt:variant>
      <vt:variant>
        <vt:i4>62</vt:i4>
      </vt:variant>
      <vt:variant>
        <vt:i4>0</vt:i4>
      </vt:variant>
      <vt:variant>
        <vt:i4>5</vt:i4>
      </vt:variant>
      <vt:variant>
        <vt:lpwstr/>
      </vt:variant>
      <vt:variant>
        <vt:lpwstr>_Toc219121839</vt:lpwstr>
      </vt:variant>
      <vt:variant>
        <vt:i4>1376305</vt:i4>
      </vt:variant>
      <vt:variant>
        <vt:i4>56</vt:i4>
      </vt:variant>
      <vt:variant>
        <vt:i4>0</vt:i4>
      </vt:variant>
      <vt:variant>
        <vt:i4>5</vt:i4>
      </vt:variant>
      <vt:variant>
        <vt:lpwstr/>
      </vt:variant>
      <vt:variant>
        <vt:lpwstr>_Toc219121838</vt:lpwstr>
      </vt:variant>
      <vt:variant>
        <vt:i4>1376305</vt:i4>
      </vt:variant>
      <vt:variant>
        <vt:i4>50</vt:i4>
      </vt:variant>
      <vt:variant>
        <vt:i4>0</vt:i4>
      </vt:variant>
      <vt:variant>
        <vt:i4>5</vt:i4>
      </vt:variant>
      <vt:variant>
        <vt:lpwstr/>
      </vt:variant>
      <vt:variant>
        <vt:lpwstr>_Toc219121837</vt:lpwstr>
      </vt:variant>
      <vt:variant>
        <vt:i4>1376305</vt:i4>
      </vt:variant>
      <vt:variant>
        <vt:i4>44</vt:i4>
      </vt:variant>
      <vt:variant>
        <vt:i4>0</vt:i4>
      </vt:variant>
      <vt:variant>
        <vt:i4>5</vt:i4>
      </vt:variant>
      <vt:variant>
        <vt:lpwstr/>
      </vt:variant>
      <vt:variant>
        <vt:lpwstr>_Toc219121836</vt:lpwstr>
      </vt:variant>
      <vt:variant>
        <vt:i4>1376305</vt:i4>
      </vt:variant>
      <vt:variant>
        <vt:i4>38</vt:i4>
      </vt:variant>
      <vt:variant>
        <vt:i4>0</vt:i4>
      </vt:variant>
      <vt:variant>
        <vt:i4>5</vt:i4>
      </vt:variant>
      <vt:variant>
        <vt:lpwstr/>
      </vt:variant>
      <vt:variant>
        <vt:lpwstr>_Toc219121835</vt:lpwstr>
      </vt:variant>
      <vt:variant>
        <vt:i4>1376305</vt:i4>
      </vt:variant>
      <vt:variant>
        <vt:i4>32</vt:i4>
      </vt:variant>
      <vt:variant>
        <vt:i4>0</vt:i4>
      </vt:variant>
      <vt:variant>
        <vt:i4>5</vt:i4>
      </vt:variant>
      <vt:variant>
        <vt:lpwstr/>
      </vt:variant>
      <vt:variant>
        <vt:lpwstr>_Toc219121834</vt:lpwstr>
      </vt:variant>
      <vt:variant>
        <vt:i4>1376305</vt:i4>
      </vt:variant>
      <vt:variant>
        <vt:i4>26</vt:i4>
      </vt:variant>
      <vt:variant>
        <vt:i4>0</vt:i4>
      </vt:variant>
      <vt:variant>
        <vt:i4>5</vt:i4>
      </vt:variant>
      <vt:variant>
        <vt:lpwstr/>
      </vt:variant>
      <vt:variant>
        <vt:lpwstr>_Toc219121833</vt:lpwstr>
      </vt:variant>
      <vt:variant>
        <vt:i4>1376305</vt:i4>
      </vt:variant>
      <vt:variant>
        <vt:i4>20</vt:i4>
      </vt:variant>
      <vt:variant>
        <vt:i4>0</vt:i4>
      </vt:variant>
      <vt:variant>
        <vt:i4>5</vt:i4>
      </vt:variant>
      <vt:variant>
        <vt:lpwstr/>
      </vt:variant>
      <vt:variant>
        <vt:lpwstr>_Toc219121832</vt:lpwstr>
      </vt:variant>
      <vt:variant>
        <vt:i4>1376305</vt:i4>
      </vt:variant>
      <vt:variant>
        <vt:i4>14</vt:i4>
      </vt:variant>
      <vt:variant>
        <vt:i4>0</vt:i4>
      </vt:variant>
      <vt:variant>
        <vt:i4>5</vt:i4>
      </vt:variant>
      <vt:variant>
        <vt:lpwstr/>
      </vt:variant>
      <vt:variant>
        <vt:lpwstr>_Toc219121831</vt:lpwstr>
      </vt:variant>
      <vt:variant>
        <vt:i4>1376305</vt:i4>
      </vt:variant>
      <vt:variant>
        <vt:i4>8</vt:i4>
      </vt:variant>
      <vt:variant>
        <vt:i4>0</vt:i4>
      </vt:variant>
      <vt:variant>
        <vt:i4>5</vt:i4>
      </vt:variant>
      <vt:variant>
        <vt:lpwstr/>
      </vt:variant>
      <vt:variant>
        <vt:lpwstr>_Toc219121830</vt:lpwstr>
      </vt:variant>
      <vt:variant>
        <vt:i4>1310769</vt:i4>
      </vt:variant>
      <vt:variant>
        <vt:i4>2</vt:i4>
      </vt:variant>
      <vt:variant>
        <vt:i4>0</vt:i4>
      </vt:variant>
      <vt:variant>
        <vt:i4>5</vt:i4>
      </vt:variant>
      <vt:variant>
        <vt:lpwstr/>
      </vt:variant>
      <vt:variant>
        <vt:lpwstr>_Toc219121829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Karla Asineris Terrero Montaño</cp:lastModifiedBy>
  <cp:revision>8</cp:revision>
  <cp:lastPrinted>2026-01-14T13:39:00Z</cp:lastPrinted>
  <dcterms:created xsi:type="dcterms:W3CDTF">2026-01-15T20:48:00Z</dcterms:created>
  <dcterms:modified xsi:type="dcterms:W3CDTF">2026-01-22T16:03:00Z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0x010100E98E49EB33F1084191D91743F8B13E68</vt:lpwstr>
  </property>
  <property fmtid="{D5CDD505-2E9C-101B-9397-08002B2CF9AE}" pid="3" name="MediaServiceImageTags">
    <vt:lpwstr/>
  </property>
</Properties>
</file>